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adjustRightInd/>
        <w:spacing w:line="240" w:lineRule="auto"/>
        <w:ind w:firstLine="0" w:firstLineChars="0"/>
        <w:jc w:val="center"/>
        <w:rPr>
          <w:rFonts w:hint="eastAsia" w:ascii="Calibri" w:hAnsi="Calibri"/>
          <w:b/>
          <w:bCs/>
          <w:kern w:val="2"/>
          <w:sz w:val="44"/>
          <w:szCs w:val="44"/>
        </w:rPr>
      </w:pPr>
      <w:bookmarkStart w:id="85" w:name="_GoBack"/>
      <w:bookmarkEnd w:id="8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0"/>
        <w:rPr>
          <w:rFonts w:hint="eastAsia" w:ascii="楷体" w:hAnsi="楷体" w:eastAsia="楷体" w:cs="楷体"/>
          <w:sz w:val="44"/>
          <w:szCs w:val="44"/>
          <w:lang w:eastAsia="zh-CN"/>
        </w:rPr>
      </w:pPr>
      <w:bookmarkStart w:id="0" w:name="_Toc10269"/>
      <w:bookmarkStart w:id="1" w:name="_Toc3924"/>
      <w:r>
        <w:rPr>
          <w:rFonts w:hint="eastAsia" w:ascii="楷体" w:hAnsi="楷体" w:eastAsia="楷体" w:cs="楷体"/>
          <w:b/>
          <w:bCs/>
          <w:sz w:val="44"/>
          <w:szCs w:val="44"/>
        </w:rPr>
        <w:t>四川省</w:t>
      </w:r>
      <w:r>
        <w:rPr>
          <w:rFonts w:hint="eastAsia" w:ascii="楷体" w:hAnsi="楷体" w:eastAsia="楷体" w:cs="楷体"/>
          <w:b/>
          <w:bCs/>
          <w:sz w:val="44"/>
          <w:szCs w:val="44"/>
          <w:lang w:eastAsia="zh-CN"/>
        </w:rPr>
        <w:t>广元市苍溪县</w:t>
      </w:r>
      <w:bookmarkEnd w:id="0"/>
      <w:r>
        <w:rPr>
          <w:rFonts w:hint="eastAsia" w:ascii="楷体" w:hAnsi="楷体" w:eastAsia="楷体" w:cs="楷体"/>
          <w:b/>
          <w:bCs/>
          <w:sz w:val="44"/>
          <w:szCs w:val="44"/>
          <w:lang w:eastAsia="zh-CN"/>
        </w:rPr>
        <w:t>沙溪浩</w:t>
      </w:r>
      <w:bookmarkEnd w:id="1"/>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Calibri" w:hAnsi="Calibri" w:eastAsia="宋体"/>
          <w:b/>
          <w:bCs/>
          <w:kern w:val="2"/>
          <w:sz w:val="52"/>
          <w:szCs w:val="52"/>
          <w:lang w:eastAsia="zh-CN"/>
        </w:rPr>
      </w:pPr>
      <w:bookmarkStart w:id="2" w:name="_Toc14516"/>
      <w:bookmarkStart w:id="3" w:name="_Toc7362"/>
      <w:bookmarkStart w:id="4" w:name="_Toc19247"/>
      <w:r>
        <w:rPr>
          <w:rFonts w:hint="eastAsia" w:ascii="Calibri" w:hAnsi="Calibri" w:eastAsia="宋体" w:cs="Times New Roman"/>
          <w:b/>
          <w:bCs/>
          <w:kern w:val="2"/>
          <w:sz w:val="52"/>
          <w:szCs w:val="52"/>
        </w:rPr>
        <w:t>河流（湖库）</w:t>
      </w:r>
      <w:r>
        <w:rPr>
          <w:rFonts w:hint="eastAsia" w:ascii="Calibri" w:hAnsi="Calibri"/>
          <w:b/>
          <w:bCs/>
          <w:kern w:val="2"/>
          <w:sz w:val="52"/>
          <w:szCs w:val="52"/>
        </w:rPr>
        <w:t>健康评价</w:t>
      </w:r>
      <w:r>
        <w:rPr>
          <w:rFonts w:hint="eastAsia" w:ascii="Calibri" w:hAnsi="Calibri"/>
          <w:b/>
          <w:bCs/>
          <w:kern w:val="2"/>
          <w:sz w:val="52"/>
          <w:szCs w:val="52"/>
          <w:lang w:eastAsia="zh-CN"/>
        </w:rPr>
        <w:t>报告</w:t>
      </w:r>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kern w:val="2"/>
          <w:sz w:val="44"/>
          <w:szCs w:val="44"/>
        </w:rPr>
      </w:pPr>
      <w:r>
        <w:rPr>
          <w:rFonts w:hint="eastAsia"/>
          <w:kern w:val="2"/>
          <w:sz w:val="44"/>
          <w:szCs w:val="44"/>
        </w:rPr>
        <w:t>（审</w:t>
      </w:r>
      <w:r>
        <w:rPr>
          <w:rFonts w:hint="eastAsia"/>
          <w:kern w:val="2"/>
          <w:sz w:val="44"/>
          <w:szCs w:val="44"/>
          <w:lang w:eastAsia="zh-CN"/>
        </w:rPr>
        <w:t>定</w:t>
      </w:r>
      <w:r>
        <w:rPr>
          <w:rFonts w:hint="eastAsia"/>
          <w:kern w:val="2"/>
          <w:sz w:val="44"/>
          <w:szCs w:val="44"/>
        </w:rPr>
        <w:t>稿）</w:t>
      </w:r>
    </w:p>
    <w:p>
      <w:pPr>
        <w:numPr>
          <w:ilvl w:val="0"/>
          <w:numId w:val="0"/>
        </w:numPr>
        <w:ind w:leftChars="0"/>
        <w:jc w:val="both"/>
        <w:outlineLvl w:val="9"/>
        <w:rPr>
          <w:rFonts w:hint="eastAsia" w:ascii="宋体" w:hAnsi="宋体" w:eastAsia="宋体" w:cs="宋体"/>
          <w:b/>
          <w:bCs w:val="0"/>
          <w:color w:val="auto"/>
          <w:sz w:val="36"/>
          <w:szCs w:val="36"/>
        </w:rPr>
      </w:pPr>
    </w:p>
    <w:p>
      <w:pPr>
        <w:numPr>
          <w:ilvl w:val="0"/>
          <w:numId w:val="0"/>
        </w:numPr>
        <w:ind w:leftChars="0"/>
        <w:outlineLvl w:val="9"/>
        <w:rPr>
          <w:rFonts w:hint="eastAsia"/>
        </w:rPr>
      </w:pPr>
    </w:p>
    <w:p>
      <w:pPr>
        <w:numPr>
          <w:ilvl w:val="0"/>
          <w:numId w:val="0"/>
        </w:numPr>
        <w:ind w:leftChars="0"/>
        <w:outlineLvl w:val="9"/>
        <w:rPr>
          <w:rFonts w:hint="eastAsia"/>
        </w:rPr>
      </w:pPr>
    </w:p>
    <w:p>
      <w:pPr>
        <w:outlineLvl w:val="9"/>
        <w:rPr>
          <w:rFonts w:hint="eastAsia" w:ascii="宋体" w:hAnsi="宋体" w:eastAsia="宋体" w:cs="宋体"/>
          <w:b/>
          <w:bCs w:val="0"/>
          <w:color w:val="auto"/>
          <w:sz w:val="36"/>
          <w:szCs w:val="36"/>
        </w:rPr>
      </w:pPr>
    </w:p>
    <w:p>
      <w:pPr>
        <w:numPr>
          <w:ilvl w:val="0"/>
          <w:numId w:val="0"/>
        </w:numPr>
        <w:ind w:leftChars="0"/>
        <w:outlineLvl w:val="9"/>
        <w:rPr>
          <w:rFonts w:hint="eastAsia" w:ascii="宋体" w:hAnsi="宋体" w:eastAsia="宋体" w:cs="宋体"/>
          <w:b/>
          <w:bCs w:val="0"/>
          <w:color w:val="auto"/>
          <w:sz w:val="36"/>
          <w:szCs w:val="36"/>
        </w:rPr>
      </w:pPr>
    </w:p>
    <w:p>
      <w:pPr>
        <w:outlineLvl w:val="9"/>
        <w:rPr>
          <w:rFonts w:hint="eastAsia" w:ascii="宋体" w:hAnsi="宋体" w:eastAsia="宋体" w:cs="宋体"/>
          <w:b/>
          <w:bCs w:val="0"/>
          <w:color w:val="auto"/>
          <w:sz w:val="36"/>
          <w:szCs w:val="36"/>
        </w:rPr>
      </w:pPr>
    </w:p>
    <w:p>
      <w:pPr>
        <w:numPr>
          <w:ilvl w:val="0"/>
          <w:numId w:val="0"/>
        </w:numPr>
        <w:ind w:leftChars="0"/>
        <w:outlineLvl w:val="9"/>
        <w:rPr>
          <w:rFonts w:hint="eastAsia"/>
        </w:rPr>
      </w:pPr>
    </w:p>
    <w:p>
      <w:pPr>
        <w:numPr>
          <w:ilvl w:val="0"/>
          <w:numId w:val="0"/>
        </w:numPr>
        <w:ind w:leftChars="0"/>
        <w:outlineLvl w:val="9"/>
        <w:rPr>
          <w:rFonts w:hint="eastAsia"/>
        </w:rPr>
      </w:pPr>
    </w:p>
    <w:p>
      <w:pPr>
        <w:pStyle w:val="22"/>
        <w:rPr>
          <w:rFonts w:hint="eastAsia"/>
        </w:rPr>
      </w:pPr>
    </w:p>
    <w:p>
      <w:pPr>
        <w:pStyle w:val="22"/>
        <w:rPr>
          <w:rFonts w:hint="eastAsia"/>
        </w:rPr>
      </w:pPr>
    </w:p>
    <w:p>
      <w:pPr>
        <w:outlineLvl w:val="9"/>
        <w:rPr>
          <w:rFonts w:hint="eastAsia" w:ascii="宋体" w:hAnsi="宋体" w:eastAsia="宋体" w:cs="宋体"/>
          <w:b/>
          <w:bCs w:val="0"/>
          <w:color w:val="auto"/>
          <w:sz w:val="36"/>
          <w:szCs w:val="36"/>
        </w:rPr>
      </w:pPr>
    </w:p>
    <w:p>
      <w:pPr>
        <w:pStyle w:val="22"/>
        <w:ind w:left="0" w:leftChars="0" w:firstLine="0" w:firstLineChars="0"/>
        <w:rPr>
          <w:rFonts w:hint="eastAsia" w:ascii="宋体" w:hAnsi="宋体" w:eastAsia="宋体" w:cs="宋体"/>
          <w:b/>
          <w:bCs w:val="0"/>
          <w:color w:val="auto"/>
          <w:sz w:val="36"/>
          <w:szCs w:val="36"/>
        </w:rPr>
      </w:pPr>
    </w:p>
    <w:p>
      <w:pPr>
        <w:numPr>
          <w:ilvl w:val="0"/>
          <w:numId w:val="0"/>
        </w:numPr>
        <w:ind w:leftChars="0"/>
        <w:outlineLvl w:val="9"/>
        <w:rPr>
          <w:rFonts w:hint="eastAsia"/>
        </w:rPr>
      </w:pPr>
    </w:p>
    <w:p>
      <w:pPr>
        <w:keepNext w:val="0"/>
        <w:keepLines w:val="0"/>
        <w:pageBreakBefore w:val="0"/>
        <w:kinsoku/>
        <w:wordWrap/>
        <w:overflowPunct/>
        <w:topLinePunct w:val="0"/>
        <w:autoSpaceDE/>
        <w:autoSpaceDN/>
        <w:bidi w:val="0"/>
        <w:adjustRightInd/>
        <w:snapToGrid/>
        <w:spacing w:line="360" w:lineRule="auto"/>
        <w:ind w:firstLine="2088" w:firstLineChars="650"/>
        <w:jc w:val="both"/>
        <w:textAlignment w:val="auto"/>
        <w:rPr>
          <w:rFonts w:hint="eastAsia" w:ascii="Calibri" w:hAnsi="Calibri"/>
          <w:b/>
          <w:bCs/>
          <w:color w:val="auto"/>
          <w:kern w:val="2"/>
          <w:sz w:val="32"/>
          <w:szCs w:val="32"/>
          <w:lang w:eastAsia="zh-CN"/>
        </w:rPr>
      </w:pPr>
      <w:r>
        <w:rPr>
          <w:rFonts w:hint="eastAsia" w:ascii="Calibri" w:hAnsi="Calibri"/>
          <w:b/>
          <w:bCs/>
          <w:color w:val="auto"/>
          <w:kern w:val="2"/>
          <w:sz w:val="32"/>
          <w:szCs w:val="32"/>
          <w:lang w:eastAsia="zh-CN"/>
        </w:rPr>
        <w:t>组织单位：</w:t>
      </w:r>
      <w:r>
        <w:rPr>
          <w:rFonts w:hint="eastAsia"/>
          <w:b/>
          <w:bCs/>
          <w:color w:val="auto"/>
          <w:kern w:val="2"/>
          <w:sz w:val="32"/>
          <w:szCs w:val="32"/>
          <w:lang w:eastAsia="zh-CN"/>
        </w:rPr>
        <w:t>苍溪县</w:t>
      </w:r>
      <w:r>
        <w:rPr>
          <w:rFonts w:hint="eastAsia" w:ascii="Calibri" w:hAnsi="Calibri"/>
          <w:b/>
          <w:bCs/>
          <w:color w:val="auto"/>
          <w:kern w:val="2"/>
          <w:sz w:val="32"/>
          <w:szCs w:val="32"/>
          <w:lang w:eastAsia="zh-CN"/>
        </w:rPr>
        <w:t>河长制办公室</w:t>
      </w:r>
    </w:p>
    <w:p>
      <w:pPr>
        <w:pStyle w:val="22"/>
        <w:keepNext w:val="0"/>
        <w:keepLines w:val="0"/>
        <w:pageBreakBefore w:val="0"/>
        <w:kinsoku/>
        <w:wordWrap/>
        <w:overflowPunct/>
        <w:topLinePunct w:val="0"/>
        <w:autoSpaceDE/>
        <w:autoSpaceDN/>
        <w:bidi w:val="0"/>
        <w:adjustRightInd/>
        <w:snapToGrid/>
        <w:spacing w:line="360" w:lineRule="auto"/>
        <w:ind w:firstLine="2088" w:firstLineChars="650"/>
        <w:jc w:val="both"/>
        <w:textAlignment w:val="auto"/>
        <w:outlineLvl w:val="0"/>
        <w:rPr>
          <w:rFonts w:hint="eastAsia" w:ascii="Calibri" w:hAnsi="Calibri"/>
          <w:b/>
          <w:bCs/>
          <w:color w:val="auto"/>
          <w:kern w:val="2"/>
          <w:sz w:val="32"/>
          <w:szCs w:val="32"/>
          <w:lang w:eastAsia="zh-CN"/>
        </w:rPr>
      </w:pPr>
      <w:bookmarkStart w:id="5" w:name="_Toc14644"/>
      <w:bookmarkStart w:id="6" w:name="_Toc393"/>
      <w:bookmarkStart w:id="7" w:name="_Toc7099"/>
      <w:r>
        <w:rPr>
          <w:rFonts w:hint="eastAsia" w:ascii="Calibri" w:hAnsi="Calibri"/>
          <w:b/>
          <w:bCs/>
          <w:color w:val="auto"/>
          <w:kern w:val="2"/>
          <w:sz w:val="32"/>
          <w:szCs w:val="32"/>
          <w:lang w:eastAsia="zh-CN"/>
        </w:rPr>
        <w:t>联络员单位：苍溪县水利局</w:t>
      </w:r>
      <w:bookmarkEnd w:id="5"/>
      <w:bookmarkEnd w:id="6"/>
      <w:bookmarkEnd w:id="7"/>
    </w:p>
    <w:p>
      <w:pPr>
        <w:pStyle w:val="22"/>
        <w:keepNext w:val="0"/>
        <w:keepLines w:val="0"/>
        <w:pageBreakBefore w:val="0"/>
        <w:kinsoku/>
        <w:wordWrap/>
        <w:overflowPunct/>
        <w:topLinePunct w:val="0"/>
        <w:autoSpaceDE/>
        <w:autoSpaceDN/>
        <w:bidi w:val="0"/>
        <w:adjustRightInd/>
        <w:snapToGrid/>
        <w:spacing w:line="360" w:lineRule="auto"/>
        <w:ind w:firstLine="2088" w:firstLineChars="650"/>
        <w:jc w:val="both"/>
        <w:textAlignment w:val="auto"/>
        <w:outlineLvl w:val="0"/>
        <w:rPr>
          <w:rFonts w:hint="eastAsia" w:ascii="Calibri" w:hAnsi="Calibri"/>
          <w:b/>
          <w:bCs/>
          <w:color w:val="auto"/>
          <w:kern w:val="2"/>
          <w:sz w:val="32"/>
          <w:szCs w:val="32"/>
          <w:lang w:eastAsia="zh-CN"/>
        </w:rPr>
      </w:pPr>
      <w:bookmarkStart w:id="8" w:name="_Toc3243"/>
      <w:bookmarkStart w:id="9" w:name="_Toc30382"/>
      <w:bookmarkStart w:id="10" w:name="_Toc1402"/>
      <w:r>
        <w:rPr>
          <w:rFonts w:hint="eastAsia" w:ascii="Calibri" w:hAnsi="Calibri"/>
          <w:b/>
          <w:bCs/>
          <w:color w:val="auto"/>
          <w:kern w:val="2"/>
          <w:sz w:val="32"/>
          <w:szCs w:val="32"/>
          <w:lang w:eastAsia="zh-CN"/>
        </w:rPr>
        <w:t>编制单位：四川水方工程勘测设计有限公司</w:t>
      </w:r>
      <w:bookmarkEnd w:id="8"/>
      <w:bookmarkEnd w:id="9"/>
      <w:bookmarkEnd w:id="10"/>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color w:val="auto"/>
        </w:rPr>
      </w:pPr>
      <w:r>
        <w:rPr>
          <w:rFonts w:hint="eastAsia" w:ascii="Calibri" w:hAnsi="Calibri"/>
          <w:b/>
          <w:bCs/>
          <w:color w:val="auto"/>
          <w:kern w:val="2"/>
          <w:sz w:val="32"/>
          <w:szCs w:val="32"/>
        </w:rPr>
        <w:t>二</w:t>
      </w:r>
      <w:r>
        <w:rPr>
          <w:rFonts w:hint="eastAsia" w:ascii="Calibri" w:hAnsi="Calibri"/>
          <w:b/>
          <w:bCs/>
          <w:color w:val="auto"/>
          <w:kern w:val="2"/>
          <w:sz w:val="32"/>
          <w:szCs w:val="32"/>
          <w:lang w:eastAsia="zh-CN"/>
        </w:rPr>
        <w:t>〇</w:t>
      </w:r>
      <w:r>
        <w:rPr>
          <w:rFonts w:hint="eastAsia" w:ascii="Calibri" w:hAnsi="Calibri"/>
          <w:b/>
          <w:bCs/>
          <w:color w:val="auto"/>
          <w:kern w:val="2"/>
          <w:sz w:val="32"/>
          <w:szCs w:val="32"/>
        </w:rPr>
        <w:t>二</w:t>
      </w:r>
      <w:r>
        <w:rPr>
          <w:rFonts w:hint="eastAsia"/>
          <w:b/>
          <w:bCs/>
          <w:color w:val="auto"/>
          <w:kern w:val="2"/>
          <w:sz w:val="32"/>
          <w:szCs w:val="32"/>
          <w:lang w:eastAsia="zh-CN"/>
        </w:rPr>
        <w:t>二</w:t>
      </w:r>
      <w:r>
        <w:rPr>
          <w:rFonts w:hint="eastAsia" w:ascii="Calibri" w:hAnsi="Calibri"/>
          <w:b/>
          <w:bCs/>
          <w:color w:val="auto"/>
          <w:kern w:val="2"/>
          <w:sz w:val="32"/>
          <w:szCs w:val="32"/>
        </w:rPr>
        <w:t>年</w:t>
      </w:r>
      <w:r>
        <w:rPr>
          <w:rFonts w:hint="eastAsia"/>
          <w:b/>
          <w:bCs/>
          <w:color w:val="auto"/>
          <w:kern w:val="2"/>
          <w:sz w:val="32"/>
          <w:szCs w:val="32"/>
          <w:lang w:eastAsia="zh-CN"/>
        </w:rPr>
        <w:t>十一</w:t>
      </w:r>
      <w:r>
        <w:rPr>
          <w:rFonts w:hint="eastAsia" w:ascii="Calibri" w:hAnsi="Calibri"/>
          <w:b/>
          <w:bCs/>
          <w:color w:val="auto"/>
          <w:kern w:val="2"/>
          <w:sz w:val="32"/>
          <w:szCs w:val="32"/>
        </w:rPr>
        <w:t>月</w:t>
      </w:r>
    </w:p>
    <w:p>
      <w:pPr>
        <w:rPr>
          <w:rFonts w:ascii="宋体" w:hAnsi="宋体" w:eastAsia="宋体" w:cs="Times New Roman"/>
          <w:sz w:val="21"/>
          <w:szCs w:val="28"/>
          <w:lang w:val="en-US" w:eastAsia="zh-CN" w:bidi="ar-SA"/>
        </w:rPr>
        <w:sectPr>
          <w:head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2"/>
        <w:ind w:left="0" w:leftChars="0" w:firstLine="0" w:firstLineChars="0"/>
        <w:rPr>
          <w:lang w:val="en-US" w:eastAsia="zh-CN"/>
        </w:rPr>
      </w:pPr>
    </w:p>
    <w:p>
      <w:pPr>
        <w:pStyle w:val="22"/>
        <w:rPr>
          <w:lang w:val="en-US" w:eastAsia="zh-CN"/>
        </w:rPr>
      </w:pPr>
    </w:p>
    <w:p>
      <w:pPr>
        <w:pStyle w:val="17"/>
        <w:ind w:firstLine="0" w:firstLineChars="0"/>
        <w:jc w:val="center"/>
        <w:rPr>
          <w:rFonts w:hint="eastAsia" w:ascii="方正小标宋简体" w:hAnsi="Times New Roman" w:eastAsia="方正小标宋简体" w:cs="Times New Roman"/>
          <w:bCs/>
          <w:kern w:val="2"/>
          <w:sz w:val="52"/>
          <w:szCs w:val="52"/>
          <w:lang w:val="en-US" w:eastAsia="zh-CN" w:bidi="ar-SA"/>
        </w:rPr>
      </w:pPr>
      <w:r>
        <w:rPr>
          <w:rFonts w:hint="eastAsia" w:ascii="方正小标宋简体" w:hAnsi="Times New Roman" w:eastAsia="方正小标宋简体" w:cs="Times New Roman"/>
          <w:bCs/>
          <w:kern w:val="2"/>
          <w:sz w:val="52"/>
          <w:szCs w:val="52"/>
          <w:lang w:val="en-US" w:eastAsia="zh-CN" w:bidi="ar-SA"/>
        </w:rPr>
        <w:t>苍溪县沙溪浩健康评价报告相关单位及编制人员</w:t>
      </w:r>
    </w:p>
    <w:p>
      <w:pPr>
        <w:pStyle w:val="17"/>
        <w:ind w:firstLine="0" w:firstLineChars="0"/>
        <w:jc w:val="center"/>
        <w:rPr>
          <w:rFonts w:hint="eastAsia" w:ascii="黑体" w:hAnsi="黑体" w:eastAsia="黑体" w:cs="黑体"/>
          <w:b/>
          <w:bCs/>
          <w:kern w:val="2"/>
          <w:sz w:val="44"/>
          <w:szCs w:val="44"/>
          <w:lang w:eastAsia="zh-CN"/>
        </w:rPr>
      </w:pPr>
    </w:p>
    <w:p>
      <w:pPr>
        <w:ind w:left="0" w:leftChars="0" w:firstLine="0" w:firstLineChars="0"/>
        <w:outlineLvl w:val="9"/>
        <w:rPr>
          <w:rFonts w:hint="eastAsia" w:eastAsia="黑体"/>
          <w:kern w:val="2"/>
          <w:sz w:val="32"/>
          <w:szCs w:val="32"/>
        </w:rPr>
      </w:pP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2160" w:firstLineChars="675"/>
        <w:textAlignment w:val="auto"/>
        <w:rPr>
          <w:rFonts w:hint="eastAsia" w:ascii="Times New Roman" w:hAnsi="Times New Roman" w:eastAsia="黑体" w:cs="Times New Roman"/>
          <w:bCs w:val="0"/>
          <w:color w:val="000000" w:themeColor="text1"/>
          <w:sz w:val="32"/>
          <w:szCs w:val="32"/>
          <w:lang w:eastAsia="zh-CN"/>
          <w14:textFill>
            <w14:solidFill>
              <w14:schemeClr w14:val="tx1"/>
            </w14:solidFill>
          </w14:textFill>
        </w:rPr>
      </w:pPr>
      <w:r>
        <w:rPr>
          <w:rFonts w:hint="eastAsia" w:eastAsia="黑体" w:cs="Times New Roman"/>
          <w:bCs w:val="0"/>
          <w:color w:val="000000" w:themeColor="text1"/>
          <w:sz w:val="32"/>
          <w:szCs w:val="32"/>
          <w14:textFill>
            <w14:solidFill>
              <w14:schemeClr w14:val="tx1"/>
            </w14:solidFill>
          </w14:textFill>
        </w:rPr>
        <w:t>组 织 单 位：</w:t>
      </w:r>
      <w:r>
        <w:rPr>
          <w:rFonts w:hint="eastAsia" w:ascii="Times New Roman" w:hAnsi="Times New Roman" w:eastAsia="黑体" w:cs="Times New Roman"/>
          <w:bCs w:val="0"/>
          <w:color w:val="000000" w:themeColor="text1"/>
          <w:sz w:val="32"/>
          <w:szCs w:val="32"/>
          <w:lang w:eastAsia="zh-CN"/>
          <w14:textFill>
            <w14:solidFill>
              <w14:schemeClr w14:val="tx1"/>
            </w14:solidFill>
          </w14:textFill>
        </w:rPr>
        <w:t>苍溪县河长制办公室</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2160" w:firstLineChars="675"/>
        <w:textAlignment w:val="auto"/>
        <w:rPr>
          <w:rFonts w:hint="eastAsia" w:ascii="Times New Roman" w:hAnsi="Times New Roman" w:eastAsia="黑体" w:cs="Times New Roman"/>
          <w:bCs w:val="0"/>
          <w:color w:val="000000" w:themeColor="text1"/>
          <w:sz w:val="32"/>
          <w:szCs w:val="32"/>
          <w:lang w:eastAsia="zh-CN"/>
          <w14:textFill>
            <w14:solidFill>
              <w14:schemeClr w14:val="tx1"/>
            </w14:solidFill>
          </w14:textFill>
        </w:rPr>
      </w:pPr>
      <w:r>
        <w:rPr>
          <w:rFonts w:hint="eastAsia" w:ascii="Times New Roman" w:hAnsi="Times New Roman" w:eastAsia="黑体" w:cs="Times New Roman"/>
          <w:bCs w:val="0"/>
          <w:color w:val="000000" w:themeColor="text1"/>
          <w:sz w:val="32"/>
          <w:szCs w:val="32"/>
          <w:lang w:eastAsia="zh-CN"/>
          <w14:textFill>
            <w14:solidFill>
              <w14:schemeClr w14:val="tx1"/>
            </w14:solidFill>
          </w14:textFill>
        </w:rPr>
        <w:t>联络员单 位：苍溪县文化旅游和体育局</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2160" w:firstLineChars="675"/>
        <w:textAlignment w:val="auto"/>
        <w:rPr>
          <w:rFonts w:hint="eastAsia" w:eastAsia="黑体" w:cs="Times New Roman"/>
          <w:bCs w:val="0"/>
          <w:color w:val="000000" w:themeColor="text1"/>
          <w:sz w:val="32"/>
          <w:szCs w:val="32"/>
          <w:lang w:val="en-US" w:eastAsia="zh-CN"/>
          <w14:textFill>
            <w14:solidFill>
              <w14:schemeClr w14:val="tx1"/>
            </w14:solidFill>
          </w14:textFill>
        </w:rPr>
      </w:pPr>
      <w:r>
        <w:rPr>
          <w:rFonts w:hint="eastAsia" w:eastAsia="黑体" w:cs="Times New Roman"/>
          <w:bCs w:val="0"/>
          <w:color w:val="000000" w:themeColor="text1"/>
          <w:sz w:val="32"/>
          <w:szCs w:val="32"/>
          <w14:textFill>
            <w14:solidFill>
              <w14:schemeClr w14:val="tx1"/>
            </w14:solidFill>
          </w14:textFill>
        </w:rPr>
        <w:t>协 助 单 位：</w:t>
      </w:r>
      <w:r>
        <w:rPr>
          <w:rFonts w:hint="eastAsia" w:eastAsia="黑体" w:cs="Times New Roman"/>
          <w:bCs w:val="0"/>
          <w:color w:val="000000" w:themeColor="text1"/>
          <w:sz w:val="32"/>
          <w:szCs w:val="32"/>
          <w:lang w:eastAsia="zh-CN"/>
          <w14:textFill>
            <w14:solidFill>
              <w14:schemeClr w14:val="tx1"/>
            </w14:solidFill>
          </w14:textFill>
        </w:rPr>
        <w:t>苍溪县生态环境局</w:t>
      </w:r>
      <w:r>
        <w:rPr>
          <w:rFonts w:hint="eastAsia" w:eastAsia="黑体" w:cs="Times New Roman"/>
          <w:bCs w:val="0"/>
          <w:color w:val="000000" w:themeColor="text1"/>
          <w:sz w:val="32"/>
          <w:szCs w:val="32"/>
          <w:lang w:val="en-US" w:eastAsia="zh-CN"/>
          <w14:textFill>
            <w14:solidFill>
              <w14:schemeClr w14:val="tx1"/>
            </w14:solidFill>
          </w14:textFill>
        </w:rPr>
        <w:t xml:space="preserve">  </w:t>
      </w:r>
    </w:p>
    <w:p>
      <w:pPr>
        <w:pStyle w:val="17"/>
        <w:keepNext w:val="0"/>
        <w:keepLines w:val="0"/>
        <w:pageBreakBefore w:val="0"/>
        <w:widowControl w:val="0"/>
        <w:kinsoku/>
        <w:wordWrap/>
        <w:overflowPunct/>
        <w:topLinePunct w:val="0"/>
        <w:autoSpaceDE/>
        <w:autoSpaceDN/>
        <w:bidi w:val="0"/>
        <w:adjustRightInd/>
        <w:snapToGrid/>
        <w:spacing w:line="360" w:lineRule="auto"/>
        <w:ind w:left="2160" w:leftChars="900" w:firstLine="2160" w:firstLineChars="675"/>
        <w:textAlignment w:val="auto"/>
        <w:rPr>
          <w:rFonts w:hint="eastAsia" w:eastAsia="黑体" w:cs="Times New Roman"/>
          <w:bCs w:val="0"/>
          <w:color w:val="000000" w:themeColor="text1"/>
          <w:sz w:val="32"/>
          <w:szCs w:val="32"/>
          <w:lang w:val="en-US" w:eastAsia="zh-CN"/>
          <w14:textFill>
            <w14:solidFill>
              <w14:schemeClr w14:val="tx1"/>
            </w14:solidFill>
          </w14:textFill>
        </w:rPr>
      </w:pPr>
      <w:r>
        <w:rPr>
          <w:rFonts w:hint="eastAsia" w:eastAsia="黑体" w:cs="Times New Roman"/>
          <w:bCs w:val="0"/>
          <w:color w:val="000000" w:themeColor="text1"/>
          <w:sz w:val="32"/>
          <w:szCs w:val="32"/>
          <w:lang w:val="en-US" w:eastAsia="zh-CN"/>
          <w14:textFill>
            <w14:solidFill>
              <w14:schemeClr w14:val="tx1"/>
            </w14:solidFill>
          </w14:textFill>
        </w:rPr>
        <w:t xml:space="preserve">苍溪县农业农村局  </w:t>
      </w:r>
    </w:p>
    <w:p>
      <w:pPr>
        <w:pStyle w:val="17"/>
        <w:keepNext w:val="0"/>
        <w:keepLines w:val="0"/>
        <w:pageBreakBefore w:val="0"/>
        <w:widowControl w:val="0"/>
        <w:kinsoku/>
        <w:wordWrap/>
        <w:overflowPunct/>
        <w:topLinePunct w:val="0"/>
        <w:autoSpaceDE/>
        <w:autoSpaceDN/>
        <w:bidi w:val="0"/>
        <w:adjustRightInd/>
        <w:snapToGrid/>
        <w:spacing w:line="360" w:lineRule="auto"/>
        <w:ind w:left="2160" w:leftChars="900" w:firstLine="2160" w:firstLineChars="675"/>
        <w:textAlignment w:val="auto"/>
        <w:rPr>
          <w:rFonts w:hint="eastAsia" w:eastAsia="黑体" w:cs="Times New Roman"/>
          <w:bCs w:val="0"/>
          <w:color w:val="000000" w:themeColor="text1"/>
          <w:sz w:val="32"/>
          <w:szCs w:val="32"/>
          <w:lang w:val="en-US" w:eastAsia="zh-CN"/>
          <w14:textFill>
            <w14:solidFill>
              <w14:schemeClr w14:val="tx1"/>
            </w14:solidFill>
          </w14:textFill>
        </w:rPr>
      </w:pPr>
      <w:r>
        <w:rPr>
          <w:rFonts w:hint="eastAsia" w:eastAsia="黑体" w:cs="Times New Roman"/>
          <w:bCs w:val="0"/>
          <w:color w:val="000000" w:themeColor="text1"/>
          <w:sz w:val="32"/>
          <w:szCs w:val="32"/>
          <w:lang w:val="en-US" w:eastAsia="zh-CN"/>
          <w14:textFill>
            <w14:solidFill>
              <w14:schemeClr w14:val="tx1"/>
            </w14:solidFill>
          </w14:textFill>
        </w:rPr>
        <w:t xml:space="preserve">苍溪县自然资源局 </w:t>
      </w:r>
    </w:p>
    <w:p>
      <w:pPr>
        <w:pStyle w:val="17"/>
        <w:keepNext w:val="0"/>
        <w:keepLines w:val="0"/>
        <w:pageBreakBefore w:val="0"/>
        <w:widowControl w:val="0"/>
        <w:kinsoku/>
        <w:wordWrap/>
        <w:overflowPunct/>
        <w:topLinePunct w:val="0"/>
        <w:autoSpaceDE/>
        <w:autoSpaceDN/>
        <w:bidi w:val="0"/>
        <w:adjustRightInd/>
        <w:snapToGrid/>
        <w:spacing w:line="360" w:lineRule="auto"/>
        <w:ind w:left="2160" w:leftChars="900" w:firstLine="2160" w:firstLineChars="675"/>
        <w:textAlignment w:val="auto"/>
        <w:rPr>
          <w:rFonts w:hint="default" w:eastAsia="黑体" w:cs="Times New Roman"/>
          <w:bCs w:val="0"/>
          <w:color w:val="000000" w:themeColor="text1"/>
          <w:sz w:val="32"/>
          <w:szCs w:val="32"/>
          <w:lang w:val="en-US" w:eastAsia="zh-CN"/>
          <w14:textFill>
            <w14:solidFill>
              <w14:schemeClr w14:val="tx1"/>
            </w14:solidFill>
          </w14:textFill>
        </w:rPr>
      </w:pPr>
      <w:r>
        <w:rPr>
          <w:rFonts w:hint="eastAsia" w:eastAsia="黑体" w:cs="Times New Roman"/>
          <w:bCs w:val="0"/>
          <w:color w:val="000000" w:themeColor="text1"/>
          <w:sz w:val="32"/>
          <w:szCs w:val="32"/>
          <w:lang w:val="en-US" w:eastAsia="zh-CN"/>
          <w14:textFill>
            <w14:solidFill>
              <w14:schemeClr w14:val="tx1"/>
            </w14:solidFill>
          </w14:textFill>
        </w:rPr>
        <w:t>苍溪县林业局</w:t>
      </w:r>
    </w:p>
    <w:p>
      <w:pPr>
        <w:pStyle w:val="22"/>
        <w:ind w:left="1440" w:leftChars="600" w:firstLine="0" w:firstLineChars="0"/>
        <w:rPr>
          <w:rFonts w:hint="eastAsia" w:eastAsia="黑体"/>
          <w:kern w:val="2"/>
          <w:sz w:val="32"/>
          <w:szCs w:val="32"/>
        </w:rPr>
      </w:pPr>
    </w:p>
    <w:p>
      <w:pPr>
        <w:pStyle w:val="22"/>
        <w:rPr>
          <w:rFonts w:hint="eastAsia" w:eastAsia="黑体"/>
          <w:kern w:val="2"/>
          <w:sz w:val="32"/>
          <w:szCs w:val="32"/>
        </w:rPr>
      </w:pPr>
    </w:p>
    <w:p>
      <w:pPr>
        <w:pStyle w:val="22"/>
        <w:rPr>
          <w:rFonts w:hint="eastAsia" w:eastAsia="黑体"/>
          <w:kern w:val="2"/>
          <w:sz w:val="32"/>
          <w:szCs w:val="32"/>
        </w:rPr>
      </w:pPr>
    </w:p>
    <w:p>
      <w:pPr>
        <w:pStyle w:val="22"/>
        <w:ind w:left="0" w:leftChars="0" w:firstLine="0" w:firstLineChars="0"/>
        <w:rPr>
          <w:rFonts w:hint="eastAsia" w:eastAsia="黑体"/>
          <w:kern w:val="2"/>
          <w:sz w:val="32"/>
          <w:szCs w:val="32"/>
        </w:rPr>
      </w:pPr>
    </w:p>
    <w:p>
      <w:pPr>
        <w:pStyle w:val="22"/>
        <w:ind w:left="0" w:leftChars="0" w:firstLine="0" w:firstLineChars="0"/>
        <w:rPr>
          <w:rFonts w:hint="eastAsia" w:eastAsia="黑体"/>
          <w:kern w:val="2"/>
          <w:sz w:val="32"/>
          <w:szCs w:val="32"/>
        </w:rPr>
      </w:pP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1680" w:firstLineChars="525"/>
        <w:textAlignment w:val="auto"/>
        <w:rPr>
          <w:rFonts w:hint="eastAsia" w:ascii="Times New Roman" w:hAnsi="Times New Roman" w:eastAsia="黑体" w:cs="Times New Roman"/>
          <w:bCs w:val="0"/>
          <w:sz w:val="32"/>
          <w:szCs w:val="32"/>
        </w:rPr>
      </w:pPr>
      <w:r>
        <w:rPr>
          <w:rFonts w:hint="eastAsia" w:eastAsia="黑体" w:cs="Times New Roman"/>
          <w:bCs w:val="0"/>
          <w:sz w:val="32"/>
          <w:szCs w:val="32"/>
        </w:rPr>
        <w:t>编 制 单 位：</w:t>
      </w:r>
      <w:r>
        <w:rPr>
          <w:rFonts w:hint="eastAsia" w:ascii="Times New Roman" w:hAnsi="Times New Roman" w:eastAsia="黑体" w:cs="Times New Roman"/>
          <w:bCs w:val="0"/>
          <w:sz w:val="32"/>
          <w:szCs w:val="32"/>
          <w:lang w:eastAsia="zh-CN"/>
        </w:rPr>
        <w:t>四川水方工程勘测设计有限公司</w:t>
      </w:r>
    </w:p>
    <w:p>
      <w:pPr>
        <w:pStyle w:val="65"/>
        <w:keepNext w:val="0"/>
        <w:keepLines w:val="0"/>
        <w:pageBreakBefore w:val="0"/>
        <w:widowControl w:val="0"/>
        <w:kinsoku/>
        <w:wordWrap/>
        <w:overflowPunct/>
        <w:topLinePunct w:val="0"/>
        <w:autoSpaceDE/>
        <w:autoSpaceDN/>
        <w:bidi w:val="0"/>
        <w:adjustRightInd/>
        <w:snapToGrid/>
        <w:spacing w:beforeLines="50" w:afterLines="50" w:line="360" w:lineRule="auto"/>
        <w:ind w:left="0" w:leftChars="0" w:firstLine="1680" w:firstLineChars="525"/>
        <w:textAlignment w:val="auto"/>
        <w:rPr>
          <w:rFonts w:hint="eastAsia" w:ascii="Times New Roman" w:hAnsi="Times New Roman" w:cs="Times New Roman"/>
          <w:sz w:val="32"/>
          <w:szCs w:val="32"/>
        </w:rPr>
      </w:pPr>
      <w:r>
        <w:rPr>
          <w:rFonts w:hint="eastAsia" w:eastAsia="黑体"/>
          <w:sz w:val="32"/>
          <w:szCs w:val="32"/>
          <w:lang w:eastAsia="zh-CN"/>
        </w:rPr>
        <w:t>参</w:t>
      </w:r>
      <w:r>
        <w:rPr>
          <w:rFonts w:hint="eastAsia" w:eastAsia="黑体"/>
          <w:sz w:val="32"/>
          <w:szCs w:val="32"/>
          <w:lang w:val="en-US" w:eastAsia="zh-CN"/>
        </w:rPr>
        <w:t xml:space="preserve"> </w:t>
      </w:r>
      <w:r>
        <w:rPr>
          <w:rFonts w:hint="eastAsia" w:eastAsia="黑体"/>
          <w:sz w:val="32"/>
          <w:szCs w:val="32"/>
          <w:lang w:eastAsia="zh-CN"/>
        </w:rPr>
        <w:t>与</w:t>
      </w:r>
      <w:r>
        <w:rPr>
          <w:rFonts w:hint="eastAsia" w:eastAsia="黑体"/>
          <w:sz w:val="32"/>
          <w:szCs w:val="32"/>
          <w:lang w:val="en-US" w:eastAsia="zh-CN"/>
        </w:rPr>
        <w:t xml:space="preserve"> </w:t>
      </w:r>
      <w:r>
        <w:rPr>
          <w:rFonts w:hint="eastAsia" w:eastAsia="黑体"/>
          <w:sz w:val="32"/>
          <w:szCs w:val="32"/>
          <w:lang w:eastAsia="zh-CN"/>
        </w:rPr>
        <w:t>人</w:t>
      </w:r>
      <w:r>
        <w:rPr>
          <w:rFonts w:hint="eastAsia" w:eastAsia="黑体"/>
          <w:sz w:val="32"/>
          <w:szCs w:val="32"/>
          <w:lang w:val="en-US" w:eastAsia="zh-CN"/>
        </w:rPr>
        <w:t xml:space="preserve"> </w:t>
      </w:r>
      <w:r>
        <w:rPr>
          <w:rFonts w:hint="eastAsia" w:eastAsia="黑体"/>
          <w:sz w:val="32"/>
          <w:szCs w:val="32"/>
          <w:lang w:eastAsia="zh-CN"/>
        </w:rPr>
        <w:t>员</w:t>
      </w:r>
      <w:r>
        <w:rPr>
          <w:rFonts w:ascii="Times New Roman" w:hAnsi="Times New Roman" w:eastAsia="黑体"/>
          <w:sz w:val="32"/>
          <w:szCs w:val="32"/>
        </w:rPr>
        <w:t>：</w:t>
      </w:r>
      <w:r>
        <w:rPr>
          <w:rFonts w:hint="eastAsia" w:ascii="Times New Roman" w:hAnsi="Times New Roman" w:cs="Times New Roman"/>
          <w:sz w:val="32"/>
          <w:szCs w:val="32"/>
          <w:lang w:val="en-US" w:eastAsia="zh-CN"/>
        </w:rPr>
        <w:t>李明生</w:t>
      </w:r>
      <w:r>
        <w:rPr>
          <w:rFonts w:hint="eastAsia" w:ascii="Times New Roman" w:hAnsi="Times New Roman" w:cs="Times New Roman"/>
          <w:sz w:val="32"/>
          <w:szCs w:val="32"/>
        </w:rPr>
        <w:t xml:space="preserve">  </w:t>
      </w:r>
      <w:r>
        <w:rPr>
          <w:rFonts w:hint="eastAsia" w:ascii="Times New Roman" w:hAnsi="Times New Roman" w:cs="Times New Roman"/>
          <w:sz w:val="32"/>
          <w:szCs w:val="32"/>
          <w:lang w:eastAsia="zh-CN"/>
        </w:rPr>
        <w:t>张勇</w:t>
      </w:r>
      <w:r>
        <w:rPr>
          <w:rFonts w:hint="eastAsia" w:ascii="Times New Roman" w:hAnsi="Times New Roman" w:cs="Times New Roman"/>
          <w:sz w:val="32"/>
          <w:szCs w:val="32"/>
        </w:rPr>
        <w:t xml:space="preserve">  </w:t>
      </w:r>
    </w:p>
    <w:p>
      <w:pPr>
        <w:pStyle w:val="65"/>
        <w:keepNext w:val="0"/>
        <w:keepLines w:val="0"/>
        <w:pageBreakBefore w:val="0"/>
        <w:widowControl w:val="0"/>
        <w:kinsoku/>
        <w:wordWrap/>
        <w:overflowPunct/>
        <w:topLinePunct w:val="0"/>
        <w:autoSpaceDE/>
        <w:autoSpaceDN/>
        <w:bidi w:val="0"/>
        <w:adjustRightInd/>
        <w:snapToGrid/>
        <w:spacing w:beforeLines="50" w:afterLines="50" w:line="360" w:lineRule="auto"/>
        <w:ind w:left="0" w:leftChars="0" w:firstLine="3840" w:firstLineChars="1200"/>
        <w:textAlignment w:val="auto"/>
        <w:rPr>
          <w:rFonts w:hint="eastAsia"/>
          <w:lang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32"/>
          <w:szCs w:val="32"/>
        </w:rPr>
        <w:t>张  哲</w:t>
      </w:r>
      <w:r>
        <w:rPr>
          <w:rFonts w:hint="eastAsia" w:ascii="Times New Roman" w:hAnsi="Times New Roman" w:eastAsia="楷体_GB2312"/>
          <w:sz w:val="32"/>
          <w:szCs w:val="32"/>
        </w:rPr>
        <w:t xml:space="preserve"> </w:t>
      </w:r>
      <w:r>
        <w:rPr>
          <w:rFonts w:hint="eastAsia"/>
          <w:sz w:val="32"/>
          <w:szCs w:val="32"/>
        </w:rPr>
        <w:t xml:space="preserve"> </w:t>
      </w:r>
      <w:r>
        <w:rPr>
          <w:rFonts w:hint="eastAsia"/>
          <w:sz w:val="32"/>
          <w:szCs w:val="32"/>
          <w:lang w:eastAsia="zh-CN"/>
        </w:rPr>
        <w:t>张海</w:t>
      </w:r>
      <w:r>
        <w:rPr>
          <w:rFonts w:hint="eastAsia"/>
          <w:sz w:val="32"/>
          <w:szCs w:val="32"/>
          <w:lang w:val="en-US" w:eastAsia="zh-CN"/>
        </w:rPr>
        <w:t>业</w:t>
      </w:r>
      <w:r>
        <w:rPr>
          <w:rFonts w:hint="eastAsia" w:ascii="Times New Roman" w:hAnsi="Times New Roman" w:cs="Times New Roman"/>
          <w:sz w:val="32"/>
          <w:szCs w:val="32"/>
        </w:rPr>
        <w:t xml:space="preserve">  </w:t>
      </w:r>
      <w:r>
        <w:rPr>
          <w:rFonts w:hint="eastAsia" w:ascii="Times New Roman" w:hAnsi="Times New Roman" w:cs="Times New Roman"/>
          <w:sz w:val="32"/>
          <w:szCs w:val="32"/>
          <w:lang w:eastAsia="zh-CN"/>
        </w:rPr>
        <w:t>黄能凯</w:t>
      </w:r>
    </w:p>
    <w:sdt>
      <w:sdtPr>
        <w:rPr>
          <w:rFonts w:ascii="宋体" w:hAnsi="宋体" w:eastAsia="宋体" w:cs="Times New Roman"/>
          <w:b/>
          <w:bCs/>
          <w:sz w:val="44"/>
          <w:szCs w:val="44"/>
          <w:lang w:val="en-US" w:eastAsia="zh-CN" w:bidi="ar-SA"/>
        </w:rPr>
        <w:id w:val="147468834"/>
        <w15:color w:val="DBDBDB"/>
        <w:docPartObj>
          <w:docPartGallery w:val="Table of Contents"/>
          <w:docPartUnique/>
        </w:docPartObj>
      </w:sdtPr>
      <w:sdtEndPr>
        <w:rPr>
          <w:rFonts w:ascii="宋体" w:hAnsi="宋体" w:eastAsia="宋体" w:cs="Times New Roman"/>
          <w:b/>
          <w:bCs/>
          <w:sz w:val="44"/>
          <w:szCs w:val="4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25"/>
            <w:tabs>
              <w:tab w:val="right" w:leader="dot" w:pos="8312"/>
            </w:tabs>
          </w:pPr>
          <w:r>
            <w:fldChar w:fldCharType="begin"/>
          </w:r>
          <w:r>
            <w:instrText xml:space="preserve">TOC \o "1-2" \h \u </w:instrText>
          </w:r>
          <w:r>
            <w:fldChar w:fldCharType="separate"/>
          </w:r>
        </w:p>
        <w:p>
          <w:pPr>
            <w:pStyle w:val="25"/>
            <w:tabs>
              <w:tab w:val="right" w:leader="dot" w:pos="8312"/>
            </w:tabs>
          </w:pPr>
          <w:r>
            <w:fldChar w:fldCharType="begin"/>
          </w:r>
          <w:r>
            <w:instrText xml:space="preserve"> HYPERLINK \l _Toc23777 </w:instrText>
          </w:r>
          <w:r>
            <w:fldChar w:fldCharType="separate"/>
          </w:r>
          <w:r>
            <w:rPr>
              <w:rFonts w:hint="eastAsia" w:ascii="宋体" w:hAnsi="宋体" w:cs="宋体"/>
              <w:bCs w:val="0"/>
              <w:szCs w:val="36"/>
              <w:lang w:eastAsia="zh-CN"/>
            </w:rPr>
            <w:t>第一章</w:t>
          </w:r>
          <w:r>
            <w:rPr>
              <w:rFonts w:hint="eastAsia" w:ascii="宋体" w:hAnsi="宋体" w:cs="宋体"/>
              <w:bCs w:val="0"/>
              <w:szCs w:val="36"/>
              <w:lang w:val="en-US" w:eastAsia="zh-CN"/>
            </w:rPr>
            <w:t xml:space="preserve"> </w:t>
          </w:r>
          <w:r>
            <w:rPr>
              <w:rFonts w:hint="eastAsia" w:ascii="宋体" w:hAnsi="宋体" w:eastAsia="宋体" w:cs="宋体"/>
              <w:bCs w:val="0"/>
              <w:szCs w:val="36"/>
            </w:rPr>
            <w:t>基本情况</w:t>
          </w:r>
          <w:r>
            <w:tab/>
          </w:r>
          <w:r>
            <w:fldChar w:fldCharType="begin"/>
          </w:r>
          <w:r>
            <w:instrText xml:space="preserve"> PAGEREF _Toc23777 \h </w:instrText>
          </w:r>
          <w:r>
            <w:fldChar w:fldCharType="separate"/>
          </w:r>
          <w:r>
            <w:t>1</w:t>
          </w:r>
          <w:r>
            <w:fldChar w:fldCharType="end"/>
          </w:r>
          <w:r>
            <w:fldChar w:fldCharType="end"/>
          </w:r>
        </w:p>
        <w:p>
          <w:pPr>
            <w:pStyle w:val="26"/>
            <w:tabs>
              <w:tab w:val="right" w:leader="dot" w:pos="8312"/>
            </w:tabs>
          </w:pPr>
          <w:r>
            <w:fldChar w:fldCharType="begin"/>
          </w:r>
          <w:r>
            <w:instrText xml:space="preserve"> HYPERLINK \l _Toc25308 </w:instrText>
          </w:r>
          <w:r>
            <w:fldChar w:fldCharType="separate"/>
          </w:r>
          <w:r>
            <w:rPr>
              <w:rFonts w:hint="eastAsia" w:ascii="Times New Roman" w:hAnsi="Times New Roman" w:cs="Times New Roman"/>
              <w:bCs/>
              <w:kern w:val="2"/>
              <w:szCs w:val="24"/>
              <w:lang w:val="en-US" w:eastAsia="zh-CN"/>
            </w:rPr>
            <w:t>1.1 流域概况</w:t>
          </w:r>
          <w:r>
            <w:tab/>
          </w:r>
          <w:r>
            <w:fldChar w:fldCharType="begin"/>
          </w:r>
          <w:r>
            <w:instrText xml:space="preserve"> PAGEREF _Toc25308 \h </w:instrText>
          </w:r>
          <w:r>
            <w:fldChar w:fldCharType="separate"/>
          </w:r>
          <w:r>
            <w:t>1</w:t>
          </w:r>
          <w:r>
            <w:fldChar w:fldCharType="end"/>
          </w:r>
          <w:r>
            <w:fldChar w:fldCharType="end"/>
          </w:r>
        </w:p>
        <w:p>
          <w:pPr>
            <w:pStyle w:val="26"/>
            <w:tabs>
              <w:tab w:val="right" w:leader="dot" w:pos="8312"/>
            </w:tabs>
          </w:pPr>
          <w:r>
            <w:fldChar w:fldCharType="begin"/>
          </w:r>
          <w:r>
            <w:instrText xml:space="preserve"> HYPERLINK \l _Toc19145 </w:instrText>
          </w:r>
          <w:r>
            <w:fldChar w:fldCharType="separate"/>
          </w:r>
          <w:r>
            <w:rPr>
              <w:rFonts w:hint="eastAsia" w:ascii="Times New Roman" w:hAnsi="Times New Roman" w:cs="Times New Roman"/>
              <w:bCs/>
              <w:kern w:val="2"/>
              <w:szCs w:val="24"/>
              <w:lang w:val="en-US" w:eastAsia="zh-CN"/>
            </w:rPr>
            <w:t>1.2 河流规划及建设情况</w:t>
          </w:r>
          <w:r>
            <w:tab/>
          </w:r>
          <w:r>
            <w:fldChar w:fldCharType="begin"/>
          </w:r>
          <w:r>
            <w:instrText xml:space="preserve"> PAGEREF _Toc19145 \h </w:instrText>
          </w:r>
          <w:r>
            <w:fldChar w:fldCharType="separate"/>
          </w:r>
          <w:r>
            <w:t>12</w:t>
          </w:r>
          <w:r>
            <w:fldChar w:fldCharType="end"/>
          </w:r>
          <w:r>
            <w:fldChar w:fldCharType="end"/>
          </w:r>
        </w:p>
        <w:p>
          <w:pPr>
            <w:pStyle w:val="26"/>
            <w:tabs>
              <w:tab w:val="right" w:leader="dot" w:pos="8312"/>
            </w:tabs>
          </w:pPr>
          <w:r>
            <w:fldChar w:fldCharType="begin"/>
          </w:r>
          <w:r>
            <w:instrText xml:space="preserve"> HYPERLINK \l _Toc19545 </w:instrText>
          </w:r>
          <w:r>
            <w:fldChar w:fldCharType="separate"/>
          </w:r>
          <w:r>
            <w:rPr>
              <w:rFonts w:hint="eastAsia" w:ascii="Times New Roman" w:hAnsi="Times New Roman" w:cs="Times New Roman"/>
              <w:bCs/>
              <w:kern w:val="2"/>
              <w:szCs w:val="24"/>
              <w:lang w:val="en-US" w:eastAsia="zh-CN"/>
            </w:rPr>
            <w:t>1.3 经济社会概况</w:t>
          </w:r>
          <w:r>
            <w:tab/>
          </w:r>
          <w:r>
            <w:fldChar w:fldCharType="begin"/>
          </w:r>
          <w:r>
            <w:instrText xml:space="preserve"> PAGEREF _Toc19545 \h </w:instrText>
          </w:r>
          <w:r>
            <w:fldChar w:fldCharType="separate"/>
          </w:r>
          <w:r>
            <w:t>18</w:t>
          </w:r>
          <w:r>
            <w:fldChar w:fldCharType="end"/>
          </w:r>
          <w:r>
            <w:fldChar w:fldCharType="end"/>
          </w:r>
        </w:p>
        <w:p>
          <w:pPr>
            <w:pStyle w:val="26"/>
            <w:tabs>
              <w:tab w:val="right" w:leader="dot" w:pos="8312"/>
            </w:tabs>
          </w:pPr>
          <w:r>
            <w:fldChar w:fldCharType="begin"/>
          </w:r>
          <w:r>
            <w:instrText xml:space="preserve"> HYPERLINK \l _Toc26317 </w:instrText>
          </w:r>
          <w:r>
            <w:fldChar w:fldCharType="separate"/>
          </w:r>
          <w:r>
            <w:rPr>
              <w:rFonts w:hint="eastAsia" w:ascii="Times New Roman" w:hAnsi="Times New Roman" w:cs="Times New Roman"/>
              <w:bCs/>
              <w:kern w:val="2"/>
              <w:szCs w:val="24"/>
              <w:lang w:val="en-US" w:eastAsia="zh-CN"/>
            </w:rPr>
            <w:t>1.4 水资源开发利用现状及存在的主要问题</w:t>
          </w:r>
          <w:r>
            <w:tab/>
          </w:r>
          <w:r>
            <w:fldChar w:fldCharType="begin"/>
          </w:r>
          <w:r>
            <w:instrText xml:space="preserve"> PAGEREF _Toc26317 \h </w:instrText>
          </w:r>
          <w:r>
            <w:fldChar w:fldCharType="separate"/>
          </w:r>
          <w:r>
            <w:t>19</w:t>
          </w:r>
          <w:r>
            <w:fldChar w:fldCharType="end"/>
          </w:r>
          <w:r>
            <w:fldChar w:fldCharType="end"/>
          </w:r>
        </w:p>
        <w:p>
          <w:pPr>
            <w:pStyle w:val="26"/>
            <w:tabs>
              <w:tab w:val="right" w:leader="dot" w:pos="8312"/>
            </w:tabs>
          </w:pPr>
          <w:r>
            <w:fldChar w:fldCharType="begin"/>
          </w:r>
          <w:r>
            <w:instrText xml:space="preserve"> HYPERLINK \l _Toc6260 </w:instrText>
          </w:r>
          <w:r>
            <w:fldChar w:fldCharType="separate"/>
          </w:r>
          <w:r>
            <w:rPr>
              <w:rFonts w:hint="eastAsia" w:ascii="Times New Roman" w:hAnsi="Times New Roman" w:cs="Times New Roman"/>
              <w:bCs/>
              <w:kern w:val="2"/>
              <w:szCs w:val="24"/>
              <w:lang w:val="en-US" w:eastAsia="zh-CN"/>
            </w:rPr>
            <w:t>1.5 河湖健康评价工作概况</w:t>
          </w:r>
          <w:r>
            <w:tab/>
          </w:r>
          <w:r>
            <w:fldChar w:fldCharType="begin"/>
          </w:r>
          <w:r>
            <w:instrText xml:space="preserve"> PAGEREF _Toc6260 \h </w:instrText>
          </w:r>
          <w:r>
            <w:fldChar w:fldCharType="separate"/>
          </w:r>
          <w:r>
            <w:t>20</w:t>
          </w:r>
          <w:r>
            <w:fldChar w:fldCharType="end"/>
          </w:r>
          <w:r>
            <w:fldChar w:fldCharType="end"/>
          </w:r>
        </w:p>
        <w:p>
          <w:pPr>
            <w:pStyle w:val="25"/>
            <w:tabs>
              <w:tab w:val="right" w:leader="dot" w:pos="8312"/>
            </w:tabs>
          </w:pPr>
          <w:r>
            <w:fldChar w:fldCharType="begin"/>
          </w:r>
          <w:r>
            <w:instrText xml:space="preserve"> HYPERLINK \l _Toc9516 </w:instrText>
          </w:r>
          <w:r>
            <w:fldChar w:fldCharType="separate"/>
          </w:r>
          <w:r>
            <w:rPr>
              <w:rFonts w:hint="eastAsia" w:ascii="宋体" w:hAnsi="宋体" w:eastAsia="宋体" w:cs="宋体"/>
              <w:bCs w:val="0"/>
              <w:szCs w:val="36"/>
              <w:lang w:eastAsia="zh-CN"/>
            </w:rPr>
            <w:t>第二章</w:t>
          </w:r>
          <w:r>
            <w:rPr>
              <w:rFonts w:hint="eastAsia" w:ascii="宋体" w:hAnsi="宋体" w:eastAsia="宋体" w:cs="宋体"/>
              <w:bCs w:val="0"/>
              <w:szCs w:val="36"/>
              <w:lang w:val="en-US" w:eastAsia="zh-CN"/>
            </w:rPr>
            <w:t xml:space="preserve"> </w:t>
          </w:r>
          <w:r>
            <w:rPr>
              <w:rFonts w:hint="eastAsia" w:ascii="宋体" w:hAnsi="宋体" w:eastAsia="宋体" w:cs="宋体"/>
              <w:bCs w:val="0"/>
              <w:szCs w:val="36"/>
            </w:rPr>
            <w:t>湖健康评价方案</w:t>
          </w:r>
          <w:r>
            <w:tab/>
          </w:r>
          <w:r>
            <w:fldChar w:fldCharType="begin"/>
          </w:r>
          <w:r>
            <w:instrText xml:space="preserve"> PAGEREF _Toc9516 \h </w:instrText>
          </w:r>
          <w:r>
            <w:fldChar w:fldCharType="separate"/>
          </w:r>
          <w:r>
            <w:t>22</w:t>
          </w:r>
          <w:r>
            <w:fldChar w:fldCharType="end"/>
          </w:r>
          <w:r>
            <w:fldChar w:fldCharType="end"/>
          </w:r>
        </w:p>
        <w:p>
          <w:pPr>
            <w:pStyle w:val="26"/>
            <w:tabs>
              <w:tab w:val="right" w:leader="dot" w:pos="8312"/>
            </w:tabs>
          </w:pPr>
          <w:r>
            <w:fldChar w:fldCharType="begin"/>
          </w:r>
          <w:r>
            <w:instrText xml:space="preserve"> HYPERLINK \l _Toc27633 </w:instrText>
          </w:r>
          <w:r>
            <w:fldChar w:fldCharType="separate"/>
          </w:r>
          <w:r>
            <w:rPr>
              <w:rFonts w:hint="eastAsia" w:ascii="Times New Roman" w:hAnsi="Times New Roman" w:cs="Times New Roman"/>
              <w:bCs/>
              <w:kern w:val="2"/>
              <w:szCs w:val="24"/>
              <w:lang w:val="en-US" w:eastAsia="zh-CN"/>
            </w:rPr>
            <w:t>2.1 评价范围</w:t>
          </w:r>
          <w:r>
            <w:tab/>
          </w:r>
          <w:r>
            <w:fldChar w:fldCharType="begin"/>
          </w:r>
          <w:r>
            <w:instrText xml:space="preserve"> PAGEREF _Toc27633 \h </w:instrText>
          </w:r>
          <w:r>
            <w:fldChar w:fldCharType="separate"/>
          </w:r>
          <w:r>
            <w:t>22</w:t>
          </w:r>
          <w:r>
            <w:fldChar w:fldCharType="end"/>
          </w:r>
          <w:r>
            <w:fldChar w:fldCharType="end"/>
          </w:r>
        </w:p>
        <w:p>
          <w:pPr>
            <w:pStyle w:val="26"/>
            <w:tabs>
              <w:tab w:val="right" w:leader="dot" w:pos="8312"/>
            </w:tabs>
          </w:pPr>
          <w:r>
            <w:fldChar w:fldCharType="begin"/>
          </w:r>
          <w:r>
            <w:instrText xml:space="preserve"> HYPERLINK \l _Toc6923 </w:instrText>
          </w:r>
          <w:r>
            <w:fldChar w:fldCharType="separate"/>
          </w:r>
          <w:r>
            <w:rPr>
              <w:rFonts w:hint="eastAsia" w:ascii="Times New Roman" w:hAnsi="Times New Roman" w:cs="Times New Roman"/>
              <w:bCs/>
              <w:kern w:val="2"/>
              <w:szCs w:val="24"/>
              <w:lang w:val="en-US" w:eastAsia="zh-CN"/>
            </w:rPr>
            <w:t>2.2 评价对象主要特征</w:t>
          </w:r>
          <w:r>
            <w:tab/>
          </w:r>
          <w:r>
            <w:fldChar w:fldCharType="begin"/>
          </w:r>
          <w:r>
            <w:instrText xml:space="preserve"> PAGEREF _Toc6923 \h </w:instrText>
          </w:r>
          <w:r>
            <w:fldChar w:fldCharType="separate"/>
          </w:r>
          <w:r>
            <w:t>22</w:t>
          </w:r>
          <w:r>
            <w:fldChar w:fldCharType="end"/>
          </w:r>
          <w:r>
            <w:fldChar w:fldCharType="end"/>
          </w:r>
        </w:p>
        <w:p>
          <w:pPr>
            <w:pStyle w:val="26"/>
            <w:tabs>
              <w:tab w:val="right" w:leader="dot" w:pos="8312"/>
            </w:tabs>
          </w:pPr>
          <w:r>
            <w:fldChar w:fldCharType="begin"/>
          </w:r>
          <w:r>
            <w:instrText xml:space="preserve"> HYPERLINK \l _Toc25840 </w:instrText>
          </w:r>
          <w:r>
            <w:fldChar w:fldCharType="separate"/>
          </w:r>
          <w:r>
            <w:rPr>
              <w:rFonts w:hint="eastAsia" w:ascii="Times New Roman" w:hAnsi="Times New Roman" w:cs="Times New Roman"/>
              <w:bCs/>
              <w:kern w:val="2"/>
              <w:szCs w:val="24"/>
              <w:lang w:val="en-US" w:eastAsia="zh-CN"/>
            </w:rPr>
            <w:t>2.3 评价指标体系</w:t>
          </w:r>
          <w:r>
            <w:tab/>
          </w:r>
          <w:r>
            <w:fldChar w:fldCharType="begin"/>
          </w:r>
          <w:r>
            <w:instrText xml:space="preserve"> PAGEREF _Toc25840 \h </w:instrText>
          </w:r>
          <w:r>
            <w:fldChar w:fldCharType="separate"/>
          </w:r>
          <w:r>
            <w:t>22</w:t>
          </w:r>
          <w:r>
            <w:fldChar w:fldCharType="end"/>
          </w:r>
          <w:r>
            <w:fldChar w:fldCharType="end"/>
          </w:r>
        </w:p>
        <w:p>
          <w:pPr>
            <w:pStyle w:val="26"/>
            <w:tabs>
              <w:tab w:val="right" w:leader="dot" w:pos="8312"/>
            </w:tabs>
          </w:pPr>
          <w:r>
            <w:fldChar w:fldCharType="begin"/>
          </w:r>
          <w:r>
            <w:instrText xml:space="preserve"> HYPERLINK \l _Toc7511 </w:instrText>
          </w:r>
          <w:r>
            <w:fldChar w:fldCharType="separate"/>
          </w:r>
          <w:r>
            <w:rPr>
              <w:rFonts w:hint="eastAsia" w:ascii="Times New Roman" w:hAnsi="Times New Roman" w:cs="Times New Roman"/>
              <w:bCs/>
              <w:kern w:val="2"/>
              <w:szCs w:val="24"/>
              <w:lang w:val="en-US" w:eastAsia="zh-CN"/>
            </w:rPr>
            <w:t>2.4 分级标准</w:t>
          </w:r>
          <w:r>
            <w:tab/>
          </w:r>
          <w:r>
            <w:fldChar w:fldCharType="begin"/>
          </w:r>
          <w:r>
            <w:instrText xml:space="preserve"> PAGEREF _Toc7511 \h </w:instrText>
          </w:r>
          <w:r>
            <w:fldChar w:fldCharType="separate"/>
          </w:r>
          <w:r>
            <w:t>23</w:t>
          </w:r>
          <w:r>
            <w:fldChar w:fldCharType="end"/>
          </w:r>
          <w:r>
            <w:fldChar w:fldCharType="end"/>
          </w:r>
        </w:p>
        <w:p>
          <w:pPr>
            <w:pStyle w:val="26"/>
            <w:tabs>
              <w:tab w:val="right" w:leader="dot" w:pos="8312"/>
            </w:tabs>
          </w:pPr>
          <w:r>
            <w:fldChar w:fldCharType="begin"/>
          </w:r>
          <w:r>
            <w:instrText xml:space="preserve"> HYPERLINK \l _Toc7887 </w:instrText>
          </w:r>
          <w:r>
            <w:fldChar w:fldCharType="separate"/>
          </w:r>
          <w:r>
            <w:rPr>
              <w:rFonts w:hint="eastAsia" w:ascii="Times New Roman" w:hAnsi="Times New Roman" w:cs="Times New Roman"/>
              <w:bCs/>
              <w:kern w:val="2"/>
              <w:szCs w:val="24"/>
              <w:lang w:val="en-US" w:eastAsia="zh-CN"/>
            </w:rPr>
            <w:t>2.</w:t>
          </w:r>
          <w:r>
            <w:rPr>
              <w:rFonts w:hint="eastAsia" w:cs="Times New Roman"/>
              <w:bCs/>
              <w:kern w:val="2"/>
              <w:szCs w:val="24"/>
              <w:lang w:val="en-US" w:eastAsia="zh-CN"/>
            </w:rPr>
            <w:t>5</w:t>
          </w:r>
          <w:r>
            <w:rPr>
              <w:rFonts w:hint="eastAsia" w:ascii="Times New Roman" w:hAnsi="Times New Roman" w:cs="Times New Roman"/>
              <w:bCs/>
              <w:kern w:val="2"/>
              <w:szCs w:val="24"/>
              <w:lang w:val="en-US" w:eastAsia="zh-CN"/>
            </w:rPr>
            <w:t xml:space="preserve"> 评价标准与评价方法</w:t>
          </w:r>
          <w:r>
            <w:tab/>
          </w:r>
          <w:r>
            <w:fldChar w:fldCharType="begin"/>
          </w:r>
          <w:r>
            <w:instrText xml:space="preserve"> PAGEREF _Toc7887 \h </w:instrText>
          </w:r>
          <w:r>
            <w:fldChar w:fldCharType="separate"/>
          </w:r>
          <w:r>
            <w:t>23</w:t>
          </w:r>
          <w:r>
            <w:fldChar w:fldCharType="end"/>
          </w:r>
          <w:r>
            <w:fldChar w:fldCharType="end"/>
          </w:r>
        </w:p>
        <w:p>
          <w:pPr>
            <w:pStyle w:val="25"/>
            <w:tabs>
              <w:tab w:val="right" w:leader="dot" w:pos="8312"/>
            </w:tabs>
          </w:pPr>
          <w:r>
            <w:fldChar w:fldCharType="begin"/>
          </w:r>
          <w:r>
            <w:instrText xml:space="preserve"> HYPERLINK \l _Toc5009 </w:instrText>
          </w:r>
          <w:r>
            <w:fldChar w:fldCharType="separate"/>
          </w:r>
          <w:r>
            <w:rPr>
              <w:rFonts w:hint="eastAsia" w:ascii="宋体" w:hAnsi="宋体" w:eastAsia="宋体" w:cs="宋体"/>
              <w:bCs w:val="0"/>
              <w:szCs w:val="36"/>
              <w:lang w:eastAsia="zh-CN"/>
            </w:rPr>
            <w:t>第三章</w:t>
          </w:r>
          <w:r>
            <w:rPr>
              <w:rFonts w:hint="eastAsia" w:ascii="宋体" w:hAnsi="宋体" w:eastAsia="宋体" w:cs="宋体"/>
              <w:bCs w:val="0"/>
              <w:szCs w:val="36"/>
              <w:lang w:val="en-US" w:eastAsia="zh-CN"/>
            </w:rPr>
            <w:t xml:space="preserve"> </w:t>
          </w:r>
          <w:r>
            <w:rPr>
              <w:rFonts w:hint="eastAsia" w:ascii="宋体" w:hAnsi="宋体" w:eastAsia="宋体" w:cs="宋体"/>
              <w:bCs w:val="0"/>
              <w:szCs w:val="36"/>
              <w:lang w:eastAsia="zh-CN"/>
            </w:rPr>
            <w:t>河湖健康调查监测</w:t>
          </w:r>
          <w:r>
            <w:tab/>
          </w:r>
          <w:r>
            <w:fldChar w:fldCharType="begin"/>
          </w:r>
          <w:r>
            <w:instrText xml:space="preserve"> PAGEREF _Toc5009 \h </w:instrText>
          </w:r>
          <w:r>
            <w:fldChar w:fldCharType="separate"/>
          </w:r>
          <w:r>
            <w:t>30</w:t>
          </w:r>
          <w:r>
            <w:fldChar w:fldCharType="end"/>
          </w:r>
          <w:r>
            <w:fldChar w:fldCharType="end"/>
          </w:r>
        </w:p>
        <w:p>
          <w:pPr>
            <w:pStyle w:val="26"/>
            <w:tabs>
              <w:tab w:val="right" w:leader="dot" w:pos="8312"/>
            </w:tabs>
          </w:pPr>
          <w:r>
            <w:fldChar w:fldCharType="begin"/>
          </w:r>
          <w:r>
            <w:instrText xml:space="preserve"> HYPERLINK \l _Toc7740 </w:instrText>
          </w:r>
          <w:r>
            <w:fldChar w:fldCharType="separate"/>
          </w:r>
          <w:r>
            <w:rPr>
              <w:rFonts w:hint="eastAsia" w:ascii="Times New Roman" w:hAnsi="Times New Roman" w:cs="Times New Roman"/>
              <w:bCs/>
              <w:kern w:val="2"/>
              <w:szCs w:val="24"/>
              <w:lang w:val="en-US" w:eastAsia="zh-CN"/>
            </w:rPr>
            <w:t>3.1 调查监测方案</w:t>
          </w:r>
          <w:r>
            <w:tab/>
          </w:r>
          <w:r>
            <w:fldChar w:fldCharType="begin"/>
          </w:r>
          <w:r>
            <w:instrText xml:space="preserve"> PAGEREF _Toc7740 \h </w:instrText>
          </w:r>
          <w:r>
            <w:fldChar w:fldCharType="separate"/>
          </w:r>
          <w:r>
            <w:t>30</w:t>
          </w:r>
          <w:r>
            <w:fldChar w:fldCharType="end"/>
          </w:r>
          <w:r>
            <w:fldChar w:fldCharType="end"/>
          </w:r>
        </w:p>
        <w:p>
          <w:pPr>
            <w:pStyle w:val="26"/>
            <w:tabs>
              <w:tab w:val="right" w:leader="dot" w:pos="8312"/>
            </w:tabs>
          </w:pPr>
          <w:r>
            <w:fldChar w:fldCharType="begin"/>
          </w:r>
          <w:r>
            <w:instrText xml:space="preserve"> HYPERLINK \l _Toc1559 </w:instrText>
          </w:r>
          <w:r>
            <w:fldChar w:fldCharType="separate"/>
          </w:r>
          <w:r>
            <w:rPr>
              <w:rFonts w:hint="eastAsia" w:ascii="宋体" w:hAnsi="宋体" w:cs="宋体"/>
              <w:bCs/>
              <w:kern w:val="2"/>
              <w:szCs w:val="24"/>
              <w:lang w:val="en-US" w:eastAsia="zh-CN"/>
            </w:rPr>
            <w:t>3.2 代表点位或断面的选择</w:t>
          </w:r>
          <w:r>
            <w:tab/>
          </w:r>
          <w:r>
            <w:fldChar w:fldCharType="begin"/>
          </w:r>
          <w:r>
            <w:instrText xml:space="preserve"> PAGEREF _Toc1559 \h </w:instrText>
          </w:r>
          <w:r>
            <w:fldChar w:fldCharType="separate"/>
          </w:r>
          <w:r>
            <w:t>38</w:t>
          </w:r>
          <w:r>
            <w:fldChar w:fldCharType="end"/>
          </w:r>
          <w:r>
            <w:fldChar w:fldCharType="end"/>
          </w:r>
        </w:p>
        <w:p>
          <w:pPr>
            <w:pStyle w:val="26"/>
            <w:tabs>
              <w:tab w:val="right" w:leader="dot" w:pos="8312"/>
            </w:tabs>
          </w:pPr>
          <w:r>
            <w:fldChar w:fldCharType="begin"/>
          </w:r>
          <w:r>
            <w:instrText xml:space="preserve"> HYPERLINK \l _Toc11999 </w:instrText>
          </w:r>
          <w:r>
            <w:fldChar w:fldCharType="separate"/>
          </w:r>
          <w:r>
            <w:rPr>
              <w:rFonts w:hint="eastAsia" w:ascii="宋体" w:hAnsi="宋体" w:cs="宋体"/>
              <w:bCs/>
              <w:kern w:val="2"/>
              <w:szCs w:val="24"/>
              <w:lang w:val="en-US" w:eastAsia="zh-CN"/>
            </w:rPr>
            <w:t>3.3 监测方法</w:t>
          </w:r>
          <w:r>
            <w:tab/>
          </w:r>
          <w:r>
            <w:fldChar w:fldCharType="begin"/>
          </w:r>
          <w:r>
            <w:instrText xml:space="preserve"> PAGEREF _Toc11999 \h </w:instrText>
          </w:r>
          <w:r>
            <w:fldChar w:fldCharType="separate"/>
          </w:r>
          <w:r>
            <w:t>41</w:t>
          </w:r>
          <w:r>
            <w:fldChar w:fldCharType="end"/>
          </w:r>
          <w:r>
            <w:fldChar w:fldCharType="end"/>
          </w:r>
        </w:p>
        <w:p>
          <w:pPr>
            <w:pStyle w:val="26"/>
            <w:tabs>
              <w:tab w:val="right" w:leader="dot" w:pos="8312"/>
            </w:tabs>
          </w:pPr>
          <w:r>
            <w:fldChar w:fldCharType="begin"/>
          </w:r>
          <w:r>
            <w:instrText xml:space="preserve"> HYPERLINK \l _Toc27566 </w:instrText>
          </w:r>
          <w:r>
            <w:fldChar w:fldCharType="separate"/>
          </w:r>
          <w:r>
            <w:rPr>
              <w:rFonts w:hint="eastAsia" w:ascii="宋体" w:hAnsi="宋体" w:cs="宋体"/>
              <w:bCs/>
              <w:kern w:val="2"/>
              <w:szCs w:val="24"/>
              <w:lang w:val="en-US" w:eastAsia="zh-CN"/>
            </w:rPr>
            <w:t>3.4 监测成果评价</w:t>
          </w:r>
          <w:r>
            <w:tab/>
          </w:r>
          <w:r>
            <w:fldChar w:fldCharType="begin"/>
          </w:r>
          <w:r>
            <w:instrText xml:space="preserve"> PAGEREF _Toc27566 \h </w:instrText>
          </w:r>
          <w:r>
            <w:fldChar w:fldCharType="separate"/>
          </w:r>
          <w:r>
            <w:t>44</w:t>
          </w:r>
          <w:r>
            <w:fldChar w:fldCharType="end"/>
          </w:r>
          <w:r>
            <w:fldChar w:fldCharType="end"/>
          </w:r>
        </w:p>
        <w:p>
          <w:pPr>
            <w:pStyle w:val="25"/>
            <w:tabs>
              <w:tab w:val="right" w:leader="dot" w:pos="8312"/>
            </w:tabs>
          </w:pPr>
          <w:r>
            <w:fldChar w:fldCharType="begin"/>
          </w:r>
          <w:r>
            <w:instrText xml:space="preserve"> HYPERLINK \l _Toc18236 </w:instrText>
          </w:r>
          <w:r>
            <w:fldChar w:fldCharType="separate"/>
          </w:r>
          <w:r>
            <w:rPr>
              <w:rFonts w:hint="eastAsia" w:ascii="宋体" w:hAnsi="宋体" w:eastAsia="宋体" w:cs="宋体"/>
              <w:bCs w:val="0"/>
              <w:szCs w:val="36"/>
              <w:lang w:eastAsia="zh-CN"/>
            </w:rPr>
            <w:t>第四章 河湖健康评价结果</w:t>
          </w:r>
          <w:r>
            <w:tab/>
          </w:r>
          <w:r>
            <w:fldChar w:fldCharType="begin"/>
          </w:r>
          <w:r>
            <w:instrText xml:space="preserve"> PAGEREF _Toc18236 \h </w:instrText>
          </w:r>
          <w:r>
            <w:fldChar w:fldCharType="separate"/>
          </w:r>
          <w:r>
            <w:t>45</w:t>
          </w:r>
          <w:r>
            <w:fldChar w:fldCharType="end"/>
          </w:r>
          <w:r>
            <w:fldChar w:fldCharType="end"/>
          </w:r>
        </w:p>
        <w:p>
          <w:pPr>
            <w:pStyle w:val="26"/>
            <w:tabs>
              <w:tab w:val="right" w:leader="dot" w:pos="8312"/>
            </w:tabs>
          </w:pPr>
          <w:r>
            <w:fldChar w:fldCharType="begin"/>
          </w:r>
          <w:r>
            <w:instrText xml:space="preserve"> HYPERLINK \l _Toc6227 </w:instrText>
          </w:r>
          <w:r>
            <w:fldChar w:fldCharType="separate"/>
          </w:r>
          <w:r>
            <w:rPr>
              <w:rFonts w:hint="eastAsia" w:ascii="宋体" w:hAnsi="宋体" w:cs="宋体"/>
              <w:bCs/>
              <w:kern w:val="2"/>
              <w:szCs w:val="24"/>
              <w:lang w:val="en-US" w:eastAsia="zh-CN"/>
            </w:rPr>
            <w:t>4.1 沙溪浩自然河道评价方法与结果</w:t>
          </w:r>
          <w:r>
            <w:tab/>
          </w:r>
          <w:r>
            <w:fldChar w:fldCharType="begin"/>
          </w:r>
          <w:r>
            <w:instrText xml:space="preserve"> PAGEREF _Toc6227 \h </w:instrText>
          </w:r>
          <w:r>
            <w:fldChar w:fldCharType="separate"/>
          </w:r>
          <w:r>
            <w:t>45</w:t>
          </w:r>
          <w:r>
            <w:fldChar w:fldCharType="end"/>
          </w:r>
          <w:r>
            <w:fldChar w:fldCharType="end"/>
          </w:r>
        </w:p>
        <w:p>
          <w:pPr>
            <w:pStyle w:val="26"/>
            <w:tabs>
              <w:tab w:val="right" w:leader="dot" w:pos="8312"/>
            </w:tabs>
          </w:pPr>
          <w:r>
            <w:fldChar w:fldCharType="begin"/>
          </w:r>
          <w:r>
            <w:instrText xml:space="preserve"> HYPERLINK \l _Toc27837 </w:instrText>
          </w:r>
          <w:r>
            <w:fldChar w:fldCharType="separate"/>
          </w:r>
          <w:r>
            <w:rPr>
              <w:rFonts w:hint="eastAsia" w:ascii="宋体" w:hAnsi="宋体" w:cs="宋体"/>
              <w:bCs/>
              <w:kern w:val="2"/>
              <w:szCs w:val="24"/>
              <w:lang w:val="en-US" w:eastAsia="zh-CN"/>
            </w:rPr>
            <w:t>4.2 沙溪浩自然河道健康综合评价结论</w:t>
          </w:r>
          <w:r>
            <w:tab/>
          </w:r>
          <w:r>
            <w:fldChar w:fldCharType="begin"/>
          </w:r>
          <w:r>
            <w:instrText xml:space="preserve"> PAGEREF _Toc27837 \h </w:instrText>
          </w:r>
          <w:r>
            <w:fldChar w:fldCharType="separate"/>
          </w:r>
          <w:r>
            <w:t>59</w:t>
          </w:r>
          <w:r>
            <w:fldChar w:fldCharType="end"/>
          </w:r>
          <w:r>
            <w:fldChar w:fldCharType="end"/>
          </w:r>
        </w:p>
        <w:p>
          <w:pPr>
            <w:pStyle w:val="26"/>
            <w:tabs>
              <w:tab w:val="right" w:leader="dot" w:pos="8312"/>
            </w:tabs>
          </w:pPr>
          <w:r>
            <w:fldChar w:fldCharType="begin"/>
          </w:r>
          <w:r>
            <w:instrText xml:space="preserve"> HYPERLINK \l _Toc32670 </w:instrText>
          </w:r>
          <w:r>
            <w:fldChar w:fldCharType="separate"/>
          </w:r>
          <w:r>
            <w:rPr>
              <w:rFonts w:hint="eastAsia" w:ascii="宋体" w:hAnsi="宋体" w:eastAsia="宋体" w:cs="宋体"/>
              <w:bCs/>
              <w:kern w:val="2"/>
              <w:szCs w:val="24"/>
              <w:lang w:val="en-US" w:eastAsia="zh-CN"/>
            </w:rPr>
            <w:t>4.3 碾子沟水库评价方法与结果</w:t>
          </w:r>
          <w:r>
            <w:tab/>
          </w:r>
          <w:r>
            <w:fldChar w:fldCharType="begin"/>
          </w:r>
          <w:r>
            <w:instrText xml:space="preserve"> PAGEREF _Toc32670 \h </w:instrText>
          </w:r>
          <w:r>
            <w:fldChar w:fldCharType="separate"/>
          </w:r>
          <w:r>
            <w:t>62</w:t>
          </w:r>
          <w:r>
            <w:fldChar w:fldCharType="end"/>
          </w:r>
          <w:r>
            <w:fldChar w:fldCharType="end"/>
          </w:r>
        </w:p>
        <w:p>
          <w:pPr>
            <w:pStyle w:val="26"/>
            <w:tabs>
              <w:tab w:val="right" w:leader="dot" w:pos="8312"/>
            </w:tabs>
          </w:pPr>
          <w:r>
            <w:fldChar w:fldCharType="begin"/>
          </w:r>
          <w:r>
            <w:instrText xml:space="preserve"> HYPERLINK \l _Toc8461 </w:instrText>
          </w:r>
          <w:r>
            <w:fldChar w:fldCharType="separate"/>
          </w:r>
          <w:r>
            <w:rPr>
              <w:rFonts w:hint="eastAsia" w:ascii="宋体" w:hAnsi="宋体" w:eastAsia="宋体" w:cs="宋体"/>
              <w:bCs/>
              <w:szCs w:val="24"/>
              <w:lang w:val="en-US" w:eastAsia="zh-CN"/>
            </w:rPr>
            <w:t>4.4 大洋沟水库评价方法与结果</w:t>
          </w:r>
          <w:r>
            <w:tab/>
          </w:r>
          <w:r>
            <w:fldChar w:fldCharType="begin"/>
          </w:r>
          <w:r>
            <w:instrText xml:space="preserve"> PAGEREF _Toc8461 \h </w:instrText>
          </w:r>
          <w:r>
            <w:fldChar w:fldCharType="separate"/>
          </w:r>
          <w:r>
            <w:t>66</w:t>
          </w:r>
          <w:r>
            <w:fldChar w:fldCharType="end"/>
          </w:r>
          <w:r>
            <w:fldChar w:fldCharType="end"/>
          </w:r>
        </w:p>
        <w:p>
          <w:pPr>
            <w:pStyle w:val="26"/>
            <w:tabs>
              <w:tab w:val="right" w:leader="dot" w:pos="8312"/>
            </w:tabs>
          </w:pPr>
          <w:r>
            <w:fldChar w:fldCharType="begin"/>
          </w:r>
          <w:r>
            <w:instrText xml:space="preserve"> HYPERLINK \l _Toc20287 </w:instrText>
          </w:r>
          <w:r>
            <w:fldChar w:fldCharType="separate"/>
          </w:r>
          <w:r>
            <w:rPr>
              <w:rFonts w:hint="eastAsia" w:ascii="宋体" w:hAnsi="宋体" w:eastAsia="宋体" w:cs="宋体"/>
              <w:bCs/>
              <w:szCs w:val="24"/>
              <w:lang w:val="en-US" w:eastAsia="zh-CN"/>
            </w:rPr>
            <w:t>4.5 沙溪浩健康综合评价结论</w:t>
          </w:r>
          <w:r>
            <w:tab/>
          </w:r>
          <w:r>
            <w:fldChar w:fldCharType="begin"/>
          </w:r>
          <w:r>
            <w:instrText xml:space="preserve"> PAGEREF _Toc20287 \h </w:instrText>
          </w:r>
          <w:r>
            <w:fldChar w:fldCharType="separate"/>
          </w:r>
          <w:r>
            <w:t>70</w:t>
          </w:r>
          <w:r>
            <w:fldChar w:fldCharType="end"/>
          </w:r>
          <w:r>
            <w:fldChar w:fldCharType="end"/>
          </w:r>
        </w:p>
        <w:p>
          <w:pPr>
            <w:pStyle w:val="25"/>
            <w:tabs>
              <w:tab w:val="right" w:leader="dot" w:pos="8312"/>
            </w:tabs>
          </w:pPr>
          <w:r>
            <w:fldChar w:fldCharType="begin"/>
          </w:r>
          <w:r>
            <w:instrText xml:space="preserve"> HYPERLINK \l _Toc27419 </w:instrText>
          </w:r>
          <w:r>
            <w:fldChar w:fldCharType="separate"/>
          </w:r>
          <w:r>
            <w:rPr>
              <w:rFonts w:hint="eastAsia" w:ascii="宋体" w:hAnsi="宋体" w:eastAsia="宋体" w:cs="宋体"/>
              <w:bCs w:val="0"/>
              <w:szCs w:val="36"/>
              <w:lang w:eastAsia="zh-CN"/>
            </w:rPr>
            <w:t>第五章</w:t>
          </w:r>
          <w:r>
            <w:rPr>
              <w:rFonts w:hint="eastAsia" w:ascii="宋体" w:hAnsi="宋体" w:eastAsia="宋体" w:cs="宋体"/>
              <w:bCs w:val="0"/>
              <w:szCs w:val="36"/>
              <w:lang w:val="en-US" w:eastAsia="zh-CN"/>
            </w:rPr>
            <w:t xml:space="preserve"> </w:t>
          </w:r>
          <w:r>
            <w:rPr>
              <w:rFonts w:hint="eastAsia" w:ascii="宋体" w:hAnsi="宋体" w:eastAsia="宋体" w:cs="宋体"/>
              <w:bCs w:val="0"/>
              <w:szCs w:val="36"/>
              <w:lang w:eastAsia="zh-CN"/>
            </w:rPr>
            <w:t>河湖健康问题分析与保护对策</w:t>
          </w:r>
          <w:r>
            <w:tab/>
          </w:r>
          <w:r>
            <w:fldChar w:fldCharType="begin"/>
          </w:r>
          <w:r>
            <w:instrText xml:space="preserve"> PAGEREF _Toc27419 \h </w:instrText>
          </w:r>
          <w:r>
            <w:fldChar w:fldCharType="separate"/>
          </w:r>
          <w:r>
            <w:t>72</w:t>
          </w:r>
          <w:r>
            <w:fldChar w:fldCharType="end"/>
          </w:r>
          <w:r>
            <w:fldChar w:fldCharType="end"/>
          </w:r>
        </w:p>
        <w:p>
          <w:pPr>
            <w:pStyle w:val="26"/>
            <w:tabs>
              <w:tab w:val="right" w:leader="dot" w:pos="8312"/>
            </w:tabs>
          </w:pPr>
          <w:r>
            <w:fldChar w:fldCharType="begin"/>
          </w:r>
          <w:r>
            <w:instrText xml:space="preserve"> HYPERLINK \l _Toc19036 </w:instrText>
          </w:r>
          <w:r>
            <w:fldChar w:fldCharType="separate"/>
          </w:r>
          <w:r>
            <w:rPr>
              <w:rFonts w:hint="eastAsia" w:ascii="宋体" w:hAnsi="宋体" w:eastAsia="宋体" w:cs="宋体"/>
              <w:bCs/>
              <w:szCs w:val="24"/>
              <w:lang w:val="en-US" w:eastAsia="zh-CN"/>
            </w:rPr>
            <w:t>5.1 健康状况总体评价</w:t>
          </w:r>
          <w:r>
            <w:tab/>
          </w:r>
          <w:r>
            <w:fldChar w:fldCharType="begin"/>
          </w:r>
          <w:r>
            <w:instrText xml:space="preserve"> PAGEREF _Toc19036 \h </w:instrText>
          </w:r>
          <w:r>
            <w:fldChar w:fldCharType="separate"/>
          </w:r>
          <w:r>
            <w:t>72</w:t>
          </w:r>
          <w:r>
            <w:fldChar w:fldCharType="end"/>
          </w:r>
          <w:r>
            <w:fldChar w:fldCharType="end"/>
          </w:r>
        </w:p>
        <w:p>
          <w:pPr>
            <w:pStyle w:val="26"/>
            <w:tabs>
              <w:tab w:val="right" w:leader="dot" w:pos="8312"/>
            </w:tabs>
          </w:pPr>
          <w:r>
            <w:fldChar w:fldCharType="begin"/>
          </w:r>
          <w:r>
            <w:instrText xml:space="preserve"> HYPERLINK \l _Toc24973 </w:instrText>
          </w:r>
          <w:r>
            <w:fldChar w:fldCharType="separate"/>
          </w:r>
          <w:r>
            <w:rPr>
              <w:rFonts w:hint="eastAsia" w:ascii="宋体" w:hAnsi="宋体" w:eastAsia="宋体" w:cs="宋体"/>
              <w:bCs/>
              <w:szCs w:val="24"/>
              <w:lang w:val="en-US" w:eastAsia="zh-CN"/>
            </w:rPr>
            <w:t>5.2 存在的问题</w:t>
          </w:r>
          <w:r>
            <w:tab/>
          </w:r>
          <w:r>
            <w:fldChar w:fldCharType="begin"/>
          </w:r>
          <w:r>
            <w:instrText xml:space="preserve"> PAGEREF _Toc24973 \h </w:instrText>
          </w:r>
          <w:r>
            <w:fldChar w:fldCharType="separate"/>
          </w:r>
          <w:r>
            <w:t>72</w:t>
          </w:r>
          <w:r>
            <w:fldChar w:fldCharType="end"/>
          </w:r>
          <w:r>
            <w:fldChar w:fldCharType="end"/>
          </w:r>
        </w:p>
        <w:p>
          <w:pPr>
            <w:pStyle w:val="26"/>
            <w:tabs>
              <w:tab w:val="right" w:leader="dot" w:pos="8312"/>
            </w:tabs>
          </w:pPr>
          <w:r>
            <w:fldChar w:fldCharType="begin"/>
          </w:r>
          <w:r>
            <w:instrText xml:space="preserve"> HYPERLINK \l _Toc21715 </w:instrText>
          </w:r>
          <w:r>
            <w:fldChar w:fldCharType="separate"/>
          </w:r>
          <w:r>
            <w:rPr>
              <w:rFonts w:hint="eastAsia" w:ascii="宋体" w:hAnsi="宋体" w:eastAsia="宋体" w:cs="宋体"/>
              <w:bCs/>
              <w:szCs w:val="24"/>
              <w:lang w:val="en-US" w:eastAsia="zh-CN"/>
            </w:rPr>
            <w:t>5.3 保护对策</w:t>
          </w:r>
          <w:r>
            <w:tab/>
          </w:r>
          <w:r>
            <w:fldChar w:fldCharType="begin"/>
          </w:r>
          <w:r>
            <w:instrText xml:space="preserve"> PAGEREF _Toc21715 \h </w:instrText>
          </w:r>
          <w:r>
            <w:fldChar w:fldCharType="separate"/>
          </w:r>
          <w:r>
            <w:t>72</w:t>
          </w:r>
          <w:r>
            <w:fldChar w:fldCharType="end"/>
          </w:r>
          <w:r>
            <w:fldChar w:fldCharType="end"/>
          </w:r>
        </w:p>
        <w:p>
          <w:pPr>
            <w:pStyle w:val="25"/>
            <w:tabs>
              <w:tab w:val="right" w:leader="dot" w:pos="8312"/>
            </w:tabs>
          </w:pPr>
          <w:r>
            <w:fldChar w:fldCharType="begin"/>
          </w:r>
          <w:r>
            <w:instrText xml:space="preserve"> HYPERLINK \l _Toc2404 </w:instrText>
          </w:r>
          <w:r>
            <w:fldChar w:fldCharType="separate"/>
          </w:r>
          <w:r>
            <w:rPr>
              <w:rFonts w:hint="eastAsia" w:ascii="Times New Roman" w:hAnsi="Times New Roman" w:eastAsia="宋体" w:cs="Times New Roman"/>
            </w:rPr>
            <w:t>附录B</w:t>
          </w:r>
          <w:r>
            <w:tab/>
          </w:r>
          <w:r>
            <w:fldChar w:fldCharType="begin"/>
          </w:r>
          <w:r>
            <w:instrText xml:space="preserve"> PAGEREF _Toc2404 \h </w:instrText>
          </w:r>
          <w:r>
            <w:fldChar w:fldCharType="separate"/>
          </w:r>
          <w:r>
            <w:t>74</w:t>
          </w:r>
          <w:r>
            <w:fldChar w:fldCharType="end"/>
          </w:r>
          <w:r>
            <w:fldChar w:fldCharType="end"/>
          </w:r>
        </w:p>
        <w:p>
          <w:pPr>
            <w:pStyle w:val="25"/>
            <w:tabs>
              <w:tab w:val="right" w:leader="dot" w:pos="8312"/>
            </w:tabs>
          </w:pPr>
          <w:r>
            <w:fldChar w:fldCharType="begin"/>
          </w:r>
          <w:r>
            <w:instrText xml:space="preserve"> HYPERLINK \l _Toc21943 </w:instrText>
          </w:r>
          <w:r>
            <w:fldChar w:fldCharType="separate"/>
          </w:r>
          <w:r>
            <w:rPr>
              <w:rFonts w:hint="eastAsia"/>
            </w:rPr>
            <w:t>附录C</w:t>
          </w:r>
          <w:r>
            <w:tab/>
          </w:r>
          <w:r>
            <w:fldChar w:fldCharType="begin"/>
          </w:r>
          <w:r>
            <w:instrText xml:space="preserve"> PAGEREF _Toc21943 \h </w:instrText>
          </w:r>
          <w:r>
            <w:fldChar w:fldCharType="separate"/>
          </w:r>
          <w:r>
            <w:t>75</w:t>
          </w:r>
          <w:r>
            <w:fldChar w:fldCharType="end"/>
          </w:r>
          <w:r>
            <w:fldChar w:fldCharType="end"/>
          </w:r>
        </w:p>
        <w:p>
          <w:pPr>
            <w:pStyle w:val="25"/>
            <w:tabs>
              <w:tab w:val="right" w:leader="dot" w:pos="8312"/>
            </w:tabs>
          </w:pPr>
          <w:r>
            <w:fldChar w:fldCharType="begin"/>
          </w:r>
          <w:r>
            <w:instrText xml:space="preserve"> HYPERLINK \l _Toc13085 </w:instrText>
          </w:r>
          <w:r>
            <w:fldChar w:fldCharType="separate"/>
          </w:r>
          <w:r>
            <w:rPr>
              <w:rFonts w:hint="default" w:ascii="宋体" w:hAnsi="宋体" w:eastAsia="宋体" w:cs="宋体"/>
              <w:szCs w:val="28"/>
            </w:rPr>
            <w:t xml:space="preserve"> </w:t>
          </w:r>
          <w:r>
            <w:rPr>
              <w:rFonts w:hint="eastAsia" w:ascii="Times New Roman" w:hAnsi="Times New Roman"/>
              <w:szCs w:val="28"/>
            </w:rPr>
            <w:t>一、</w:t>
          </w:r>
          <w:r>
            <w:rPr>
              <w:rFonts w:hint="eastAsia" w:ascii="黑体" w:hAnsi="宋体" w:cs="黑体"/>
              <w:szCs w:val="28"/>
            </w:rPr>
            <w:t>基础信息</w:t>
          </w:r>
          <w:r>
            <w:tab/>
          </w:r>
          <w:r>
            <w:fldChar w:fldCharType="begin"/>
          </w:r>
          <w:r>
            <w:instrText xml:space="preserve"> PAGEREF _Toc13085 \h </w:instrText>
          </w:r>
          <w:r>
            <w:fldChar w:fldCharType="separate"/>
          </w:r>
          <w:r>
            <w:t>76</w:t>
          </w:r>
          <w:r>
            <w:fldChar w:fldCharType="end"/>
          </w:r>
          <w:r>
            <w:fldChar w:fldCharType="end"/>
          </w:r>
        </w:p>
        <w:p>
          <w:pPr>
            <w:pStyle w:val="26"/>
            <w:tabs>
              <w:tab w:val="right" w:leader="dot" w:pos="8312"/>
            </w:tabs>
          </w:pPr>
          <w:r>
            <w:fldChar w:fldCharType="begin"/>
          </w:r>
          <w:r>
            <w:instrText xml:space="preserve"> HYPERLINK \l _Toc4732 </w:instrText>
          </w:r>
          <w:r>
            <w:fldChar w:fldCharType="separate"/>
          </w:r>
          <w:r>
            <w:rPr>
              <w:rFonts w:ascii="Times New Roman" w:hAnsi="Times New Roman"/>
              <w:kern w:val="0"/>
              <w:szCs w:val="28"/>
            </w:rPr>
            <w:t>1</w:t>
          </w:r>
          <w:r>
            <w:rPr>
              <w:rFonts w:hint="eastAsia" w:ascii="黑体" w:hAnsi="宋体" w:cs="黑体"/>
              <w:kern w:val="0"/>
              <w:szCs w:val="28"/>
            </w:rPr>
            <w:t>、河流基本情况</w:t>
          </w:r>
          <w:r>
            <w:tab/>
          </w:r>
          <w:r>
            <w:fldChar w:fldCharType="begin"/>
          </w:r>
          <w:r>
            <w:instrText xml:space="preserve"> PAGEREF _Toc4732 \h </w:instrText>
          </w:r>
          <w:r>
            <w:fldChar w:fldCharType="separate"/>
          </w:r>
          <w:r>
            <w:t>76</w:t>
          </w:r>
          <w:r>
            <w:fldChar w:fldCharType="end"/>
          </w:r>
          <w:r>
            <w:fldChar w:fldCharType="end"/>
          </w:r>
        </w:p>
        <w:p>
          <w:pPr>
            <w:pStyle w:val="26"/>
            <w:tabs>
              <w:tab w:val="right" w:leader="dot" w:pos="8312"/>
            </w:tabs>
          </w:pPr>
          <w:r>
            <w:fldChar w:fldCharType="begin"/>
          </w:r>
          <w:r>
            <w:instrText xml:space="preserve"> HYPERLINK \l _Toc4510 </w:instrText>
          </w:r>
          <w:r>
            <w:fldChar w:fldCharType="separate"/>
          </w:r>
          <w:r>
            <w:rPr>
              <w:rFonts w:hint="eastAsia" w:ascii="黑体" w:hAnsi="宋体" w:cs="黑体"/>
              <w:kern w:val="0"/>
              <w:szCs w:val="28"/>
            </w:rPr>
            <w:t>2、 河长信息</w:t>
          </w:r>
          <w:r>
            <w:tab/>
          </w:r>
          <w:r>
            <w:fldChar w:fldCharType="begin"/>
          </w:r>
          <w:r>
            <w:instrText xml:space="preserve"> PAGEREF _Toc4510 \h </w:instrText>
          </w:r>
          <w:r>
            <w:fldChar w:fldCharType="separate"/>
          </w:r>
          <w:r>
            <w:t>76</w:t>
          </w:r>
          <w:r>
            <w:fldChar w:fldCharType="end"/>
          </w:r>
          <w:r>
            <w:fldChar w:fldCharType="end"/>
          </w:r>
        </w:p>
        <w:p>
          <w:pPr>
            <w:pStyle w:val="26"/>
            <w:tabs>
              <w:tab w:val="right" w:leader="dot" w:pos="8312"/>
            </w:tabs>
          </w:pPr>
          <w:r>
            <w:fldChar w:fldCharType="begin"/>
          </w:r>
          <w:r>
            <w:instrText xml:space="preserve"> HYPERLINK \l _Toc28840 </w:instrText>
          </w:r>
          <w:r>
            <w:fldChar w:fldCharType="separate"/>
          </w:r>
          <w:r>
            <w:rPr>
              <w:rFonts w:ascii="Times New Roman" w:hAnsi="Times New Roman"/>
              <w:kern w:val="0"/>
              <w:szCs w:val="28"/>
            </w:rPr>
            <w:t>3</w:t>
          </w:r>
          <w:r>
            <w:rPr>
              <w:rFonts w:hint="eastAsia" w:ascii="黑体" w:hAnsi="宋体" w:cs="黑体"/>
              <w:kern w:val="0"/>
              <w:szCs w:val="28"/>
            </w:rPr>
            <w:t>、分段信息</w:t>
          </w:r>
          <w:r>
            <w:tab/>
          </w:r>
          <w:r>
            <w:fldChar w:fldCharType="begin"/>
          </w:r>
          <w:r>
            <w:instrText xml:space="preserve"> PAGEREF _Toc28840 \h </w:instrText>
          </w:r>
          <w:r>
            <w:fldChar w:fldCharType="separate"/>
          </w:r>
          <w:r>
            <w:t>77</w:t>
          </w:r>
          <w:r>
            <w:fldChar w:fldCharType="end"/>
          </w:r>
          <w:r>
            <w:fldChar w:fldCharType="end"/>
          </w:r>
        </w:p>
        <w:p>
          <w:pPr>
            <w:pStyle w:val="25"/>
            <w:tabs>
              <w:tab w:val="right" w:leader="dot" w:pos="8312"/>
            </w:tabs>
          </w:pPr>
          <w:r>
            <w:fldChar w:fldCharType="begin"/>
          </w:r>
          <w:r>
            <w:instrText xml:space="preserve"> HYPERLINK \l _Toc24997 </w:instrText>
          </w:r>
          <w:r>
            <w:fldChar w:fldCharType="separate"/>
          </w:r>
          <w:r>
            <w:rPr>
              <w:rFonts w:hint="default" w:ascii="宋体" w:hAnsi="宋体" w:eastAsia="宋体" w:cs="宋体"/>
              <w:szCs w:val="28"/>
            </w:rPr>
            <w:t xml:space="preserve"> </w:t>
          </w:r>
          <w:r>
            <w:rPr>
              <w:rFonts w:hint="eastAsia" w:ascii="Times New Roman" w:hAnsi="Times New Roman"/>
              <w:szCs w:val="28"/>
            </w:rPr>
            <w:t>二、评价指标及健康状况</w:t>
          </w:r>
          <w:r>
            <w:tab/>
          </w:r>
          <w:r>
            <w:fldChar w:fldCharType="begin"/>
          </w:r>
          <w:r>
            <w:instrText xml:space="preserve"> PAGEREF _Toc24997 \h </w:instrText>
          </w:r>
          <w:r>
            <w:fldChar w:fldCharType="separate"/>
          </w:r>
          <w:r>
            <w:t>78</w:t>
          </w:r>
          <w:r>
            <w:fldChar w:fldCharType="end"/>
          </w:r>
          <w:r>
            <w:fldChar w:fldCharType="end"/>
          </w:r>
        </w:p>
        <w:p>
          <w:pPr>
            <w:pStyle w:val="26"/>
            <w:tabs>
              <w:tab w:val="right" w:leader="dot" w:pos="8312"/>
            </w:tabs>
          </w:pPr>
          <w:r>
            <w:fldChar w:fldCharType="begin"/>
          </w:r>
          <w:r>
            <w:instrText xml:space="preserve"> HYPERLINK \l _Toc14865 </w:instrText>
          </w:r>
          <w:r>
            <w:fldChar w:fldCharType="separate"/>
          </w:r>
          <w:r>
            <w:rPr>
              <w:rFonts w:ascii="Times New Roman" w:hAnsi="Times New Roman"/>
              <w:kern w:val="0"/>
              <w:szCs w:val="28"/>
            </w:rPr>
            <w:t>1</w:t>
          </w:r>
          <w:r>
            <w:rPr>
              <w:rFonts w:hint="eastAsia" w:ascii="Times New Roman" w:hAnsi="Times New Roman"/>
              <w:kern w:val="0"/>
              <w:szCs w:val="28"/>
            </w:rPr>
            <w:t>、盆</w:t>
          </w:r>
          <w:r>
            <w:tab/>
          </w:r>
          <w:r>
            <w:fldChar w:fldCharType="begin"/>
          </w:r>
          <w:r>
            <w:instrText xml:space="preserve"> PAGEREF _Toc14865 \h </w:instrText>
          </w:r>
          <w:r>
            <w:fldChar w:fldCharType="separate"/>
          </w:r>
          <w:r>
            <w:t>78</w:t>
          </w:r>
          <w:r>
            <w:fldChar w:fldCharType="end"/>
          </w:r>
          <w:r>
            <w:fldChar w:fldCharType="end"/>
          </w:r>
        </w:p>
        <w:p>
          <w:pPr>
            <w:pStyle w:val="26"/>
            <w:tabs>
              <w:tab w:val="right" w:leader="dot" w:pos="8312"/>
            </w:tabs>
          </w:pPr>
          <w:r>
            <w:fldChar w:fldCharType="begin"/>
          </w:r>
          <w:r>
            <w:instrText xml:space="preserve"> HYPERLINK \l _Toc28053 </w:instrText>
          </w:r>
          <w:r>
            <w:fldChar w:fldCharType="separate"/>
          </w:r>
          <w:r>
            <w:rPr>
              <w:rFonts w:ascii="Times New Roman" w:hAnsi="Times New Roman"/>
              <w:kern w:val="0"/>
              <w:szCs w:val="28"/>
            </w:rPr>
            <w:t>2</w:t>
          </w:r>
          <w:r>
            <w:rPr>
              <w:rFonts w:hint="eastAsia" w:ascii="Times New Roman" w:hAnsi="Times New Roman"/>
              <w:kern w:val="0"/>
              <w:szCs w:val="28"/>
            </w:rPr>
            <w:t>、水</w:t>
          </w:r>
          <w:r>
            <w:tab/>
          </w:r>
          <w:r>
            <w:fldChar w:fldCharType="begin"/>
          </w:r>
          <w:r>
            <w:instrText xml:space="preserve"> PAGEREF _Toc28053 \h </w:instrText>
          </w:r>
          <w:r>
            <w:fldChar w:fldCharType="separate"/>
          </w:r>
          <w:r>
            <w:t>79</w:t>
          </w:r>
          <w:r>
            <w:fldChar w:fldCharType="end"/>
          </w:r>
          <w:r>
            <w:fldChar w:fldCharType="end"/>
          </w:r>
        </w:p>
        <w:p>
          <w:pPr>
            <w:pStyle w:val="26"/>
            <w:tabs>
              <w:tab w:val="right" w:leader="dot" w:pos="8312"/>
            </w:tabs>
          </w:pPr>
          <w:r>
            <w:fldChar w:fldCharType="begin"/>
          </w:r>
          <w:r>
            <w:instrText xml:space="preserve"> HYPERLINK \l _Toc8163 </w:instrText>
          </w:r>
          <w:r>
            <w:fldChar w:fldCharType="separate"/>
          </w:r>
          <w:r>
            <w:rPr>
              <w:rFonts w:ascii="Times New Roman" w:hAnsi="Times New Roman"/>
              <w:kern w:val="0"/>
              <w:szCs w:val="28"/>
            </w:rPr>
            <w:t>3</w:t>
          </w:r>
          <w:r>
            <w:rPr>
              <w:rFonts w:hint="eastAsia" w:ascii="Times New Roman" w:hAnsi="Times New Roman"/>
              <w:kern w:val="0"/>
              <w:szCs w:val="28"/>
            </w:rPr>
            <w:t>、生物</w:t>
          </w:r>
          <w:r>
            <w:tab/>
          </w:r>
          <w:r>
            <w:fldChar w:fldCharType="begin"/>
          </w:r>
          <w:r>
            <w:instrText xml:space="preserve"> PAGEREF _Toc8163 \h </w:instrText>
          </w:r>
          <w:r>
            <w:fldChar w:fldCharType="separate"/>
          </w:r>
          <w:r>
            <w:t>80</w:t>
          </w:r>
          <w:r>
            <w:fldChar w:fldCharType="end"/>
          </w:r>
          <w:r>
            <w:fldChar w:fldCharType="end"/>
          </w:r>
        </w:p>
        <w:p>
          <w:pPr>
            <w:pStyle w:val="26"/>
            <w:tabs>
              <w:tab w:val="right" w:leader="dot" w:pos="8312"/>
            </w:tabs>
          </w:pPr>
          <w:r>
            <w:fldChar w:fldCharType="begin"/>
          </w:r>
          <w:r>
            <w:instrText xml:space="preserve"> HYPERLINK \l _Toc22745 </w:instrText>
          </w:r>
          <w:r>
            <w:fldChar w:fldCharType="separate"/>
          </w:r>
          <w:r>
            <w:rPr>
              <w:rFonts w:ascii="Times New Roman" w:hAnsi="Times New Roman"/>
              <w:kern w:val="0"/>
              <w:szCs w:val="28"/>
            </w:rPr>
            <w:t>4</w:t>
          </w:r>
          <w:r>
            <w:rPr>
              <w:rFonts w:hint="eastAsia" w:ascii="Times New Roman" w:hAnsi="Times New Roman"/>
              <w:kern w:val="0"/>
              <w:szCs w:val="28"/>
            </w:rPr>
            <w:t>、</w:t>
          </w:r>
          <w:r>
            <w:rPr>
              <w:rFonts w:hint="eastAsia" w:ascii="黑体" w:hAnsi="宋体" w:cs="黑体"/>
              <w:kern w:val="0"/>
              <w:szCs w:val="28"/>
            </w:rPr>
            <w:t>社会服务功能</w:t>
          </w:r>
          <w:r>
            <w:tab/>
          </w:r>
          <w:r>
            <w:fldChar w:fldCharType="begin"/>
          </w:r>
          <w:r>
            <w:instrText xml:space="preserve"> PAGEREF _Toc22745 \h </w:instrText>
          </w:r>
          <w:r>
            <w:fldChar w:fldCharType="separate"/>
          </w:r>
          <w:r>
            <w:t>80</w:t>
          </w:r>
          <w:r>
            <w:fldChar w:fldCharType="end"/>
          </w:r>
          <w:r>
            <w:fldChar w:fldCharType="end"/>
          </w:r>
        </w:p>
        <w:p>
          <w:pPr>
            <w:pStyle w:val="26"/>
            <w:tabs>
              <w:tab w:val="right" w:leader="dot" w:pos="8312"/>
            </w:tabs>
          </w:pPr>
          <w:r>
            <w:fldChar w:fldCharType="begin"/>
          </w:r>
          <w:r>
            <w:instrText xml:space="preserve"> HYPERLINK \l _Toc23304 </w:instrText>
          </w:r>
          <w:r>
            <w:fldChar w:fldCharType="separate"/>
          </w:r>
          <w:r>
            <w:rPr>
              <w:rFonts w:ascii="Times New Roman" w:hAnsi="Times New Roman"/>
              <w:kern w:val="0"/>
              <w:szCs w:val="28"/>
            </w:rPr>
            <w:t>5</w:t>
          </w:r>
          <w:r>
            <w:rPr>
              <w:rFonts w:hint="eastAsia" w:ascii="Times New Roman" w:hAnsi="Times New Roman"/>
              <w:kern w:val="0"/>
              <w:szCs w:val="28"/>
            </w:rPr>
            <w:t>、综合评价</w:t>
          </w:r>
          <w:r>
            <w:tab/>
          </w:r>
          <w:r>
            <w:fldChar w:fldCharType="begin"/>
          </w:r>
          <w:r>
            <w:instrText xml:space="preserve"> PAGEREF _Toc23304 \h </w:instrText>
          </w:r>
          <w:r>
            <w:fldChar w:fldCharType="separate"/>
          </w:r>
          <w:r>
            <w:t>81</w:t>
          </w:r>
          <w:r>
            <w:fldChar w:fldCharType="end"/>
          </w:r>
          <w:r>
            <w:fldChar w:fldCharType="end"/>
          </w:r>
        </w:p>
        <w:p>
          <w:pPr>
            <w:pStyle w:val="26"/>
            <w:tabs>
              <w:tab w:val="right" w:leader="dot" w:pos="8312"/>
            </w:tabs>
          </w:pPr>
          <w:r>
            <w:fldChar w:fldCharType="begin"/>
          </w:r>
          <w:r>
            <w:instrText xml:space="preserve"> HYPERLINK \l _Toc14134 </w:instrText>
          </w:r>
          <w:r>
            <w:fldChar w:fldCharType="separate"/>
          </w:r>
          <w:r>
            <w:rPr>
              <w:rFonts w:ascii="Times New Roman" w:hAnsi="Times New Roman"/>
              <w:kern w:val="0"/>
              <w:szCs w:val="28"/>
            </w:rPr>
            <w:t>6</w:t>
          </w:r>
          <w:r>
            <w:rPr>
              <w:rFonts w:hint="eastAsia" w:ascii="Times New Roman" w:hAnsi="Times New Roman"/>
              <w:kern w:val="0"/>
              <w:szCs w:val="28"/>
            </w:rPr>
            <w:t>、既往问题</w:t>
          </w:r>
          <w:r>
            <w:rPr>
              <w:rFonts w:hint="eastAsia" w:ascii="黑体" w:hAnsi="宋体" w:cs="黑体"/>
              <w:kern w:val="0"/>
              <w:szCs w:val="28"/>
            </w:rPr>
            <w:t>指标</w:t>
          </w:r>
          <w:r>
            <w:tab/>
          </w:r>
          <w:r>
            <w:fldChar w:fldCharType="begin"/>
          </w:r>
          <w:r>
            <w:instrText xml:space="preserve"> PAGEREF _Toc14134 \h </w:instrText>
          </w:r>
          <w:r>
            <w:fldChar w:fldCharType="separate"/>
          </w:r>
          <w:r>
            <w:t>81</w:t>
          </w:r>
          <w:r>
            <w:fldChar w:fldCharType="end"/>
          </w:r>
          <w:r>
            <w:fldChar w:fldCharType="end"/>
          </w:r>
        </w:p>
        <w:p>
          <w:pPr>
            <w:pStyle w:val="25"/>
            <w:tabs>
              <w:tab w:val="right" w:leader="dot" w:pos="8312"/>
            </w:tabs>
          </w:pPr>
          <w:r>
            <w:fldChar w:fldCharType="begin"/>
          </w:r>
          <w:r>
            <w:instrText xml:space="preserve"> HYPERLINK \l _Toc31916 </w:instrText>
          </w:r>
          <w:r>
            <w:fldChar w:fldCharType="separate"/>
          </w:r>
          <w:r>
            <w:rPr>
              <w:rFonts w:hint="default" w:ascii="宋体" w:hAnsi="宋体" w:eastAsia="宋体" w:cs="宋体"/>
              <w:szCs w:val="28"/>
              <w:lang w:bidi="ar"/>
            </w:rPr>
            <w:t xml:space="preserve"> </w:t>
          </w:r>
          <w:r>
            <w:rPr>
              <w:rFonts w:hint="eastAsia" w:ascii="Times New Roman" w:hAnsi="Times New Roman"/>
              <w:szCs w:val="28"/>
            </w:rPr>
            <w:t>三、评价</w:t>
          </w:r>
          <w:r>
            <w:rPr>
              <w:rFonts w:hint="eastAsia" w:ascii="黑体" w:hAnsi="宋体" w:cs="黑体"/>
              <w:szCs w:val="28"/>
            </w:rPr>
            <w:t>结论及</w:t>
          </w:r>
          <w:r>
            <w:rPr>
              <w:rFonts w:hint="eastAsia" w:ascii="Times New Roman" w:hAnsi="Times New Roman"/>
              <w:szCs w:val="28"/>
            </w:rPr>
            <w:t>问题</w:t>
          </w:r>
          <w:r>
            <w:rPr>
              <w:rFonts w:hint="eastAsia" w:ascii="黑体" w:hAnsi="宋体" w:cs="黑体"/>
              <w:szCs w:val="28"/>
            </w:rPr>
            <w:t>建议</w:t>
          </w:r>
          <w:r>
            <w:tab/>
          </w:r>
          <w:r>
            <w:fldChar w:fldCharType="begin"/>
          </w:r>
          <w:r>
            <w:instrText xml:space="preserve"> PAGEREF _Toc31916 \h </w:instrText>
          </w:r>
          <w:r>
            <w:fldChar w:fldCharType="separate"/>
          </w:r>
          <w:r>
            <w:t>82</w:t>
          </w:r>
          <w:r>
            <w:fldChar w:fldCharType="end"/>
          </w:r>
          <w:r>
            <w:fldChar w:fldCharType="end"/>
          </w:r>
        </w:p>
        <w:p>
          <w:pPr>
            <w:pStyle w:val="26"/>
            <w:tabs>
              <w:tab w:val="right" w:leader="dot" w:pos="8312"/>
            </w:tabs>
          </w:pPr>
          <w:r>
            <w:fldChar w:fldCharType="begin"/>
          </w:r>
          <w:r>
            <w:instrText xml:space="preserve"> HYPERLINK \l _Toc22459 </w:instrText>
          </w:r>
          <w:r>
            <w:fldChar w:fldCharType="separate"/>
          </w:r>
          <w:r>
            <w:rPr>
              <w:rFonts w:ascii="Times New Roman" w:hAnsi="Times New Roman"/>
              <w:kern w:val="0"/>
              <w:szCs w:val="28"/>
            </w:rPr>
            <w:t>1</w:t>
          </w:r>
          <w:r>
            <w:rPr>
              <w:rFonts w:hint="eastAsia" w:ascii="Times New Roman" w:hAnsi="Times New Roman"/>
              <w:kern w:val="0"/>
              <w:szCs w:val="28"/>
            </w:rPr>
            <w:t>、评价结论</w:t>
          </w:r>
          <w:r>
            <w:tab/>
          </w:r>
          <w:r>
            <w:fldChar w:fldCharType="begin"/>
          </w:r>
          <w:r>
            <w:instrText xml:space="preserve"> PAGEREF _Toc22459 \h </w:instrText>
          </w:r>
          <w:r>
            <w:fldChar w:fldCharType="separate"/>
          </w:r>
          <w:r>
            <w:t>82</w:t>
          </w:r>
          <w:r>
            <w:fldChar w:fldCharType="end"/>
          </w:r>
          <w:r>
            <w:fldChar w:fldCharType="end"/>
          </w:r>
        </w:p>
        <w:p>
          <w:pPr>
            <w:pStyle w:val="26"/>
            <w:tabs>
              <w:tab w:val="right" w:leader="dot" w:pos="8312"/>
            </w:tabs>
          </w:pPr>
          <w:r>
            <w:fldChar w:fldCharType="begin"/>
          </w:r>
          <w:r>
            <w:instrText xml:space="preserve"> HYPERLINK \l _Toc22506 </w:instrText>
          </w:r>
          <w:r>
            <w:fldChar w:fldCharType="separate"/>
          </w:r>
          <w:r>
            <w:rPr>
              <w:rFonts w:ascii="Times New Roman" w:hAnsi="Times New Roman"/>
              <w:kern w:val="0"/>
              <w:szCs w:val="28"/>
            </w:rPr>
            <w:t>2</w:t>
          </w:r>
          <w:r>
            <w:rPr>
              <w:rFonts w:hint="eastAsia" w:ascii="Times New Roman" w:hAnsi="Times New Roman"/>
              <w:kern w:val="0"/>
              <w:szCs w:val="28"/>
            </w:rPr>
            <w:t>、问题及建议</w:t>
          </w:r>
          <w:r>
            <w:tab/>
          </w:r>
          <w:r>
            <w:fldChar w:fldCharType="begin"/>
          </w:r>
          <w:r>
            <w:instrText xml:space="preserve"> PAGEREF _Toc22506 \h </w:instrText>
          </w:r>
          <w:r>
            <w:fldChar w:fldCharType="separate"/>
          </w:r>
          <w:r>
            <w:t>84</w:t>
          </w:r>
          <w:r>
            <w:fldChar w:fldCharType="end"/>
          </w:r>
          <w:r>
            <w:fldChar w:fldCharType="end"/>
          </w:r>
        </w:p>
        <w:p>
          <w:pPr>
            <w:pStyle w:val="26"/>
            <w:tabs>
              <w:tab w:val="right" w:leader="dot" w:pos="8312"/>
            </w:tabs>
          </w:pPr>
          <w:r>
            <w:fldChar w:fldCharType="begin"/>
          </w:r>
          <w:r>
            <w:instrText xml:space="preserve"> HYPERLINK \l _Toc10297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水文</w:t>
          </w:r>
          <w:r>
            <w:rPr>
              <w:rFonts w:hint="eastAsia" w:ascii="黑体" w:hAnsi="宋体" w:cs="黑体"/>
              <w:kern w:val="0"/>
              <w:szCs w:val="28"/>
            </w:rPr>
            <w:t>水资源</w:t>
          </w:r>
          <w:r>
            <w:rPr>
              <w:rFonts w:hint="eastAsia" w:ascii="Times New Roman" w:hAnsi="Times New Roman"/>
              <w:kern w:val="0"/>
              <w:szCs w:val="28"/>
            </w:rPr>
            <w:t>：</w:t>
          </w:r>
          <w:r>
            <w:tab/>
          </w:r>
          <w:r>
            <w:fldChar w:fldCharType="begin"/>
          </w:r>
          <w:r>
            <w:instrText xml:space="preserve"> PAGEREF _Toc10297 \h </w:instrText>
          </w:r>
          <w:r>
            <w:fldChar w:fldCharType="separate"/>
          </w:r>
          <w:r>
            <w:t>86</w:t>
          </w:r>
          <w:r>
            <w:fldChar w:fldCharType="end"/>
          </w:r>
          <w:r>
            <w:fldChar w:fldCharType="end"/>
          </w:r>
        </w:p>
        <w:p>
          <w:pPr>
            <w:pStyle w:val="26"/>
            <w:tabs>
              <w:tab w:val="right" w:leader="dot" w:pos="8312"/>
            </w:tabs>
          </w:pPr>
          <w:r>
            <w:fldChar w:fldCharType="begin"/>
          </w:r>
          <w:r>
            <w:instrText xml:space="preserve"> HYPERLINK \l _Toc30188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物理</w:t>
          </w:r>
          <w:r>
            <w:rPr>
              <w:rFonts w:hint="eastAsia" w:ascii="黑体" w:hAnsi="宋体" w:cs="黑体"/>
              <w:kern w:val="0"/>
              <w:szCs w:val="28"/>
            </w:rPr>
            <w:t>结构：</w:t>
          </w:r>
          <w:r>
            <w:tab/>
          </w:r>
          <w:r>
            <w:fldChar w:fldCharType="begin"/>
          </w:r>
          <w:r>
            <w:instrText xml:space="preserve"> PAGEREF _Toc30188 \h </w:instrText>
          </w:r>
          <w:r>
            <w:fldChar w:fldCharType="separate"/>
          </w:r>
          <w:r>
            <w:t>86</w:t>
          </w:r>
          <w:r>
            <w:fldChar w:fldCharType="end"/>
          </w:r>
          <w:r>
            <w:fldChar w:fldCharType="end"/>
          </w:r>
        </w:p>
        <w:p>
          <w:pPr>
            <w:pStyle w:val="26"/>
            <w:tabs>
              <w:tab w:val="right" w:leader="dot" w:pos="8312"/>
            </w:tabs>
          </w:pPr>
          <w:r>
            <w:fldChar w:fldCharType="begin"/>
          </w:r>
          <w:r>
            <w:instrText xml:space="preserve"> HYPERLINK \l _Toc32097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水质</w:t>
          </w:r>
          <w:r>
            <w:rPr>
              <w:rFonts w:hint="eastAsia" w:ascii="黑体" w:hAnsi="宋体" w:cs="黑体"/>
              <w:kern w:val="0"/>
              <w:szCs w:val="28"/>
            </w:rPr>
            <w:t>：</w:t>
          </w:r>
          <w:r>
            <w:tab/>
          </w:r>
          <w:r>
            <w:fldChar w:fldCharType="begin"/>
          </w:r>
          <w:r>
            <w:instrText xml:space="preserve"> PAGEREF _Toc32097 \h </w:instrText>
          </w:r>
          <w:r>
            <w:fldChar w:fldCharType="separate"/>
          </w:r>
          <w:r>
            <w:t>87</w:t>
          </w:r>
          <w:r>
            <w:fldChar w:fldCharType="end"/>
          </w:r>
          <w:r>
            <w:fldChar w:fldCharType="end"/>
          </w:r>
        </w:p>
        <w:p>
          <w:pPr>
            <w:pStyle w:val="26"/>
            <w:tabs>
              <w:tab w:val="right" w:leader="dot" w:pos="8312"/>
            </w:tabs>
          </w:pPr>
          <w:r>
            <w:fldChar w:fldCharType="begin"/>
          </w:r>
          <w:r>
            <w:instrText xml:space="preserve"> HYPERLINK \l _Toc20484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生物</w:t>
          </w:r>
          <w:r>
            <w:rPr>
              <w:rFonts w:hint="eastAsia" w:ascii="黑体" w:hAnsi="宋体" w:cs="黑体"/>
              <w:kern w:val="0"/>
              <w:szCs w:val="28"/>
            </w:rPr>
            <w:t>：</w:t>
          </w:r>
          <w:r>
            <w:tab/>
          </w:r>
          <w:r>
            <w:fldChar w:fldCharType="begin"/>
          </w:r>
          <w:r>
            <w:instrText xml:space="preserve"> PAGEREF _Toc20484 \h </w:instrText>
          </w:r>
          <w:r>
            <w:fldChar w:fldCharType="separate"/>
          </w:r>
          <w:r>
            <w:t>87</w:t>
          </w:r>
          <w:r>
            <w:fldChar w:fldCharType="end"/>
          </w:r>
          <w:r>
            <w:fldChar w:fldCharType="end"/>
          </w:r>
        </w:p>
        <w:p>
          <w:pPr>
            <w:pStyle w:val="26"/>
            <w:tabs>
              <w:tab w:val="right" w:leader="dot" w:pos="8312"/>
            </w:tabs>
          </w:pPr>
          <w:r>
            <w:fldChar w:fldCharType="begin"/>
          </w:r>
          <w:r>
            <w:instrText xml:space="preserve"> HYPERLINK \l _Toc11523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河湖管理</w:t>
          </w:r>
          <w:r>
            <w:rPr>
              <w:rFonts w:hint="eastAsia" w:ascii="黑体" w:hAnsi="宋体" w:cs="黑体"/>
              <w:kern w:val="0"/>
              <w:szCs w:val="28"/>
            </w:rPr>
            <w:t>与社会服务功能：</w:t>
          </w:r>
          <w:r>
            <w:tab/>
          </w:r>
          <w:r>
            <w:fldChar w:fldCharType="begin"/>
          </w:r>
          <w:r>
            <w:instrText xml:space="preserve"> PAGEREF _Toc11523 \h </w:instrText>
          </w:r>
          <w:r>
            <w:fldChar w:fldCharType="separate"/>
          </w:r>
          <w:r>
            <w:t>87</w:t>
          </w:r>
          <w:r>
            <w:fldChar w:fldCharType="end"/>
          </w:r>
          <w:r>
            <w:fldChar w:fldCharType="end"/>
          </w:r>
        </w:p>
        <w:p>
          <w:pPr>
            <w:pStyle w:val="26"/>
            <w:tabs>
              <w:tab w:val="right" w:leader="dot" w:pos="8312"/>
            </w:tabs>
          </w:pPr>
          <w:r>
            <w:fldChar w:fldCharType="begin"/>
          </w:r>
          <w:r>
            <w:instrText xml:space="preserve"> HYPERLINK \l _Toc10116 </w:instrText>
          </w:r>
          <w:r>
            <w:fldChar w:fldCharType="separate"/>
          </w:r>
          <w:r>
            <w:rPr>
              <w:rFonts w:hint="default" w:ascii="Wingdings" w:hAnsi="Wingdings" w:cs="Wingdings"/>
              <w:kern w:val="0"/>
              <w:szCs w:val="28"/>
            </w:rPr>
            <w:t xml:space="preserve"> </w:t>
          </w:r>
          <w:r>
            <w:rPr>
              <w:rFonts w:hint="eastAsia" w:ascii="Times New Roman" w:hAnsi="Times New Roman"/>
              <w:kern w:val="0"/>
              <w:szCs w:val="28"/>
            </w:rPr>
            <w:t>得分及对应健康分级</w:t>
          </w:r>
          <w:r>
            <w:rPr>
              <w:rFonts w:hint="eastAsia" w:ascii="黑体" w:hAnsi="宋体" w:cs="黑体"/>
              <w:kern w:val="0"/>
              <w:szCs w:val="28"/>
            </w:rPr>
            <w:t>：</w:t>
          </w:r>
          <w:r>
            <w:tab/>
          </w:r>
          <w:r>
            <w:fldChar w:fldCharType="begin"/>
          </w:r>
          <w:r>
            <w:instrText xml:space="preserve"> PAGEREF _Toc10116 \h </w:instrText>
          </w:r>
          <w:r>
            <w:fldChar w:fldCharType="separate"/>
          </w:r>
          <w:r>
            <w:t>88</w:t>
          </w:r>
          <w:r>
            <w:fldChar w:fldCharType="end"/>
          </w:r>
          <w:r>
            <w:fldChar w:fldCharType="end"/>
          </w:r>
        </w:p>
        <w:p>
          <w:r>
            <w:fldChar w:fldCharType="end"/>
          </w:r>
        </w:p>
      </w:sdtContent>
    </w:sdt>
    <w:p>
      <w:pPr>
        <w:pStyle w:val="4"/>
        <w:numPr>
          <w:ilvl w:val="0"/>
          <w:numId w:val="0"/>
        </w:numPr>
        <w:ind w:leftChars="0"/>
        <w:jc w:val="center"/>
        <w:outlineLvl w:val="0"/>
        <w:rPr>
          <w:rFonts w:hint="eastAsia" w:ascii="宋体" w:hAnsi="宋体" w:cs="宋体"/>
          <w:b/>
          <w:bCs w:val="0"/>
          <w:color w:val="auto"/>
          <w:sz w:val="36"/>
          <w:szCs w:val="36"/>
          <w:lang w:eastAsia="zh-CN"/>
        </w:rPr>
        <w:sectPr>
          <w:headerReference r:id="rId6" w:type="default"/>
          <w:footerReference r:id="rId7"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4"/>
        <w:numPr>
          <w:ilvl w:val="0"/>
          <w:numId w:val="0"/>
        </w:numPr>
        <w:ind w:leftChars="0"/>
        <w:jc w:val="center"/>
        <w:outlineLvl w:val="0"/>
        <w:rPr>
          <w:rFonts w:hint="eastAsia" w:ascii="宋体" w:hAnsi="宋体" w:eastAsia="宋体" w:cs="宋体"/>
          <w:b/>
          <w:bCs w:val="0"/>
          <w:color w:val="auto"/>
          <w:sz w:val="36"/>
          <w:szCs w:val="36"/>
        </w:rPr>
      </w:pPr>
      <w:bookmarkStart w:id="11" w:name="_Toc23777"/>
      <w:r>
        <w:rPr>
          <w:rFonts w:hint="eastAsia" w:ascii="宋体" w:hAnsi="宋体" w:cs="宋体"/>
          <w:b/>
          <w:bCs w:val="0"/>
          <w:color w:val="auto"/>
          <w:sz w:val="36"/>
          <w:szCs w:val="36"/>
          <w:lang w:eastAsia="zh-CN"/>
        </w:rPr>
        <w:t>第一章</w:t>
      </w:r>
      <w:r>
        <w:rPr>
          <w:rFonts w:hint="eastAsia" w:ascii="宋体" w:hAnsi="宋体" w:cs="宋体"/>
          <w:b/>
          <w:bCs w:val="0"/>
          <w:color w:val="auto"/>
          <w:sz w:val="36"/>
          <w:szCs w:val="36"/>
          <w:lang w:val="en-US" w:eastAsia="zh-CN"/>
        </w:rPr>
        <w:t xml:space="preserve"> </w:t>
      </w:r>
      <w:r>
        <w:rPr>
          <w:rFonts w:hint="eastAsia" w:ascii="宋体" w:hAnsi="宋体" w:eastAsia="宋体" w:cs="宋体"/>
          <w:b/>
          <w:bCs w:val="0"/>
          <w:color w:val="auto"/>
          <w:sz w:val="36"/>
          <w:szCs w:val="36"/>
        </w:rPr>
        <w:t>基本情况</w:t>
      </w:r>
      <w:bookmarkEnd w:id="11"/>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12" w:name="_Toc25308"/>
      <w:r>
        <w:rPr>
          <w:rFonts w:hint="eastAsia" w:ascii="Times New Roman" w:hAnsi="Times New Roman" w:cs="Times New Roman"/>
          <w:b/>
          <w:bCs/>
          <w:color w:val="auto"/>
          <w:kern w:val="2"/>
          <w:sz w:val="24"/>
          <w:szCs w:val="24"/>
          <w:lang w:val="en-US" w:eastAsia="zh-CN"/>
        </w:rPr>
        <w:t>1.1 流域概况</w:t>
      </w:r>
      <w:bookmarkEnd w:id="12"/>
    </w:p>
    <w:p>
      <w:pPr>
        <w:wordWrap/>
        <w:autoSpaceDE/>
        <w:autoSpaceDN/>
        <w:adjustRightInd w:val="0"/>
        <w:snapToGrid w:val="0"/>
        <w:spacing w:before="166" w:beforeLines="50" w:after="166" w:afterLines="50" w:line="360" w:lineRule="auto"/>
        <w:ind w:left="0" w:leftChars="0"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1.1.1 自然流域概况</w:t>
      </w:r>
    </w:p>
    <w:p>
      <w:pPr>
        <w:wordWrap/>
        <w:autoSpaceDE/>
        <w:autoSpaceDN/>
        <w:adjustRightInd w:val="0"/>
        <w:snapToGrid w:val="0"/>
        <w:spacing w:before="166" w:beforeLines="50" w:after="166" w:afterLines="50" w:line="360" w:lineRule="auto"/>
        <w:ind w:left="0" w:leftChars="0" w:firstLine="0" w:firstLineChars="0"/>
        <w:outlineLvl w:val="3"/>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1.1.1.1 基本资料</w:t>
      </w:r>
    </w:p>
    <w:p>
      <w:pPr>
        <w:bidi w:val="0"/>
        <w:rPr>
          <w:rFonts w:hint="default"/>
          <w:lang w:val="en-US" w:eastAsia="zh-CN"/>
        </w:rPr>
      </w:pPr>
      <w:r>
        <w:rPr>
          <w:rFonts w:hint="default"/>
          <w:lang w:val="en-US" w:eastAsia="zh-CN"/>
        </w:rPr>
        <w:t>苍溪县位于长江上游嘉陵江中游，居大巴山南麓，四川盆地北缘，东经105°43′至106°28′、北纬31°37′至32°10′间。东接巴中、南江，南邻阆中，西抵剑阁，北靠旺苍、元坝。东西长70.4km，南北宽58.6km，域境总面积2330.28km2。</w:t>
      </w:r>
    </w:p>
    <w:p>
      <w:pPr>
        <w:bidi w:val="0"/>
        <w:rPr>
          <w:rFonts w:hint="default"/>
          <w:lang w:val="en-US" w:eastAsia="zh-CN"/>
        </w:rPr>
      </w:pPr>
      <w:r>
        <w:rPr>
          <w:rFonts w:hint="default"/>
          <w:lang w:val="en-US" w:eastAsia="zh-CN"/>
        </w:rPr>
        <w:t>县境内地势东北高，西南低，地形复杂多样，属低中山深丘窄谷长梁地貌。一般海拔700～1000m，最高为北部九龙山主峰1377.5m，最低为西南涧溪口352米，最大相对高差1025.5m。境内群山起伏，沟谷交错，沟谷长而窄，切深200～500m，谷坡40°以上，上下陡峭，域境中部较坦。从西部回水至石门至歧坪一线向东为界，南北地貌差别明显。按国家地貌区划指数可分中山窄谷、低山窄谷、高丘窄谷和河流阶地四种地貌类型。中山窄谷主要分布在北部九龙山、五凤山、龙亭山、光山子和大龙岗山控制区，占总面积的2.84%，海拔1000m以上，相对高度500～1000m，多呈桌状方山，山顶较平，山腰呈细长梯形平台，坡度大，切割深，沟长谷窄。低山窄谷分布在西部、中部和东部，占总面积73.73%，海拔500～1000m，相对高度100～500m，切割较深，坡度较大，沟谷狭长。高丘窄谷主要分布在中南部和西南部，占总面积22.38%，海拔在500m以下，相对高度200m以下，谷宽50～100m，多形成台状方山。河流阶地沿嘉陵江、东河两岸零星分布，占总面积1.05%，阶地一般高出河床5～10m，地势平坦，系上游带来的灰棕色、紫色沙泥岩风化物沉积，土层厚，面积小。</w:t>
      </w:r>
    </w:p>
    <w:p>
      <w:pPr>
        <w:bidi w:val="0"/>
        <w:rPr>
          <w:rFonts w:hint="default"/>
          <w:lang w:val="en-US" w:eastAsia="zh-CN"/>
        </w:rPr>
        <w:sectPr>
          <w:headerReference r:id="rId8" w:type="default"/>
          <w:foot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lang w:val="en-US" w:eastAsia="zh-CN"/>
        </w:rPr>
        <w:t>沙溪浩为嘉陵江左岸一级支流，发源于五龙镇石板村，于陵江镇沙溪村流入嘉陵江。沙溪浩为苍溪县界河，河流总流域面积60.2km2，长度21.689km，河道平均比降为16.84‰。流经苍溪县五龙镇、白鹤乡、浙水乡以及陵江镇4个乡镇。沙溪浩水系发育，自上而下的主要有五条支流，主要支流为红棺材沟、讨口子沟、徐家沟、周家沟及老柏树沟。</w:t>
      </w:r>
    </w:p>
    <w:p>
      <w:pPr>
        <w:pStyle w:val="19"/>
        <w:rPr>
          <w:rFonts w:hint="default"/>
        </w:rPr>
      </w:pPr>
    </w:p>
    <w:p>
      <w:pPr>
        <w:pStyle w:val="19"/>
        <w:jc w:val="center"/>
        <w:rPr>
          <w:rFonts w:hint="default" w:ascii="Times New Roman" w:hAnsi="Times New Roman"/>
        </w:rPr>
      </w:pPr>
      <w:r>
        <w:rPr>
          <w:rFonts w:hint="default" w:ascii="Times New Roman" w:hAnsi="Times New Roman"/>
        </w:rPr>
        <w:drawing>
          <wp:inline distT="0" distB="0" distL="114300" distR="114300">
            <wp:extent cx="8108315" cy="4505325"/>
            <wp:effectExtent l="9525" t="9525" r="20320" b="11430"/>
            <wp:docPr id="8" name="图片 44" descr="04沙溪浩水系图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4" descr="04沙溪浩水系图0000"/>
                    <pic:cNvPicPr>
                      <a:picLocks noChangeAspect="1"/>
                    </pic:cNvPicPr>
                  </pic:nvPicPr>
                  <pic:blipFill>
                    <a:blip r:embed="rId17"/>
                    <a:srcRect l="17938" t="35938" r="4919" b="32909"/>
                    <a:stretch>
                      <a:fillRect/>
                    </a:stretch>
                  </pic:blipFill>
                  <pic:spPr>
                    <a:xfrm>
                      <a:off x="0" y="0"/>
                      <a:ext cx="8108315" cy="4505325"/>
                    </a:xfrm>
                    <a:prstGeom prst="rect">
                      <a:avLst/>
                    </a:prstGeom>
                    <a:noFill/>
                    <a:ln w="9525" cap="flat" cmpd="sng">
                      <a:solidFill>
                        <a:srgbClr val="000000"/>
                      </a:solidFill>
                      <a:prstDash val="solid"/>
                      <a:miter/>
                      <a:headEnd type="none" w="med" len="med"/>
                      <a:tailEnd type="none" w="med" len="med"/>
                    </a:ln>
                  </pic:spPr>
                </pic:pic>
              </a:graphicData>
            </a:graphic>
          </wp:inline>
        </w:drawing>
      </w:r>
    </w:p>
    <w:p>
      <w:pPr>
        <w:pStyle w:val="19"/>
        <w:jc w:val="center"/>
        <w:rPr>
          <w:rFonts w:hint="eastAsia" w:ascii="Times New Roman" w:hAnsi="Times New Roman" w:cs="Times New Roman"/>
          <w:b/>
          <w:bCs/>
          <w:sz w:val="24"/>
          <w:szCs w:val="24"/>
          <w:lang w:val="en-US" w:eastAsia="zh-CN"/>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Times New Roman" w:hAnsi="Times New Roman" w:cs="Times New Roman"/>
          <w:b/>
          <w:bCs/>
          <w:sz w:val="24"/>
          <w:szCs w:val="24"/>
          <w:lang w:val="en-US" w:eastAsia="zh-CN"/>
        </w:rPr>
        <w:t>图1.1-1沙溪浩水系图</w:t>
      </w:r>
    </w:p>
    <w:p>
      <w:pPr>
        <w:pStyle w:val="19"/>
        <w:jc w:val="center"/>
        <w:rPr>
          <w:rFonts w:hint="default" w:ascii="Times New Roman" w:hAnsi="Times New Roman" w:cs="Times New Roman"/>
          <w:b/>
          <w:bCs/>
          <w:sz w:val="24"/>
          <w:szCs w:val="24"/>
          <w:lang w:val="en-US" w:eastAsia="zh-CN"/>
        </w:rPr>
      </w:pPr>
    </w:p>
    <w:p>
      <w:pPr>
        <w:wordWrap/>
        <w:autoSpaceDE/>
        <w:autoSpaceDN/>
        <w:adjustRightInd w:val="0"/>
        <w:snapToGrid w:val="0"/>
        <w:spacing w:before="166" w:beforeLines="50" w:after="166" w:afterLines="50" w:line="360" w:lineRule="auto"/>
        <w:ind w:firstLine="0" w:firstLineChars="0"/>
        <w:outlineLvl w:val="3"/>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1.1.1.2 气象特征</w:t>
      </w:r>
    </w:p>
    <w:p>
      <w:pPr>
        <w:bidi w:val="0"/>
        <w:rPr>
          <w:rFonts w:hint="default"/>
          <w:lang w:val="en-US" w:eastAsia="zh-CN"/>
        </w:rPr>
      </w:pPr>
      <w:r>
        <w:rPr>
          <w:rFonts w:hint="eastAsia"/>
          <w:lang w:val="en-US" w:eastAsia="zh-CN"/>
        </w:rPr>
        <w:t>苍溪县境属亚热带湿润季风气候区，气候温和，雨量丰沛，日照充足，四季分明。冬冷少雨干旱多寒潮，春暖风高物燥多干旱，夏炎雨水集中干旱突出，秋凉潮湿多绵雨和洪涝。苍溪县境累年年均降雨量，北部山区在1100—1300毫米之间，东部低山区多在900—1200毫米之间，西南部深丘地区多在800—1100毫米之间。县气象站多年平均降雨量1046.7毫米，最多为1605.1毫米，出现在1981年；最少为703.4毫米，出现在1986年。季降雨多集中在夏季，大部分区域平均降雨量在460—600毫米之间，占全年总降雨量46—50%；秋季次之，为280—350毫米之间，占全年总降雨量26—32%；春季降雨量为213.5毫米左右，约占全年总降雨量20%；冬季最少，平均降雨量35.4毫米，仅占全年总降雨量3%。全年各月降雨分配不均，最多是7月，为214.3毫米；9月次之，为185.5毫米；最少是12月，为9.8毫米。日降雨量在50.0毫米以上之暴雨多出现在4—10月；100.0毫米以上之大暴雨多出现在5—9月。县境多年平均日照时数为1490.9小时，最多1822.3小时（1978年），最少1154.2小时（1989年）。日照8月最多，达209.3小时，2月最少，仅72.6小时。多年平均太阳总辐射每平方厘米87.8千卡。月辐射8月最大，每平方厘米12.3千卡，12月最小，每平方厘米3千卡。</w:t>
      </w:r>
    </w:p>
    <w:p>
      <w:pPr>
        <w:bidi w:val="0"/>
        <w:rPr>
          <w:rFonts w:hint="eastAsia"/>
          <w:lang w:val="en-US" w:eastAsia="zh-CN"/>
        </w:rPr>
      </w:pPr>
      <w:r>
        <w:rPr>
          <w:rFonts w:hint="eastAsia"/>
          <w:lang w:val="en-US" w:eastAsia="zh-CN"/>
        </w:rPr>
        <w:t>苍溪县境内气候温和，多年平均气温16.7℃，最高年份为17.4℃（1963年、1966年、1978年），最低年份15.9℃（1989年）。累年各旬平均气温最高为8月上旬27.8℃，最低为1月上旬5.9℃。极端最高气温39.3℃（1961.7.14），最低气温-4.6℃（1975.12.15）。多年平均蒸发量1316.1mm，其中，平均陆面蒸发692.3mm，水面蒸发923.3mm。累年各月平均相对湿度67～79%。年无霜期288天。多年平均风速2.0m/s，实测最大风速21m/s。境内光温条件适宜多种作物生长，一般可满足三熟制的需要，南部冬季低温寒潮期短，少冻害，有利于亚热带作物越冬。县境多年平均地表径流量10.11亿m³，年均径流深437mm，多年平均地表径流总量239.07亿m³，其中本县产流水量10.11亿m³，东河入境水量228.96亿m³，流出境外237.49亿m³，年均拦蓄径流1.8亿m³。地下水储量0.37～0.65亿m³，径流模数0.5L/s·km2。</w:t>
      </w:r>
    </w:p>
    <w:p>
      <w:pPr>
        <w:pStyle w:val="16"/>
        <w:rPr>
          <w:rFonts w:hint="eastAsia"/>
        </w:rPr>
      </w:pPr>
    </w:p>
    <w:p>
      <w:pPr>
        <w:pStyle w:val="16"/>
        <w:rPr>
          <w:rFonts w:hint="eastAsia"/>
        </w:rPr>
      </w:pPr>
    </w:p>
    <w:p>
      <w:pPr>
        <w:wordWrap/>
        <w:autoSpaceDE/>
        <w:autoSpaceDN/>
        <w:adjustRightInd w:val="0"/>
        <w:snapToGrid w:val="0"/>
        <w:spacing w:before="166" w:beforeLines="50" w:after="166" w:afterLines="50" w:line="360" w:lineRule="auto"/>
        <w:ind w:firstLine="0" w:firstLineChars="0"/>
        <w:outlineLvl w:val="3"/>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1.1.1.3 水文特征</w:t>
      </w:r>
    </w:p>
    <w:p>
      <w:pPr>
        <w:bidi w:val="0"/>
        <w:rPr>
          <w:rFonts w:hint="default"/>
          <w:lang w:val="en-US" w:eastAsia="zh-CN"/>
        </w:rPr>
      </w:pPr>
      <w:r>
        <w:rPr>
          <w:rFonts w:hint="default"/>
          <w:lang w:val="en-US" w:eastAsia="zh-CN"/>
        </w:rPr>
        <w:t>流域内的降水在空间和时间上的分布都很不均匀，年平均雨量也大体从上游到下游呈递减趋势，但以支流涪江上游的鹿头山暴雨区中心地带为最大，而以支流白龙江上游地区及涪江中游地区为最小。流域多年平均降水量400～1700 mm, 降水量最大的地区在涪江上游安县、北川、椒园子一带，多年平均降水量达1200～1700 mm。其次降水量较大的地区在亭子口、雁门、上寺、三磊坝及昭化一带，年平均降水量1100～1200 mm。碧口以上由于地势较高，降水量在850 mm以下,尤其上游的麻亚寺、口塞、武都、文县一带年降水量在500～400 mm之间。降水在年内分配也极为不均，80%的雨量都集中在7、8、9三个月。</w:t>
      </w:r>
    </w:p>
    <w:p>
      <w:pPr>
        <w:wordWrap/>
        <w:autoSpaceDE/>
        <w:autoSpaceDN/>
        <w:adjustRightInd w:val="0"/>
        <w:snapToGrid w:val="0"/>
        <w:spacing w:before="166" w:beforeLines="50" w:after="166" w:afterLines="50" w:line="360" w:lineRule="auto"/>
        <w:ind w:firstLine="0" w:firstLineChars="0"/>
        <w:outlineLvl w:val="2"/>
        <w:rPr>
          <w:rFonts w:hint="default"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1.1.2 地质概况</w:t>
      </w:r>
    </w:p>
    <w:p>
      <w:pPr>
        <w:bidi w:val="0"/>
        <w:rPr>
          <w:rFonts w:hint="default"/>
          <w:lang w:val="en-US" w:eastAsia="zh-CN"/>
        </w:rPr>
      </w:pPr>
      <w:r>
        <w:rPr>
          <w:rFonts w:hint="eastAsia"/>
          <w:lang w:val="en-US" w:eastAsia="zh-CN"/>
        </w:rPr>
        <w:t>苍溪县境在大地构造上属扬子准地台之川中台坳，位于巨型新华夏系第三沉降带四川盆地之川西褶带，地质构造简单，多为不连续的穹窿短轴背斜构造。主要有苍溪、新场向斜、九龙山、龙干山、新观背斜，以及彭店、唐山穹窿。</w:t>
      </w:r>
    </w:p>
    <w:p>
      <w:pPr>
        <w:bidi w:val="0"/>
        <w:rPr>
          <w:rFonts w:hint="default"/>
          <w:lang w:val="en-US" w:eastAsia="zh-CN"/>
        </w:rPr>
      </w:pPr>
      <w:r>
        <w:rPr>
          <w:rFonts w:hint="eastAsia"/>
          <w:lang w:val="en-US" w:eastAsia="zh-CN"/>
        </w:rPr>
        <w:t>境内出露地层主要有白垩系下统城墙岩群，按沉积韵律和岩性特点分为苍溪组、白龙组和七曲寺组；其次是侏罗系上统蓬莱镇组；还有第四系堆积层沿嘉陵江和东河河谷分布。白垩系下统城墙岩群分布于三川、土鲤、东溪一线以南，岩性为灰黄、浅灰色钙质砂岩夹紫红色砂质泥岩、粉砂岩及砾岩。该组为河湖相沉积，一般岩层倾角不大，并以物理风化为主，因受冲沟切割被剥蚀。侏罗系上统蓬莱镇组沿三川、土鲤、东溪一线以北，分布亦为河湖相沉积，岩性为灰紫色长石灰岩、钙质石英砂岩与棕紫色泥岩等略厚互层，偶夹浅灰绿色泥灰岩，单层厚一般0.3～0.5m出露地层由北向南变化，岩性颗粒逐渐变细，泥质成分加重，粘土岩厚度由北向南逐渐增厚。从母质上讲，第四系冲积层最易被冲刷侵蚀，白垩系城墙岩群次之，侏罗系上统蓬莱镇组较小。</w:t>
      </w:r>
    </w:p>
    <w:p>
      <w:pPr>
        <w:bidi w:val="0"/>
        <w:rPr>
          <w:rFonts w:hint="default"/>
          <w:lang w:val="en-US" w:eastAsia="zh-CN"/>
        </w:rPr>
      </w:pPr>
      <w:r>
        <w:rPr>
          <w:rFonts w:hint="eastAsia"/>
          <w:lang w:val="en-US" w:eastAsia="zh-CN"/>
        </w:rPr>
        <w:t>区内出露除第四第松散堆积层外，多为白垩系城墙岩群剑门关组的褐紫红色的粘土岩、粉砂、砂岩。工程区地震动峰值加速度为0</w:t>
      </w:r>
      <w:r>
        <w:rPr>
          <w:rFonts w:hint="default"/>
          <w:lang w:val="en-US" w:eastAsia="zh-CN"/>
        </w:rPr>
        <w:t>.05g</w:t>
      </w:r>
      <w:r>
        <w:rPr>
          <w:rFonts w:hint="eastAsia"/>
          <w:lang w:val="en-US" w:eastAsia="zh-CN"/>
        </w:rPr>
        <w:t>，对应地震基本烈度Ⅵ度，区域构造稳定性好。</w:t>
      </w:r>
    </w:p>
    <w:p>
      <w:pPr>
        <w:wordWrap/>
        <w:autoSpaceDE/>
        <w:autoSpaceDN/>
        <w:adjustRightInd w:val="0"/>
        <w:snapToGrid w:val="0"/>
        <w:spacing w:before="166" w:beforeLines="50" w:after="166" w:afterLines="50" w:line="360" w:lineRule="auto"/>
        <w:ind w:firstLine="0" w:firstLineChars="0"/>
        <w:outlineLvl w:val="2"/>
        <w:rPr>
          <w:rFonts w:hint="default"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1.1.3 水文洪水</w:t>
      </w:r>
    </w:p>
    <w:p>
      <w:pPr>
        <w:bidi w:val="0"/>
        <w:rPr>
          <w:rFonts w:hint="default"/>
          <w:lang w:val="en-US" w:eastAsia="zh-CN"/>
        </w:rPr>
      </w:pPr>
      <w:r>
        <w:rPr>
          <w:rFonts w:hint="default"/>
          <w:lang w:val="en-US" w:eastAsia="zh-CN"/>
        </w:rPr>
        <w:t>根据《沙溪浩苍溪段一河一策实施方案》中河道流域特征的介绍，沙溪浩集雨面积为60.2km²，主河道长度21.689km，河道平均比降为16.84‰。流域特征值采用成果见表</w:t>
      </w:r>
      <w:r>
        <w:rPr>
          <w:rFonts w:hint="eastAsia"/>
          <w:lang w:val="en-US" w:eastAsia="zh-CN"/>
        </w:rPr>
        <w:t>1.1-1。</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8"/>
        <w:rPr>
          <w:rFonts w:hint="default" w:ascii="Times New Roman" w:hAnsi="Times New Roman" w:eastAsia="宋体" w:cs="Times New Roman"/>
          <w:b/>
          <w:kern w:val="0"/>
          <w:sz w:val="24"/>
          <w:szCs w:val="22"/>
          <w:lang w:val="en-US" w:eastAsia="zh-CN"/>
        </w:rPr>
      </w:pPr>
      <w:r>
        <w:rPr>
          <w:rFonts w:hint="default" w:ascii="Times New Roman" w:hAnsi="Times New Roman" w:eastAsia="宋体" w:cs="Times New Roman"/>
          <w:b/>
          <w:kern w:val="0"/>
          <w:sz w:val="24"/>
          <w:szCs w:val="22"/>
          <w:lang w:val="en-US" w:eastAsia="zh-CN"/>
        </w:rPr>
        <w:t>表</w:t>
      </w:r>
      <w:r>
        <w:rPr>
          <w:rFonts w:hint="eastAsia" w:ascii="Times New Roman" w:hAnsi="Times New Roman" w:eastAsia="宋体" w:cs="Times New Roman"/>
          <w:b/>
          <w:kern w:val="0"/>
          <w:sz w:val="24"/>
          <w:szCs w:val="22"/>
          <w:lang w:val="en-US" w:eastAsia="zh-CN"/>
        </w:rPr>
        <w:t>1.1-1</w:t>
      </w:r>
      <w:r>
        <w:rPr>
          <w:rFonts w:hint="eastAsia" w:ascii="Times New Roman" w:hAnsi="Times New Roman" w:cs="Times New Roman"/>
          <w:b/>
          <w:kern w:val="0"/>
          <w:sz w:val="24"/>
          <w:szCs w:val="22"/>
          <w:lang w:val="en-US" w:eastAsia="zh-CN"/>
        </w:rPr>
        <w:t xml:space="preserve">         </w:t>
      </w:r>
      <w:r>
        <w:rPr>
          <w:rFonts w:hint="eastAsia" w:cs="Times New Roman"/>
          <w:b/>
          <w:kern w:val="0"/>
          <w:sz w:val="24"/>
          <w:szCs w:val="22"/>
          <w:lang w:val="en-US" w:eastAsia="zh-CN"/>
        </w:rPr>
        <w:t>沙溪浩</w:t>
      </w:r>
      <w:r>
        <w:rPr>
          <w:rFonts w:hint="default" w:ascii="Times New Roman" w:hAnsi="Times New Roman" w:eastAsia="宋体" w:cs="Times New Roman"/>
          <w:b/>
          <w:kern w:val="0"/>
          <w:sz w:val="24"/>
          <w:szCs w:val="22"/>
          <w:lang w:val="en-US" w:eastAsia="zh-CN"/>
        </w:rPr>
        <w:t>设计流域特征值表</w:t>
      </w:r>
    </w:p>
    <w:tbl>
      <w:tblPr>
        <w:tblStyle w:val="2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842"/>
        <w:gridCol w:w="28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F（km²）</w:t>
            </w:r>
          </w:p>
        </w:tc>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L（km）</w:t>
            </w:r>
          </w:p>
        </w:tc>
        <w:tc>
          <w:tcPr>
            <w:tcW w:w="284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J（‰）</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60.2</w:t>
            </w:r>
          </w:p>
        </w:tc>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21.65</w:t>
            </w:r>
          </w:p>
        </w:tc>
        <w:tc>
          <w:tcPr>
            <w:tcW w:w="284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16.84</w:t>
            </w:r>
          </w:p>
        </w:tc>
      </w:tr>
    </w:tbl>
    <w:p>
      <w:pPr>
        <w:bidi w:val="0"/>
        <w:rPr>
          <w:rFonts w:hint="default"/>
          <w:lang w:val="en-US" w:eastAsia="zh-CN"/>
        </w:rPr>
      </w:pPr>
      <w:r>
        <w:rPr>
          <w:rFonts w:hint="default"/>
          <w:lang w:val="en-US" w:eastAsia="zh-CN"/>
        </w:rPr>
        <w:t>年最大1/6、1、6、24小时暴雨，由《四川省中小流域暴雨洪水计算手册》查读出各历时暴雨均值</w:t>
      </w:r>
      <w:r>
        <w:rPr>
          <w:rFonts w:hint="default"/>
          <w:lang w:val="en-US" w:eastAsia="zh-CN"/>
        </w:rPr>
        <w:object>
          <v:shape id="_x0000_i1025" o:spt="75" type="#_x0000_t75" style="height:16pt;width:13.95pt;" o:ole="t" filled="f" o:preferrelative="t" stroked="f" coordsize="21600,21600">
            <v:path/>
            <v:fill on="f" focussize="0,0"/>
            <v:stroke on="f"/>
            <v:imagedata r:id="rId19" o:title=""/>
            <o:lock v:ext="edit" grouping="f" rotation="f" text="f" aspectratio="t"/>
            <w10:wrap type="none"/>
            <w10:anchorlock/>
          </v:shape>
          <o:OLEObject Type="Embed" ProgID="Equation.3" ShapeID="_x0000_i1025" DrawAspect="Content" ObjectID="_1468075725" r:id="rId18">
            <o:LockedField>false</o:LockedField>
          </o:OLEObject>
        </w:object>
      </w:r>
      <w:r>
        <w:rPr>
          <w:rFonts w:hint="default"/>
          <w:lang w:val="en-US" w:eastAsia="zh-CN"/>
        </w:rPr>
        <w:t>、变差系数CV、皮尔逊Ⅲ型曲线模比系数KP值，则各时段设计频率年最大暴雨量HP按下式求得：</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26" o:spt="75" type="#_x0000_t75" style="height:19pt;width:70pt;" o:ole="t" filled="f" o:preferrelative="t" stroked="f" coordsize="21600,21600">
            <v:path/>
            <v:fill on="f" focussize="0,0"/>
            <v:stroke on="f"/>
            <v:imagedata r:id="rId21" o:title=""/>
            <o:lock v:ext="edit" grouping="f" rotation="f" text="f" aspectratio="t"/>
            <w10:wrap type="none"/>
            <w10:anchorlock/>
          </v:shape>
          <o:OLEObject Type="Embed" ProgID="Equation.3" ShapeID="_x0000_i1026" DrawAspect="Content" ObjectID="_1468075726" r:id="rId20">
            <o:LockedField>false</o:LockedField>
          </o:OLEObject>
        </w:object>
      </w:r>
      <w:r>
        <w:rPr>
          <w:rFonts w:hint="default" w:ascii="Times New Roman" w:hAnsi="Times New Roman" w:eastAsia="宋体" w:cs="Times New Roman"/>
          <w:sz w:val="24"/>
          <w:szCs w:val="24"/>
          <w:lang w:val="en-US" w:eastAsia="zh-CN"/>
        </w:rPr>
        <w:t>，计算成果见表</w:t>
      </w:r>
      <w:r>
        <w:rPr>
          <w:rFonts w:hint="eastAsia" w:ascii="Times New Roman" w:hAnsi="Times New Roman" w:eastAsia="宋体" w:cs="Times New Roman"/>
          <w:sz w:val="24"/>
          <w:szCs w:val="24"/>
          <w:lang w:val="en-US" w:eastAsia="zh-CN"/>
        </w:rPr>
        <w:t>1.1-2</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8"/>
        <w:rPr>
          <w:rFonts w:hint="default" w:ascii="Times New Roman" w:hAnsi="Times New Roman" w:eastAsia="宋体" w:cs="Times New Roman"/>
          <w:b/>
          <w:kern w:val="0"/>
          <w:sz w:val="24"/>
          <w:szCs w:val="22"/>
          <w:lang w:val="en-US" w:eastAsia="zh-CN"/>
        </w:rPr>
      </w:pPr>
      <w:r>
        <w:rPr>
          <w:rFonts w:hint="default" w:ascii="Times New Roman" w:hAnsi="Times New Roman" w:eastAsia="宋体" w:cs="Times New Roman"/>
          <w:b/>
          <w:kern w:val="0"/>
          <w:sz w:val="24"/>
          <w:szCs w:val="22"/>
          <w:lang w:val="en-US" w:eastAsia="zh-CN"/>
        </w:rPr>
        <w:t>表</w:t>
      </w:r>
      <w:r>
        <w:rPr>
          <w:rFonts w:hint="eastAsia" w:ascii="Times New Roman" w:hAnsi="Times New Roman" w:eastAsia="宋体" w:cs="Times New Roman"/>
          <w:b/>
          <w:kern w:val="0"/>
          <w:sz w:val="24"/>
          <w:szCs w:val="22"/>
          <w:lang w:val="en-US" w:eastAsia="zh-CN"/>
        </w:rPr>
        <w:t xml:space="preserve">1.1-2        </w:t>
      </w:r>
      <w:r>
        <w:rPr>
          <w:rFonts w:hint="default" w:ascii="Times New Roman" w:hAnsi="Times New Roman" w:eastAsia="宋体" w:cs="Times New Roman"/>
          <w:b/>
          <w:kern w:val="0"/>
          <w:sz w:val="24"/>
          <w:szCs w:val="22"/>
          <w:lang w:val="en-US" w:eastAsia="zh-CN"/>
        </w:rPr>
        <w:t>各时段设计频率年最大暴雨量成果表</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13"/>
        <w:gridCol w:w="1156"/>
        <w:gridCol w:w="1625"/>
        <w:gridCol w:w="840"/>
        <w:gridCol w:w="799"/>
        <w:gridCol w:w="799"/>
        <w:gridCol w:w="799"/>
        <w:gridCol w:w="659"/>
        <w:gridCol w:w="6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124" w:type="dxa"/>
            <w:vMerge w:val="restart"/>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时  段</w:t>
            </w:r>
          </w:p>
        </w:tc>
        <w:tc>
          <w:tcPr>
            <w:tcW w:w="1281" w:type="dxa"/>
            <w:vMerge w:val="restart"/>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暴雨均值</w:t>
            </w:r>
          </w:p>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object>
                <v:shape id="_x0000_i1027" o:spt="75" type="#_x0000_t75" style="height:16pt;width:13.95pt;" o:ole="t" filled="f" o:preferrelative="t" stroked="f" coordsize="21600,21600">
                  <v:path/>
                  <v:fill on="f" focussize="0,0"/>
                  <v:stroke on="f"/>
                  <v:imagedata r:id="rId19" o:title=""/>
                  <o:lock v:ext="edit" grouping="f" rotation="f" text="f" aspectratio="t"/>
                  <w10:wrap type="none"/>
                  <w10:anchorlock/>
                </v:shape>
                <o:OLEObject Type="Embed" ProgID="Equation.3" ShapeID="_x0000_i1027" DrawAspect="Content" ObjectID="_1468075727" r:id="rId22">
                  <o:LockedField>false</o:LockedField>
                </o:OLEObject>
              </w:object>
            </w:r>
            <w:r>
              <w:rPr>
                <w:rFonts w:hint="default" w:ascii="Times New Roman" w:hAnsi="Times New Roman" w:eastAsia="宋体" w:cs="Times New Roman"/>
                <w:b w:val="0"/>
                <w:bCs w:val="0"/>
                <w:i w:val="0"/>
                <w:iCs w:val="0"/>
                <w:kern w:val="0"/>
                <w:sz w:val="21"/>
                <w:szCs w:val="21"/>
              </w:rPr>
              <w:t>(mm)</w:t>
            </w:r>
          </w:p>
        </w:tc>
        <w:tc>
          <w:tcPr>
            <w:tcW w:w="1800" w:type="dxa"/>
            <w:vMerge w:val="restart"/>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变差系数CV</w:t>
            </w:r>
          </w:p>
        </w:tc>
        <w:tc>
          <w:tcPr>
            <w:tcW w:w="930" w:type="dxa"/>
            <w:vMerge w:val="restart"/>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eastAsia" w:cs="Times New Roman"/>
                <w:b w:val="0"/>
                <w:bCs w:val="0"/>
                <w:i w:val="0"/>
                <w:iCs w:val="0"/>
                <w:kern w:val="0"/>
                <w:sz w:val="21"/>
                <w:szCs w:val="21"/>
                <w:lang w:eastAsia="zh-CN"/>
              </w:rPr>
              <w:t>SXH</w:t>
            </w:r>
            <w:r>
              <w:rPr>
                <w:rFonts w:hint="default" w:ascii="Times New Roman" w:hAnsi="Times New Roman" w:eastAsia="宋体" w:cs="Times New Roman"/>
                <w:b w:val="0"/>
                <w:bCs w:val="0"/>
                <w:i w:val="0"/>
                <w:iCs w:val="0"/>
                <w:kern w:val="0"/>
                <w:sz w:val="21"/>
                <w:szCs w:val="21"/>
              </w:rPr>
              <w:t>/CV</w:t>
            </w:r>
          </w:p>
        </w:tc>
        <w:tc>
          <w:tcPr>
            <w:tcW w:w="4106" w:type="dxa"/>
            <w:gridSpan w:val="5"/>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设计频率年最大暴雨量</w:t>
            </w:r>
          </w:p>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object>
                <v:shape id="_x0000_i1028" o:spt="75" type="#_x0000_t75" style="height:17pt;width:19pt;" o:ole="t" filled="f" o:preferrelative="t" stroked="f" coordsize="21600,21600">
                  <v:path/>
                  <v:fill on="f" focussize="0,0"/>
                  <v:stroke on="f"/>
                  <v:imagedata r:id="rId24" o:title=""/>
                  <o:lock v:ext="edit" grouping="f" rotation="f" text="f" aspectratio="t"/>
                  <w10:wrap type="none"/>
                  <w10:anchorlock/>
                </v:shape>
                <o:OLEObject Type="Embed" ProgID="Equation.3" ShapeID="_x0000_i1028" DrawAspect="Content" ObjectID="_1468075728" r:id="rId23">
                  <o:LockedField>false</o:LockedField>
                </o:OLEObject>
              </w:object>
            </w:r>
            <w:r>
              <w:rPr>
                <w:rFonts w:hint="default" w:ascii="Times New Roman" w:hAnsi="Times New Roman" w:eastAsia="宋体" w:cs="Times New Roman"/>
                <w:b w:val="0"/>
                <w:bCs w:val="0"/>
                <w:i w:val="0"/>
                <w:iCs w:val="0"/>
                <w:kern w:val="0"/>
                <w:sz w:val="21"/>
                <w:szCs w:val="21"/>
              </w:rPr>
              <w:t>(mm)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124" w:type="dxa"/>
            <w:vMerge w:val="continue"/>
            <w:tcBorders>
              <w:tl2br w:val="nil"/>
              <w:tr2bl w:val="nil"/>
            </w:tcBorders>
            <w:noWrap w:val="0"/>
            <w:vAlign w:val="center"/>
          </w:tcPr>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p>
        </w:tc>
        <w:tc>
          <w:tcPr>
            <w:tcW w:w="1281" w:type="dxa"/>
            <w:vMerge w:val="continue"/>
            <w:tcBorders>
              <w:tl2br w:val="nil"/>
              <w:tr2bl w:val="nil"/>
            </w:tcBorders>
            <w:noWrap w:val="0"/>
            <w:vAlign w:val="center"/>
          </w:tcPr>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p>
        </w:tc>
        <w:tc>
          <w:tcPr>
            <w:tcW w:w="1800" w:type="dxa"/>
            <w:vMerge w:val="continue"/>
            <w:tcBorders>
              <w:tl2br w:val="nil"/>
              <w:tr2bl w:val="nil"/>
            </w:tcBorders>
            <w:noWrap w:val="0"/>
            <w:vAlign w:val="center"/>
          </w:tcPr>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p>
        </w:tc>
        <w:tc>
          <w:tcPr>
            <w:tcW w:w="930" w:type="dxa"/>
            <w:vMerge w:val="continue"/>
            <w:tcBorders>
              <w:tl2br w:val="nil"/>
              <w:tr2bl w:val="nil"/>
            </w:tcBorders>
            <w:noWrap w:val="0"/>
            <w:vAlign w:val="center"/>
          </w:tcPr>
          <w:p>
            <w:pPr>
              <w:pageBreakBefore w:val="0"/>
              <w:kinsoku/>
              <w:wordWrap/>
              <w:overflowPunct/>
              <w:topLinePunct w:val="0"/>
              <w:bidi w:val="0"/>
              <w:adjustRightInd w:val="0"/>
              <w:snapToGrid w:val="0"/>
              <w:spacing w:line="360" w:lineRule="auto"/>
              <w:jc w:val="center"/>
              <w:rPr>
                <w:rFonts w:hint="default" w:ascii="Times New Roman" w:hAnsi="Times New Roman" w:eastAsia="宋体" w:cs="Times New Roman"/>
                <w:b w:val="0"/>
                <w:bCs w:val="0"/>
                <w:i w:val="0"/>
                <w:iCs w:val="0"/>
                <w:kern w:val="0"/>
                <w:sz w:val="21"/>
                <w:szCs w:val="21"/>
              </w:rPr>
            </w:pP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1%</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2%</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5%</w:t>
            </w:r>
          </w:p>
        </w:tc>
        <w:tc>
          <w:tcPr>
            <w:tcW w:w="728"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10%</w:t>
            </w:r>
          </w:p>
        </w:tc>
        <w:tc>
          <w:tcPr>
            <w:tcW w:w="723"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12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1/6小时</w:t>
            </w:r>
          </w:p>
        </w:tc>
        <w:tc>
          <w:tcPr>
            <w:tcW w:w="1281"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16</w:t>
            </w:r>
          </w:p>
        </w:tc>
        <w:tc>
          <w:tcPr>
            <w:tcW w:w="180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eastAsia="zh-CN"/>
              </w:rPr>
            </w:pPr>
            <w:r>
              <w:rPr>
                <w:rFonts w:hint="default" w:ascii="Times New Roman" w:hAnsi="Times New Roman" w:eastAsia="宋体" w:cs="Times New Roman"/>
                <w:b w:val="0"/>
                <w:bCs w:val="0"/>
                <w:i w:val="0"/>
                <w:iCs w:val="0"/>
                <w:kern w:val="0"/>
                <w:sz w:val="21"/>
                <w:szCs w:val="21"/>
              </w:rPr>
              <w:t>0.3</w:t>
            </w:r>
            <w:r>
              <w:rPr>
                <w:rFonts w:hint="default" w:ascii="Times New Roman" w:hAnsi="Times New Roman" w:eastAsia="宋体" w:cs="Times New Roman"/>
                <w:b w:val="0"/>
                <w:bCs w:val="0"/>
                <w:i w:val="0"/>
                <w:iCs w:val="0"/>
                <w:kern w:val="0"/>
                <w:sz w:val="21"/>
                <w:szCs w:val="21"/>
                <w:lang w:val="en-US" w:eastAsia="zh-CN"/>
              </w:rPr>
              <w:t>7</w:t>
            </w:r>
          </w:p>
        </w:tc>
        <w:tc>
          <w:tcPr>
            <w:tcW w:w="93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3.5</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35.0</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31.8</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27.4</w:t>
            </w:r>
          </w:p>
        </w:tc>
        <w:tc>
          <w:tcPr>
            <w:tcW w:w="728"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24.0</w:t>
            </w:r>
          </w:p>
        </w:tc>
        <w:tc>
          <w:tcPr>
            <w:tcW w:w="723"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20.3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12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1小时</w:t>
            </w:r>
          </w:p>
        </w:tc>
        <w:tc>
          <w:tcPr>
            <w:tcW w:w="1281"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44</w:t>
            </w:r>
          </w:p>
        </w:tc>
        <w:tc>
          <w:tcPr>
            <w:tcW w:w="180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0.47</w:t>
            </w:r>
          </w:p>
        </w:tc>
        <w:tc>
          <w:tcPr>
            <w:tcW w:w="93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3.5</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114.4</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102.1</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84.9</w:t>
            </w:r>
          </w:p>
        </w:tc>
        <w:tc>
          <w:tcPr>
            <w:tcW w:w="728"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71.3</w:t>
            </w:r>
          </w:p>
        </w:tc>
        <w:tc>
          <w:tcPr>
            <w:tcW w:w="723"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58.1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12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6小时</w:t>
            </w:r>
          </w:p>
        </w:tc>
        <w:tc>
          <w:tcPr>
            <w:tcW w:w="1281"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77</w:t>
            </w:r>
          </w:p>
        </w:tc>
        <w:tc>
          <w:tcPr>
            <w:tcW w:w="180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0.50</w:t>
            </w:r>
          </w:p>
        </w:tc>
        <w:tc>
          <w:tcPr>
            <w:tcW w:w="93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3.5</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211.0</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186.3</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153.2</w:t>
            </w:r>
          </w:p>
        </w:tc>
        <w:tc>
          <w:tcPr>
            <w:tcW w:w="728"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127.8</w:t>
            </w:r>
          </w:p>
        </w:tc>
        <w:tc>
          <w:tcPr>
            <w:tcW w:w="723"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12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24小时</w:t>
            </w:r>
          </w:p>
        </w:tc>
        <w:tc>
          <w:tcPr>
            <w:tcW w:w="1281"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119</w:t>
            </w:r>
          </w:p>
        </w:tc>
        <w:tc>
          <w:tcPr>
            <w:tcW w:w="180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0.58</w:t>
            </w:r>
          </w:p>
        </w:tc>
        <w:tc>
          <w:tcPr>
            <w:tcW w:w="930"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rPr>
              <w:t>3.5</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368.9</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lang w:val="en-US"/>
              </w:rPr>
            </w:pPr>
            <w:r>
              <w:rPr>
                <w:rFonts w:hint="default" w:ascii="Times New Roman" w:hAnsi="Times New Roman" w:eastAsia="宋体" w:cs="Times New Roman"/>
                <w:b w:val="0"/>
                <w:bCs w:val="0"/>
                <w:i w:val="0"/>
                <w:iCs w:val="0"/>
                <w:kern w:val="0"/>
                <w:sz w:val="21"/>
                <w:szCs w:val="21"/>
                <w:lang w:val="en-US" w:eastAsia="zh-CN"/>
              </w:rPr>
              <w:t>320.1</w:t>
            </w:r>
          </w:p>
        </w:tc>
        <w:tc>
          <w:tcPr>
            <w:tcW w:w="885"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257.0</w:t>
            </w:r>
          </w:p>
        </w:tc>
        <w:tc>
          <w:tcPr>
            <w:tcW w:w="728"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208.3</w:t>
            </w:r>
          </w:p>
        </w:tc>
        <w:tc>
          <w:tcPr>
            <w:tcW w:w="723"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bCs w:val="0"/>
                <w:i w:val="0"/>
                <w:iCs w:val="0"/>
                <w:kern w:val="0"/>
                <w:sz w:val="21"/>
                <w:szCs w:val="21"/>
              </w:rPr>
            </w:pPr>
            <w:r>
              <w:rPr>
                <w:rFonts w:hint="default" w:ascii="Times New Roman" w:hAnsi="Times New Roman" w:eastAsia="宋体" w:cs="Times New Roman"/>
                <w:b w:val="0"/>
                <w:bCs w:val="0"/>
                <w:i w:val="0"/>
                <w:iCs w:val="0"/>
                <w:kern w:val="0"/>
                <w:sz w:val="21"/>
                <w:szCs w:val="21"/>
                <w:lang w:val="en-US" w:eastAsia="zh-CN"/>
              </w:rPr>
              <w:t>160.7</w:t>
            </w:r>
          </w:p>
        </w:tc>
      </w:tr>
    </w:tbl>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推理公式的基本关系式为：</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object>
          <v:shape id="_x0000_i1029" o:spt="75" type="#_x0000_t75" style="height:31pt;width:93pt;" o:ole="t" filled="f" o:preferrelative="t" stroked="f" coordsize="21600,21600">
            <v:path/>
            <v:fill on="f" alignshape="1" focussize="0,0"/>
            <v:stroke on="f"/>
            <v:imagedata r:id="rId26" o:title=""/>
            <o:lock v:ext="edit" aspectratio="t"/>
            <w10:wrap type="none"/>
            <w10:anchorlock/>
          </v:shape>
          <o:OLEObject Type="Embed" ProgID="Equation.3" ShapeID="_x0000_i1029" DrawAspect="Content" ObjectID="_1468075729" r:id="rId25">
            <o:LockedField>false</o:LockedField>
          </o:OLEObject>
        </w:objec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式中：</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30" o:spt="75" type="#_x0000_t75" style="height:17pt;width:17pt;" o:ole="t" filled="f" o:preferrelative="t" stroked="f" coordsize="21600,21600">
            <v:path/>
            <v:fill on="f" alignshape="1" focussize="0,0"/>
            <v:stroke on="f"/>
            <v:imagedata r:id="rId28" o:title=""/>
            <o:lock v:ext="edit" aspectratio="t"/>
            <w10:wrap type="none"/>
            <w10:anchorlock/>
          </v:shape>
          <o:OLEObject Type="Embed" ProgID="Equation.3" ShapeID="_x0000_i1030" DrawAspect="Content" ObjectID="_1468075730" r:id="rId27">
            <o:LockedField>false</o:LockedField>
          </o:OLEObject>
        </w:object>
      </w:r>
      <w:r>
        <w:rPr>
          <w:rFonts w:hint="default" w:ascii="Times New Roman" w:hAnsi="Times New Roman" w:eastAsia="宋体" w:cs="Times New Roman"/>
          <w:sz w:val="24"/>
          <w:szCs w:val="24"/>
          <w:lang w:val="en-US" w:eastAsia="zh-CN"/>
        </w:rPr>
        <w:t>—洪峰流量（m³/s）；</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31" o:spt="75" type="#_x0000_t75" style="height:13pt;width:12pt;" o:ole="t" filled="f" o:preferrelative="t" stroked="f" coordsize="21600,21600">
            <v:path/>
            <v:fill on="f" alignshape="1" focussize="0,0"/>
            <v:stroke on="f"/>
            <v:imagedata r:id="rId30" o:title=""/>
            <o:lock v:ext="edit" aspectratio="t"/>
            <w10:wrap type="none"/>
            <w10:anchorlock/>
          </v:shape>
          <o:OLEObject Type="Embed" ProgID="Equation.3" ShapeID="_x0000_i1031" DrawAspect="Content" ObjectID="_1468075731" r:id="rId29">
            <o:LockedField>false</o:LockedField>
          </o:OLEObject>
        </w:object>
      </w:r>
      <w:r>
        <w:rPr>
          <w:rFonts w:hint="default" w:ascii="Times New Roman" w:hAnsi="Times New Roman" w:eastAsia="宋体" w:cs="Times New Roman"/>
          <w:sz w:val="24"/>
          <w:szCs w:val="24"/>
          <w:lang w:val="en-US" w:eastAsia="zh-CN"/>
        </w:rPr>
        <w:t>—洪峰径流系数；</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32" o:spt="75" type="#_x0000_t75" style="height:12.75pt;width:10.4pt;" o:ole="t" filled="f" o:preferrelative="t" stroked="f" coordsize="21600,21600">
            <v:path/>
            <v:fill on="f" alignshape="1" focussize="0,0"/>
            <v:stroke on="f"/>
            <v:imagedata r:id="rId32" o:title=""/>
            <o:lock v:ext="edit" aspectratio="t"/>
            <w10:wrap type="none"/>
            <w10:anchorlock/>
          </v:shape>
          <o:OLEObject Type="Embed" ProgID="Equation.3" ShapeID="_x0000_i1032" DrawAspect="Content" ObjectID="_1468075732" r:id="rId31">
            <o:LockedField>false</o:LockedField>
          </o:OLEObject>
        </w:object>
      </w:r>
      <w:r>
        <w:rPr>
          <w:rFonts w:hint="default" w:ascii="Times New Roman" w:hAnsi="Times New Roman" w:eastAsia="宋体" w:cs="Times New Roman"/>
          <w:sz w:val="24"/>
          <w:szCs w:val="24"/>
          <w:lang w:val="en-US" w:eastAsia="zh-CN"/>
        </w:rPr>
        <w:t>—暴雨雨力，即最大1小时暴雨量（mm/h）；</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33" o:spt="75" type="#_x0000_t75" style="height:8.85pt;width:9.5pt;" o:ole="t" filled="f" o:preferrelative="t" stroked="f" coordsize="21600,21600">
            <v:path/>
            <v:fill on="f" alignshape="1" focussize="0,0"/>
            <v:stroke on="f"/>
            <v:imagedata r:id="rId34" o:title=""/>
            <o:lock v:ext="edit" aspectratio="t"/>
            <w10:wrap type="none"/>
            <w10:anchorlock/>
          </v:shape>
          <o:OLEObject Type="Embed" ProgID="Equation.3" ShapeID="_x0000_i1033" DrawAspect="Content" ObjectID="_1468075733" r:id="rId33">
            <o:LockedField>false</o:LockedField>
          </o:OLEObject>
        </w:object>
      </w:r>
      <w:r>
        <w:rPr>
          <w:rFonts w:hint="default" w:ascii="Times New Roman" w:hAnsi="Times New Roman" w:eastAsia="宋体" w:cs="Times New Roman"/>
          <w:sz w:val="24"/>
          <w:szCs w:val="24"/>
          <w:lang w:val="en-US" w:eastAsia="zh-CN"/>
        </w:rPr>
        <w:t>—暴雨公式的衰减指数；</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F—集水面积（km²）；</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object>
          <v:shape id="_x0000_i1034" o:spt="75" type="#_x0000_t75" style="height:11pt;width:10pt;" o:ole="t" filled="f" o:preferrelative="t" stroked="f" coordsize="21600,21600">
            <v:path/>
            <v:fill on="f" alignshape="1" focussize="0,0"/>
            <v:stroke on="f"/>
            <v:imagedata r:id="rId36" o:title=""/>
            <o:lock v:ext="edit" aspectratio="t"/>
            <w10:wrap type="none"/>
            <w10:anchorlock/>
          </v:shape>
          <o:OLEObject Type="Embed" ProgID="Equation.3" ShapeID="_x0000_i1034" DrawAspect="Content" ObjectID="_1468075734" r:id="rId35">
            <o:LockedField>false</o:LockedField>
          </o:OLEObject>
        </w:object>
      </w:r>
      <w:r>
        <w:rPr>
          <w:rFonts w:hint="default" w:ascii="Times New Roman" w:hAnsi="Times New Roman" w:eastAsia="宋体" w:cs="Times New Roman"/>
          <w:sz w:val="24"/>
          <w:szCs w:val="24"/>
          <w:lang w:val="en-US" w:eastAsia="zh-CN"/>
        </w:rPr>
        <w:t>—流域汇流时间（h）。</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① 流域特征值F、L、J、θ</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采用本次经复核的集雨面积F、主河道长L、平均坡度J，流域特征系数θ按下式求得：</w:t>
      </w:r>
      <w:r>
        <w:rPr>
          <w:rFonts w:hint="default" w:ascii="Times New Roman" w:hAnsi="Times New Roman" w:eastAsia="宋体" w:cs="Times New Roman"/>
          <w:sz w:val="24"/>
          <w:szCs w:val="24"/>
          <w:lang w:val="en-US" w:eastAsia="zh-CN"/>
        </w:rPr>
        <w:object>
          <v:shape id="_x0000_i1035" o:spt="75" type="#_x0000_t75" style="height:40pt;width:55pt;" o:ole="t" filled="f" o:preferrelative="t" stroked="f" coordsize="21600,21600">
            <v:path/>
            <v:fill on="f" alignshape="1" focussize="0,0"/>
            <v:stroke on="f"/>
            <v:imagedata r:id="rId38" o:title=""/>
            <o:lock v:ext="edit" aspectratio="t"/>
            <w10:wrap type="none"/>
            <w10:anchorlock/>
          </v:shape>
          <o:OLEObject Type="Embed" ProgID="Equation.3" ShapeID="_x0000_i1035" DrawAspect="Content" ObjectID="_1468075735" r:id="rId37">
            <o:LockedField>false</o:LockedField>
          </o:OLEObject>
        </w:object>
      </w:r>
      <w:r>
        <w:rPr>
          <w:rFonts w:hint="default" w:ascii="Times New Roman" w:hAnsi="Times New Roman" w:eastAsia="宋体" w:cs="Times New Roman"/>
          <w:sz w:val="24"/>
          <w:szCs w:val="24"/>
          <w:lang w:val="en-US" w:eastAsia="zh-CN"/>
        </w:rPr>
        <w:t>，计算成果见表</w:t>
      </w:r>
      <w:r>
        <w:rPr>
          <w:rFonts w:hint="eastAsia" w:ascii="Times New Roman" w:hAnsi="Times New Roman" w:eastAsia="宋体" w:cs="Times New Roman"/>
          <w:sz w:val="24"/>
          <w:szCs w:val="24"/>
          <w:lang w:val="en-US" w:eastAsia="zh-CN"/>
        </w:rPr>
        <w:t>1.1-3。</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8"/>
        <w:rPr>
          <w:rFonts w:hint="default" w:ascii="Times New Roman" w:hAnsi="Times New Roman" w:eastAsia="宋体" w:cs="Times New Roman"/>
          <w:b/>
          <w:kern w:val="0"/>
          <w:sz w:val="24"/>
          <w:szCs w:val="22"/>
          <w:lang w:val="en-US" w:eastAsia="zh-CN"/>
        </w:rPr>
      </w:pPr>
      <w:r>
        <w:rPr>
          <w:rFonts w:hint="default" w:ascii="Times New Roman" w:hAnsi="Times New Roman" w:eastAsia="宋体" w:cs="Times New Roman"/>
          <w:b/>
          <w:kern w:val="0"/>
          <w:sz w:val="24"/>
          <w:szCs w:val="22"/>
          <w:lang w:val="en-US" w:eastAsia="zh-CN"/>
        </w:rPr>
        <w:t>表</w:t>
      </w:r>
      <w:r>
        <w:rPr>
          <w:rFonts w:hint="eastAsia" w:ascii="Times New Roman" w:hAnsi="Times New Roman" w:eastAsia="宋体" w:cs="Times New Roman"/>
          <w:b/>
          <w:kern w:val="0"/>
          <w:sz w:val="24"/>
          <w:szCs w:val="22"/>
          <w:lang w:val="en-US" w:eastAsia="zh-CN"/>
        </w:rPr>
        <w:t>1.1-3</w:t>
      </w:r>
      <w:r>
        <w:rPr>
          <w:rFonts w:hint="eastAsia" w:ascii="Times New Roman" w:hAnsi="Times New Roman" w:cs="Times New Roman"/>
          <w:b/>
          <w:kern w:val="0"/>
          <w:sz w:val="24"/>
          <w:szCs w:val="22"/>
          <w:lang w:val="en-US" w:eastAsia="zh-CN"/>
        </w:rPr>
        <w:t xml:space="preserve">           </w:t>
      </w:r>
      <w:r>
        <w:rPr>
          <w:rFonts w:hint="eastAsia" w:cs="Times New Roman"/>
          <w:b/>
          <w:kern w:val="0"/>
          <w:sz w:val="24"/>
          <w:szCs w:val="22"/>
          <w:lang w:val="en-US" w:eastAsia="zh-CN"/>
        </w:rPr>
        <w:t>沙溪浩</w:t>
      </w:r>
      <w:r>
        <w:rPr>
          <w:rFonts w:hint="default" w:ascii="Times New Roman" w:hAnsi="Times New Roman" w:eastAsia="宋体" w:cs="Times New Roman"/>
          <w:b/>
          <w:kern w:val="0"/>
          <w:sz w:val="24"/>
          <w:szCs w:val="22"/>
          <w:lang w:val="en-US" w:eastAsia="zh-CN"/>
        </w:rPr>
        <w:t>设计流域特征值表</w:t>
      </w:r>
    </w:p>
    <w:tbl>
      <w:tblPr>
        <w:tblStyle w:val="2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2131"/>
        <w:gridCol w:w="2133"/>
        <w:gridCol w:w="21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F（km²）</w:t>
            </w:r>
          </w:p>
        </w:tc>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L（km）</w:t>
            </w:r>
          </w:p>
        </w:tc>
        <w:tc>
          <w:tcPr>
            <w:tcW w:w="284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rPr>
            </w:pPr>
            <w:r>
              <w:rPr>
                <w:rFonts w:hint="default" w:ascii="Times New Roman" w:hAnsi="Times New Roman" w:cs="Times New Roman"/>
                <w:b w:val="0"/>
                <w:bCs w:val="0"/>
                <w:i w:val="0"/>
                <w:iCs w:val="0"/>
                <w:kern w:val="0"/>
                <w:sz w:val="21"/>
                <w:szCs w:val="21"/>
              </w:rPr>
              <w:t>J（‰）</w:t>
            </w:r>
          </w:p>
        </w:tc>
        <w:tc>
          <w:tcPr>
            <w:tcW w:w="284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kern w:val="0"/>
                <w:sz w:val="21"/>
                <w:szCs w:val="21"/>
              </w:rPr>
            </w:pPr>
            <w:r>
              <w:rPr>
                <w:rFonts w:hint="default" w:ascii="Times New Roman" w:hAnsi="Times New Roman" w:eastAsia="宋体" w:cs="Times New Roman"/>
                <w:i/>
                <w:kern w:val="0"/>
                <w:sz w:val="21"/>
                <w:szCs w:val="21"/>
              </w:rPr>
              <w:t>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60.2</w:t>
            </w:r>
          </w:p>
        </w:tc>
        <w:tc>
          <w:tcPr>
            <w:tcW w:w="2842"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21.65</w:t>
            </w:r>
          </w:p>
        </w:tc>
        <w:tc>
          <w:tcPr>
            <w:tcW w:w="2844" w:type="dxa"/>
            <w:tcBorders>
              <w:tl2br w:val="nil"/>
              <w:tr2bl w:val="nil"/>
            </w:tcBorders>
            <w:noWrap w:val="0"/>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cs="Times New Roman"/>
                <w:b w:val="0"/>
                <w:bCs w:val="0"/>
                <w:i w:val="0"/>
                <w:iCs w:val="0"/>
                <w:color w:val="auto"/>
                <w:kern w:val="0"/>
                <w:szCs w:val="21"/>
                <w:lang w:val="en-US"/>
              </w:rPr>
            </w:pPr>
            <w:r>
              <w:rPr>
                <w:rFonts w:hint="default" w:ascii="Times New Roman" w:hAnsi="Times New Roman" w:cs="Times New Roman"/>
                <w:b w:val="0"/>
                <w:bCs w:val="0"/>
                <w:i w:val="0"/>
                <w:iCs w:val="0"/>
                <w:kern w:val="0"/>
                <w:sz w:val="21"/>
                <w:szCs w:val="21"/>
                <w:lang w:val="en-US" w:eastAsia="zh-CN"/>
              </w:rPr>
              <w:t>16.84</w:t>
            </w:r>
          </w:p>
        </w:tc>
        <w:tc>
          <w:tcPr>
            <w:tcW w:w="2844" w:type="dxa"/>
            <w:tcBorders>
              <w:tl2br w:val="nil"/>
              <w:tr2bl w:val="nil"/>
            </w:tcBorders>
            <w:noWrap w:val="0"/>
            <w:vAlign w:val="center"/>
          </w:tcPr>
          <w:p>
            <w:pPr>
              <w:pageBreakBefore w:val="0"/>
              <w:widowControl/>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b w:val="0"/>
                <w:bCs w:val="0"/>
                <w:i w:val="0"/>
                <w:iCs w:val="0"/>
                <w:kern w:val="0"/>
                <w:sz w:val="21"/>
                <w:szCs w:val="21"/>
                <w:lang w:val="en-US" w:eastAsia="zh-CN"/>
              </w:rPr>
            </w:pPr>
            <w:r>
              <w:rPr>
                <w:rFonts w:hint="default" w:ascii="Times New Roman" w:hAnsi="Times New Roman" w:eastAsia="宋体" w:cs="Times New Roman"/>
                <w:kern w:val="0"/>
                <w:sz w:val="21"/>
                <w:szCs w:val="21"/>
                <w:lang w:val="en-US" w:eastAsia="zh-CN" w:bidi="ar"/>
              </w:rPr>
              <w:t>30.323</w:t>
            </w:r>
          </w:p>
        </w:tc>
      </w:tr>
    </w:tbl>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② 产流参数μ和汇流参数m</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根据本流域自然地理条件及下垫面情况，产流参数μ及汇流参数m属盆缘山区。</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a.由《四川省中小流域暴雨洪水计算手册》中产流参数μ值综合成果表可知，</w:t>
      </w:r>
      <w:r>
        <w:rPr>
          <w:rFonts w:hint="default" w:ascii="Times New Roman" w:hAnsi="Times New Roman" w:eastAsia="宋体" w:cs="Times New Roman"/>
          <w:sz w:val="24"/>
          <w:szCs w:val="24"/>
          <w:lang w:eastAsia="zh-CN"/>
        </w:rPr>
        <w:object>
          <v:shape id="_x0000_i1036" o:spt="75" type="#_x0000_t75" style="height:18pt;width:81pt;" o:ole="t" filled="f" o:preferrelative="t" stroked="f" coordsize="21600,21600">
            <v:path/>
            <v:fill on="f" alignshape="1" focussize="0,0"/>
            <v:stroke on="f"/>
            <v:imagedata r:id="rId40" o:title=""/>
            <o:lock v:ext="edit" aspectratio="t"/>
            <w10:wrap type="none"/>
            <w10:anchorlock/>
          </v:shape>
          <o:OLEObject Type="Embed" ProgID="Equation.3" ShapeID="_x0000_i1036" DrawAspect="Content" ObjectID="_1468075736" r:id="rId39">
            <o:LockedField>false</o:LockedField>
          </o:OLEObject>
        </w:object>
      </w:r>
      <w:r>
        <w:rPr>
          <w:rFonts w:hint="default" w:ascii="Times New Roman" w:hAnsi="Times New Roman" w:eastAsia="宋体" w:cs="Times New Roman"/>
          <w:sz w:val="24"/>
          <w:szCs w:val="24"/>
          <w:lang w:eastAsia="zh-CN"/>
        </w:rPr>
        <w:t>（mm/h），Cv=0.23，</w:t>
      </w:r>
      <w:r>
        <w:rPr>
          <w:rFonts w:hint="default" w:ascii="Times New Roman" w:hAnsi="Times New Roman" w:cs="Times New Roman"/>
          <w:sz w:val="24"/>
          <w:szCs w:val="24"/>
          <w:lang w:eastAsia="zh-CN"/>
        </w:rPr>
        <w:t>SXH</w:t>
      </w:r>
      <w:r>
        <w:rPr>
          <w:rFonts w:hint="default" w:ascii="Times New Roman" w:hAnsi="Times New Roman" w:eastAsia="宋体" w:cs="Times New Roman"/>
          <w:sz w:val="24"/>
          <w:szCs w:val="24"/>
          <w:lang w:eastAsia="zh-CN"/>
        </w:rPr>
        <w:t>=3.5 Cv，查得相应的KP值，产流参数μ值按下式求得:</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object>
          <v:shape id="_x0000_i1037" o:spt="75" type="#_x0000_t75" style="height:18pt;width:81pt;" o:ole="t" filled="f" o:preferrelative="t" stroked="f" coordsize="21600,21600">
            <v:path/>
            <v:fill on="f" alignshape="1" focussize="0,0"/>
            <v:stroke on="f"/>
            <v:imagedata r:id="rId40" o:title=""/>
            <o:lock v:ext="edit" aspectratio="t"/>
            <w10:wrap type="none"/>
            <w10:anchorlock/>
          </v:shape>
          <o:OLEObject Type="Embed" ProgID="Equation.3" ShapeID="_x0000_i1037" DrawAspect="Content" ObjectID="_1468075737" r:id="rId41">
            <o:LockedField>false</o:LockedField>
          </o:OLEObject>
        </w:object>
      </w:r>
      <w:r>
        <w:rPr>
          <w:rFonts w:hint="default" w:ascii="Times New Roman" w:hAnsi="Times New Roman" w:eastAsia="宋体" w:cs="Times New Roman"/>
          <w:sz w:val="24"/>
          <w:szCs w:val="24"/>
          <w:lang w:eastAsia="zh-CN"/>
        </w:rPr>
        <w:t xml:space="preserve">     其中Cv=0.23，</w:t>
      </w:r>
      <w:r>
        <w:rPr>
          <w:rFonts w:hint="default" w:ascii="Times New Roman" w:hAnsi="Times New Roman" w:cs="Times New Roman"/>
          <w:sz w:val="24"/>
          <w:szCs w:val="24"/>
          <w:lang w:eastAsia="zh-CN"/>
        </w:rPr>
        <w:t>SXH</w:t>
      </w:r>
      <w:r>
        <w:rPr>
          <w:rFonts w:hint="default" w:ascii="Times New Roman" w:hAnsi="Times New Roman" w:eastAsia="宋体" w:cs="Times New Roman"/>
          <w:sz w:val="24"/>
          <w:szCs w:val="24"/>
          <w:lang w:eastAsia="zh-CN"/>
        </w:rPr>
        <w:t>=3.5 Cv。</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b.由《四川省中小流域暴雨洪水计算手册》中汇流参数m值综合成果表查得，θ=1～30时，汇流参数m值按下式求得：</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θ=1～30时，      m=0.318θ0.204</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流域特征系数</w:t>
      </w:r>
      <w:r>
        <w:rPr>
          <w:rFonts w:hint="default" w:ascii="Times New Roman" w:hAnsi="Times New Roman" w:eastAsia="宋体" w:cs="Times New Roman"/>
          <w:sz w:val="24"/>
          <w:szCs w:val="24"/>
          <w:lang w:eastAsia="zh-CN"/>
        </w:rPr>
        <w:object>
          <v:shape id="_x0000_i1038" o:spt="75" type="#_x0000_t75" style="height:40pt;width:55pt;" o:ole="t" filled="f" o:preferrelative="t" stroked="f" coordsize="21600,21600">
            <v:path/>
            <v:fill on="f" alignshape="1" focussize="0,0"/>
            <v:stroke on="f"/>
            <v:imagedata r:id="rId38" o:title=""/>
            <o:lock v:ext="edit" aspectratio="t"/>
            <w10:wrap type="none"/>
            <w10:anchorlock/>
          </v:shape>
          <o:OLEObject Type="Embed" ProgID="Equation.3" ShapeID="_x0000_i1038" DrawAspect="Content" ObjectID="_1468075738" r:id="rId42">
            <o:LockedField>false</o:LockedField>
          </o:OLEObject>
        </w:object>
      </w:r>
      <w:r>
        <w:rPr>
          <w:rFonts w:hint="default" w:ascii="Times New Roman" w:hAnsi="Times New Roman" w:eastAsia="宋体" w:cs="Times New Roman"/>
          <w:sz w:val="24"/>
          <w:szCs w:val="24"/>
          <w:lang w:eastAsia="zh-CN"/>
        </w:rPr>
        <w:t>，产流参数μ和汇流参数m计算成果见表</w:t>
      </w:r>
      <w:r>
        <w:rPr>
          <w:rFonts w:hint="eastAsia" w:ascii="Times New Roman" w:hAnsi="Times New Roman" w:eastAsia="宋体" w:cs="Times New Roman"/>
          <w:sz w:val="24"/>
          <w:szCs w:val="24"/>
          <w:lang w:val="en-US" w:eastAsia="zh-CN"/>
        </w:rPr>
        <w:t>1.1-6</w:t>
      </w:r>
      <w:r>
        <w:rPr>
          <w:rFonts w:hint="default" w:ascii="Times New Roman" w:hAnsi="Times New Roman" w:eastAsia="宋体" w:cs="Times New Roman"/>
          <w:sz w:val="24"/>
          <w:szCs w:val="24"/>
          <w:lang w:eastAsia="zh-CN"/>
        </w:rPr>
        <w:t>。</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③ 暴雨衰减指数n、暴雨雨力S</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由各时段暴雨量，采用《四川省中小流域暴雨洪水计算手册》中暴雨公式计算n及S：</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当历时1/6～1小时范围内时，</w:t>
      </w:r>
      <w:r>
        <w:rPr>
          <w:rFonts w:hint="default" w:ascii="Times New Roman" w:hAnsi="Times New Roman" w:eastAsia="宋体" w:cs="Times New Roman"/>
          <w:sz w:val="24"/>
          <w:szCs w:val="24"/>
          <w:lang w:eastAsia="zh-CN"/>
        </w:rPr>
        <w:object>
          <v:shape id="_x0000_i1039" o:spt="75" type="#_x0000_t75" style="height:35pt;width:116pt;" o:ole="t" filled="f" o:preferrelative="t" stroked="f" coordsize="21600,21600">
            <v:path/>
            <v:fill on="f" alignshape="1" focussize="0,0"/>
            <v:stroke on="f"/>
            <v:imagedata r:id="rId44" o:title=""/>
            <o:lock v:ext="edit" aspectratio="t"/>
            <w10:wrap type="none"/>
            <w10:anchorlock/>
          </v:shape>
          <o:OLEObject Type="Embed" ProgID="Equation.3" ShapeID="_x0000_i1039" DrawAspect="Content" ObjectID="_1468075739" r:id="rId43">
            <o:LockedField>false</o:LockedField>
          </o:OLEObject>
        </w:objec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object>
          <v:shape id="_x0000_i1040" o:spt="75" type="#_x0000_t75" style="height:17pt;width:48pt;" o:ole="t" filled="f" o:preferrelative="t" stroked="f" coordsize="21600,21600">
            <v:path/>
            <v:fill on="f" alignshape="1" focussize="0,0"/>
            <v:stroke on="f"/>
            <v:imagedata r:id="rId46" o:title=""/>
            <o:lock v:ext="edit" aspectratio="t"/>
            <w10:wrap type="none"/>
            <w10:anchorlock/>
          </v:shape>
          <o:OLEObject Type="Embed" ProgID="Equation.3" ShapeID="_x0000_i1040" DrawAspect="Content" ObjectID="_1468075740" r:id="rId45">
            <o:LockedField>false</o:LockedField>
          </o:OLEObject>
        </w:object>
      </w:r>
      <w:r>
        <w:rPr>
          <w:rFonts w:hint="default" w:ascii="Times New Roman" w:hAnsi="Times New Roman" w:eastAsia="宋体" w:cs="Times New Roman"/>
          <w:sz w:val="24"/>
          <w:szCs w:val="24"/>
          <w:lang w:eastAsia="zh-CN"/>
        </w:rPr>
        <w:t>；</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当历时1～6小时范围内时， </w:t>
      </w:r>
      <w:r>
        <w:rPr>
          <w:rFonts w:hint="default" w:ascii="Times New Roman" w:hAnsi="Times New Roman" w:eastAsia="宋体" w:cs="Times New Roman"/>
          <w:sz w:val="24"/>
          <w:szCs w:val="24"/>
          <w:lang w:eastAsia="zh-CN"/>
        </w:rPr>
        <w:object>
          <v:shape id="_x0000_i1041" o:spt="75" type="#_x0000_t75" style="height:35pt;width:110pt;" o:ole="t" filled="f" o:preferrelative="t" stroked="f" coordsize="21600,21600">
            <v:path/>
            <v:fill on="f" alignshape="1" focussize="0,0"/>
            <v:stroke on="f"/>
            <v:imagedata r:id="rId48" o:title=""/>
            <o:lock v:ext="edit" aspectratio="t"/>
            <w10:wrap type="none"/>
            <w10:anchorlock/>
          </v:shape>
          <o:OLEObject Type="Embed" ProgID="Equation.3" ShapeID="_x0000_i1041" DrawAspect="Content" ObjectID="_1468075741" r:id="rId47">
            <o:LockedField>false</o:LockedField>
          </o:OLEObject>
        </w:objec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object>
          <v:shape id="_x0000_i1042" o:spt="75" type="#_x0000_t75" style="height:17pt;width:48pt;" o:ole="t" filled="f" o:preferrelative="t" stroked="f" coordsize="21600,21600">
            <v:path/>
            <v:fill on="f" alignshape="1" focussize="0,0"/>
            <v:stroke on="f"/>
            <v:imagedata r:id="rId50" o:title=""/>
            <o:lock v:ext="edit" aspectratio="t"/>
            <w10:wrap type="none"/>
            <w10:anchorlock/>
          </v:shape>
          <o:OLEObject Type="Embed" ProgID="Equation.3" ShapeID="_x0000_i1042" DrawAspect="Content" ObjectID="_1468075742" r:id="rId49">
            <o:LockedField>false</o:LockedField>
          </o:OLEObject>
        </w:object>
      </w:r>
      <w:r>
        <w:rPr>
          <w:rFonts w:hint="default" w:ascii="Times New Roman" w:hAnsi="Times New Roman" w:eastAsia="宋体" w:cs="Times New Roman"/>
          <w:sz w:val="24"/>
          <w:szCs w:val="24"/>
          <w:lang w:eastAsia="zh-CN"/>
        </w:rPr>
        <w:t>；</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当历时6～24小时范围内时，</w:t>
      </w:r>
      <w:r>
        <w:rPr>
          <w:rFonts w:hint="default" w:ascii="Times New Roman" w:hAnsi="Times New Roman" w:eastAsia="宋体" w:cs="Times New Roman"/>
          <w:sz w:val="24"/>
          <w:szCs w:val="24"/>
          <w:lang w:eastAsia="zh-CN"/>
        </w:rPr>
        <w:object>
          <v:shape id="_x0000_i1043" o:spt="75" type="#_x0000_t75" style="height:35pt;width:113pt;" o:ole="t" filled="f" o:preferrelative="t" stroked="f" coordsize="21600,21600">
            <v:path/>
            <v:fill on="f" alignshape="1" focussize="0,0"/>
            <v:stroke on="f"/>
            <v:imagedata r:id="rId52" o:title=""/>
            <o:lock v:ext="edit" aspectratio="t"/>
            <w10:wrap type="none"/>
            <w10:anchorlock/>
          </v:shape>
          <o:OLEObject Type="Embed" ProgID="Equation.3" ShapeID="_x0000_i1043" DrawAspect="Content" ObjectID="_1468075743" r:id="rId51">
            <o:LockedField>false</o:LockedField>
          </o:OLEObject>
        </w:objec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CN"/>
        </w:rPr>
        <w:object>
          <v:shape id="_x0000_i1044" o:spt="75" type="#_x0000_t75" style="height:19pt;width:81pt;" o:ole="t" filled="f" o:preferrelative="t" stroked="f" coordsize="21600,21600">
            <v:path/>
            <v:fill on="f" alignshape="1" focussize="0,0"/>
            <v:stroke on="f"/>
            <v:imagedata r:id="rId54" o:title=""/>
            <o:lock v:ext="edit" aspectratio="t"/>
            <w10:wrap type="none"/>
            <w10:anchorlock/>
          </v:shape>
          <o:OLEObject Type="Embed" ProgID="Equation.3" ShapeID="_x0000_i1044" DrawAspect="Content" ObjectID="_1468075744" r:id="rId53">
            <o:LockedField>false</o:LockedField>
          </o:OLEObject>
        </w:object>
      </w:r>
      <w:r>
        <w:rPr>
          <w:rFonts w:hint="default" w:ascii="Times New Roman" w:hAnsi="Times New Roman" w:eastAsia="宋体" w:cs="Times New Roman"/>
          <w:sz w:val="24"/>
          <w:szCs w:val="24"/>
          <w:lang w:eastAsia="zh-CN"/>
        </w:rPr>
        <w:t>。</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经计算判定，本水库汇流时间在1/6～1小时范围内，暴雨衰减指数n及暴雨雨力S应按n1及相应S的计算公式计算，计算成果见表</w:t>
      </w:r>
      <w:r>
        <w:rPr>
          <w:rFonts w:hint="eastAsia" w:ascii="Times New Roman" w:hAnsi="Times New Roman" w:eastAsia="宋体" w:cs="Times New Roman"/>
          <w:sz w:val="24"/>
          <w:szCs w:val="24"/>
          <w:lang w:val="en-US" w:eastAsia="zh-CN"/>
        </w:rPr>
        <w:t>1.1-6</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④ψ=1的流域汇流时间</w:t>
      </w:r>
      <w:r>
        <w:rPr>
          <w:rFonts w:hint="default" w:ascii="Times New Roman" w:hAnsi="Times New Roman" w:eastAsia="宋体" w:cs="Times New Roman"/>
          <w:sz w:val="24"/>
          <w:szCs w:val="24"/>
          <w:lang w:eastAsia="zh-CN"/>
        </w:rPr>
        <w:object>
          <v:shape id="_x0000_i1045" o:spt="75" type="#_x0000_t75" style="height:18pt;width:13pt;" o:ole="t" filled="f" o:preferrelative="t" stroked="f" coordsize="21600,21600">
            <v:path/>
            <v:fill on="f" alignshape="1" focussize="0,0"/>
            <v:stroke on="f"/>
            <v:imagedata r:id="rId56" o:title=""/>
            <o:lock v:ext="edit" aspectratio="t"/>
            <w10:wrap type="none"/>
            <w10:anchorlock/>
          </v:shape>
          <o:OLEObject Type="Embed" ProgID="Equation.3" ShapeID="_x0000_i1045" DrawAspect="Content" ObjectID="_1468075745" r:id="rId55">
            <o:LockedField>false</o:LockedField>
          </o:OLEObject>
        </w:object>
      </w:r>
      <w:r>
        <w:rPr>
          <w:rFonts w:hint="default" w:ascii="Times New Roman" w:hAnsi="Times New Roman" w:eastAsia="宋体" w:cs="Times New Roman"/>
          <w:sz w:val="24"/>
          <w:szCs w:val="24"/>
          <w:lang w:eastAsia="zh-CN"/>
        </w:rPr>
        <w:t>、洪峰径流系数</w:t>
      </w:r>
      <w:r>
        <w:rPr>
          <w:rFonts w:hint="default" w:ascii="Times New Roman" w:hAnsi="Times New Roman" w:eastAsia="宋体" w:cs="Times New Roman"/>
          <w:sz w:val="24"/>
          <w:szCs w:val="24"/>
          <w:lang w:eastAsia="zh-CN"/>
        </w:rPr>
        <w:object>
          <v:shape id="_x0000_i1046" o:spt="75" type="#_x0000_t75" style="height:13pt;width:12pt;" o:ole="t" filled="f" o:preferrelative="t" stroked="f" coordsize="21600,21600">
            <v:path/>
            <v:fill on="f" alignshape="1" focussize="0,0"/>
            <v:stroke on="f"/>
            <v:imagedata r:id="rId58" o:title=""/>
            <o:lock v:ext="edit" aspectratio="t"/>
            <w10:wrap type="none"/>
            <w10:anchorlock/>
          </v:shape>
          <o:OLEObject Type="Embed" ProgID="Equation.3" ShapeID="_x0000_i1046" DrawAspect="Content" ObjectID="_1468075746" r:id="rId57">
            <o:LockedField>false</o:LockedField>
          </o:OLEObject>
        </w:object>
      </w:r>
      <w:r>
        <w:rPr>
          <w:rFonts w:hint="default" w:ascii="Times New Roman" w:hAnsi="Times New Roman" w:eastAsia="宋体" w:cs="Times New Roman"/>
          <w:sz w:val="24"/>
          <w:szCs w:val="24"/>
          <w:lang w:eastAsia="zh-CN"/>
        </w:rPr>
        <w:t>及流域汇流时间</w:t>
      </w:r>
      <w:r>
        <w:rPr>
          <w:rFonts w:hint="default" w:ascii="Times New Roman" w:hAnsi="Times New Roman" w:eastAsia="宋体" w:cs="Times New Roman"/>
          <w:sz w:val="24"/>
          <w:szCs w:val="24"/>
          <w:lang w:eastAsia="zh-CN"/>
        </w:rPr>
        <w:object>
          <v:shape id="_x0000_i1047" o:spt="75" type="#_x0000_t75" style="height:11pt;width:10pt;" o:ole="t" filled="f" o:preferrelative="t" stroked="f" coordsize="21600,21600">
            <v:path/>
            <v:fill on="f" alignshape="1" focussize="0,0"/>
            <v:stroke on="f"/>
            <v:imagedata r:id="rId60" o:title=""/>
            <o:lock v:ext="edit" aspectratio="t"/>
            <w10:wrap type="none"/>
            <w10:anchorlock/>
          </v:shape>
          <o:OLEObject Type="Embed" ProgID="Equation.3" ShapeID="_x0000_i1047" DrawAspect="Content" ObjectID="_1468075747" r:id="rId59">
            <o:LockedField>false</o:LockedField>
          </o:OLEObject>
        </w:objec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ψ=1的流域汇流时间</w:t>
      </w:r>
      <w:r>
        <w:rPr>
          <w:rFonts w:hint="default" w:ascii="Times New Roman" w:hAnsi="Times New Roman" w:eastAsia="宋体" w:cs="Times New Roman"/>
          <w:sz w:val="24"/>
          <w:szCs w:val="24"/>
          <w:lang w:eastAsia="zh-CN"/>
        </w:rPr>
        <w:object>
          <v:shape id="_x0000_i1048" o:spt="75" type="#_x0000_t75" style="height:18pt;width:13pt;" o:ole="t" filled="f" o:preferrelative="t" stroked="f" coordsize="21600,21600">
            <v:path/>
            <v:fill on="f" alignshape="1" focussize="0,0"/>
            <v:stroke on="f"/>
            <v:imagedata r:id="rId56" o:title=""/>
            <o:lock v:ext="edit" aspectratio="t"/>
            <w10:wrap type="none"/>
            <w10:anchorlock/>
          </v:shape>
          <o:OLEObject Type="Embed" ProgID="Equation.3" ShapeID="_x0000_i1048" DrawAspect="Content" ObjectID="_1468075748" r:id="rId61">
            <o:LockedField>false</o:LockedField>
          </o:OLEObject>
        </w:object>
      </w:r>
      <w:r>
        <w:rPr>
          <w:rFonts w:hint="default" w:ascii="Times New Roman" w:hAnsi="Times New Roman" w:eastAsia="宋体" w:cs="Times New Roman"/>
          <w:sz w:val="24"/>
          <w:szCs w:val="24"/>
          <w:lang w:eastAsia="zh-CN"/>
        </w:rPr>
        <w:t>按右式计算：</w:t>
      </w:r>
      <w:r>
        <w:rPr>
          <w:rFonts w:hint="default" w:ascii="Times New Roman" w:hAnsi="Times New Roman" w:eastAsia="宋体" w:cs="Times New Roman"/>
          <w:sz w:val="24"/>
          <w:szCs w:val="24"/>
          <w:lang w:eastAsia="zh-CN"/>
        </w:rPr>
        <w:object>
          <v:shape id="_x0000_i1049" o:spt="75" type="#_x0000_t75" style="height:71pt;width:87pt;" o:ole="t" filled="f" o:preferrelative="t" stroked="f" coordsize="21600,21600">
            <v:path/>
            <v:fill on="f" alignshape="1" focussize="0,0"/>
            <v:stroke on="f"/>
            <v:imagedata r:id="rId63" o:title=""/>
            <o:lock v:ext="edit" aspectratio="t"/>
            <w10:wrap type="none"/>
            <w10:anchorlock/>
          </v:shape>
          <o:OLEObject Type="Embed" ProgID="Equation.3" ShapeID="_x0000_i1049" DrawAspect="Content" ObjectID="_1468075749" r:id="rId62">
            <o:LockedField>false</o:LockedField>
          </o:OLEObject>
        </w:object>
      </w:r>
      <w:r>
        <w:rPr>
          <w:rFonts w:hint="default" w:ascii="Times New Roman" w:hAnsi="Times New Roman" w:eastAsia="宋体" w:cs="Times New Roman"/>
          <w:sz w:val="24"/>
          <w:szCs w:val="24"/>
          <w:lang w:eastAsia="zh-CN"/>
        </w:rPr>
        <w:t xml:space="preserve"> </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经计算判定，控制流域为全面汇流，洪峰径流系数ψ按下式计算：</w: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object>
          <v:shape id="_x0000_i1050" o:spt="75" type="#_x0000_t75" style="height:31pt;width:80pt;" o:ole="t" filled="f" o:preferrelative="t" stroked="f" coordsize="21600,21600">
            <v:path/>
            <v:fill on="f" alignshape="1" focussize="0,0"/>
            <v:stroke on="f"/>
            <v:imagedata r:id="rId65" o:title=""/>
            <o:lock v:ext="edit" aspectratio="t"/>
            <w10:wrap type="none"/>
            <w10:anchorlock/>
          </v:shape>
          <o:OLEObject Type="Embed" ProgID="Equation.3" ShapeID="_x0000_i1050" DrawAspect="Content" ObjectID="_1468075750" r:id="rId64">
            <o:LockedField>false</o:LockedField>
          </o:OLEObject>
        </w:object>
      </w:r>
    </w:p>
    <w:p>
      <w:pPr>
        <w:pageBreakBefore w:val="0"/>
        <w:kinsoku/>
        <w:wordWrap/>
        <w:overflowPunct/>
        <w:topLinePunct w:val="0"/>
        <w:bidi w:val="0"/>
        <w:spacing w:line="360" w:lineRule="auto"/>
        <w:ind w:firstLine="480" w:firstLineChars="200"/>
        <w:rPr>
          <w:rFonts w:hint="default" w:ascii="Times New Roman" w:hAnsi="Times New Roman" w:eastAsia="宋体" w:cs="Times New Roman"/>
          <w:bCs/>
          <w:sz w:val="24"/>
          <w:szCs w:val="24"/>
          <w:lang w:val="en-US"/>
        </w:rPr>
      </w:pPr>
      <w:r>
        <w:rPr>
          <w:rFonts w:hint="default" w:ascii="Times New Roman" w:hAnsi="Times New Roman" w:eastAsia="宋体" w:cs="Times New Roman"/>
          <w:sz w:val="24"/>
          <w:szCs w:val="24"/>
          <w:lang w:eastAsia="zh-CN"/>
        </w:rPr>
        <w:t>流域汇流时间</w:t>
      </w:r>
      <w:r>
        <w:rPr>
          <w:rFonts w:hint="default" w:ascii="Times New Roman" w:hAnsi="Times New Roman" w:eastAsia="宋体" w:cs="Times New Roman"/>
          <w:sz w:val="24"/>
          <w:szCs w:val="24"/>
          <w:lang w:eastAsia="zh-CN"/>
        </w:rPr>
        <w:object>
          <v:shape id="_x0000_i1051" o:spt="75" type="#_x0000_t75" style="height:11pt;width:10pt;" o:ole="t" filled="f" o:preferrelative="t" stroked="f" coordsize="21600,21600">
            <v:path/>
            <v:fill on="f" focussize="0,0"/>
            <v:stroke on="f"/>
            <v:imagedata r:id="rId67" o:title=""/>
            <o:lock v:ext="edit" rotation="f" text="f" aspectratio="t"/>
            <w10:wrap type="none"/>
            <w10:anchorlock/>
          </v:shape>
          <o:OLEObject Type="Embed" ProgID="" ShapeID="_x0000_i1051" DrawAspect="Content" ObjectID="_1468075751" r:id="rId66">
            <o:LockedField>false</o:LockedField>
          </o:OLEObject>
        </w:object>
      </w:r>
      <w:r>
        <w:rPr>
          <w:rFonts w:hint="default" w:ascii="Times New Roman" w:hAnsi="Times New Roman" w:eastAsia="宋体" w:cs="Times New Roman"/>
          <w:sz w:val="24"/>
          <w:szCs w:val="24"/>
          <w:lang w:eastAsia="zh-CN"/>
        </w:rPr>
        <w:t>按右式计算：</w:t>
      </w:r>
      <w:r>
        <w:rPr>
          <w:rFonts w:hint="default" w:ascii="Times New Roman" w:hAnsi="Times New Roman" w:eastAsia="宋体" w:cs="Times New Roman"/>
          <w:sz w:val="24"/>
          <w:szCs w:val="24"/>
          <w:lang w:eastAsia="zh-CN"/>
        </w:rPr>
        <w:object>
          <v:shape id="_x0000_i1052" o:spt="75" type="#_x0000_t75" style="height:28pt;width:60pt;" o:ole="t" filled="f" o:preferrelative="t" stroked="f" coordsize="21600,21600">
            <v:path/>
            <v:fill on="f" alignshape="1" focussize="0,0"/>
            <v:stroke on="f"/>
            <v:imagedata r:id="rId69" o:title=""/>
            <o:lock v:ext="edit" aspectratio="t"/>
            <w10:wrap type="none"/>
            <w10:anchorlock/>
          </v:shape>
          <o:OLEObject Type="Embed" ProgID="Equation.3" ShapeID="_x0000_i1052" DrawAspect="Content" ObjectID="_1468075752" r:id="rId68">
            <o:LockedField>false</o:LockedField>
          </o:OLEObject>
        </w:object>
      </w:r>
      <w:r>
        <w:rPr>
          <w:rFonts w:hint="default" w:ascii="Times New Roman" w:hAnsi="Times New Roman" w:eastAsia="宋体" w:cs="Times New Roman"/>
          <w:sz w:val="24"/>
          <w:szCs w:val="24"/>
          <w:lang w:eastAsia="zh-CN"/>
        </w:rPr>
        <w:t>，计算成果见表</w:t>
      </w:r>
      <w:r>
        <w:rPr>
          <w:rFonts w:hint="default" w:ascii="Times New Roman" w:hAnsi="Times New Roman" w:eastAsia="宋体" w:cs="Times New Roman"/>
          <w:sz w:val="24"/>
          <w:szCs w:val="24"/>
          <w:lang w:val="en-US" w:eastAsia="zh-CN"/>
        </w:rPr>
        <w:t>10。</w:t>
      </w:r>
      <w:r>
        <w:rPr>
          <w:rFonts w:hint="default" w:ascii="Times New Roman" w:hAnsi="Times New Roman" w:eastAsia="宋体" w:cs="Times New Roman"/>
          <w:sz w:val="24"/>
          <w:szCs w:val="24"/>
          <w:lang w:eastAsia="zh-CN"/>
        </w:rPr>
        <w:t>根据以上求得的各参数按推理公式计算设计洪峰流量，成果见表</w:t>
      </w:r>
      <w:r>
        <w:rPr>
          <w:rFonts w:hint="eastAsia" w:ascii="Times New Roman" w:hAnsi="Times New Roman" w:eastAsia="宋体" w:cs="Times New Roman"/>
          <w:sz w:val="24"/>
          <w:szCs w:val="24"/>
          <w:lang w:val="en-US" w:eastAsia="zh-CN"/>
        </w:rPr>
        <w:t>1.1-4</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8"/>
        <w:rPr>
          <w:rFonts w:hint="default" w:ascii="Times New Roman" w:hAnsi="Times New Roman" w:eastAsia="宋体" w:cs="Times New Roman"/>
          <w:b/>
          <w:kern w:val="0"/>
          <w:sz w:val="24"/>
          <w:szCs w:val="22"/>
          <w:lang w:val="en-US" w:eastAsia="zh-CN"/>
        </w:rPr>
      </w:pPr>
      <w:r>
        <w:rPr>
          <w:rFonts w:hint="default" w:ascii="Times New Roman" w:hAnsi="Times New Roman" w:eastAsia="宋体" w:cs="Times New Roman"/>
          <w:b/>
          <w:kern w:val="0"/>
          <w:sz w:val="24"/>
          <w:szCs w:val="22"/>
          <w:lang w:val="en-US" w:eastAsia="zh-CN"/>
        </w:rPr>
        <w:t>表</w:t>
      </w:r>
      <w:r>
        <w:rPr>
          <w:rFonts w:hint="eastAsia" w:ascii="Times New Roman" w:hAnsi="Times New Roman" w:eastAsia="宋体" w:cs="Times New Roman"/>
          <w:b/>
          <w:kern w:val="0"/>
          <w:sz w:val="24"/>
          <w:szCs w:val="22"/>
          <w:lang w:val="en-US" w:eastAsia="zh-CN"/>
        </w:rPr>
        <w:t>1.1-4</w:t>
      </w:r>
      <w:r>
        <w:rPr>
          <w:rFonts w:hint="eastAsia" w:ascii="Times New Roman" w:hAnsi="Times New Roman" w:cs="Times New Roman"/>
          <w:b/>
          <w:kern w:val="0"/>
          <w:sz w:val="24"/>
          <w:szCs w:val="22"/>
          <w:lang w:val="en-US" w:eastAsia="zh-CN"/>
        </w:rPr>
        <w:t xml:space="preserve">        </w:t>
      </w:r>
      <w:r>
        <w:rPr>
          <w:rFonts w:hint="eastAsia" w:cs="Times New Roman"/>
          <w:b/>
          <w:kern w:val="0"/>
          <w:sz w:val="24"/>
          <w:szCs w:val="22"/>
          <w:lang w:val="en-US" w:eastAsia="zh-CN"/>
        </w:rPr>
        <w:t>沙溪浩</w:t>
      </w:r>
      <w:r>
        <w:rPr>
          <w:rFonts w:hint="default" w:ascii="Times New Roman" w:hAnsi="Times New Roman" w:eastAsia="宋体" w:cs="Times New Roman"/>
          <w:b/>
          <w:kern w:val="0"/>
          <w:sz w:val="24"/>
          <w:szCs w:val="22"/>
          <w:lang w:val="en-US" w:eastAsia="zh-CN"/>
        </w:rPr>
        <w:t>设计洪水计算成果表（推理公式法）</w:t>
      </w:r>
    </w:p>
    <w:tbl>
      <w:tblPr>
        <w:tblStyle w:val="28"/>
        <w:tblW w:w="5000" w:type="pct"/>
        <w:tblInd w:w="9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5"/>
        <w:gridCol w:w="920"/>
        <w:gridCol w:w="896"/>
        <w:gridCol w:w="920"/>
        <w:gridCol w:w="907"/>
        <w:gridCol w:w="908"/>
        <w:gridCol w:w="971"/>
        <w:gridCol w:w="953"/>
        <w:gridCol w:w="11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P(％)</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ｎ</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ｓ</w:t>
            </w:r>
            <w:r>
              <w:rPr>
                <w:rFonts w:hint="default" w:ascii="Times New Roman" w:hAnsi="Times New Roman" w:eastAsia="宋体" w:cs="Times New Roman"/>
                <w:color w:val="000000" w:themeColor="text1"/>
                <w:kern w:val="0"/>
                <w:sz w:val="21"/>
                <w:szCs w:val="21"/>
                <w:vertAlign w:val="subscript"/>
                <w14:textFill>
                  <w14:solidFill>
                    <w14:schemeClr w14:val="tx1"/>
                  </w14:solidFill>
                </w14:textFill>
              </w:rPr>
              <w:t>p</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τ。</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μ</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Ψ</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τ</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i/>
                <w:color w:val="000000" w:themeColor="text1"/>
                <w:kern w:val="0"/>
                <w:sz w:val="21"/>
                <w:szCs w:val="21"/>
                <w14:textFill>
                  <w14:solidFill>
                    <w14:schemeClr w14:val="tx1"/>
                  </w14:solidFill>
                </w14:textFill>
              </w:rPr>
              <w:t>Q</w:t>
            </w:r>
            <w:r>
              <w:rPr>
                <w:rFonts w:hint="default" w:ascii="Times New Roman" w:hAnsi="Times New Roman" w:eastAsia="宋体" w:cs="Times New Roman"/>
                <w:color w:val="000000" w:themeColor="text1"/>
                <w:kern w:val="0"/>
                <w:sz w:val="21"/>
                <w:szCs w:val="21"/>
                <w:vertAlign w:val="subscript"/>
                <w14:textFill>
                  <w14:solidFill>
                    <w14:schemeClr w14:val="tx1"/>
                  </w14:solidFill>
                </w14:textFill>
              </w:rPr>
              <w:t>p</w:t>
            </w:r>
            <w:r>
              <w:rPr>
                <w:rFonts w:hint="default" w:ascii="Times New Roman" w:hAnsi="Times New Roman" w:eastAsia="宋体" w:cs="Times New Roman"/>
                <w:color w:val="000000" w:themeColor="text1"/>
                <w:kern w:val="0"/>
                <w:sz w:val="21"/>
                <w:szCs w:val="21"/>
                <w14:textFill>
                  <w14:solidFill>
                    <w14:schemeClr w14:val="tx1"/>
                  </w14:solidFill>
                </w14:textFill>
              </w:rPr>
              <w:t>(m</w:t>
            </w:r>
            <w:r>
              <w:rPr>
                <w:rFonts w:hint="default" w:ascii="Times New Roman" w:hAnsi="Times New Roman" w:eastAsia="宋体" w:cs="Times New Roman"/>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/s)</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0.597</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102.5</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7.772</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2.743</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0.900</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8.016</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445.4</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0.610</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92.6</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8.069</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2.578</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0.891</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8.350</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378.4</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5.0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0.627</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78.5</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8.564</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2.347</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0.874</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8.914</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291.3</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10.0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0.648</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68.0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9.060</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2.165</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0.854</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9.497</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226.1</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exact"/>
        </w:trPr>
        <w:tc>
          <w:tcPr>
            <w:tcW w:w="895" w:type="dxa"/>
            <w:tcBorders>
              <w:tl2br w:val="nil"/>
              <w:tr2bl w:val="nil"/>
            </w:tcBorders>
            <w:shd w:val="clear" w:color="auto" w:fill="auto"/>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0.670</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56.2</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9.732</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1.950</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0.825</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10.311</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162.7</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895" w:type="dxa"/>
            <w:tcBorders>
              <w:tl2br w:val="nil"/>
              <w:tr2bl w:val="nil"/>
            </w:tcBorders>
            <w:shd w:val="clear" w:color="auto" w:fill="auto"/>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50.00</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0.720</w:t>
            </w:r>
          </w:p>
        </w:tc>
        <w:tc>
          <w:tcPr>
            <w:tcW w:w="896"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40.1</w:t>
            </w:r>
          </w:p>
        </w:tc>
        <w:tc>
          <w:tcPr>
            <w:tcW w:w="920"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11.173</w:t>
            </w:r>
          </w:p>
        </w:tc>
        <w:tc>
          <w:tcPr>
            <w:tcW w:w="907"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1.603</w:t>
            </w:r>
          </w:p>
        </w:tc>
        <w:tc>
          <w:tcPr>
            <w:tcW w:w="90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0.750</w:t>
            </w:r>
          </w:p>
        </w:tc>
        <w:tc>
          <w:tcPr>
            <w:tcW w:w="9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12.198</w:t>
            </w:r>
          </w:p>
        </w:tc>
        <w:tc>
          <w:tcPr>
            <w:tcW w:w="953"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83.1</w:t>
            </w:r>
          </w:p>
        </w:tc>
        <w:tc>
          <w:tcPr>
            <w:tcW w:w="115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0.6376</w:t>
            </w:r>
          </w:p>
        </w:tc>
      </w:tr>
    </w:tbl>
    <w:p>
      <w:pPr>
        <w:pageBreakBefore w:val="0"/>
        <w:kinsoku/>
        <w:wordWrap/>
        <w:overflowPunct/>
        <w:topLinePunct w:val="0"/>
        <w:bidi w:val="0"/>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w:t>
      </w:r>
      <w:r>
        <w:rPr>
          <w:rFonts w:hint="default" w:ascii="Times New Roman" w:hAnsi="Times New Roman" w:eastAsia="宋体" w:cs="Times New Roman"/>
          <w:b/>
          <w:sz w:val="24"/>
          <w:szCs w:val="24"/>
        </w:rPr>
        <w:t>设计洪水成果合理性分析及采用值</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outlineLvl w:val="8"/>
        <w:rPr>
          <w:rFonts w:hint="default" w:ascii="Times New Roman" w:hAnsi="Times New Roman" w:eastAsia="宋体" w:cs="Times New Roman"/>
          <w:b/>
          <w:kern w:val="0"/>
          <w:sz w:val="24"/>
          <w:szCs w:val="22"/>
          <w:lang w:val="en-US" w:eastAsia="zh-CN"/>
        </w:rPr>
      </w:pPr>
      <w:bookmarkStart w:id="13" w:name="_Toc7556"/>
      <w:r>
        <w:rPr>
          <w:rFonts w:hint="default" w:ascii="Times New Roman" w:hAnsi="Times New Roman" w:eastAsia="宋体" w:cs="Times New Roman"/>
          <w:b/>
          <w:kern w:val="0"/>
          <w:sz w:val="24"/>
          <w:szCs w:val="22"/>
          <w:lang w:val="en-US" w:eastAsia="zh-CN"/>
        </w:rPr>
        <w:t>表</w:t>
      </w:r>
      <w:r>
        <w:rPr>
          <w:rFonts w:hint="eastAsia" w:ascii="Times New Roman" w:hAnsi="Times New Roman" w:eastAsia="宋体" w:cs="Times New Roman"/>
          <w:b/>
          <w:kern w:val="0"/>
          <w:sz w:val="24"/>
          <w:szCs w:val="22"/>
          <w:lang w:val="en-US" w:eastAsia="zh-CN"/>
        </w:rPr>
        <w:t>1.1-5</w:t>
      </w:r>
      <w:r>
        <w:rPr>
          <w:rFonts w:hint="eastAsia" w:ascii="Times New Roman" w:hAnsi="Times New Roman" w:cs="Times New Roman"/>
          <w:b/>
          <w:kern w:val="0"/>
          <w:sz w:val="24"/>
          <w:szCs w:val="22"/>
          <w:lang w:val="en-US" w:eastAsia="zh-CN"/>
        </w:rPr>
        <w:t xml:space="preserve">             </w:t>
      </w:r>
      <w:r>
        <w:rPr>
          <w:rFonts w:hint="default" w:ascii="Times New Roman" w:hAnsi="Times New Roman" w:eastAsia="宋体" w:cs="Times New Roman"/>
          <w:b/>
          <w:kern w:val="0"/>
          <w:sz w:val="24"/>
          <w:szCs w:val="22"/>
          <w:lang w:val="en-US" w:eastAsia="zh-CN"/>
        </w:rPr>
        <w:t>设计洪水成果对照表</w:t>
      </w:r>
      <w:bookmarkEnd w:id="13"/>
    </w:p>
    <w:tbl>
      <w:tblPr>
        <w:tblStyle w:val="28"/>
        <w:tblW w:w="5000" w:type="pct"/>
        <w:tblInd w:w="9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
        <w:gridCol w:w="969"/>
        <w:gridCol w:w="967"/>
        <w:gridCol w:w="967"/>
        <w:gridCol w:w="3529"/>
        <w:gridCol w:w="11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3673" w:type="dxa"/>
            <w:gridSpan w:val="4"/>
            <w:tcBorders>
              <w:tl2br w:val="nil"/>
              <w:tr2bl w:val="nil"/>
            </w:tcBorders>
            <w:shd w:val="clear" w:color="auto" w:fill="auto"/>
            <w:vAlign w:val="center"/>
          </w:tcPr>
          <w:p>
            <w:pPr>
              <w:pageBreakBefore w:val="0"/>
              <w:widowControl/>
              <w:kinsoku/>
              <w:wordWrap/>
              <w:overflowPunct/>
              <w:topLinePunct w:val="0"/>
              <w:bidi w:val="0"/>
              <w:spacing w:line="360" w:lineRule="auto"/>
              <w:jc w:val="center"/>
              <w:rPr>
                <w:rFonts w:hint="default" w:ascii="Times New Roman" w:hAnsi="Times New Roman" w:cs="Times New Roman" w:eastAsiaTheme="minorEastAsia"/>
                <w:kern w:val="0"/>
                <w:sz w:val="21"/>
                <w:szCs w:val="21"/>
                <w:lang w:eastAsia="zh-CN"/>
              </w:rPr>
            </w:pPr>
            <w:r>
              <w:rPr>
                <w:rFonts w:hint="default" w:ascii="Times New Roman" w:hAnsi="Times New Roman" w:cs="Times New Roman" w:eastAsiaTheme="minorEastAsia"/>
                <w:kern w:val="0"/>
                <w:sz w:val="21"/>
                <w:szCs w:val="21"/>
                <w:lang w:eastAsia="zh-CN"/>
              </w:rPr>
              <w:t>设计洪水成果</w:t>
            </w:r>
          </w:p>
        </w:tc>
        <w:tc>
          <w:tcPr>
            <w:tcW w:w="3348" w:type="dxa"/>
            <w:tcBorders>
              <w:tl2br w:val="nil"/>
              <w:tr2bl w:val="nil"/>
            </w:tcBorders>
            <w:shd w:val="clear" w:color="auto" w:fill="auto"/>
            <w:vAlign w:val="center"/>
          </w:tcPr>
          <w:p>
            <w:pPr>
              <w:pageBreakBefore w:val="0"/>
              <w:widowControl/>
              <w:kinsoku/>
              <w:wordWrap/>
              <w:overflowPunct/>
              <w:topLinePunct w:val="0"/>
              <w:bidi w:val="0"/>
              <w:spacing w:line="360" w:lineRule="auto"/>
              <w:jc w:val="center"/>
              <w:rPr>
                <w:rFonts w:hint="default" w:ascii="Times New Roman" w:hAnsi="Times New Roman" w:cs="Times New Roman" w:eastAsiaTheme="minorEastAsia"/>
                <w:kern w:val="0"/>
                <w:sz w:val="21"/>
                <w:szCs w:val="21"/>
                <w:lang w:eastAsia="zh-CN"/>
              </w:rPr>
            </w:pPr>
            <w:r>
              <w:rPr>
                <w:rFonts w:hint="default" w:ascii="Times New Roman" w:hAnsi="Times New Roman" w:cs="Times New Roman" w:eastAsiaTheme="minorEastAsia"/>
                <w:kern w:val="0"/>
                <w:sz w:val="21"/>
                <w:szCs w:val="21"/>
                <w:lang w:eastAsia="zh-CN"/>
              </w:rPr>
              <w:t>计算方法</w:t>
            </w:r>
          </w:p>
        </w:tc>
        <w:tc>
          <w:tcPr>
            <w:tcW w:w="1071" w:type="dxa"/>
            <w:tcBorders>
              <w:tl2br w:val="nil"/>
              <w:tr2bl w:val="nil"/>
            </w:tcBorders>
            <w:shd w:val="clear" w:color="auto" w:fill="auto"/>
            <w:vAlign w:val="center"/>
          </w:tcPr>
          <w:p>
            <w:pPr>
              <w:pageBreakBefore w:val="0"/>
              <w:widowControl/>
              <w:kinsoku/>
              <w:wordWrap/>
              <w:overflowPunct/>
              <w:topLinePunct w:val="0"/>
              <w:bidi w:val="0"/>
              <w:spacing w:line="360" w:lineRule="auto"/>
              <w:jc w:val="center"/>
              <w:rPr>
                <w:rFonts w:hint="default" w:ascii="Times New Roman" w:hAnsi="Times New Roman" w:cs="Times New Roman" w:eastAsiaTheme="minorEastAsia"/>
                <w:kern w:val="0"/>
                <w:sz w:val="21"/>
                <w:szCs w:val="21"/>
                <w:lang w:eastAsia="zh-CN"/>
              </w:rPr>
            </w:pPr>
            <w:r>
              <w:rPr>
                <w:rFonts w:hint="default" w:ascii="Times New Roman" w:hAnsi="Times New Roman" w:cs="Times New Roman" w:eastAsiaTheme="minorEastAsia"/>
                <w:kern w:val="0"/>
                <w:sz w:val="21"/>
                <w:szCs w:val="21"/>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6" w:hRule="exact"/>
        </w:trPr>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i w:val="0"/>
                <w:color w:val="auto"/>
                <w:kern w:val="0"/>
                <w:sz w:val="21"/>
                <w:szCs w:val="21"/>
                <w:u w:val="none"/>
                <w:lang w:val="en-US" w:eastAsia="zh-CN" w:bidi="ar"/>
              </w:rPr>
              <w:t>P=2%</w:t>
            </w:r>
          </w:p>
        </w:tc>
        <w:tc>
          <w:tcPr>
            <w:tcW w:w="9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i w:val="0"/>
                <w:color w:val="auto"/>
                <w:kern w:val="0"/>
                <w:sz w:val="21"/>
                <w:szCs w:val="21"/>
                <w:u w:val="none"/>
                <w:lang w:val="en-US" w:eastAsia="zh-CN" w:bidi="ar"/>
              </w:rPr>
              <w:t>P=5%</w:t>
            </w:r>
          </w:p>
        </w:tc>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i w:val="0"/>
                <w:color w:val="auto"/>
                <w:kern w:val="0"/>
                <w:sz w:val="21"/>
                <w:szCs w:val="21"/>
                <w:u w:val="none"/>
                <w:lang w:val="en-US" w:eastAsia="zh-CN" w:bidi="ar"/>
              </w:rPr>
              <w:t>P=10%</w:t>
            </w:r>
          </w:p>
        </w:tc>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i w:val="0"/>
                <w:color w:val="auto"/>
                <w:kern w:val="0"/>
                <w:sz w:val="21"/>
                <w:szCs w:val="21"/>
                <w:u w:val="none"/>
                <w:lang w:val="en-US" w:eastAsia="zh-CN" w:bidi="ar"/>
              </w:rPr>
              <w:t>P=20%</w:t>
            </w:r>
          </w:p>
        </w:tc>
        <w:tc>
          <w:tcPr>
            <w:tcW w:w="334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eastAsiaTheme="minorEastAsia"/>
                <w:color w:val="auto"/>
                <w:kern w:val="0"/>
                <w:sz w:val="21"/>
                <w:szCs w:val="21"/>
                <w:lang w:val="en-US" w:eastAsia="zh-CN"/>
              </w:rPr>
            </w:pPr>
          </w:p>
        </w:tc>
        <w:tc>
          <w:tcPr>
            <w:tcW w:w="10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eastAsiaTheme="minorEastAsia"/>
                <w:color w:val="auto"/>
                <w:kern w:val="0"/>
                <w:sz w:val="21"/>
                <w:szCs w:val="21"/>
                <w:lang w:val="en-US" w:eastAsia="zh-CN"/>
              </w:rPr>
            </w:pPr>
          </w:p>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eastAsiaTheme="minorEastAsia"/>
                <w:color w:val="auto"/>
                <w:kern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6" w:hRule="exact"/>
        </w:trPr>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946.6</w:t>
            </w:r>
          </w:p>
        </w:tc>
        <w:tc>
          <w:tcPr>
            <w:tcW w:w="91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749.1</w:t>
            </w:r>
          </w:p>
        </w:tc>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592.5</w:t>
            </w:r>
          </w:p>
        </w:tc>
        <w:tc>
          <w:tcPr>
            <w:tcW w:w="91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439.2</w:t>
            </w:r>
          </w:p>
        </w:tc>
        <w:tc>
          <w:tcPr>
            <w:tcW w:w="334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color w:val="auto"/>
                <w:kern w:val="0"/>
                <w:sz w:val="21"/>
                <w:szCs w:val="21"/>
                <w:lang w:val="en-US" w:eastAsia="zh-CN"/>
              </w:rPr>
              <w:t>面积比拟法</w:t>
            </w:r>
          </w:p>
        </w:tc>
        <w:tc>
          <w:tcPr>
            <w:tcW w:w="107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eastAsiaTheme="minorEastAsia"/>
                <w:color w:val="auto"/>
                <w:kern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378.4</w:t>
            </w:r>
          </w:p>
        </w:tc>
        <w:tc>
          <w:tcPr>
            <w:tcW w:w="919"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291.3</w:t>
            </w:r>
          </w:p>
        </w:tc>
        <w:tc>
          <w:tcPr>
            <w:tcW w:w="91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226.1</w:t>
            </w:r>
          </w:p>
        </w:tc>
        <w:tc>
          <w:tcPr>
            <w:tcW w:w="918"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162.7</w:t>
            </w:r>
          </w:p>
        </w:tc>
        <w:tc>
          <w:tcPr>
            <w:tcW w:w="3348" w:type="dxa"/>
            <w:tcBorders>
              <w:tl2br w:val="nil"/>
              <w:tr2bl w:val="nil"/>
            </w:tcBorders>
            <w:shd w:val="clear" w:color="auto" w:fill="auto"/>
            <w:vAlign w:val="center"/>
          </w:tcPr>
          <w:p>
            <w:pPr>
              <w:pageBreakBefore w:val="0"/>
              <w:widowControl/>
              <w:kinsoku/>
              <w:wordWrap/>
              <w:overflowPunct/>
              <w:topLinePunct w:val="0"/>
              <w:bidi w:val="0"/>
              <w:spacing w:line="360" w:lineRule="auto"/>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推理公式法</w:t>
            </w:r>
          </w:p>
        </w:tc>
        <w:tc>
          <w:tcPr>
            <w:tcW w:w="1071" w:type="dxa"/>
            <w:tcBorders>
              <w:tl2br w:val="nil"/>
              <w:tr2bl w:val="nil"/>
            </w:tcBorders>
            <w:shd w:val="clear" w:color="auto" w:fill="auto"/>
            <w:vAlign w:val="center"/>
          </w:tcPr>
          <w:p>
            <w:pPr>
              <w:pageBreakBefore w:val="0"/>
              <w:widowControl/>
              <w:kinsoku/>
              <w:wordWrap/>
              <w:overflowPunct/>
              <w:topLinePunct w:val="0"/>
              <w:bidi w:val="0"/>
              <w:spacing w:line="360" w:lineRule="auto"/>
              <w:ind w:left="0" w:leftChars="0" w:firstLine="0" w:firstLineChars="0"/>
              <w:jc w:val="center"/>
              <w:rPr>
                <w:rFonts w:hint="default" w:ascii="Times New Roman" w:hAnsi="Times New Roman" w:cs="Times New Roman" w:eastAsiaTheme="minorEastAsia"/>
                <w:kern w:val="0"/>
                <w:sz w:val="21"/>
                <w:szCs w:val="21"/>
                <w:lang w:val="en-US" w:eastAsia="zh-CN"/>
              </w:rPr>
            </w:pPr>
            <w:r>
              <w:rPr>
                <w:rFonts w:hint="default" w:ascii="Times New Roman" w:hAnsi="Times New Roman" w:cs="Times New Roman" w:eastAsiaTheme="minorEastAsia"/>
                <w:kern w:val="0"/>
                <w:sz w:val="21"/>
                <w:szCs w:val="21"/>
                <w:lang w:val="en-US" w:eastAsia="zh-CN"/>
              </w:rPr>
              <w:t>推荐成果</w:t>
            </w:r>
          </w:p>
        </w:tc>
      </w:tr>
    </w:tbl>
    <w:p>
      <w:pPr>
        <w:pStyle w:val="44"/>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水文比拟法中的面积修正指数，四川省的中小河流一般采用2/3，本阶段面积修正指数也采用2/3，计算沙溪浩的10年一遇洪峰流量（592.5m³/s），与推理公式计算的结果（226.1m³/s）相差较大。</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水文比拟法公式所示，其考虑降雨和流域面积相似的前提下进行全流域范围概化的比拟计算，该方法移用</w:t>
      </w:r>
      <w:r>
        <w:rPr>
          <w:rFonts w:hint="default" w:ascii="Times New Roman" w:hAnsi="Times New Roman" w:cs="Times New Roman"/>
          <w:kern w:val="2"/>
          <w:sz w:val="24"/>
          <w:szCs w:val="24"/>
          <w:lang w:val="en-US" w:eastAsia="zh-CN" w:bidi="ar-SA"/>
        </w:rPr>
        <w:t>三</w:t>
      </w:r>
      <w:r>
        <w:rPr>
          <w:rFonts w:hint="default" w:ascii="Times New Roman" w:hAnsi="Times New Roman" w:eastAsia="宋体" w:cs="Times New Roman"/>
          <w:kern w:val="2"/>
          <w:sz w:val="24"/>
          <w:szCs w:val="24"/>
          <w:lang w:val="en-US" w:eastAsia="zh-CN" w:bidi="ar-SA"/>
        </w:rPr>
        <w:t>川水文站的洪水成果。沙溪浩集水面积60.2km²，三川水文站的控制集水面积为303km²，后者是前者的5.03倍，面积相差较大。从方法适用性考虑，水文比拟法以流域相似性为前提，该相似性主要包括气候条件和自然地理特征的相似，本次比拟对象面积比值超出了水文比拟法的适用范围（一般控制为两流域集雨面积差别不超过20%），因为面积差别过大则两流域地理特征相似性显著降低，所计算结果可参考性也明显降低。而推理公式法适合于中小河流，这是在许多已建的中小型工程中得到广泛应用的。</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综上所述，沙溪浩控制集雨面积（60.2km²）较小，推理公式法适合于中小河流，这是在许多已建的中小型工程中得到广泛应用的。本次采用推理公式法计算的洪水成果：沙溪浩（P2%=</w:t>
      </w:r>
      <w:r>
        <w:rPr>
          <w:rFonts w:hint="default" w:ascii="Times New Roman" w:hAnsi="Times New Roman" w:cs="Times New Roman"/>
          <w:kern w:val="2"/>
          <w:sz w:val="24"/>
          <w:szCs w:val="24"/>
          <w:lang w:val="en-US" w:eastAsia="zh-CN" w:bidi="ar-SA"/>
        </w:rPr>
        <w:t>378.4</w:t>
      </w:r>
      <w:r>
        <w:rPr>
          <w:rFonts w:hint="default" w:ascii="Times New Roman" w:hAnsi="Times New Roman" w:eastAsia="宋体" w:cs="Times New Roman"/>
          <w:kern w:val="2"/>
          <w:sz w:val="24"/>
          <w:szCs w:val="24"/>
          <w:lang w:val="en-US" w:eastAsia="zh-CN" w:bidi="ar-SA"/>
        </w:rPr>
        <w:t>m³/s，P5%=</w:t>
      </w:r>
      <w:r>
        <w:rPr>
          <w:rFonts w:hint="default" w:ascii="Times New Roman" w:hAnsi="Times New Roman" w:cs="Times New Roman"/>
          <w:kern w:val="2"/>
          <w:sz w:val="24"/>
          <w:szCs w:val="24"/>
          <w:lang w:val="en-US" w:eastAsia="zh-CN" w:bidi="ar-SA"/>
        </w:rPr>
        <w:t>291.3</w:t>
      </w:r>
      <w:r>
        <w:rPr>
          <w:rFonts w:hint="default" w:ascii="Times New Roman" w:hAnsi="Times New Roman" w:eastAsia="宋体" w:cs="Times New Roman"/>
          <w:kern w:val="2"/>
          <w:sz w:val="24"/>
          <w:szCs w:val="24"/>
          <w:lang w:val="en-US" w:eastAsia="zh-CN" w:bidi="ar-SA"/>
        </w:rPr>
        <w:t>m³/s，P10%=</w:t>
      </w:r>
      <w:r>
        <w:rPr>
          <w:rFonts w:hint="default" w:ascii="Times New Roman" w:hAnsi="Times New Roman" w:cs="Times New Roman"/>
          <w:kern w:val="2"/>
          <w:sz w:val="24"/>
          <w:szCs w:val="24"/>
          <w:lang w:val="en-US" w:eastAsia="zh-CN" w:bidi="ar-SA"/>
        </w:rPr>
        <w:t>226.1</w:t>
      </w:r>
      <w:r>
        <w:rPr>
          <w:rFonts w:hint="default" w:ascii="Times New Roman" w:hAnsi="Times New Roman" w:eastAsia="宋体" w:cs="Times New Roman"/>
          <w:kern w:val="2"/>
          <w:sz w:val="24"/>
          <w:szCs w:val="24"/>
          <w:lang w:val="en-US" w:eastAsia="zh-CN" w:bidi="ar-SA"/>
        </w:rPr>
        <w:t>m³/s，P20%=</w:t>
      </w:r>
      <w:r>
        <w:rPr>
          <w:rFonts w:hint="default" w:ascii="Times New Roman" w:hAnsi="Times New Roman" w:cs="Times New Roman"/>
          <w:kern w:val="2"/>
          <w:sz w:val="24"/>
          <w:szCs w:val="24"/>
          <w:lang w:val="en-US" w:eastAsia="zh-CN" w:bidi="ar-SA"/>
        </w:rPr>
        <w:t>162.7</w:t>
      </w:r>
      <w:r>
        <w:rPr>
          <w:rFonts w:hint="default" w:ascii="Times New Roman" w:hAnsi="Times New Roman" w:eastAsia="宋体" w:cs="Times New Roman"/>
          <w:kern w:val="2"/>
          <w:sz w:val="24"/>
          <w:szCs w:val="24"/>
          <w:lang w:val="en-US" w:eastAsia="zh-CN" w:bidi="ar-SA"/>
        </w:rPr>
        <w:t>m³/s，P50%=</w:t>
      </w:r>
      <w:r>
        <w:rPr>
          <w:rFonts w:hint="default" w:ascii="Times New Roman" w:hAnsi="Times New Roman" w:cs="Times New Roman"/>
          <w:kern w:val="2"/>
          <w:sz w:val="24"/>
          <w:szCs w:val="24"/>
          <w:lang w:val="en-US" w:eastAsia="zh-CN" w:bidi="ar-SA"/>
        </w:rPr>
        <w:t>83.1</w:t>
      </w:r>
      <w:r>
        <w:rPr>
          <w:rFonts w:hint="default" w:ascii="Times New Roman" w:hAnsi="Times New Roman" w:eastAsia="宋体" w:cs="Times New Roman"/>
          <w:kern w:val="2"/>
          <w:sz w:val="24"/>
          <w:szCs w:val="24"/>
          <w:lang w:val="en-US" w:eastAsia="zh-CN" w:bidi="ar-SA"/>
        </w:rPr>
        <w:t>m³/s）。</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根据水文情势及控制集水面积</w:t>
      </w:r>
      <w:r>
        <w:rPr>
          <w:rFonts w:hint="default" w:ascii="Times New Roman" w:hAnsi="Times New Roman" w:cs="Times New Roman"/>
          <w:sz w:val="24"/>
          <w:szCs w:val="24"/>
          <w:lang w:eastAsia="zh-CN"/>
        </w:rPr>
        <w:t>，以及沙溪浩上游存在已建</w:t>
      </w:r>
      <w:r>
        <w:rPr>
          <w:rFonts w:hint="default" w:ascii="Times New Roman" w:hAnsi="Times New Roman" w:cs="Times New Roman"/>
          <w:sz w:val="24"/>
          <w:szCs w:val="24"/>
          <w:lang w:val="en-US" w:eastAsia="zh-CN"/>
        </w:rPr>
        <w:t>2座水库（大洋沟水库、小一型水库，碾子沟水库、小二型水库），</w:t>
      </w:r>
      <w:r>
        <w:rPr>
          <w:rFonts w:hint="default" w:ascii="Times New Roman" w:hAnsi="Times New Roman" w:cs="Times New Roman"/>
          <w:sz w:val="24"/>
          <w:szCs w:val="24"/>
        </w:rPr>
        <w:t>本工程将</w:t>
      </w:r>
      <w:r>
        <w:rPr>
          <w:rFonts w:hint="eastAsia" w:cs="Times New Roman"/>
          <w:sz w:val="24"/>
          <w:szCs w:val="24"/>
          <w:lang w:eastAsia="zh-CN"/>
        </w:rPr>
        <w:t>苍溪县沙溪浩</w:t>
      </w:r>
      <w:r>
        <w:rPr>
          <w:rFonts w:hint="default" w:ascii="Times New Roman" w:hAnsi="Times New Roman" w:cs="Times New Roman"/>
          <w:sz w:val="24"/>
          <w:szCs w:val="24"/>
        </w:rPr>
        <w:t>分为三段，控制集水面积分别为</w:t>
      </w:r>
      <w:r>
        <w:rPr>
          <w:rFonts w:hint="default" w:ascii="Times New Roman" w:hAnsi="Times New Roman" w:cs="Times New Roman"/>
          <w:sz w:val="24"/>
          <w:szCs w:val="24"/>
          <w:lang w:val="en-US" w:eastAsia="zh-CN"/>
        </w:rPr>
        <w:t>60.2</w:t>
      </w:r>
      <w:r>
        <w:rPr>
          <w:rFonts w:hint="default" w:ascii="Times New Roman" w:hAnsi="Times New Roman" w:cs="Times New Roman"/>
          <w:sz w:val="24"/>
          <w:szCs w:val="24"/>
        </w:rPr>
        <w:t>km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28</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45</w:t>
      </w:r>
      <w:r>
        <w:rPr>
          <w:rFonts w:hint="default" w:ascii="Times New Roman" w:hAnsi="Times New Roman" w:cs="Times New Roman"/>
          <w:sz w:val="24"/>
          <w:szCs w:val="24"/>
        </w:rPr>
        <w:t>）</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31.56</w:t>
      </w:r>
      <w:r>
        <w:rPr>
          <w:rFonts w:hint="default" w:ascii="Times New Roman" w:hAnsi="Times New Roman" w:cs="Times New Roman"/>
          <w:sz w:val="24"/>
          <w:szCs w:val="24"/>
        </w:rPr>
        <w:t>km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22</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27</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25.4</w:t>
      </w:r>
      <w:r>
        <w:rPr>
          <w:rFonts w:hint="default" w:ascii="Times New Roman" w:hAnsi="Times New Roman" w:cs="Times New Roman"/>
          <w:sz w:val="24"/>
          <w:szCs w:val="24"/>
        </w:rPr>
        <w:t>km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04</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21</w:t>
      </w:r>
      <w:r>
        <w:rPr>
          <w:rFonts w:hint="default" w:ascii="Times New Roman" w:hAnsi="Times New Roman" w:cs="Times New Roman"/>
          <w:sz w:val="24"/>
          <w:szCs w:val="24"/>
        </w:rPr>
        <w:t>）</w:t>
      </w:r>
      <w:r>
        <w:rPr>
          <w:rFonts w:hint="default" w:ascii="Times New Roman" w:hAnsi="Times New Roman" w:cs="Times New Roman"/>
          <w:sz w:val="24"/>
          <w:szCs w:val="24"/>
          <w:lang w:eastAsia="zh-CN"/>
        </w:rPr>
        <w:t>和</w:t>
      </w:r>
      <w:r>
        <w:rPr>
          <w:rFonts w:hint="default" w:ascii="Times New Roman" w:hAnsi="Times New Roman" w:cs="Times New Roman"/>
          <w:sz w:val="24"/>
          <w:szCs w:val="24"/>
          <w:lang w:val="en-US" w:eastAsia="zh-CN"/>
        </w:rPr>
        <w:t>0.28</w:t>
      </w:r>
      <w:r>
        <w:rPr>
          <w:rFonts w:hint="default" w:ascii="Times New Roman" w:hAnsi="Times New Roman" w:cs="Times New Roman"/>
          <w:sz w:val="24"/>
          <w:szCs w:val="24"/>
        </w:rPr>
        <w:t>km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01</w:t>
      </w:r>
      <w:r>
        <w:rPr>
          <w:rFonts w:hint="default" w:ascii="Times New Roman" w:hAnsi="Times New Roman" w:cs="Times New Roman"/>
          <w:sz w:val="24"/>
          <w:szCs w:val="24"/>
        </w:rPr>
        <w:t>～</w:t>
      </w:r>
      <w:r>
        <w:rPr>
          <w:rFonts w:hint="eastAsia" w:cs="Times New Roman"/>
          <w:sz w:val="24"/>
          <w:szCs w:val="24"/>
          <w:lang w:eastAsia="zh-CN"/>
        </w:rPr>
        <w:t>SXH</w:t>
      </w:r>
      <w:r>
        <w:rPr>
          <w:rFonts w:hint="default" w:ascii="Times New Roman" w:hAnsi="Times New Roman" w:cs="Times New Roman"/>
          <w:sz w:val="24"/>
          <w:szCs w:val="24"/>
          <w:lang w:val="en-US" w:eastAsia="zh-CN"/>
        </w:rPr>
        <w:t>-</w:t>
      </w:r>
      <w:r>
        <w:rPr>
          <w:rFonts w:hint="eastAsia" w:cs="Times New Roman"/>
          <w:sz w:val="24"/>
          <w:szCs w:val="24"/>
          <w:lang w:val="en-US" w:eastAsia="zh-CN"/>
        </w:rPr>
        <w:t>03</w:t>
      </w:r>
      <w:r>
        <w:rPr>
          <w:rFonts w:hint="default" w:ascii="Times New Roman" w:hAnsi="Times New Roman" w:cs="Times New Roman"/>
          <w:sz w:val="24"/>
          <w:szCs w:val="24"/>
        </w:rPr>
        <w:t>）</w:t>
      </w:r>
      <w:r>
        <w:rPr>
          <w:rFonts w:hint="eastAsia" w:cs="Times New Roman"/>
          <w:sz w:val="24"/>
          <w:szCs w:val="24"/>
          <w:lang w:eastAsia="zh-CN"/>
        </w:rPr>
        <w:t>，</w:t>
      </w:r>
      <w:r>
        <w:rPr>
          <w:rFonts w:hint="eastAsia" w:cs="Times New Roman"/>
          <w:sz w:val="24"/>
          <w:szCs w:val="24"/>
          <w:lang w:val="en-US" w:eastAsia="zh-CN"/>
        </w:rPr>
        <w:t>SXH-46位于嘉陵江</w:t>
      </w:r>
      <w:r>
        <w:rPr>
          <w:rFonts w:hint="default" w:ascii="Times New Roman" w:hAnsi="Times New Roman" w:cs="Times New Roman"/>
          <w:sz w:val="24"/>
          <w:szCs w:val="24"/>
        </w:rPr>
        <w:t>。</w:t>
      </w:r>
      <w:r>
        <w:rPr>
          <w:rFonts w:hint="eastAsia" w:ascii="Times New Roman" w:hAnsi="Times New Roman" w:cs="Times New Roman"/>
          <w:sz w:val="24"/>
          <w:szCs w:val="24"/>
          <w:lang w:eastAsia="zh-CN"/>
        </w:rPr>
        <w:t>分别采用推理公式法</w:t>
      </w:r>
      <w:r>
        <w:rPr>
          <w:rFonts w:hint="default" w:ascii="Times New Roman" w:hAnsi="Times New Roman" w:cs="Times New Roman"/>
          <w:sz w:val="24"/>
          <w:szCs w:val="24"/>
        </w:rPr>
        <w:t>设计洪水成果见表</w:t>
      </w:r>
      <w:r>
        <w:rPr>
          <w:rFonts w:hint="eastAsia" w:ascii="Times New Roman" w:hAnsi="Times New Roman" w:cs="Times New Roman"/>
          <w:sz w:val="24"/>
          <w:szCs w:val="24"/>
          <w:lang w:val="en-US" w:eastAsia="zh-CN"/>
        </w:rPr>
        <w:t>1.1-6 ~ 1.1-7</w:t>
      </w:r>
      <w:r>
        <w:rPr>
          <w:rFonts w:hint="default" w:ascii="Times New Roman" w:hAnsi="Times New Roman" w:cs="Times New Roman"/>
          <w:sz w:val="24"/>
          <w:szCs w:val="24"/>
        </w:rPr>
        <w:t>。</w:t>
      </w:r>
    </w:p>
    <w:p>
      <w:pPr>
        <w:pStyle w:val="16"/>
        <w:rPr>
          <w:rFonts w:hint="default" w:ascii="Times New Roman" w:hAnsi="Times New Roman" w:cs="Times New Roman"/>
          <w:sz w:val="24"/>
          <w:szCs w:val="24"/>
        </w:rPr>
      </w:pPr>
    </w:p>
    <w:p>
      <w:pPr>
        <w:pStyle w:val="16"/>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8"/>
        <w:rPr>
          <w:rFonts w:hint="default" w:ascii="Times New Roman" w:hAnsi="Times New Roman" w:cs="Times New Roman"/>
          <w:b/>
          <w:sz w:val="24"/>
          <w:szCs w:val="22"/>
        </w:rPr>
      </w:pPr>
      <w:r>
        <w:rPr>
          <w:rFonts w:hint="default" w:ascii="Times New Roman" w:hAnsi="Times New Roman" w:cs="Times New Roman"/>
          <w:b/>
          <w:sz w:val="24"/>
          <w:szCs w:val="22"/>
        </w:rPr>
        <w:t>表</w:t>
      </w:r>
      <w:r>
        <w:rPr>
          <w:rFonts w:hint="eastAsia" w:ascii="Times New Roman" w:hAnsi="Times New Roman" w:cs="Times New Roman"/>
          <w:b/>
          <w:sz w:val="24"/>
          <w:szCs w:val="22"/>
          <w:lang w:val="en-US" w:eastAsia="zh-CN"/>
        </w:rPr>
        <w:t>1.1-6</w:t>
      </w:r>
      <w:r>
        <w:rPr>
          <w:rFonts w:hint="default" w:ascii="Times New Roman" w:hAnsi="Times New Roman" w:cs="Times New Roman"/>
          <w:b/>
          <w:sz w:val="24"/>
          <w:szCs w:val="22"/>
        </w:rPr>
        <w:t xml:space="preserve"> </w:t>
      </w:r>
      <w:r>
        <w:rPr>
          <w:rFonts w:hint="eastAsia" w:cs="Times New Roman"/>
          <w:b/>
          <w:sz w:val="24"/>
          <w:szCs w:val="22"/>
          <w:lang w:val="en-US" w:eastAsia="zh-CN"/>
        </w:rPr>
        <w:t xml:space="preserve">             </w:t>
      </w:r>
      <w:r>
        <w:rPr>
          <w:rFonts w:hint="default" w:ascii="Times New Roman" w:hAnsi="Times New Roman" w:cs="Times New Roman"/>
          <w:b/>
          <w:sz w:val="24"/>
          <w:szCs w:val="22"/>
        </w:rPr>
        <w:t>设计洪水成果表</w:t>
      </w:r>
    </w:p>
    <w:tbl>
      <w:tblPr>
        <w:tblStyle w:val="45"/>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997"/>
        <w:gridCol w:w="2367"/>
        <w:gridCol w:w="1301"/>
        <w:gridCol w:w="1167"/>
        <w:gridCol w:w="1318"/>
        <w:gridCol w:w="1379"/>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68" w:hRule="atLeast"/>
        </w:trPr>
        <w:tc>
          <w:tcPr>
            <w:tcW w:w="584" w:type="pct"/>
            <w:vMerge w:val="restar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河名</w:t>
            </w:r>
          </w:p>
        </w:tc>
        <w:tc>
          <w:tcPr>
            <w:tcW w:w="1387" w:type="pct"/>
            <w:vMerge w:val="restar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河段</w:t>
            </w:r>
          </w:p>
        </w:tc>
        <w:tc>
          <w:tcPr>
            <w:tcW w:w="3028" w:type="pct"/>
            <w:gridSpan w:val="4"/>
            <w:vAlign w:val="center"/>
          </w:tcPr>
          <w:p>
            <w:pPr>
              <w:pageBreakBefore w:val="0"/>
              <w:kinsoku/>
              <w:wordWrap/>
              <w:overflowPunct/>
              <w:topLinePunct w:val="0"/>
              <w:bidi w:val="0"/>
              <w:spacing w:line="360" w:lineRule="auto"/>
              <w:jc w:val="center"/>
              <w:rPr>
                <w:rFonts w:hint="default" w:ascii="Times New Roman" w:hAnsi="Times New Roman" w:eastAsia="宋体" w:cs="Times New Roman"/>
                <w:kern w:val="2"/>
                <w:sz w:val="18"/>
                <w:szCs w:val="18"/>
                <w:lang w:eastAsia="zh-CN"/>
              </w:rPr>
            </w:pPr>
            <w:r>
              <w:rPr>
                <w:rFonts w:hint="default" w:ascii="Times New Roman" w:hAnsi="Times New Roman" w:cs="Times New Roman"/>
                <w:kern w:val="2"/>
                <w:sz w:val="18"/>
                <w:szCs w:val="18"/>
                <w:lang w:eastAsia="zh-CN"/>
              </w:rPr>
              <w:t>流域特征参数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c>
          <w:tcPr>
            <w:tcW w:w="584"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387"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面积（km²）</w:t>
            </w:r>
          </w:p>
        </w:tc>
        <w:tc>
          <w:tcPr>
            <w:tcW w:w="68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河长（km）</w:t>
            </w:r>
          </w:p>
        </w:tc>
        <w:tc>
          <w:tcPr>
            <w:tcW w:w="77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比降（‰）</w:t>
            </w:r>
          </w:p>
        </w:tc>
        <w:tc>
          <w:tcPr>
            <w:tcW w:w="808"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θ</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621" w:hRule="atLeast"/>
        </w:trPr>
        <w:tc>
          <w:tcPr>
            <w:tcW w:w="584" w:type="pct"/>
            <w:vMerge w:val="restart"/>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val="en-US" w:eastAsia="zh-CN"/>
              </w:rPr>
              <w:t>沙溪浩</w:t>
            </w:r>
          </w:p>
        </w:tc>
        <w:tc>
          <w:tcPr>
            <w:tcW w:w="1387" w:type="pct"/>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-28</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-45</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60.2</w:t>
            </w:r>
          </w:p>
        </w:tc>
        <w:tc>
          <w:tcPr>
            <w:tcW w:w="684" w:type="pct"/>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b w:val="0"/>
                <w:bCs w:val="0"/>
                <w:i w:val="0"/>
                <w:iCs w:val="0"/>
                <w:kern w:val="0"/>
                <w:sz w:val="18"/>
                <w:szCs w:val="18"/>
                <w:lang w:val="en-US" w:eastAsia="zh-CN"/>
              </w:rPr>
              <w:t>21.65</w:t>
            </w:r>
          </w:p>
        </w:tc>
        <w:tc>
          <w:tcPr>
            <w:tcW w:w="772" w:type="pct"/>
            <w:vAlign w:val="center"/>
          </w:tcPr>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b w:val="0"/>
                <w:bCs w:val="0"/>
                <w:i w:val="0"/>
                <w:iCs w:val="0"/>
                <w:kern w:val="0"/>
                <w:sz w:val="18"/>
                <w:szCs w:val="18"/>
                <w:lang w:val="en-US" w:eastAsia="zh-CN"/>
              </w:rPr>
              <w:t>16.84</w:t>
            </w:r>
          </w:p>
        </w:tc>
        <w:tc>
          <w:tcPr>
            <w:tcW w:w="808" w:type="pct"/>
            <w:vAlign w:val="center"/>
          </w:tcPr>
          <w:p>
            <w:pPr>
              <w:pageBreakBefore w:val="0"/>
              <w:widowControl/>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kern w:val="0"/>
                <w:sz w:val="18"/>
                <w:szCs w:val="18"/>
                <w:lang w:val="en-US" w:eastAsia="zh-CN" w:bidi="ar"/>
              </w:rPr>
              <w:t>30.323</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22" w:hRule="atLeast"/>
        </w:trPr>
        <w:tc>
          <w:tcPr>
            <w:tcW w:w="584"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387" w:type="pct"/>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-22</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-27</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i w:val="0"/>
                <w:color w:val="auto"/>
                <w:kern w:val="0"/>
                <w:sz w:val="18"/>
                <w:szCs w:val="18"/>
                <w:u w:val="none"/>
                <w:lang w:val="en-US" w:eastAsia="zh-CN" w:bidi="ar"/>
              </w:rPr>
            </w:pPr>
            <w:r>
              <w:rPr>
                <w:rFonts w:hint="default" w:ascii="Times New Roman" w:hAnsi="Times New Roman" w:cs="Times New Roman"/>
                <w:i w:val="0"/>
                <w:color w:val="auto"/>
                <w:kern w:val="0"/>
                <w:sz w:val="18"/>
                <w:szCs w:val="18"/>
                <w:u w:val="none"/>
                <w:lang w:val="en-US" w:eastAsia="zh-CN" w:bidi="ar"/>
              </w:rPr>
              <w:t>31.56</w:t>
            </w:r>
          </w:p>
        </w:tc>
        <w:tc>
          <w:tcPr>
            <w:tcW w:w="68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i w:val="0"/>
                <w:color w:val="auto"/>
                <w:kern w:val="0"/>
                <w:sz w:val="18"/>
                <w:szCs w:val="18"/>
                <w:u w:val="none"/>
                <w:lang w:val="en-US" w:eastAsia="zh-CN" w:bidi="ar"/>
              </w:rPr>
            </w:pPr>
            <w:r>
              <w:rPr>
                <w:rFonts w:hint="default" w:ascii="Times New Roman" w:hAnsi="Times New Roman" w:cs="Times New Roman"/>
                <w:i w:val="0"/>
                <w:color w:val="auto"/>
                <w:kern w:val="0"/>
                <w:sz w:val="18"/>
                <w:szCs w:val="18"/>
                <w:u w:val="none"/>
                <w:lang w:val="en-US" w:eastAsia="zh-CN" w:bidi="ar"/>
              </w:rPr>
              <w:t>12.532</w:t>
            </w:r>
          </w:p>
        </w:tc>
        <w:tc>
          <w:tcPr>
            <w:tcW w:w="77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i w:val="0"/>
                <w:color w:val="auto"/>
                <w:kern w:val="0"/>
                <w:sz w:val="18"/>
                <w:szCs w:val="18"/>
                <w:u w:val="none"/>
                <w:lang w:val="en-US" w:eastAsia="zh-CN" w:bidi="ar"/>
              </w:rPr>
            </w:pPr>
            <w:r>
              <w:rPr>
                <w:rFonts w:hint="default" w:ascii="Times New Roman" w:hAnsi="Times New Roman" w:cs="Times New Roman"/>
                <w:i w:val="0"/>
                <w:color w:val="auto"/>
                <w:kern w:val="0"/>
                <w:sz w:val="18"/>
                <w:szCs w:val="18"/>
                <w:u w:val="none"/>
                <w:lang w:val="en-US" w:eastAsia="zh-CN" w:bidi="ar"/>
              </w:rPr>
              <w:t>20.5</w:t>
            </w:r>
          </w:p>
        </w:tc>
        <w:tc>
          <w:tcPr>
            <w:tcW w:w="8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cs="Times New Roman"/>
                <w:i w:val="0"/>
                <w:color w:val="auto"/>
                <w:kern w:val="0"/>
                <w:sz w:val="18"/>
                <w:szCs w:val="18"/>
                <w:u w:val="none"/>
                <w:lang w:val="en-US" w:eastAsia="zh-CN" w:bidi="ar"/>
              </w:rPr>
            </w:pPr>
            <w:r>
              <w:rPr>
                <w:rFonts w:hint="default" w:ascii="Times New Roman" w:hAnsi="Times New Roman" w:cs="Times New Roman"/>
                <w:i w:val="0"/>
                <w:color w:val="auto"/>
                <w:kern w:val="0"/>
                <w:sz w:val="18"/>
                <w:szCs w:val="18"/>
                <w:u w:val="none"/>
                <w:lang w:val="en-US" w:eastAsia="zh-CN" w:bidi="ar"/>
              </w:rPr>
              <w:t>19.319</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08" w:hRule="atLeast"/>
        </w:trPr>
        <w:tc>
          <w:tcPr>
            <w:tcW w:w="584"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387" w:type="pct"/>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-04</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-21</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25.4</w:t>
            </w:r>
          </w:p>
        </w:tc>
        <w:tc>
          <w:tcPr>
            <w:tcW w:w="68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10.8</w:t>
            </w:r>
          </w:p>
        </w:tc>
        <w:tc>
          <w:tcPr>
            <w:tcW w:w="77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22.65</w:t>
            </w:r>
          </w:p>
        </w:tc>
        <w:tc>
          <w:tcPr>
            <w:tcW w:w="8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17.003</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c>
          <w:tcPr>
            <w:tcW w:w="584"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387" w:type="pc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lang w:val="en-US"/>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-01</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-03</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0.28</w:t>
            </w:r>
          </w:p>
        </w:tc>
        <w:tc>
          <w:tcPr>
            <w:tcW w:w="68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0.915</w:t>
            </w:r>
          </w:p>
        </w:tc>
        <w:tc>
          <w:tcPr>
            <w:tcW w:w="77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82.3</w:t>
            </w:r>
          </w:p>
        </w:tc>
        <w:tc>
          <w:tcPr>
            <w:tcW w:w="8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cs="Times New Roman"/>
                <w:i w:val="0"/>
                <w:color w:val="auto"/>
                <w:kern w:val="0"/>
                <w:sz w:val="18"/>
                <w:szCs w:val="18"/>
                <w:u w:val="none"/>
                <w:lang w:val="en-US" w:eastAsia="zh-CN" w:bidi="ar"/>
              </w:rPr>
              <w:t>.892</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outlineLvl w:val="8"/>
        <w:rPr>
          <w:rFonts w:hint="default" w:ascii="Times New Roman" w:hAnsi="Times New Roman" w:cs="Times New Roman"/>
          <w:b/>
          <w:sz w:val="24"/>
          <w:szCs w:val="22"/>
        </w:rPr>
      </w:pPr>
      <w:r>
        <w:rPr>
          <w:rFonts w:hint="default" w:ascii="Times New Roman" w:hAnsi="Times New Roman" w:cs="Times New Roman"/>
          <w:b/>
          <w:sz w:val="24"/>
          <w:szCs w:val="22"/>
        </w:rPr>
        <w:t>表</w:t>
      </w:r>
      <w:r>
        <w:rPr>
          <w:rFonts w:hint="eastAsia" w:ascii="Times New Roman" w:hAnsi="Times New Roman" w:cs="Times New Roman"/>
          <w:b/>
          <w:sz w:val="24"/>
          <w:szCs w:val="22"/>
          <w:lang w:val="en-US" w:eastAsia="zh-CN"/>
        </w:rPr>
        <w:t xml:space="preserve">1.1-7              </w:t>
      </w:r>
      <w:r>
        <w:rPr>
          <w:rFonts w:hint="default" w:ascii="Times New Roman" w:hAnsi="Times New Roman" w:cs="Times New Roman"/>
          <w:b/>
          <w:sz w:val="24"/>
          <w:szCs w:val="22"/>
        </w:rPr>
        <w:t>设计洪水成果表</w:t>
      </w:r>
    </w:p>
    <w:tbl>
      <w:tblPr>
        <w:tblStyle w:val="45"/>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212"/>
        <w:gridCol w:w="2617"/>
        <w:gridCol w:w="836"/>
        <w:gridCol w:w="1151"/>
        <w:gridCol w:w="1300"/>
        <w:gridCol w:w="1413"/>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 w:hRule="atLeast"/>
        </w:trPr>
        <w:tc>
          <w:tcPr>
            <w:tcW w:w="710" w:type="pct"/>
            <w:vMerge w:val="restar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河名</w:t>
            </w:r>
          </w:p>
        </w:tc>
        <w:tc>
          <w:tcPr>
            <w:tcW w:w="1534" w:type="pct"/>
            <w:vMerge w:val="restar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河段</w:t>
            </w:r>
          </w:p>
        </w:tc>
        <w:tc>
          <w:tcPr>
            <w:tcW w:w="2755" w:type="pct"/>
            <w:gridSpan w:val="4"/>
            <w:vAlign w:val="center"/>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各频率设计洪水值（m³/s）</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 w:hRule="atLeast"/>
        </w:trPr>
        <w:tc>
          <w:tcPr>
            <w:tcW w:w="710"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534"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489" w:type="pct"/>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P=1%</w:t>
            </w:r>
          </w:p>
        </w:tc>
        <w:tc>
          <w:tcPr>
            <w:tcW w:w="674" w:type="pct"/>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P=2%</w:t>
            </w:r>
          </w:p>
        </w:tc>
        <w:tc>
          <w:tcPr>
            <w:tcW w:w="762" w:type="pct"/>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P=5%</w:t>
            </w:r>
          </w:p>
        </w:tc>
        <w:tc>
          <w:tcPr>
            <w:tcW w:w="828" w:type="pct"/>
            <w:vAlign w:val="center"/>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P=10%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 w:hRule="atLeast"/>
        </w:trPr>
        <w:tc>
          <w:tcPr>
            <w:tcW w:w="710" w:type="pct"/>
            <w:vMerge w:val="restart"/>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rPr>
            </w:pPr>
          </w:p>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val="en-US" w:eastAsia="zh-CN"/>
              </w:rPr>
              <w:t>沙溪浩</w:t>
            </w:r>
          </w:p>
        </w:tc>
        <w:tc>
          <w:tcPr>
            <w:tcW w:w="1534" w:type="pct"/>
            <w:vAlign w:val="top"/>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-28</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-45</w:t>
            </w:r>
          </w:p>
        </w:tc>
        <w:tc>
          <w:tcPr>
            <w:tcW w:w="48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445.4</w:t>
            </w:r>
          </w:p>
        </w:tc>
        <w:tc>
          <w:tcPr>
            <w:tcW w:w="67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378.4</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291.3</w:t>
            </w:r>
          </w:p>
        </w:tc>
        <w:tc>
          <w:tcPr>
            <w:tcW w:w="82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226.1</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 w:hRule="atLeast"/>
        </w:trPr>
        <w:tc>
          <w:tcPr>
            <w:tcW w:w="710"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534" w:type="pct"/>
            <w:vAlign w:val="top"/>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-22</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-27</w:t>
            </w:r>
          </w:p>
        </w:tc>
        <w:tc>
          <w:tcPr>
            <w:tcW w:w="48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308.6</w:t>
            </w:r>
          </w:p>
        </w:tc>
        <w:tc>
          <w:tcPr>
            <w:tcW w:w="67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263.5</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204.0</w:t>
            </w:r>
          </w:p>
        </w:tc>
        <w:tc>
          <w:tcPr>
            <w:tcW w:w="82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161.0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 w:hRule="atLeast"/>
        </w:trPr>
        <w:tc>
          <w:tcPr>
            <w:tcW w:w="710"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534" w:type="pct"/>
            <w:vAlign w:val="top"/>
          </w:tcPr>
          <w:p>
            <w:pPr>
              <w:pageBreakBefore w:val="0"/>
              <w:kinsoku/>
              <w:wordWrap/>
              <w:overflowPunct/>
              <w:topLinePunct w:val="0"/>
              <w:bidi w:val="0"/>
              <w:spacing w:line="360" w:lineRule="auto"/>
              <w:ind w:left="0" w:leftChars="0" w:firstLine="0" w:firstLineChars="0"/>
              <w:jc w:val="center"/>
              <w:rPr>
                <w:rFonts w:hint="default" w:ascii="Times New Roman" w:hAnsi="Times New Roman" w:eastAsia="宋体" w:cs="Times New Roman"/>
                <w:kern w:val="2"/>
                <w:sz w:val="18"/>
                <w:szCs w:val="18"/>
                <w:lang w:val="en-US" w:eastAsia="zh-CN"/>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-04</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-21</w:t>
            </w:r>
          </w:p>
        </w:tc>
        <w:tc>
          <w:tcPr>
            <w:tcW w:w="48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270.3</w:t>
            </w:r>
          </w:p>
        </w:tc>
        <w:tc>
          <w:tcPr>
            <w:tcW w:w="67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231.1</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179.7</w:t>
            </w:r>
          </w:p>
        </w:tc>
        <w:tc>
          <w:tcPr>
            <w:tcW w:w="82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141.6</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trPr>
        <w:tc>
          <w:tcPr>
            <w:tcW w:w="710" w:type="pct"/>
            <w:vMerge w:val="continue"/>
          </w:tcPr>
          <w:p>
            <w:pPr>
              <w:pageBreakBefore w:val="0"/>
              <w:kinsoku/>
              <w:wordWrap/>
              <w:overflowPunct/>
              <w:topLinePunct w:val="0"/>
              <w:bidi w:val="0"/>
              <w:spacing w:line="360" w:lineRule="auto"/>
              <w:jc w:val="center"/>
              <w:rPr>
                <w:rFonts w:hint="default" w:ascii="Times New Roman" w:hAnsi="Times New Roman" w:cs="Times New Roman"/>
                <w:kern w:val="2"/>
                <w:sz w:val="18"/>
                <w:szCs w:val="18"/>
              </w:rPr>
            </w:pPr>
          </w:p>
        </w:tc>
        <w:tc>
          <w:tcPr>
            <w:tcW w:w="1534" w:type="pct"/>
            <w:vAlign w:val="top"/>
          </w:tcPr>
          <w:p>
            <w:pPr>
              <w:pageBreakBefore w:val="0"/>
              <w:kinsoku/>
              <w:wordWrap/>
              <w:overflowPunct/>
              <w:topLinePunct w:val="0"/>
              <w:bidi w:val="0"/>
              <w:spacing w:line="360" w:lineRule="auto"/>
              <w:ind w:left="0" w:leftChars="0" w:firstLine="0" w:firstLineChars="0"/>
              <w:jc w:val="center"/>
              <w:rPr>
                <w:rFonts w:hint="default" w:ascii="Times New Roman" w:hAnsi="Times New Roman" w:cs="Times New Roman"/>
                <w:kern w:val="2"/>
                <w:sz w:val="18"/>
                <w:szCs w:val="18"/>
                <w:lang w:val="en-US"/>
              </w:rPr>
            </w:pP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-01</w:t>
            </w:r>
            <w:r>
              <w:rPr>
                <w:rFonts w:hint="default" w:ascii="Times New Roman" w:hAnsi="Times New Roman" w:cs="Times New Roman"/>
                <w:kern w:val="2"/>
                <w:sz w:val="18"/>
                <w:szCs w:val="18"/>
              </w:rPr>
              <w:t>～</w:t>
            </w:r>
            <w:r>
              <w:rPr>
                <w:rFonts w:hint="default" w:ascii="Times New Roman" w:hAnsi="Times New Roman" w:cs="Times New Roman"/>
                <w:kern w:val="2"/>
                <w:sz w:val="18"/>
                <w:szCs w:val="18"/>
                <w:lang w:eastAsia="zh-CN"/>
              </w:rPr>
              <w:t>SXH</w:t>
            </w:r>
            <w:r>
              <w:rPr>
                <w:rFonts w:hint="default" w:ascii="Times New Roman" w:hAnsi="Times New Roman" w:cs="Times New Roman"/>
                <w:kern w:val="2"/>
                <w:sz w:val="18"/>
                <w:szCs w:val="18"/>
                <w:lang w:val="en-US" w:eastAsia="zh-CN"/>
              </w:rPr>
              <w:t>-03</w:t>
            </w:r>
          </w:p>
        </w:tc>
        <w:tc>
          <w:tcPr>
            <w:tcW w:w="48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8.7</w:t>
            </w:r>
          </w:p>
        </w:tc>
        <w:tc>
          <w:tcPr>
            <w:tcW w:w="674"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7.7</w:t>
            </w:r>
          </w:p>
        </w:tc>
        <w:tc>
          <w:tcPr>
            <w:tcW w:w="76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6.2</w:t>
            </w:r>
          </w:p>
        </w:tc>
        <w:tc>
          <w:tcPr>
            <w:tcW w:w="82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center"/>
              <w:textAlignment w:val="center"/>
              <w:rPr>
                <w:rFonts w:hint="default" w:ascii="Times New Roman" w:hAnsi="Times New Roman" w:eastAsia="宋体" w:cs="Times New Roman"/>
                <w:i w:val="0"/>
                <w:color w:val="auto"/>
                <w:kern w:val="2"/>
                <w:sz w:val="18"/>
                <w:szCs w:val="18"/>
                <w:u w:val="none"/>
                <w:lang w:val="en-US" w:eastAsia="zh-CN" w:bidi="ar-SA"/>
              </w:rPr>
            </w:pPr>
            <w:r>
              <w:rPr>
                <w:rFonts w:hint="default" w:ascii="Times New Roman" w:hAnsi="Times New Roman" w:eastAsia="宋体" w:cs="Times New Roman"/>
                <w:i w:val="0"/>
                <w:color w:val="auto"/>
                <w:kern w:val="0"/>
                <w:sz w:val="18"/>
                <w:szCs w:val="18"/>
                <w:u w:val="none"/>
                <w:lang w:val="en-US" w:eastAsia="zh-CN" w:bidi="ar"/>
              </w:rPr>
              <w:t>5.1</w:t>
            </w:r>
          </w:p>
        </w:tc>
      </w:tr>
    </w:tbl>
    <w:p>
      <w:pPr>
        <w:wordWrap/>
        <w:autoSpaceDE/>
        <w:autoSpaceDN/>
        <w:adjustRightInd w:val="0"/>
        <w:snapToGrid w:val="0"/>
        <w:spacing w:before="166" w:beforeLines="50" w:after="166" w:afterLines="50" w:line="360" w:lineRule="auto"/>
        <w:ind w:firstLine="0" w:firstLineChars="0"/>
        <w:outlineLvl w:val="9"/>
        <w:rPr>
          <w:rFonts w:hint="eastAsia" w:ascii="Times New Roman" w:hAnsi="Times New Roman" w:cs="Times New Roman"/>
          <w:b/>
          <w:bCs/>
          <w:color w:val="auto"/>
          <w:kern w:val="2"/>
          <w:sz w:val="24"/>
          <w:szCs w:val="24"/>
          <w:lang w:val="en-US" w:eastAsia="zh-CN"/>
        </w:rPr>
      </w:pPr>
    </w:p>
    <w:p>
      <w:pPr>
        <w:wordWrap/>
        <w:autoSpaceDE/>
        <w:autoSpaceDN/>
        <w:adjustRightInd w:val="0"/>
        <w:snapToGrid w:val="0"/>
        <w:spacing w:before="166" w:beforeLines="50" w:after="166" w:afterLines="50" w:line="360" w:lineRule="auto"/>
        <w:ind w:firstLine="0" w:firstLineChars="0"/>
        <w:outlineLvl w:val="2"/>
        <w:rPr>
          <w:rFonts w:hint="default"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1.1.4 设计洪水水面线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sz w:val="24"/>
          <w:szCs w:val="24"/>
        </w:rPr>
        <w:t>根据河段情况选取</w:t>
      </w:r>
      <w:r>
        <w:rPr>
          <w:rFonts w:hint="eastAsia" w:cs="Times New Roman"/>
          <w:sz w:val="24"/>
          <w:szCs w:val="24"/>
          <w:lang w:eastAsia="zh-CN"/>
        </w:rPr>
        <w:t>SXH</w:t>
      </w:r>
      <w:r>
        <w:rPr>
          <w:rFonts w:hint="eastAsia" w:ascii="Times New Roman" w:hAnsi="Times New Roman" w:cs="Times New Roman"/>
          <w:sz w:val="24"/>
          <w:szCs w:val="24"/>
          <w:lang w:val="en-US" w:eastAsia="zh-CN"/>
        </w:rPr>
        <w:t>-</w:t>
      </w:r>
      <w:r>
        <w:rPr>
          <w:rFonts w:hint="eastAsia" w:cs="Times New Roman"/>
          <w:sz w:val="24"/>
          <w:szCs w:val="24"/>
          <w:lang w:val="en-US" w:eastAsia="zh-CN"/>
        </w:rPr>
        <w:t>45</w:t>
      </w:r>
      <w:r>
        <w:rPr>
          <w:rFonts w:hint="default" w:ascii="Times New Roman" w:hAnsi="Times New Roman" w:cs="Times New Roman"/>
          <w:sz w:val="24"/>
          <w:szCs w:val="24"/>
        </w:rPr>
        <w:t>（最下游）、</w:t>
      </w:r>
      <w:r>
        <w:rPr>
          <w:rFonts w:hint="eastAsia" w:cs="Times New Roman"/>
          <w:sz w:val="24"/>
          <w:szCs w:val="24"/>
          <w:lang w:eastAsia="zh-CN"/>
        </w:rPr>
        <w:t>SXH</w:t>
      </w:r>
      <w:r>
        <w:rPr>
          <w:rFonts w:hint="eastAsia" w:ascii="Times New Roman" w:hAnsi="Times New Roman" w:cs="Times New Roman"/>
          <w:sz w:val="24"/>
          <w:szCs w:val="24"/>
          <w:lang w:val="en-US" w:eastAsia="zh-CN"/>
        </w:rPr>
        <w:t>-</w:t>
      </w:r>
      <w:r>
        <w:rPr>
          <w:rFonts w:hint="eastAsia" w:cs="Times New Roman"/>
          <w:sz w:val="24"/>
          <w:szCs w:val="24"/>
          <w:lang w:val="en-US" w:eastAsia="zh-CN"/>
        </w:rPr>
        <w:t>28</w:t>
      </w:r>
      <w:r>
        <w:rPr>
          <w:rFonts w:hint="default" w:ascii="Times New Roman" w:hAnsi="Times New Roman" w:cs="Times New Roman"/>
          <w:sz w:val="24"/>
          <w:szCs w:val="24"/>
        </w:rPr>
        <w:t>（</w:t>
      </w:r>
      <w:r>
        <w:rPr>
          <w:rFonts w:hint="eastAsia" w:ascii="Times New Roman" w:hAnsi="Times New Roman" w:cs="Times New Roman"/>
          <w:sz w:val="24"/>
          <w:szCs w:val="24"/>
          <w:lang w:eastAsia="zh-CN"/>
        </w:rPr>
        <w:t>支沟汇口</w:t>
      </w:r>
      <w:r>
        <w:rPr>
          <w:rFonts w:hint="default" w:ascii="Times New Roman" w:hAnsi="Times New Roman" w:cs="Times New Roman"/>
          <w:sz w:val="24"/>
          <w:szCs w:val="24"/>
        </w:rPr>
        <w:t>）、</w:t>
      </w:r>
      <w:r>
        <w:rPr>
          <w:rFonts w:hint="eastAsia" w:cs="Times New Roman"/>
          <w:sz w:val="24"/>
          <w:szCs w:val="24"/>
          <w:lang w:eastAsia="zh-CN"/>
        </w:rPr>
        <w:t>SXH</w:t>
      </w:r>
      <w:r>
        <w:rPr>
          <w:rFonts w:hint="eastAsia" w:ascii="Times New Roman" w:hAnsi="Times New Roman" w:cs="Times New Roman"/>
          <w:sz w:val="24"/>
          <w:szCs w:val="24"/>
          <w:lang w:val="en-US" w:eastAsia="zh-CN"/>
        </w:rPr>
        <w:t>-</w:t>
      </w:r>
      <w:r>
        <w:rPr>
          <w:rFonts w:hint="eastAsia" w:cs="Times New Roman"/>
          <w:sz w:val="24"/>
          <w:szCs w:val="24"/>
          <w:lang w:val="en-US" w:eastAsia="zh-CN"/>
        </w:rPr>
        <w:t>21</w:t>
      </w:r>
      <w:r>
        <w:rPr>
          <w:rFonts w:hint="default" w:ascii="Times New Roman" w:hAnsi="Times New Roman" w:cs="Times New Roman"/>
          <w:sz w:val="24"/>
          <w:szCs w:val="24"/>
        </w:rPr>
        <w:t>（</w:t>
      </w:r>
      <w:r>
        <w:rPr>
          <w:rFonts w:hint="eastAsia" w:ascii="Times New Roman" w:hAnsi="Times New Roman" w:cs="Times New Roman"/>
          <w:sz w:val="24"/>
          <w:szCs w:val="24"/>
          <w:lang w:eastAsia="zh-CN"/>
        </w:rPr>
        <w:t>大洋沟水库</w:t>
      </w:r>
      <w:r>
        <w:rPr>
          <w:rFonts w:hint="default" w:ascii="Times New Roman" w:hAnsi="Times New Roman" w:cs="Times New Roman"/>
          <w:sz w:val="24"/>
          <w:szCs w:val="24"/>
        </w:rPr>
        <w:t>）和</w:t>
      </w:r>
      <w:r>
        <w:rPr>
          <w:rFonts w:hint="eastAsia" w:cs="Times New Roman"/>
          <w:sz w:val="24"/>
          <w:szCs w:val="24"/>
          <w:lang w:eastAsia="zh-CN"/>
        </w:rPr>
        <w:t>SXH</w:t>
      </w:r>
      <w:r>
        <w:rPr>
          <w:rFonts w:hint="eastAsia" w:ascii="Times New Roman" w:hAnsi="Times New Roman" w:cs="Times New Roman"/>
          <w:sz w:val="24"/>
          <w:szCs w:val="24"/>
          <w:lang w:val="en-US" w:eastAsia="zh-CN"/>
        </w:rPr>
        <w:t>-</w:t>
      </w:r>
      <w:r>
        <w:rPr>
          <w:rFonts w:hint="eastAsia" w:cs="Times New Roman"/>
          <w:sz w:val="24"/>
          <w:szCs w:val="24"/>
          <w:lang w:val="en-US" w:eastAsia="zh-CN"/>
        </w:rPr>
        <w:t>03</w:t>
      </w:r>
      <w:r>
        <w:rPr>
          <w:rFonts w:hint="default" w:ascii="Times New Roman" w:hAnsi="Times New Roman" w:cs="Times New Roman"/>
          <w:sz w:val="24"/>
          <w:szCs w:val="24"/>
        </w:rPr>
        <w:t>（</w:t>
      </w:r>
      <w:r>
        <w:rPr>
          <w:rFonts w:hint="eastAsia" w:ascii="Times New Roman" w:hAnsi="Times New Roman" w:cs="Times New Roman"/>
          <w:sz w:val="24"/>
          <w:szCs w:val="24"/>
          <w:lang w:eastAsia="zh-CN"/>
        </w:rPr>
        <w:t>碾子沟水库</w:t>
      </w:r>
      <w:r>
        <w:rPr>
          <w:rFonts w:hint="default" w:ascii="Times New Roman" w:hAnsi="Times New Roman" w:cs="Times New Roman"/>
          <w:sz w:val="24"/>
          <w:szCs w:val="24"/>
        </w:rPr>
        <w:t>）为控制断面，推求其水位流量关</w:t>
      </w:r>
      <w:r>
        <w:rPr>
          <w:rFonts w:hint="default" w:ascii="Times New Roman" w:hAnsi="Times New Roman" w:cs="Times New Roman"/>
          <w:color w:val="000000"/>
          <w:sz w:val="24"/>
          <w:szCs w:val="24"/>
        </w:rPr>
        <w:t>系，再向上游逐步分别逐段推算至整治河段最末一个断面。控制断面水位流量关系详见表7和图4。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水面线的计算按河道非均匀流水面曲线计算方法，采用伯努力能量方程式：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sz w:val="24"/>
          <w:szCs w:val="24"/>
          <w:lang w:eastAsia="zh-CN"/>
        </w:rPr>
        <w:object>
          <v:shape id="_x0000_i1053" o:spt="75" type="#_x0000_t75" style="height:31pt;width:166pt;" o:ole="t" filled="f" o:preferrelative="t" stroked="f" coordsize="21600,21600">
            <v:path/>
            <v:fill on="f" focussize="0,0"/>
            <v:stroke on="f"/>
            <v:imagedata r:id="rId71" o:title=""/>
            <o:lock v:ext="edit" aspectratio="t"/>
            <w10:wrap type="none"/>
            <w10:anchorlock/>
          </v:shape>
          <o:OLEObject Type="Embed" ProgID="Equation.3" ShapeID="_x0000_i1053" DrawAspect="Content" ObjectID="_1468075753" r:id="rId70">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式中：Z</w:t>
      </w:r>
      <w:r>
        <w:rPr>
          <w:rFonts w:hint="default" w:ascii="Times New Roman" w:hAnsi="Times New Roman" w:cs="Times New Roman"/>
          <w:color w:val="000000"/>
          <w:sz w:val="24"/>
          <w:szCs w:val="24"/>
          <w:vertAlign w:val="subscript"/>
        </w:rPr>
        <w:t>上</w:t>
      </w:r>
      <w:r>
        <w:rPr>
          <w:rFonts w:hint="default" w:ascii="Times New Roman" w:hAnsi="Times New Roman" w:cs="Times New Roman"/>
          <w:color w:val="000000"/>
          <w:sz w:val="24"/>
          <w:szCs w:val="24"/>
        </w:rPr>
        <w:t>、Z</w:t>
      </w:r>
      <w:r>
        <w:rPr>
          <w:rFonts w:hint="default" w:ascii="Times New Roman" w:hAnsi="Times New Roman" w:cs="Times New Roman"/>
          <w:color w:val="000000"/>
          <w:sz w:val="24"/>
          <w:szCs w:val="24"/>
          <w:vertAlign w:val="subscript"/>
        </w:rPr>
        <w:t xml:space="preserve">下 </w:t>
      </w:r>
      <w:r>
        <w:rPr>
          <w:rFonts w:hint="default" w:ascii="Times New Roman" w:hAnsi="Times New Roman" w:cs="Times New Roman"/>
          <w:color w:val="000000"/>
          <w:sz w:val="24"/>
          <w:szCs w:val="24"/>
        </w:rPr>
        <w:t>——上、下断面的水位高程；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position w:val="-28"/>
          <w:sz w:val="24"/>
          <w:szCs w:val="24"/>
        </w:rPr>
        <w:object>
          <v:shape id="_x0000_i1054" o:spt="75" type="#_x0000_t75" style="height:36.75pt;width:96pt;" o:ole="t" filled="f" o:preferrelative="t" stroked="f" coordsize="21600,21600">
            <v:path/>
            <v:fill on="f" focussize="0,0"/>
            <v:stroke on="f" joinstyle="miter"/>
            <v:imagedata r:id="rId73" o:title=""/>
            <o:lock v:ext="edit" aspectratio="t"/>
            <w10:wrap type="none"/>
            <w10:anchorlock/>
          </v:shape>
          <o:OLEObject Type="Embed" ProgID="Equation.3" ShapeID="_x0000_i1054" DrawAspect="Content" ObjectID="_1468075754" r:id="rId72">
            <o:LockedField>false</o:LockedField>
          </o:OLEObject>
        </w:object>
      </w:r>
      <w:r>
        <w:rPr>
          <w:rFonts w:hint="default" w:ascii="Times New Roman" w:hAnsi="Times New Roman" w:cs="Times New Roman"/>
          <w:color w:val="000000"/>
          <w:sz w:val="24"/>
          <w:szCs w:val="24"/>
        </w:rPr>
        <w:t>——上、下断面的流速水头；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h</w:t>
      </w:r>
      <w:r>
        <w:rPr>
          <w:rFonts w:hint="default" w:ascii="Times New Roman" w:hAnsi="Times New Roman" w:cs="Times New Roman"/>
          <w:color w:val="000000"/>
          <w:sz w:val="24"/>
          <w:szCs w:val="24"/>
          <w:vertAlign w:val="subscript"/>
        </w:rPr>
        <w:t>f</w:t>
      </w:r>
      <w:r>
        <w:rPr>
          <w:rFonts w:hint="default" w:ascii="Times New Roman" w:hAnsi="Times New Roman" w:cs="Times New Roman"/>
          <w:color w:val="000000"/>
          <w:sz w:val="24"/>
          <w:szCs w:val="24"/>
        </w:rPr>
        <w:t>、h</w:t>
      </w:r>
      <w:r>
        <w:rPr>
          <w:rFonts w:hint="default" w:ascii="Times New Roman" w:hAnsi="Times New Roman" w:cs="Times New Roman"/>
          <w:color w:val="000000"/>
          <w:sz w:val="24"/>
          <w:szCs w:val="24"/>
          <w:vertAlign w:val="subscript"/>
        </w:rPr>
        <w:t>j</w:t>
      </w:r>
      <w:r>
        <w:rPr>
          <w:rFonts w:hint="default" w:ascii="Times New Roman" w:hAnsi="Times New Roman" w:cs="Times New Roman"/>
          <w:color w:val="000000"/>
          <w:sz w:val="24"/>
          <w:szCs w:val="24"/>
        </w:rPr>
        <w:t>——上、下断面之间的沿程水头损失和局部水头损失；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α</w:t>
      </w:r>
      <w:r>
        <w:rPr>
          <w:rFonts w:hint="default" w:ascii="Times New Roman" w:hAnsi="Times New Roman" w:cs="Times New Roman"/>
          <w:color w:val="000000"/>
          <w:sz w:val="24"/>
          <w:szCs w:val="24"/>
          <w:vertAlign w:val="subscript"/>
        </w:rPr>
        <w:t>上</w:t>
      </w:r>
      <w:r>
        <w:rPr>
          <w:rFonts w:hint="default" w:ascii="Times New Roman" w:hAnsi="Times New Roman" w:cs="Times New Roman"/>
          <w:color w:val="000000"/>
          <w:sz w:val="24"/>
          <w:szCs w:val="24"/>
        </w:rPr>
        <w:t>、α</w:t>
      </w:r>
      <w:r>
        <w:rPr>
          <w:rFonts w:hint="default" w:ascii="Times New Roman" w:hAnsi="Times New Roman" w:cs="Times New Roman"/>
          <w:color w:val="000000"/>
          <w:sz w:val="24"/>
          <w:szCs w:val="24"/>
          <w:vertAlign w:val="subscript"/>
        </w:rPr>
        <w:t>下</w:t>
      </w:r>
      <w:r>
        <w:rPr>
          <w:rFonts w:hint="default" w:ascii="Times New Roman" w:hAnsi="Times New Roman" w:cs="Times New Roman"/>
          <w:color w:val="000000"/>
          <w:sz w:val="24"/>
          <w:szCs w:val="24"/>
        </w:rPr>
        <w:t>——上、下断面的动能修正系数；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V</w:t>
      </w:r>
      <w:r>
        <w:rPr>
          <w:rFonts w:hint="default" w:ascii="Times New Roman" w:hAnsi="Times New Roman" w:cs="Times New Roman"/>
          <w:color w:val="000000"/>
          <w:sz w:val="24"/>
          <w:szCs w:val="24"/>
          <w:vertAlign w:val="subscript"/>
        </w:rPr>
        <w:t>上</w:t>
      </w:r>
      <w:r>
        <w:rPr>
          <w:rFonts w:hint="default" w:ascii="Times New Roman" w:hAnsi="Times New Roman" w:cs="Times New Roman"/>
          <w:color w:val="000000"/>
          <w:sz w:val="24"/>
          <w:szCs w:val="24"/>
        </w:rPr>
        <w:t>、V</w:t>
      </w:r>
      <w:r>
        <w:rPr>
          <w:rFonts w:hint="default" w:ascii="Times New Roman" w:hAnsi="Times New Roman" w:cs="Times New Roman"/>
          <w:color w:val="000000"/>
          <w:sz w:val="24"/>
          <w:szCs w:val="24"/>
          <w:vertAlign w:val="subscript"/>
        </w:rPr>
        <w:t>下</w:t>
      </w:r>
      <w:r>
        <w:rPr>
          <w:rFonts w:hint="default" w:ascii="Times New Roman" w:hAnsi="Times New Roman" w:cs="Times New Roman"/>
          <w:color w:val="000000"/>
          <w:sz w:val="24"/>
          <w:szCs w:val="24"/>
        </w:rPr>
        <w:t>——上、下断面的平均流速。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沿程水头损失采用公式：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position w:val="-24"/>
          <w:sz w:val="24"/>
          <w:szCs w:val="24"/>
        </w:rPr>
        <w:object>
          <v:shape id="_x0000_i1055" o:spt="75" type="#_x0000_t75" style="height:31.5pt;width:84.3pt;" o:ole="t" filled="f" o:preferrelative="t" stroked="f" coordsize="21600,21600">
            <v:path/>
            <v:fill on="f" focussize="0,0"/>
            <v:stroke on="f"/>
            <v:imagedata r:id="rId75" o:title=""/>
            <o:lock v:ext="edit" aspectratio="t"/>
            <w10:wrap type="none"/>
            <w10:anchorlock/>
          </v:shape>
          <o:OLEObject Type="Embed" ProgID="Equation.3" ShapeID="_x0000_i1055" DrawAspect="Content" ObjectID="_1468075755" r:id="rId74">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position w:val="-24"/>
          <w:sz w:val="24"/>
          <w:szCs w:val="24"/>
        </w:rPr>
        <w:object>
          <v:shape id="_x0000_i1056" o:spt="75" type="#_x0000_t75" style="height:33.75pt;width:77.25pt;" o:ole="t" filled="f" o:preferrelative="t" stroked="f" coordsize="21600,21600">
            <v:path/>
            <v:fill on="f" focussize="0,0"/>
            <v:stroke on="f" joinstyle="miter"/>
            <v:imagedata r:id="rId77" o:title=""/>
            <o:lock v:ext="edit" aspectratio="t"/>
            <w10:wrap type="none"/>
            <w10:anchorlock/>
          </v:shape>
          <o:OLEObject Type="Embed" ProgID="Equation.3" ShapeID="_x0000_i1056" DrawAspect="Content" ObjectID="_1468075756" r:id="rId76">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局部水头损失采用公式：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ascii="Times New Roman" w:hAnsi="Times New Roman" w:cs="Times New Roman"/>
          <w:position w:val="-34"/>
          <w:sz w:val="24"/>
          <w:szCs w:val="24"/>
        </w:rPr>
        <w:object>
          <v:shape id="_x0000_i1057" o:spt="75" type="#_x0000_t75" style="height:40.5pt;width:108.8pt;" o:ole="t" filled="f" o:preferrelative="t" stroked="f" coordsize="21600,21600">
            <v:path/>
            <v:fill on="f" focussize="0,0"/>
            <v:stroke on="f"/>
            <v:imagedata r:id="rId79" o:title=""/>
            <o:lock v:ext="edit" aspectratio="t"/>
            <w10:wrap type="none"/>
            <w10:anchorlock/>
          </v:shape>
          <o:OLEObject Type="Embed" ProgID="Equation.3" ShapeID="_x0000_i1057" DrawAspect="Content" ObjectID="_1468075757" r:id="rId78">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上列式中J、L、Q、k、n、v、R分别为水面比降、断面间距、流量、流量模数、糙率、断面平均流速、水力半径。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lang w:val="en-GB"/>
        </w:rPr>
      </w:pPr>
      <w:r>
        <w:rPr>
          <w:rFonts w:hint="default" w:ascii="Times New Roman" w:hAnsi="Times New Roman" w:cs="Times New Roman"/>
          <w:color w:val="000000"/>
          <w:sz w:val="24"/>
          <w:szCs w:val="24"/>
          <w:lang w:val="en-GB"/>
        </w:rPr>
        <w:t>现阶段依据实测河道纵、横断面、现时水面线，以及根据河床组成及床面特性、河道平面形态及水流之态、崖壁特性等选取的天然河道糙率为0.0</w:t>
      </w:r>
      <w:r>
        <w:rPr>
          <w:rFonts w:hint="eastAsia" w:ascii="Times New Roman" w:hAnsi="Times New Roman" w:cs="Times New Roman"/>
          <w:color w:val="000000"/>
          <w:sz w:val="24"/>
          <w:szCs w:val="24"/>
          <w:lang w:val="en-US" w:eastAsia="zh-CN"/>
        </w:rPr>
        <w:t>3</w:t>
      </w:r>
      <w:r>
        <w:rPr>
          <w:rFonts w:hint="eastAsia" w:cs="Times New Roman"/>
          <w:color w:val="000000"/>
          <w:sz w:val="24"/>
          <w:szCs w:val="24"/>
          <w:lang w:val="en-US" w:eastAsia="zh-CN"/>
        </w:rPr>
        <w:t>5</w:t>
      </w:r>
      <w:r>
        <w:rPr>
          <w:rFonts w:hint="default" w:ascii="Times New Roman" w:hAnsi="Times New Roman" w:cs="Times New Roman"/>
          <w:color w:val="000000"/>
          <w:sz w:val="24"/>
          <w:szCs w:val="24"/>
          <w:lang w:val="en-GB"/>
        </w:rPr>
        <w:t>~0.0</w:t>
      </w:r>
      <w:r>
        <w:rPr>
          <w:rFonts w:hint="eastAsia" w:ascii="Times New Roman" w:hAnsi="Times New Roman" w:cs="Times New Roman"/>
          <w:color w:val="000000"/>
          <w:sz w:val="24"/>
          <w:szCs w:val="24"/>
          <w:lang w:val="en-US" w:eastAsia="zh-CN"/>
        </w:rPr>
        <w:t>40</w:t>
      </w:r>
      <w:r>
        <w:rPr>
          <w:rFonts w:hint="default" w:ascii="Times New Roman" w:hAnsi="Times New Roman" w:cs="Times New Roman"/>
          <w:color w:val="000000"/>
          <w:sz w:val="24"/>
          <w:szCs w:val="24"/>
          <w:lang w:val="en-GB"/>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考虑到大洋沟水库以及碾子沟水库具有一定的削峰调节能力，本次采用计算值受大洋沟水库调洪影响、受碾子沟水库影响的洪水成果需扣除大洋沟和碾子沟削峰部分。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sz w:val="24"/>
          <w:szCs w:val="22"/>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cs="Times New Roman"/>
          <w:color w:val="000000"/>
          <w:sz w:val="24"/>
          <w:szCs w:val="24"/>
          <w:lang w:val="en-US" w:eastAsia="zh-CN"/>
        </w:rPr>
        <w:t>大洋沟水库10年一遇的洪峰流量为141.6m³/s，下泄流量为114.6m³/s，</w:t>
      </w:r>
      <w:r>
        <w:rPr>
          <w:rFonts w:hint="eastAsia" w:ascii="Times New Roman" w:hAnsi="Times New Roman" w:cs="Times New Roman"/>
          <w:color w:val="000000"/>
          <w:sz w:val="24"/>
          <w:szCs w:val="24"/>
          <w:lang w:val="en-US" w:eastAsia="zh-CN"/>
        </w:rPr>
        <w:t>削峰流量27m³/s，碾子沟水库10年一遇的洪峰流量为5.1</w:t>
      </w:r>
      <w:r>
        <w:rPr>
          <w:rFonts w:hint="default" w:ascii="Times New Roman" w:hAnsi="Times New Roman" w:cs="Times New Roman"/>
          <w:color w:val="000000"/>
          <w:sz w:val="24"/>
          <w:szCs w:val="24"/>
          <w:lang w:val="en-US" w:eastAsia="zh-CN"/>
        </w:rPr>
        <w:t>m³/s</w:t>
      </w:r>
      <w:r>
        <w:rPr>
          <w:rFonts w:hint="eastAsia" w:cs="Times New Roman"/>
          <w:color w:val="000000"/>
          <w:sz w:val="24"/>
          <w:szCs w:val="24"/>
          <w:lang w:val="en-US" w:eastAsia="zh-CN"/>
        </w:rPr>
        <w:t>，下泄流量为3.47</w:t>
      </w:r>
      <w:r>
        <w:rPr>
          <w:rFonts w:hint="default" w:ascii="Times New Roman" w:hAnsi="Times New Roman" w:cs="Times New Roman"/>
          <w:color w:val="000000"/>
          <w:sz w:val="24"/>
          <w:szCs w:val="24"/>
          <w:lang w:val="en-US" w:eastAsia="zh-CN"/>
        </w:rPr>
        <w:t>m³/s</w:t>
      </w:r>
      <w:r>
        <w:rPr>
          <w:rFonts w:hint="eastAsia" w:cs="Times New Roman"/>
          <w:color w:val="000000"/>
          <w:sz w:val="24"/>
          <w:szCs w:val="24"/>
          <w:lang w:val="en-US" w:eastAsia="zh-CN"/>
        </w:rPr>
        <w:t>，削峰；流量1.63</w:t>
      </w:r>
      <w:r>
        <w:rPr>
          <w:rFonts w:hint="default" w:ascii="Times New Roman" w:hAnsi="Times New Roman" w:cs="Times New Roman"/>
          <w:color w:val="000000"/>
          <w:sz w:val="24"/>
          <w:szCs w:val="24"/>
          <w:lang w:val="en-US" w:eastAsia="zh-CN"/>
        </w:rPr>
        <w:t>m³/</w:t>
      </w:r>
      <w:r>
        <w:rPr>
          <w:rFonts w:hint="eastAsia" w:cs="Times New Roman"/>
          <w:color w:val="000000"/>
          <w:sz w:val="24"/>
          <w:szCs w:val="24"/>
          <w:lang w:val="en-US" w:eastAsia="zh-CN"/>
        </w:rPr>
        <w:t>。由于碾子沟水库削峰流量较小，本次忽略不计。</w:t>
      </w:r>
      <w:r>
        <w:rPr>
          <w:rFonts w:hint="default" w:ascii="Times New Roman" w:hAnsi="Times New Roman" w:cs="Times New Roman"/>
          <w:color w:val="000000"/>
          <w:sz w:val="24"/>
          <w:szCs w:val="24"/>
          <w:lang w:val="en-US" w:eastAsia="zh-CN"/>
        </w:rPr>
        <w:t>即各段采用10年一遇洪水设计成果详见表</w:t>
      </w:r>
      <w:r>
        <w:rPr>
          <w:rFonts w:hint="eastAsia" w:ascii="Times New Roman" w:hAnsi="Times New Roman" w:cs="Times New Roman"/>
          <w:color w:val="000000"/>
          <w:sz w:val="24"/>
          <w:szCs w:val="24"/>
          <w:lang w:val="en-US" w:eastAsia="zh-CN"/>
        </w:rPr>
        <w:t>1.1-8</w:t>
      </w:r>
      <w:r>
        <w:rPr>
          <w:rFonts w:hint="eastAsia" w:cs="Times New Roman"/>
          <w:color w:val="000000"/>
          <w:sz w:val="24"/>
          <w:szCs w:val="24"/>
          <w:lang w:val="en-US" w:eastAsia="zh-CN"/>
        </w:rPr>
        <w:t>。</w:t>
      </w:r>
    </w:p>
    <w:p>
      <w:pPr>
        <w:bidi w:val="0"/>
        <w:jc w:val="both"/>
        <w:outlineLvl w:val="8"/>
        <w:rPr>
          <w:rFonts w:hint="default"/>
          <w:b/>
          <w:bCs/>
          <w:lang w:val="en-US"/>
        </w:rPr>
      </w:pPr>
      <w:r>
        <w:rPr>
          <w:rFonts w:hint="default"/>
          <w:b/>
          <w:bCs/>
          <w:lang w:val="en-GB"/>
        </w:rPr>
        <w:t>表</w:t>
      </w:r>
      <w:r>
        <w:rPr>
          <w:rFonts w:hint="eastAsia"/>
          <w:b/>
          <w:bCs/>
          <w:lang w:val="en-US" w:eastAsia="zh-CN"/>
        </w:rPr>
        <w:t>1.1-8</w:t>
      </w:r>
      <w:r>
        <w:rPr>
          <w:rFonts w:hint="default"/>
          <w:b/>
          <w:bCs/>
          <w:lang w:val="en-GB"/>
        </w:rPr>
        <w:t xml:space="preserve">    </w:t>
      </w:r>
      <w:r>
        <w:rPr>
          <w:rFonts w:hint="eastAsia"/>
          <w:b/>
          <w:bCs/>
          <w:lang w:val="en-US" w:eastAsia="zh-CN"/>
        </w:rPr>
        <w:t xml:space="preserve">             沙溪浩河</w:t>
      </w:r>
      <w:r>
        <w:rPr>
          <w:rFonts w:hint="eastAsia"/>
          <w:b/>
          <w:bCs/>
          <w:lang w:val="en-GB" w:eastAsia="zh-CN"/>
        </w:rPr>
        <w:t>道</w:t>
      </w:r>
      <w:r>
        <w:rPr>
          <w:rFonts w:hint="default"/>
          <w:b/>
          <w:bCs/>
          <w:lang w:val="en-GB"/>
        </w:rPr>
        <w:t>水面线成果表</w:t>
      </w:r>
    </w:p>
    <w:tbl>
      <w:tblPr>
        <w:tblStyle w:val="45"/>
        <w:tblW w:w="51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063"/>
        <w:gridCol w:w="938"/>
        <w:gridCol w:w="864"/>
        <w:gridCol w:w="1014"/>
        <w:gridCol w:w="938"/>
        <w:gridCol w:w="883"/>
        <w:gridCol w:w="842"/>
        <w:gridCol w:w="997"/>
        <w:gridCol w:w="994"/>
        <w:gridCol w:w="1258"/>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blHeader/>
        </w:trPr>
        <w:tc>
          <w:tcPr>
            <w:tcW w:w="542"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eastAsia="zh-CN"/>
              </w:rPr>
              <w:t>水文断面</w:t>
            </w:r>
          </w:p>
        </w:tc>
        <w:tc>
          <w:tcPr>
            <w:tcW w:w="479"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cs="Times New Roman"/>
                <w:kern w:val="2"/>
                <w:sz w:val="21"/>
                <w:szCs w:val="21"/>
              </w:rPr>
            </w:pPr>
            <w:r>
              <w:rPr>
                <w:rFonts w:hint="default" w:ascii="Times New Roman" w:hAnsi="Times New Roman" w:cs="Times New Roman"/>
                <w:kern w:val="2"/>
                <w:sz w:val="21"/>
                <w:szCs w:val="21"/>
                <w:lang w:eastAsia="zh-CN"/>
              </w:rPr>
              <w:t>里程桩号</w:t>
            </w:r>
          </w:p>
        </w:tc>
        <w:tc>
          <w:tcPr>
            <w:tcW w:w="441"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流量（m³/s）</w:t>
            </w:r>
          </w:p>
        </w:tc>
        <w:tc>
          <w:tcPr>
            <w:tcW w:w="517"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eastAsia="zh-CN"/>
              </w:rPr>
              <w:t>河底高程（</w:t>
            </w:r>
            <w:r>
              <w:rPr>
                <w:rFonts w:hint="default" w:ascii="Times New Roman" w:hAnsi="Times New Roman" w:cs="Times New Roman"/>
                <w:kern w:val="2"/>
                <w:sz w:val="21"/>
                <w:szCs w:val="21"/>
                <w:lang w:val="en-US" w:eastAsia="zh-CN"/>
              </w:rPr>
              <w:t>m</w:t>
            </w:r>
            <w:r>
              <w:rPr>
                <w:rFonts w:hint="default" w:ascii="Times New Roman" w:hAnsi="Times New Roman" w:cs="Times New Roman"/>
                <w:kern w:val="2"/>
                <w:sz w:val="21"/>
                <w:szCs w:val="21"/>
                <w:lang w:eastAsia="zh-CN"/>
              </w:rPr>
              <w:t>）</w:t>
            </w:r>
          </w:p>
        </w:tc>
        <w:tc>
          <w:tcPr>
            <w:tcW w:w="479"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eastAsia="zh-CN"/>
              </w:rPr>
              <w:t>水面宽（</w:t>
            </w:r>
            <w:r>
              <w:rPr>
                <w:rFonts w:hint="default" w:ascii="Times New Roman" w:hAnsi="Times New Roman" w:cs="Times New Roman"/>
                <w:kern w:val="2"/>
                <w:sz w:val="21"/>
                <w:szCs w:val="21"/>
                <w:lang w:val="en-US" w:eastAsia="zh-CN"/>
              </w:rPr>
              <w:t>m</w:t>
            </w:r>
            <w:r>
              <w:rPr>
                <w:rFonts w:hint="default" w:ascii="Times New Roman" w:hAnsi="Times New Roman" w:cs="Times New Roman"/>
                <w:kern w:val="2"/>
                <w:sz w:val="21"/>
                <w:szCs w:val="21"/>
                <w:lang w:eastAsia="zh-CN"/>
              </w:rPr>
              <w:t>）</w:t>
            </w:r>
          </w:p>
        </w:tc>
        <w:tc>
          <w:tcPr>
            <w:tcW w:w="450"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过水断面（m²）</w:t>
            </w:r>
          </w:p>
        </w:tc>
        <w:tc>
          <w:tcPr>
            <w:tcW w:w="430"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cs="Times New Roman"/>
                <w:kern w:val="2"/>
                <w:sz w:val="21"/>
                <w:szCs w:val="21"/>
                <w:lang w:eastAsia="zh-CN"/>
              </w:rPr>
            </w:pPr>
            <w:r>
              <w:rPr>
                <w:rFonts w:hint="default" w:ascii="Times New Roman" w:hAnsi="Times New Roman" w:cs="Times New Roman"/>
                <w:kern w:val="2"/>
                <w:sz w:val="21"/>
                <w:szCs w:val="21"/>
                <w:lang w:eastAsia="zh-CN"/>
              </w:rPr>
              <w:t>平均流速（</w:t>
            </w:r>
            <w:r>
              <w:rPr>
                <w:rFonts w:hint="default" w:ascii="Times New Roman" w:hAnsi="Times New Roman" w:cs="Times New Roman"/>
                <w:kern w:val="2"/>
                <w:sz w:val="21"/>
                <w:szCs w:val="21"/>
                <w:lang w:val="en-US" w:eastAsia="zh-CN"/>
              </w:rPr>
              <w:t>m/s</w:t>
            </w:r>
            <w:r>
              <w:rPr>
                <w:rFonts w:hint="default" w:ascii="Times New Roman" w:hAnsi="Times New Roman" w:cs="Times New Roman"/>
                <w:kern w:val="2"/>
                <w:sz w:val="21"/>
                <w:szCs w:val="21"/>
                <w:lang w:eastAsia="zh-CN"/>
              </w:rPr>
              <w:t>）</w:t>
            </w:r>
          </w:p>
        </w:tc>
        <w:tc>
          <w:tcPr>
            <w:tcW w:w="508"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eastAsia="zh-CN"/>
              </w:rPr>
              <w:t>水位（</w:t>
            </w:r>
            <w:r>
              <w:rPr>
                <w:rFonts w:hint="default" w:ascii="Times New Roman" w:hAnsi="Times New Roman" w:cs="Times New Roman"/>
                <w:kern w:val="2"/>
                <w:sz w:val="21"/>
                <w:szCs w:val="21"/>
                <w:lang w:val="en-US" w:eastAsia="zh-CN"/>
              </w:rPr>
              <w:t>m</w:t>
            </w:r>
            <w:r>
              <w:rPr>
                <w:rFonts w:hint="default" w:ascii="Times New Roman" w:hAnsi="Times New Roman" w:cs="Times New Roman"/>
                <w:kern w:val="2"/>
                <w:sz w:val="21"/>
                <w:szCs w:val="21"/>
                <w:lang w:eastAsia="zh-CN"/>
              </w:rPr>
              <w:t>）</w:t>
            </w:r>
          </w:p>
        </w:tc>
        <w:tc>
          <w:tcPr>
            <w:tcW w:w="507"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左右岸划界高程（m）</w:t>
            </w:r>
          </w:p>
        </w:tc>
        <w:tc>
          <w:tcPr>
            <w:tcW w:w="642" w:type="pct"/>
            <w:vAlign w:val="center"/>
          </w:tcPr>
          <w:p>
            <w:pPr>
              <w:pageBreakBefore w:val="0"/>
              <w:kinsoku/>
              <w:wordWrap/>
              <w:overflowPunct/>
              <w:topLinePunct w:val="0"/>
              <w:bidi w:val="0"/>
              <w:spacing w:line="360" w:lineRule="auto"/>
              <w:ind w:left="0" w:leftChars="0" w:firstLine="0" w:firstLineChars="0"/>
              <w:jc w:val="left"/>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备注</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w:t>
            </w:r>
            <w:r>
              <w:rPr>
                <w:rFonts w:hint="default" w:ascii="Times New Roman" w:hAnsi="Times New Roman" w:cs="Times New Roman"/>
                <w:kern w:val="2"/>
                <w:sz w:val="21"/>
                <w:szCs w:val="21"/>
                <w:lang w:val="en-US" w:eastAsia="zh-CN"/>
              </w:rPr>
              <w:t>01</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K21+689.00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bidi="ar-SA"/>
              </w:rPr>
              <w:t>5.1</w:t>
            </w:r>
          </w:p>
        </w:tc>
        <w:tc>
          <w:tcPr>
            <w:tcW w:w="51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842.49</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11.42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1.81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843.05</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843.05</w:t>
            </w:r>
          </w:p>
        </w:tc>
        <w:tc>
          <w:tcPr>
            <w:tcW w:w="64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w:t>
            </w:r>
            <w:r>
              <w:rPr>
                <w:rFonts w:hint="default" w:ascii="Times New Roman" w:hAnsi="Times New Roman" w:cs="Times New Roman"/>
                <w:kern w:val="2"/>
                <w:sz w:val="21"/>
                <w:szCs w:val="21"/>
                <w:lang w:val="en-US" w:eastAsia="zh-CN"/>
              </w:rPr>
              <w:t>02</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K21+500.00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bidi="ar-SA"/>
              </w:rPr>
              <w:t>5.1</w:t>
            </w:r>
          </w:p>
        </w:tc>
        <w:tc>
          <w:tcPr>
            <w:tcW w:w="51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825.36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825.83</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3.29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1.55</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825.83</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825.83</w:t>
            </w:r>
          </w:p>
        </w:tc>
        <w:tc>
          <w:tcPr>
            <w:tcW w:w="64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3</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rPr>
            </w:pPr>
            <w:r>
              <w:rPr>
                <w:rFonts w:hint="default" w:ascii="Times New Roman" w:hAnsi="Times New Roman" w:cs="Times New Roman"/>
                <w:kern w:val="2"/>
                <w:sz w:val="21"/>
                <w:szCs w:val="21"/>
                <w:lang w:val="en-US" w:eastAsia="zh-CN"/>
              </w:rPr>
              <w:t>K21+000.00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bidi="ar-SA"/>
              </w:rPr>
              <w:t>5.1</w:t>
            </w:r>
          </w:p>
        </w:tc>
        <w:tc>
          <w:tcPr>
            <w:tcW w:w="517" w:type="pct"/>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r>
              <w:rPr>
                <w:rFonts w:hint="default" w:ascii="Times New Roman" w:hAnsi="Times New Roman" w:cs="Times New Roman"/>
                <w:i w:val="0"/>
                <w:color w:val="000000"/>
                <w:kern w:val="0"/>
                <w:sz w:val="21"/>
                <w:szCs w:val="21"/>
                <w:u w:val="none"/>
                <w:lang w:val="en-US" w:eastAsia="zh-CN" w:bidi="ar"/>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803.46</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803.46</w:t>
            </w:r>
          </w:p>
        </w:tc>
        <w:tc>
          <w:tcPr>
            <w:tcW w:w="64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碾子沟水库20年一遇设计水位</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4</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K20+500.00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764.36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15.41</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32.49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767.62</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767.62</w:t>
            </w:r>
          </w:p>
        </w:tc>
        <w:tc>
          <w:tcPr>
            <w:tcW w:w="642" w:type="pct"/>
            <w:vMerge w:val="restar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i w:val="0"/>
                <w:color w:val="auto"/>
                <w:kern w:val="2"/>
                <w:sz w:val="21"/>
                <w:szCs w:val="21"/>
                <w:u w:val="none"/>
                <w:lang w:val="en-US" w:eastAsia="zh-CN" w:bidi="ar-SA"/>
              </w:rPr>
              <w:t>溪浩河（碾子沟沟水库至大洋沟水库段）10年一遇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5</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K20+000.00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721.09</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18.24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34.89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4.87</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723.95</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723.95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6</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K19+500.00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688.59</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23.44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4.63</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691.22</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691.22</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7</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K19+000.00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672.69</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23.81</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38.33</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4.56</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675.5</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675.5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8</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K18+500.00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663.42</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14.25</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31.55</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5.08</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666.8</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666.8</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-0</w:t>
            </w:r>
            <w:r>
              <w:rPr>
                <w:rFonts w:hint="default" w:ascii="Times New Roman" w:hAnsi="Times New Roman" w:cs="Times New Roman"/>
                <w:kern w:val="2"/>
                <w:sz w:val="21"/>
                <w:szCs w:val="21"/>
                <w:lang w:val="en-US" w:eastAsia="zh-CN"/>
              </w:rPr>
              <w:t>9</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K18+000.00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657.74</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16.38</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33.16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4.93</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661.13</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661.13</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w:t>
            </w:r>
            <w:r>
              <w:rPr>
                <w:rFonts w:hint="default" w:ascii="Times New Roman" w:hAnsi="Times New Roman" w:cs="Times New Roman"/>
                <w:kern w:val="2"/>
                <w:sz w:val="21"/>
                <w:szCs w:val="21"/>
              </w:rPr>
              <w:t>-</w:t>
            </w:r>
            <w:r>
              <w:rPr>
                <w:rFonts w:hint="default" w:ascii="Times New Roman" w:hAnsi="Times New Roman" w:cs="Times New Roman"/>
                <w:kern w:val="2"/>
                <w:sz w:val="21"/>
                <w:szCs w:val="21"/>
                <w:lang w:val="en-US" w:eastAsia="zh-CN"/>
              </w:rPr>
              <w:t>10</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rPr>
            </w:pPr>
            <w:r>
              <w:rPr>
                <w:rFonts w:hint="default" w:ascii="Times New Roman" w:hAnsi="Times New Roman" w:cs="Times New Roman"/>
                <w:kern w:val="2"/>
                <w:sz w:val="21"/>
                <w:szCs w:val="21"/>
                <w:lang w:val="en-US" w:eastAsia="zh-CN"/>
              </w:rPr>
              <w:t>K17+500.00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646.45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13.92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32.07</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5.41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649.68</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649.68</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SXH-11</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K17+000.00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634.56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15.23</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31.51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637.19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637.19</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SXH-12</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K16+500.00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614.56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16.04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32.16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4.66</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617.18</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617.18</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SXH-13</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K16+000.00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585.65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13.42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29.81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4.81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588.49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588.49</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SXH-14</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K15+500.00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569.85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16.41</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32.02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4.54</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572.27</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572.27</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SXH-15</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K15+000.00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563.57</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18.37</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44.52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3.44</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566.96</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566.96</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SXH-16</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K14+500.00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642" w:type="pct"/>
            <w:vMerge w:val="restar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i w:val="0"/>
                <w:color w:val="auto"/>
                <w:kern w:val="2"/>
                <w:sz w:val="21"/>
                <w:szCs w:val="21"/>
                <w:u w:val="none"/>
                <w:lang w:val="en-US" w:eastAsia="zh-CN" w:bidi="ar-SA"/>
              </w:rPr>
              <w:t>大洋沟水库库区采用30年一遇水位</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SXH-17</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K14+000.00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642" w:type="pct"/>
            <w:vMerge w:val="continue"/>
            <w:vAlign w:val="center"/>
          </w:tcPr>
          <w:p>
            <w:pPr>
              <w:pageBreakBefore w:val="0"/>
              <w:kinsoku/>
              <w:wordWrap/>
              <w:overflowPunct/>
              <w:topLinePunct w:val="0"/>
              <w:bidi w:val="0"/>
              <w:spacing w:line="360" w:lineRule="auto"/>
              <w:jc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SXH-18</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K13+500.00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564.89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SXH-19</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K13+000.00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564.89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SXH-20</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K12+500.00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564.89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SXH-21</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K12+000.00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141.6</w:t>
            </w:r>
          </w:p>
        </w:tc>
        <w:tc>
          <w:tcPr>
            <w:tcW w:w="517"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564.89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SXH-22</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K11+500.00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538.12</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30.79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38.18</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3.51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539.62</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539.62</w:t>
            </w:r>
          </w:p>
        </w:tc>
        <w:tc>
          <w:tcPr>
            <w:tcW w:w="642" w:type="pct"/>
            <w:vMerge w:val="restar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i w:val="0"/>
                <w:color w:val="auto"/>
                <w:kern w:val="2"/>
                <w:sz w:val="21"/>
                <w:szCs w:val="21"/>
                <w:u w:val="none"/>
                <w:lang w:val="en-US" w:eastAsia="zh-CN" w:bidi="ar-SA"/>
              </w:rPr>
              <w:t>沙溪浩（大洋沟水库至支沟段）10年一遇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SXH-23</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K11+000.00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522.06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22.59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45.39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3.25</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525.24</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525.24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SXH-24</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K10+500.00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520.31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20.94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45.06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3.21</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523.39</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523.39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SXH-25</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K10+000.00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518.5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22.28</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41.37</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3.56</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521.24</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521.24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SXH-26</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K9+500.00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516.21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30.84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37.9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3.57</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517.74</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517.74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SXH-27</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K9+000.00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134.0</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504.45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25.02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36.51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3.67</w:t>
            </w:r>
          </w:p>
        </w:tc>
        <w:tc>
          <w:tcPr>
            <w:tcW w:w="508"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506.35</w:t>
            </w:r>
          </w:p>
        </w:tc>
        <w:tc>
          <w:tcPr>
            <w:tcW w:w="50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506.35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SXH-28</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K8+500.00</w:t>
            </w:r>
          </w:p>
        </w:tc>
        <w:tc>
          <w:tcPr>
            <w:tcW w:w="441"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501.84</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62.2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65.92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3.24</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503.53</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503.53</w:t>
            </w:r>
          </w:p>
        </w:tc>
        <w:tc>
          <w:tcPr>
            <w:tcW w:w="642" w:type="pct"/>
            <w:vMerge w:val="restar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i w:val="0"/>
                <w:color w:val="auto"/>
                <w:kern w:val="2"/>
                <w:sz w:val="21"/>
                <w:szCs w:val="21"/>
                <w:u w:val="none"/>
                <w:lang w:val="en-US" w:eastAsia="zh-CN" w:bidi="ar-SA"/>
              </w:rPr>
              <w:t>沙溪浩（较大支沟汇口以下段）10年一遇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SXH-29</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K8+000.00</w:t>
            </w:r>
          </w:p>
        </w:tc>
        <w:tc>
          <w:tcPr>
            <w:tcW w:w="441"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495.53</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21.93</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44.68</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4.71</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498.44</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498.44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SXH-30</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K7+500.00</w:t>
            </w:r>
          </w:p>
        </w:tc>
        <w:tc>
          <w:tcPr>
            <w:tcW w:w="441"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488.36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29.89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47.06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4.33</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491.47</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491.47</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SXH-31</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K7+000.00</w:t>
            </w:r>
          </w:p>
        </w:tc>
        <w:tc>
          <w:tcPr>
            <w:tcW w:w="441"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481.72</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19.6</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43.31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4.92</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484.7</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484.7</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SXH-32</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K6+500.00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472.57</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33.9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51.73</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3.96</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474.23</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eastAsia="宋体" w:cs="Times New Roman"/>
                <w:kern w:val="2"/>
                <w:sz w:val="21"/>
                <w:szCs w:val="21"/>
                <w:lang w:val="en-US" w:eastAsia="zh-CN"/>
              </w:rPr>
              <w:t>474.23</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SXH-33</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K6+000.00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461.83</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26.52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48</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4.46</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464.45</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464.45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SXH-34</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K5+500.00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450.19</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35.4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51.91</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3.86</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452.02</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452.02</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SXH-35</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K5+000.00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432.6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30.99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49.84</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3.99</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434.54</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434.54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SXH-36</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K4+500.00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420.72</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35.52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52.16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3.82</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422.4</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422.4</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SXH-37</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K4+000.00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413.15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27.23</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47.75</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4.17</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415.39</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415.39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28"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SXH-38</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K3+500.00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407.1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26.74</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47.39</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4.2</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409.79</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409.79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SXH-39</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K3+000.00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399.55</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21.36</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44.02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4.52</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401.89</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401.89</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SXH-40</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K2+500.00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392.77</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19.98</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43.14</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4.89</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396.3</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396.3</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SXH-41</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K2+000.00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387.51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21.45</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45.22</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4.57</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390.05</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390.05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SXH-42</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382.81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28.79</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47.88</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4.19</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385.45</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eastAsia="宋体" w:cs="Times New Roman"/>
                <w:kern w:val="2"/>
                <w:sz w:val="21"/>
                <w:szCs w:val="21"/>
                <w:lang w:val="en-US" w:eastAsia="zh-CN"/>
              </w:rPr>
              <w:t>385.45</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kern w:val="2"/>
                <w:sz w:val="21"/>
                <w:szCs w:val="21"/>
                <w:lang w:val="en-US"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SXH-43</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K1+000.00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375.64</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61.77</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248.57</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0.96</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382.58</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382.58</w:t>
            </w:r>
          </w:p>
        </w:tc>
        <w:tc>
          <w:tcPr>
            <w:tcW w:w="642" w:type="pct"/>
            <w:vMerge w:val="restar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受嘉陵江回水影响10年一遇</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SXH-44</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K0+500.00</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372.76</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104.77</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626.56</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0.4</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SXH-45</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K0+286.02</w:t>
            </w:r>
          </w:p>
        </w:tc>
        <w:tc>
          <w:tcPr>
            <w:tcW w:w="441"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372.71</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120.2</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727.57</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0.36</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642" w:type="pct"/>
            <w:vMerge w:val="continue"/>
            <w:vAlign w:val="center"/>
          </w:tcPr>
          <w:p>
            <w:pPr>
              <w:keepNext w:val="0"/>
              <w:keepLines w:val="0"/>
              <w:pageBreakBefore w:val="0"/>
              <w:widowControl/>
              <w:suppressLineNumbers w:val="0"/>
              <w:kinsoku/>
              <w:wordWrap/>
              <w:overflowPunct/>
              <w:topLinePunct w:val="0"/>
              <w:bidi w:val="0"/>
              <w:spacing w:line="360" w:lineRule="auto"/>
              <w:jc w:val="center"/>
              <w:textAlignment w:val="center"/>
              <w:rPr>
                <w:rFonts w:hint="default" w:ascii="Times New Roman" w:hAnsi="Times New Roman" w:cs="Times New Roman"/>
                <w:i w:val="0"/>
                <w:color w:val="auto"/>
                <w:kern w:val="2"/>
                <w:sz w:val="21"/>
                <w:szCs w:val="21"/>
                <w:u w:val="none"/>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542"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SXH-46</w:t>
            </w:r>
          </w:p>
        </w:tc>
        <w:tc>
          <w:tcPr>
            <w:tcW w:w="479"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K0+000.00</w:t>
            </w:r>
          </w:p>
        </w:tc>
        <w:tc>
          <w:tcPr>
            <w:tcW w:w="441"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rPr>
              <w:t>199.1</w:t>
            </w:r>
          </w:p>
        </w:tc>
        <w:tc>
          <w:tcPr>
            <w:tcW w:w="517"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79"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5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w:t>
            </w:r>
          </w:p>
        </w:tc>
        <w:tc>
          <w:tcPr>
            <w:tcW w:w="430"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i w:val="0"/>
                <w:color w:val="auto"/>
                <w:kern w:val="2"/>
                <w:sz w:val="21"/>
                <w:szCs w:val="21"/>
                <w:u w:val="none"/>
                <w:lang w:val="en-US" w:eastAsia="zh-CN" w:bidi="ar-SA"/>
              </w:rPr>
              <w:t>/</w:t>
            </w:r>
          </w:p>
        </w:tc>
        <w:tc>
          <w:tcPr>
            <w:tcW w:w="508"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507" w:type="pct"/>
            <w:vAlign w:val="center"/>
          </w:tcPr>
          <w:p>
            <w:pPr>
              <w:pageBreakBefore w:val="0"/>
              <w:kinsoku/>
              <w:wordWrap/>
              <w:overflowPunct/>
              <w:topLinePunct w:val="0"/>
              <w:bidi w:val="0"/>
              <w:spacing w:line="360" w:lineRule="auto"/>
              <w:ind w:left="0" w:leftChars="0" w:firstLine="0" w:firstLineChars="0"/>
              <w:jc w:val="both"/>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382.58</w:t>
            </w:r>
          </w:p>
        </w:tc>
        <w:tc>
          <w:tcPr>
            <w:tcW w:w="642" w:type="pct"/>
            <w:vAlign w:val="center"/>
          </w:tcPr>
          <w:p>
            <w:pPr>
              <w:keepNext w:val="0"/>
              <w:keepLines w:val="0"/>
              <w:pageBreakBefore w:val="0"/>
              <w:widowControl/>
              <w:suppressLineNumbers w:val="0"/>
              <w:kinsoku/>
              <w:wordWrap/>
              <w:overflowPunct/>
              <w:topLinePunct w:val="0"/>
              <w:bidi w:val="0"/>
              <w:spacing w:line="360" w:lineRule="auto"/>
              <w:ind w:left="0" w:leftChars="0" w:firstLine="0" w:firstLineChars="0"/>
              <w:jc w:val="both"/>
              <w:textAlignment w:val="center"/>
              <w:rPr>
                <w:rFonts w:hint="default" w:ascii="Times New Roman" w:hAnsi="Times New Roman" w:cs="Times New Roman"/>
                <w:i w:val="0"/>
                <w:color w:val="auto"/>
                <w:kern w:val="2"/>
                <w:sz w:val="21"/>
                <w:szCs w:val="21"/>
                <w:u w:val="none"/>
                <w:lang w:val="en-US" w:eastAsia="zh-CN" w:bidi="ar-SA"/>
              </w:rPr>
            </w:pPr>
            <w:r>
              <w:rPr>
                <w:rFonts w:hint="default" w:ascii="Times New Roman" w:hAnsi="Times New Roman" w:cs="Times New Roman"/>
                <w:kern w:val="2"/>
                <w:sz w:val="21"/>
                <w:szCs w:val="21"/>
                <w:lang w:val="en-US" w:eastAsia="zh-CN"/>
              </w:rPr>
              <w:t>嘉陵江</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14" w:name="_Toc19145"/>
      <w:r>
        <w:rPr>
          <w:rFonts w:hint="eastAsia" w:ascii="Times New Roman" w:hAnsi="Times New Roman" w:cs="Times New Roman"/>
          <w:b/>
          <w:bCs/>
          <w:color w:val="auto"/>
          <w:kern w:val="2"/>
          <w:sz w:val="24"/>
          <w:szCs w:val="24"/>
          <w:lang w:val="en-US" w:eastAsia="zh-CN"/>
        </w:rPr>
        <w:t>1.2 河流规划及建设情况</w:t>
      </w:r>
      <w:bookmarkEnd w:id="14"/>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1.2.1 防洪工程</w:t>
      </w:r>
    </w:p>
    <w:p>
      <w:pPr>
        <w:pStyle w:val="18"/>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cs="宋体" w:asciiTheme="minorHAnsi" w:hAnsiTheme="minorHAnsi" w:eastAsiaTheme="minorEastAsia"/>
          <w:sz w:val="24"/>
          <w:szCs w:val="24"/>
          <w:lang w:val="en-US" w:eastAsia="zh-CN" w:bidi="zh-CN"/>
        </w:rPr>
      </w:pPr>
      <w:r>
        <w:rPr>
          <w:rFonts w:hint="eastAsia" w:cs="宋体" w:asciiTheme="minorHAnsi" w:hAnsiTheme="minorHAnsi" w:eastAsiaTheme="minorEastAsia"/>
          <w:sz w:val="24"/>
          <w:szCs w:val="24"/>
          <w:lang w:val="en-US" w:eastAsia="zh-CN" w:bidi="zh-CN"/>
        </w:rPr>
        <w:t>沙溪浩</w:t>
      </w:r>
      <w:r>
        <w:rPr>
          <w:rFonts w:hint="default" w:cs="宋体" w:asciiTheme="minorHAnsi" w:hAnsiTheme="minorHAnsi" w:eastAsiaTheme="minorEastAsia"/>
          <w:sz w:val="24"/>
          <w:szCs w:val="24"/>
          <w:lang w:val="en-US" w:eastAsia="zh-CN" w:bidi="zh-CN"/>
        </w:rPr>
        <w:t>干流上</w:t>
      </w:r>
      <w:r>
        <w:rPr>
          <w:rFonts w:hint="eastAsia" w:cs="宋体" w:asciiTheme="minorHAnsi" w:hAnsiTheme="minorHAnsi" w:eastAsiaTheme="minorEastAsia"/>
          <w:sz w:val="24"/>
          <w:szCs w:val="24"/>
          <w:lang w:val="en-US" w:eastAsia="zh-CN" w:bidi="zh-CN"/>
        </w:rPr>
        <w:t>除水库外无其他防洪工程。</w:t>
      </w:r>
    </w:p>
    <w:p>
      <w:pPr>
        <w:ind w:left="0" w:leftChars="0"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1.2.2 水利水电工程</w:t>
      </w:r>
    </w:p>
    <w:p>
      <w:pPr>
        <w:ind w:firstLine="480"/>
        <w:rPr>
          <w:rFonts w:hint="default" w:ascii="Times New Roman" w:hAnsi="Times New Roman" w:cs="Times New Roman"/>
        </w:rPr>
      </w:pPr>
      <w:r>
        <w:rPr>
          <w:rFonts w:hint="default" w:ascii="Times New Roman" w:hAnsi="Times New Roman" w:cs="Times New Roman"/>
          <w:sz w:val="24"/>
          <w:szCs w:val="24"/>
          <w:lang w:val="en-US" w:eastAsia="zh-CN"/>
        </w:rPr>
        <w:t>沙溪浩</w:t>
      </w:r>
      <w:r>
        <w:rPr>
          <w:rFonts w:hint="default" w:ascii="Times New Roman" w:hAnsi="Times New Roman" w:cs="Times New Roman"/>
          <w:sz w:val="24"/>
          <w:szCs w:val="24"/>
        </w:rPr>
        <w:t>境内也不涉及重要天然湿地、渠道，流域内仅有两座小（</w:t>
      </w:r>
      <w:r>
        <w:rPr>
          <w:rFonts w:hint="eastAsia" w:cs="Times New Roman"/>
          <w:sz w:val="24"/>
          <w:szCs w:val="24"/>
          <w:lang w:val="en-US" w:eastAsia="zh-CN"/>
        </w:rPr>
        <w:t>1</w:t>
      </w:r>
      <w:r>
        <w:rPr>
          <w:rFonts w:hint="default" w:ascii="Times New Roman" w:hAnsi="Times New Roman" w:cs="Times New Roman"/>
          <w:sz w:val="24"/>
          <w:szCs w:val="24"/>
        </w:rPr>
        <w:t>）型水库</w:t>
      </w:r>
      <w:r>
        <w:rPr>
          <w:rFonts w:hint="default" w:ascii="Times New Roman" w:hAnsi="Times New Roman" w:cs="Times New Roman"/>
          <w:sz w:val="24"/>
          <w:szCs w:val="24"/>
          <w:lang w:val="en-US" w:eastAsia="zh-CN"/>
        </w:rPr>
        <w:t>和</w:t>
      </w:r>
      <w:r>
        <w:rPr>
          <w:rFonts w:hint="eastAsia" w:cs="Times New Roman"/>
          <w:sz w:val="24"/>
          <w:szCs w:val="24"/>
          <w:lang w:val="en-US" w:eastAsia="zh-CN"/>
        </w:rPr>
        <w:t>四</w:t>
      </w:r>
      <w:r>
        <w:rPr>
          <w:rFonts w:hint="default" w:ascii="Times New Roman" w:hAnsi="Times New Roman" w:cs="Times New Roman"/>
          <w:sz w:val="24"/>
          <w:szCs w:val="24"/>
          <w:lang w:val="en-US" w:eastAsia="zh-CN"/>
        </w:rPr>
        <w:t>座小（</w:t>
      </w:r>
      <w:r>
        <w:rPr>
          <w:rFonts w:hint="eastAsia" w:cs="Times New Roman"/>
          <w:sz w:val="24"/>
          <w:szCs w:val="24"/>
          <w:lang w:val="en-US" w:eastAsia="zh-CN"/>
        </w:rPr>
        <w:t>2</w:t>
      </w:r>
      <w:r>
        <w:rPr>
          <w:rFonts w:hint="default" w:ascii="Times New Roman" w:hAnsi="Times New Roman" w:cs="Times New Roman"/>
          <w:sz w:val="24"/>
          <w:szCs w:val="24"/>
          <w:lang w:val="en-US" w:eastAsia="zh-CN"/>
        </w:rPr>
        <w:t>）型水库，</w:t>
      </w:r>
      <w:r>
        <w:rPr>
          <w:rFonts w:hint="default" w:ascii="Times New Roman" w:hAnsi="Times New Roman" w:cs="Times New Roman"/>
          <w:sz w:val="24"/>
          <w:szCs w:val="24"/>
        </w:rPr>
        <w:t>分别是</w:t>
      </w:r>
      <w:r>
        <w:rPr>
          <w:rFonts w:hint="default" w:ascii="Times New Roman" w:hAnsi="Times New Roman" w:cs="Times New Roman"/>
          <w:sz w:val="24"/>
          <w:szCs w:val="24"/>
          <w:lang w:val="en-US" w:eastAsia="zh-CN"/>
        </w:rPr>
        <w:t>大洋沟水库、团结水库和五龙镇欧家弯水库、五龙镇石板村碾子沟水库、</w:t>
      </w:r>
      <w:r>
        <w:rPr>
          <w:rFonts w:hint="eastAsia" w:cs="Times New Roman"/>
          <w:sz w:val="24"/>
          <w:szCs w:val="24"/>
          <w:lang w:val="en-US" w:eastAsia="zh-CN"/>
        </w:rPr>
        <w:t>平等水库、</w:t>
      </w:r>
      <w:r>
        <w:rPr>
          <w:rFonts w:hint="default" w:ascii="Times New Roman" w:hAnsi="Times New Roman" w:cs="Times New Roman"/>
          <w:sz w:val="24"/>
          <w:szCs w:val="24"/>
          <w:lang w:val="en-US" w:eastAsia="zh-CN"/>
        </w:rPr>
        <w:t>浙水乡凉山水库</w:t>
      </w:r>
      <w:r>
        <w:rPr>
          <w:rFonts w:hint="eastAsia" w:ascii="Times New Roman" w:hAnsi="Times New Roman" w:cs="Times New Roman"/>
          <w:sz w:val="24"/>
          <w:szCs w:val="24"/>
          <w:lang w:val="en-US" w:eastAsia="zh-CN"/>
        </w:rPr>
        <w:t>。其中大洋沟水库、</w:t>
      </w:r>
      <w:r>
        <w:rPr>
          <w:rFonts w:hint="default" w:ascii="Times New Roman" w:hAnsi="Times New Roman" w:cs="Times New Roman"/>
          <w:sz w:val="24"/>
          <w:szCs w:val="24"/>
          <w:lang w:val="en-US" w:eastAsia="zh-CN"/>
        </w:rPr>
        <w:t>碾子沟水库</w:t>
      </w:r>
      <w:r>
        <w:rPr>
          <w:rFonts w:hint="eastAsia" w:cs="Times New Roman"/>
          <w:sz w:val="24"/>
          <w:szCs w:val="24"/>
          <w:lang w:val="en-US" w:eastAsia="zh-CN"/>
        </w:rPr>
        <w:t>位于沙溪浩干流上，</w:t>
      </w:r>
      <w:r>
        <w:rPr>
          <w:rFonts w:hint="default" w:ascii="Times New Roman" w:hAnsi="Times New Roman" w:cs="Times New Roman"/>
          <w:sz w:val="24"/>
          <w:szCs w:val="24"/>
          <w:lang w:val="en-US" w:eastAsia="zh-CN"/>
        </w:rPr>
        <w:t>团结水库</w:t>
      </w:r>
      <w:r>
        <w:rPr>
          <w:rFonts w:hint="eastAsia" w:cs="Times New Roman"/>
          <w:sz w:val="24"/>
          <w:szCs w:val="24"/>
          <w:lang w:val="en-US" w:eastAsia="zh-CN"/>
        </w:rPr>
        <w:t>、</w:t>
      </w:r>
      <w:r>
        <w:rPr>
          <w:rFonts w:hint="default" w:ascii="Times New Roman" w:hAnsi="Times New Roman" w:cs="Times New Roman"/>
          <w:sz w:val="24"/>
          <w:szCs w:val="24"/>
          <w:lang w:val="en-US" w:eastAsia="zh-CN"/>
        </w:rPr>
        <w:t>欧家弯水库</w:t>
      </w:r>
      <w:r>
        <w:rPr>
          <w:rFonts w:hint="eastAsia" w:cs="Times New Roman"/>
          <w:sz w:val="24"/>
          <w:szCs w:val="24"/>
          <w:lang w:val="en-US" w:eastAsia="zh-CN"/>
        </w:rPr>
        <w:t>、平等水库、</w:t>
      </w:r>
      <w:r>
        <w:rPr>
          <w:rFonts w:hint="default" w:ascii="Times New Roman" w:hAnsi="Times New Roman" w:cs="Times New Roman"/>
          <w:sz w:val="24"/>
          <w:szCs w:val="24"/>
          <w:lang w:val="en-US" w:eastAsia="zh-CN"/>
        </w:rPr>
        <w:t>凉山水库</w:t>
      </w:r>
      <w:r>
        <w:rPr>
          <w:rFonts w:hint="eastAsia" w:cs="Times New Roman"/>
          <w:sz w:val="24"/>
          <w:szCs w:val="24"/>
          <w:lang w:val="en-US" w:eastAsia="zh-CN"/>
        </w:rPr>
        <w:t>位于沙溪浩支流上。</w:t>
      </w:r>
      <w:r>
        <w:rPr>
          <w:rFonts w:hint="eastAsia" w:ascii="Times New Roman" w:hAnsi="Times New Roman" w:cs="Times New Roman"/>
          <w:sz w:val="24"/>
          <w:szCs w:val="24"/>
          <w:lang w:val="en-US" w:eastAsia="zh-CN"/>
        </w:rPr>
        <w:t>水库基本情况见表1.2.-1。</w:t>
      </w:r>
    </w:p>
    <w:p>
      <w:pPr>
        <w:bidi w:val="0"/>
        <w:jc w:val="both"/>
        <w:outlineLvl w:val="8"/>
        <w:rPr>
          <w:rFonts w:hint="default"/>
          <w:b/>
          <w:bCs/>
        </w:rPr>
      </w:pPr>
      <w:r>
        <w:rPr>
          <w:rFonts w:hint="eastAsia"/>
          <w:b/>
          <w:bCs/>
          <w:lang w:val="en-US" w:eastAsia="zh-CN"/>
        </w:rPr>
        <w:t>表1.2-1               沙溪浩</w:t>
      </w:r>
      <w:r>
        <w:rPr>
          <w:rFonts w:hint="default"/>
          <w:b/>
          <w:bCs/>
        </w:rPr>
        <w:t>流域内水库</w:t>
      </w:r>
      <w:r>
        <w:rPr>
          <w:rFonts w:hint="eastAsia"/>
          <w:b/>
          <w:bCs/>
          <w:lang w:val="en-US" w:eastAsia="zh-CN"/>
        </w:rPr>
        <w:t>基本情况</w:t>
      </w:r>
      <w:r>
        <w:rPr>
          <w:rFonts w:hint="default"/>
          <w:b/>
          <w:bCs/>
        </w:rPr>
        <w:t>表</w:t>
      </w:r>
    </w:p>
    <w:p>
      <w:pPr>
        <w:spacing w:line="300" w:lineRule="exact"/>
        <w:ind w:firstLine="400"/>
        <w:jc w:val="right"/>
        <w:rPr>
          <w:rFonts w:hint="default" w:ascii="Times New Roman" w:hAnsi="Times New Roman" w:cs="Times New Roman"/>
          <w:sz w:val="21"/>
          <w:szCs w:val="21"/>
          <w:vertAlign w:val="superscript"/>
        </w:rPr>
      </w:pPr>
      <w:r>
        <w:rPr>
          <w:rFonts w:hint="default" w:ascii="Times New Roman" w:hAnsi="Times New Roman" w:cs="Times New Roman"/>
          <w:kern w:val="0"/>
          <w:sz w:val="20"/>
          <w:szCs w:val="20"/>
        </w:rPr>
        <w:t>单位：处数（处），总库容</w:t>
      </w:r>
      <w:r>
        <w:rPr>
          <w:rFonts w:hint="eastAsia" w:cs="Times New Roman"/>
          <w:kern w:val="0"/>
          <w:sz w:val="20"/>
          <w:szCs w:val="20"/>
          <w:lang w:eastAsia="zh-CN"/>
        </w:rPr>
        <w:t>、</w:t>
      </w:r>
      <w:r>
        <w:rPr>
          <w:rFonts w:hint="eastAsia" w:cs="Times New Roman"/>
          <w:kern w:val="0"/>
          <w:sz w:val="20"/>
          <w:szCs w:val="20"/>
          <w:lang w:val="en-US" w:eastAsia="zh-CN"/>
        </w:rPr>
        <w:t>供水量</w:t>
      </w:r>
      <w:r>
        <w:rPr>
          <w:rFonts w:hint="default" w:ascii="Times New Roman" w:hAnsi="Times New Roman" w:cs="Times New Roman"/>
          <w:kern w:val="0"/>
          <w:sz w:val="20"/>
          <w:szCs w:val="20"/>
        </w:rPr>
        <w:t>（万m</w:t>
      </w:r>
      <w:r>
        <w:rPr>
          <w:rFonts w:hint="default" w:ascii="Times New Roman" w:hAnsi="Times New Roman" w:cs="Times New Roman"/>
          <w:vertAlign w:val="superscript"/>
        </w:rPr>
        <w:t>3</w:t>
      </w:r>
      <w:r>
        <w:rPr>
          <w:rFonts w:hint="default" w:ascii="Times New Roman" w:hAnsi="Times New Roman" w:cs="Times New Roman"/>
          <w:kern w:val="0"/>
          <w:sz w:val="20"/>
          <w:szCs w:val="20"/>
        </w:rPr>
        <w:t>）</w:t>
      </w:r>
    </w:p>
    <w:tbl>
      <w:tblPr>
        <w:tblStyle w:val="28"/>
        <w:tblW w:w="8793"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701"/>
        <w:gridCol w:w="927"/>
        <w:gridCol w:w="1230"/>
        <w:gridCol w:w="1005"/>
        <w:gridCol w:w="1602"/>
        <w:gridCol w:w="151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乡镇</w:t>
            </w:r>
          </w:p>
        </w:tc>
        <w:tc>
          <w:tcPr>
            <w:tcW w:w="1701"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水库名称</w:t>
            </w:r>
          </w:p>
        </w:tc>
        <w:tc>
          <w:tcPr>
            <w:tcW w:w="927"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总库容</w:t>
            </w:r>
          </w:p>
        </w:tc>
        <w:tc>
          <w:tcPr>
            <w:tcW w:w="1230"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兴利库容</w:t>
            </w:r>
          </w:p>
        </w:tc>
        <w:tc>
          <w:tcPr>
            <w:tcW w:w="1005"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死库容</w:t>
            </w:r>
          </w:p>
        </w:tc>
        <w:tc>
          <w:tcPr>
            <w:tcW w:w="1602"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设计年供水量</w:t>
            </w:r>
          </w:p>
        </w:tc>
        <w:tc>
          <w:tcPr>
            <w:tcW w:w="1512" w:type="dxa"/>
            <w:tcBorders>
              <w:top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供水对象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陵江镇</w:t>
            </w:r>
          </w:p>
        </w:tc>
        <w:tc>
          <w:tcPr>
            <w:tcW w:w="1701"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大洋沟水库</w:t>
            </w:r>
          </w:p>
        </w:tc>
        <w:tc>
          <w:tcPr>
            <w:tcW w:w="927"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978</w:t>
            </w:r>
          </w:p>
        </w:tc>
        <w:tc>
          <w:tcPr>
            <w:tcW w:w="1230"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623</w:t>
            </w:r>
          </w:p>
        </w:tc>
        <w:tc>
          <w:tcPr>
            <w:tcW w:w="1005"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152</w:t>
            </w:r>
          </w:p>
        </w:tc>
        <w:tc>
          <w:tcPr>
            <w:tcW w:w="160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620</w:t>
            </w:r>
          </w:p>
        </w:tc>
        <w:tc>
          <w:tcPr>
            <w:tcW w:w="151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农业灌溉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浙水乡</w:t>
            </w:r>
          </w:p>
        </w:tc>
        <w:tc>
          <w:tcPr>
            <w:tcW w:w="1701"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团结水库</w:t>
            </w:r>
          </w:p>
        </w:tc>
        <w:tc>
          <w:tcPr>
            <w:tcW w:w="927"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239</w:t>
            </w:r>
          </w:p>
        </w:tc>
        <w:tc>
          <w:tcPr>
            <w:tcW w:w="1230"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159.5</w:t>
            </w:r>
          </w:p>
        </w:tc>
        <w:tc>
          <w:tcPr>
            <w:tcW w:w="1005"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36</w:t>
            </w:r>
          </w:p>
        </w:tc>
        <w:tc>
          <w:tcPr>
            <w:tcW w:w="160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159</w:t>
            </w:r>
          </w:p>
        </w:tc>
        <w:tc>
          <w:tcPr>
            <w:tcW w:w="151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农业灌溉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浙水乡</w:t>
            </w:r>
          </w:p>
        </w:tc>
        <w:tc>
          <w:tcPr>
            <w:tcW w:w="1701"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凉山水库</w:t>
            </w:r>
          </w:p>
        </w:tc>
        <w:tc>
          <w:tcPr>
            <w:tcW w:w="927"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10.61</w:t>
            </w:r>
          </w:p>
        </w:tc>
        <w:tc>
          <w:tcPr>
            <w:tcW w:w="1230"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6.7</w:t>
            </w:r>
          </w:p>
        </w:tc>
        <w:tc>
          <w:tcPr>
            <w:tcW w:w="1005"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3.3</w:t>
            </w:r>
          </w:p>
        </w:tc>
        <w:tc>
          <w:tcPr>
            <w:tcW w:w="160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7</w:t>
            </w:r>
          </w:p>
        </w:tc>
        <w:tc>
          <w:tcPr>
            <w:tcW w:w="151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农业灌溉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浙水乡</w:t>
            </w:r>
          </w:p>
        </w:tc>
        <w:tc>
          <w:tcPr>
            <w:tcW w:w="1701"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eastAsia" w:cs="Times New Roman"/>
                <w:kern w:val="0"/>
                <w:sz w:val="18"/>
                <w:szCs w:val="18"/>
                <w:lang w:val="en-US" w:eastAsia="zh-CN"/>
              </w:rPr>
              <w:t>平等水库</w:t>
            </w:r>
          </w:p>
        </w:tc>
        <w:tc>
          <w:tcPr>
            <w:tcW w:w="927"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eastAsia" w:cs="Times New Roman"/>
                <w:kern w:val="0"/>
                <w:sz w:val="18"/>
                <w:szCs w:val="18"/>
                <w:lang w:val="en-US" w:eastAsia="zh-CN"/>
              </w:rPr>
              <w:t>17.16</w:t>
            </w:r>
          </w:p>
        </w:tc>
        <w:tc>
          <w:tcPr>
            <w:tcW w:w="1230"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eastAsia" w:cs="Times New Roman"/>
                <w:kern w:val="0"/>
                <w:sz w:val="18"/>
                <w:szCs w:val="18"/>
                <w:lang w:val="en-US" w:eastAsia="zh-CN"/>
              </w:rPr>
              <w:t>8.85</w:t>
            </w:r>
          </w:p>
        </w:tc>
        <w:tc>
          <w:tcPr>
            <w:tcW w:w="1005"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eastAsia" w:cs="Times New Roman"/>
                <w:kern w:val="0"/>
                <w:sz w:val="18"/>
                <w:szCs w:val="18"/>
                <w:lang w:val="en-US" w:eastAsia="zh-CN"/>
              </w:rPr>
              <w:t>2.5</w:t>
            </w:r>
          </w:p>
        </w:tc>
        <w:tc>
          <w:tcPr>
            <w:tcW w:w="160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eastAsia" w:cs="Times New Roman"/>
                <w:kern w:val="0"/>
                <w:sz w:val="18"/>
                <w:szCs w:val="18"/>
                <w:lang w:val="en-US" w:eastAsia="zh-CN"/>
              </w:rPr>
              <w:t>13.5</w:t>
            </w:r>
          </w:p>
        </w:tc>
        <w:tc>
          <w:tcPr>
            <w:tcW w:w="151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lang w:val="en-US" w:eastAsia="zh-CN"/>
              </w:rPr>
              <w:t>农业灌溉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五龙镇</w:t>
            </w:r>
          </w:p>
        </w:tc>
        <w:tc>
          <w:tcPr>
            <w:tcW w:w="1701"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欧家弯水库</w:t>
            </w:r>
          </w:p>
        </w:tc>
        <w:tc>
          <w:tcPr>
            <w:tcW w:w="927"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21.8</w:t>
            </w:r>
          </w:p>
        </w:tc>
        <w:tc>
          <w:tcPr>
            <w:tcW w:w="1230"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16.65</w:t>
            </w:r>
          </w:p>
        </w:tc>
        <w:tc>
          <w:tcPr>
            <w:tcW w:w="1005"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1.05</w:t>
            </w:r>
          </w:p>
        </w:tc>
        <w:tc>
          <w:tcPr>
            <w:tcW w:w="160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16</w:t>
            </w:r>
          </w:p>
        </w:tc>
        <w:tc>
          <w:tcPr>
            <w:tcW w:w="1512" w:type="dxa"/>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农业灌溉</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五龙镇</w:t>
            </w:r>
          </w:p>
        </w:tc>
        <w:tc>
          <w:tcPr>
            <w:tcW w:w="1701"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碾子沟水库</w:t>
            </w:r>
          </w:p>
        </w:tc>
        <w:tc>
          <w:tcPr>
            <w:tcW w:w="927"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10.42</w:t>
            </w:r>
          </w:p>
        </w:tc>
        <w:tc>
          <w:tcPr>
            <w:tcW w:w="1230"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3.95</w:t>
            </w:r>
          </w:p>
        </w:tc>
        <w:tc>
          <w:tcPr>
            <w:tcW w:w="1005"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4</w:t>
            </w:r>
          </w:p>
        </w:tc>
        <w:tc>
          <w:tcPr>
            <w:tcW w:w="1602"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4</w:t>
            </w:r>
          </w:p>
        </w:tc>
        <w:tc>
          <w:tcPr>
            <w:tcW w:w="1512" w:type="dxa"/>
            <w:tcBorders>
              <w:bottom w:val="single" w:color="auto" w:sz="12" w:space="0"/>
            </w:tcBorders>
            <w:noWrap/>
            <w:vAlign w:val="bottom"/>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lang w:val="en-US" w:eastAsia="zh-CN"/>
              </w:rPr>
              <w:t>农业灌溉</w:t>
            </w:r>
          </w:p>
        </w:tc>
      </w:tr>
    </w:tbl>
    <w:p>
      <w:pPr>
        <w:wordWrap/>
        <w:autoSpaceDE/>
        <w:autoSpaceDN/>
        <w:adjustRightInd w:val="0"/>
        <w:snapToGrid w:val="0"/>
        <w:spacing w:before="166" w:beforeLines="50" w:after="166" w:afterLines="50" w:line="360" w:lineRule="auto"/>
        <w:ind w:firstLine="0" w:firstLineChars="0"/>
        <w:outlineLvl w:val="9"/>
        <w:rPr>
          <w:rFonts w:hint="default"/>
          <w:lang w:val="en-US" w:eastAsia="zh-CN"/>
        </w:rPr>
      </w:pPr>
      <w:r>
        <w:rPr>
          <w:rFonts w:hint="eastAsia"/>
          <w:lang w:val="en-US" w:eastAsia="zh-CN"/>
        </w:rPr>
        <w:t>其中碾子沟水库与大洋沟水库位于沙溪浩干流上，本次评价选取以上两座水库为特征点之一进行评价。</w:t>
      </w:r>
    </w:p>
    <w:p>
      <w:pPr>
        <w:pageBreakBefore w:val="0"/>
        <w:kinsoku/>
        <w:wordWrap/>
        <w:overflowPunct/>
        <w:topLinePunct w:val="0"/>
        <w:bidi w:val="0"/>
        <w:spacing w:line="360" w:lineRule="auto"/>
        <w:ind w:firstLine="466" w:firstLineChars="200"/>
        <w:rPr>
          <w:rFonts w:hint="default" w:ascii="Times New Roman" w:hAnsi="Times New Roman" w:eastAsia="宋体" w:cs="Times New Roman"/>
          <w:b/>
          <w:bCs/>
          <w:spacing w:val="-4"/>
          <w:sz w:val="24"/>
          <w:szCs w:val="24"/>
          <w:lang w:bidi="zh-CN"/>
        </w:rPr>
      </w:pPr>
      <w:r>
        <w:rPr>
          <w:rFonts w:hint="default" w:ascii="Times New Roman" w:hAnsi="Times New Roman" w:cs="Times New Roman"/>
          <w:b/>
          <w:bCs/>
          <w:spacing w:val="-4"/>
          <w:sz w:val="24"/>
          <w:szCs w:val="24"/>
          <w:lang w:bidi="zh-CN"/>
        </w:rPr>
        <w:t>1</w:t>
      </w:r>
      <w:r>
        <w:rPr>
          <w:rFonts w:hint="default" w:ascii="Times New Roman" w:hAnsi="Times New Roman" w:eastAsia="宋体" w:cs="Times New Roman"/>
          <w:b/>
          <w:bCs/>
          <w:spacing w:val="-4"/>
          <w:sz w:val="24"/>
          <w:szCs w:val="24"/>
          <w:lang w:bidi="zh-CN"/>
        </w:rPr>
        <w:t>、大洋沟水库（已建）</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大洋沟水库位于苍溪县陵江镇大洋村境内，修建在嘉陵江左岸小支流大洋沟河段上，距苍溪县城18km，地理坐标东经105°56´，北纬31°55´。坝址以上水库控制集雨面积25.4km</w:t>
      </w:r>
      <w:r>
        <w:rPr>
          <w:rFonts w:hint="default" w:ascii="Times New Roman" w:hAnsi="Times New Roman" w:eastAsia="宋体" w:cs="Times New Roman"/>
          <w:spacing w:val="-11"/>
          <w:kern w:val="2"/>
          <w:sz w:val="24"/>
          <w:szCs w:val="24"/>
          <w:vertAlign w:val="superscript"/>
          <w:lang w:val="en-US" w:eastAsia="zh-CN" w:bidi="zh-CN"/>
        </w:rPr>
        <w:t>2</w:t>
      </w:r>
      <w:r>
        <w:rPr>
          <w:rFonts w:hint="default" w:ascii="Times New Roman" w:hAnsi="Times New Roman" w:eastAsia="宋体" w:cs="Times New Roman"/>
          <w:spacing w:val="-11"/>
          <w:kern w:val="2"/>
          <w:sz w:val="24"/>
          <w:szCs w:val="24"/>
          <w:lang w:val="en-US" w:eastAsia="zh-CN" w:bidi="zh-CN"/>
        </w:rPr>
        <w:t>，多年平均径流深446.6mm，多年平均年径流量1134万m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，多年平均流量0.36m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/s。水库正常蓄水位562.40m，总库容978万m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，有效库容622.9万m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，死库容152万m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。水库设计洪水位564.89m，校核洪水位565.97m，正常蓄水位562.40m，死水位545.00m。是一座给闫家沟水库补水，灌溉面积4.56万亩，兼有城乡10万人畜饮水等综合利用的拦蓄式小（</w:t>
      </w:r>
      <w:r>
        <w:rPr>
          <w:rFonts w:hint="eastAsia" w:cs="Times New Roman"/>
          <w:spacing w:val="-11"/>
          <w:kern w:val="2"/>
          <w:sz w:val="24"/>
          <w:szCs w:val="24"/>
          <w:lang w:val="en-US" w:eastAsia="zh-CN" w:bidi="zh-CN"/>
        </w:rPr>
        <w:t>1</w:t>
      </w:r>
      <w:r>
        <w:rPr>
          <w:rFonts w:hint="default" w:ascii="Times New Roman" w:hAnsi="Times New Roman" w:eastAsia="宋体" w:cs="Times New Roman"/>
          <w:spacing w:val="-11"/>
          <w:kern w:val="2"/>
          <w:sz w:val="24"/>
          <w:szCs w:val="24"/>
          <w:lang w:val="en-US" w:eastAsia="zh-CN" w:bidi="zh-CN"/>
        </w:rPr>
        <w:t>）型水库。下游涉及5000人和2500亩耕地。枢纽工程包括大坝、溢洪道、放空导流隧洞、引水隧洞等建筑物。</w:t>
      </w:r>
    </w:p>
    <w:p>
      <w:pPr>
        <w:pStyle w:val="22"/>
        <w:rPr>
          <w:rFonts w:hint="eastAsia" w:eastAsia="仿宋_GB2312"/>
          <w:lang w:eastAsia="zh-CN"/>
        </w:rPr>
      </w:pPr>
      <w:r>
        <w:rPr>
          <w:rFonts w:hint="eastAsia" w:eastAsia="仿宋_GB2312"/>
          <w:lang w:eastAsia="zh-CN"/>
        </w:rPr>
        <w:drawing>
          <wp:inline distT="0" distB="0" distL="114300" distR="114300">
            <wp:extent cx="3564890" cy="5241925"/>
            <wp:effectExtent l="0" t="0" r="15875" b="16510"/>
            <wp:docPr id="12" name="图片 12" descr="IMG_2677(20201020-09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7(20201020-092044)"/>
                    <pic:cNvPicPr>
                      <a:picLocks noChangeAspect="1"/>
                    </pic:cNvPicPr>
                  </pic:nvPicPr>
                  <pic:blipFill>
                    <a:blip r:embed="rId80"/>
                    <a:stretch>
                      <a:fillRect/>
                    </a:stretch>
                  </pic:blipFill>
                  <pic:spPr>
                    <a:xfrm rot="16200000">
                      <a:off x="0" y="0"/>
                      <a:ext cx="3564890" cy="5241925"/>
                    </a:xfrm>
                    <a:prstGeom prst="rect">
                      <a:avLst/>
                    </a:prstGeom>
                  </pic:spPr>
                </pic:pic>
              </a:graphicData>
            </a:graphic>
          </wp:inline>
        </w:drawing>
      </w:r>
    </w:p>
    <w:p>
      <w:pPr>
        <w:pStyle w:val="2"/>
        <w:ind w:left="0" w:leftChars="0" w:firstLine="1928" w:firstLineChars="800"/>
        <w:jc w:val="both"/>
        <w:outlineLvl w:val="8"/>
        <w:rPr>
          <w:rFonts w:hint="eastAsia" w:ascii="Times New Roman" w:hAnsi="Times New Roman" w:eastAsia="宋体" w:cs="Times New Roman"/>
          <w:b/>
          <w:bCs w:val="0"/>
          <w:color w:val="auto"/>
          <w:kern w:val="2"/>
          <w:sz w:val="24"/>
          <w:szCs w:val="22"/>
          <w:lang w:val="en-US" w:eastAsia="zh-CN" w:bidi="ar-SA"/>
        </w:rPr>
      </w:pPr>
      <w:r>
        <w:rPr>
          <w:rFonts w:hint="default" w:ascii="Times New Roman" w:hAnsi="Times New Roman" w:eastAsia="宋体" w:cs="Times New Roman"/>
          <w:b/>
          <w:bCs w:val="0"/>
          <w:color w:val="auto"/>
          <w:kern w:val="2"/>
          <w:sz w:val="24"/>
          <w:szCs w:val="22"/>
          <w:lang w:val="en-US" w:eastAsia="zh-CN" w:bidi="ar-SA"/>
        </w:rPr>
        <w:t>图</w:t>
      </w:r>
      <w:r>
        <w:rPr>
          <w:rFonts w:hint="eastAsia" w:cs="Times New Roman"/>
          <w:b/>
          <w:bCs w:val="0"/>
          <w:color w:val="auto"/>
          <w:kern w:val="2"/>
          <w:sz w:val="24"/>
          <w:szCs w:val="22"/>
          <w:lang w:val="en-US" w:eastAsia="zh-CN" w:bidi="ar-SA"/>
        </w:rPr>
        <w:t>1.2-1</w:t>
      </w:r>
      <w:r>
        <w:rPr>
          <w:rFonts w:hint="eastAsia" w:ascii="Times New Roman" w:hAnsi="Times New Roman" w:eastAsia="宋体" w:cs="Times New Roman"/>
          <w:b/>
          <w:bCs w:val="0"/>
          <w:color w:val="auto"/>
          <w:kern w:val="2"/>
          <w:sz w:val="24"/>
          <w:szCs w:val="22"/>
          <w:lang w:val="en-US" w:eastAsia="zh-CN" w:bidi="ar-SA"/>
        </w:rPr>
        <w:t xml:space="preserve">      </w:t>
      </w:r>
      <w:r>
        <w:rPr>
          <w:rFonts w:hint="eastAsia" w:eastAsia="宋体" w:cs="Times New Roman"/>
          <w:b/>
          <w:bCs w:val="0"/>
          <w:color w:val="auto"/>
          <w:kern w:val="2"/>
          <w:sz w:val="24"/>
          <w:szCs w:val="22"/>
          <w:lang w:val="en-US" w:eastAsia="zh-CN" w:bidi="ar-SA"/>
        </w:rPr>
        <w:t>大洋沟水库</w:t>
      </w:r>
      <w:r>
        <w:rPr>
          <w:rFonts w:hint="eastAsia" w:ascii="Times New Roman" w:hAnsi="Times New Roman" w:eastAsia="宋体" w:cs="Times New Roman"/>
          <w:b/>
          <w:bCs w:val="0"/>
          <w:color w:val="auto"/>
          <w:kern w:val="2"/>
          <w:sz w:val="24"/>
          <w:szCs w:val="22"/>
          <w:lang w:val="en-US" w:eastAsia="zh-CN" w:bidi="ar-SA"/>
        </w:rPr>
        <w:t>现场照片</w:t>
      </w:r>
    </w:p>
    <w:p>
      <w:pPr>
        <w:pStyle w:val="22"/>
        <w:rPr>
          <w:rFonts w:hint="default" w:eastAsia="仿宋_GB2312"/>
          <w:lang w:val="en-US" w:eastAsia="zh-CN"/>
        </w:rPr>
      </w:pPr>
    </w:p>
    <w:p>
      <w:pPr>
        <w:keepNext w:val="0"/>
        <w:keepLines w:val="0"/>
        <w:pageBreakBefore w:val="0"/>
        <w:widowControl w:val="0"/>
        <w:numPr>
          <w:ilvl w:val="0"/>
          <w:numId w:val="2"/>
        </w:numPr>
        <w:kinsoku/>
        <w:wordWrap/>
        <w:overflowPunct/>
        <w:topLinePunct w:val="0"/>
        <w:autoSpaceDE/>
        <w:autoSpaceDN/>
        <w:bidi w:val="0"/>
        <w:adjustRightInd/>
        <w:spacing w:line="360" w:lineRule="auto"/>
        <w:ind w:left="254" w:leftChars="0" w:firstLine="466" w:firstLineChars="0"/>
        <w:textAlignment w:val="auto"/>
        <w:rPr>
          <w:rFonts w:hint="default" w:ascii="Times New Roman" w:hAnsi="Times New Roman" w:eastAsia="宋体" w:cs="Times New Roman"/>
          <w:b/>
          <w:bCs/>
          <w:spacing w:val="-4"/>
          <w:sz w:val="24"/>
          <w:szCs w:val="24"/>
          <w:lang w:val="en-US" w:eastAsia="zh-CN" w:bidi="zh-CN"/>
        </w:rPr>
      </w:pPr>
      <w:r>
        <w:rPr>
          <w:rFonts w:hint="default" w:ascii="Times New Roman" w:hAnsi="Times New Roman" w:eastAsia="宋体" w:cs="Times New Roman"/>
          <w:b/>
          <w:bCs/>
          <w:spacing w:val="-4"/>
          <w:sz w:val="24"/>
          <w:szCs w:val="24"/>
          <w:lang w:val="en-US" w:eastAsia="zh-CN" w:bidi="zh-CN"/>
        </w:rPr>
        <w:t>碾子沟水库（已建）</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碾子沟水库位于苍溪县五龙镇三会村境内，距苍溪县26.1公里，距五龙镇3.58公里。碾子沟水库于1986年12月全面竣工投入运行，地理坐标为东经105°56´8.4´´，北纬31°57´57.1´´。</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碾子沟水库坝址以上集雨面积为0.28km</w:t>
      </w:r>
      <w:r>
        <w:rPr>
          <w:rFonts w:hint="default" w:ascii="Times New Roman" w:hAnsi="Times New Roman" w:eastAsia="宋体" w:cs="Times New Roman"/>
          <w:spacing w:val="-11"/>
          <w:kern w:val="2"/>
          <w:sz w:val="24"/>
          <w:szCs w:val="24"/>
          <w:vertAlign w:val="superscript"/>
          <w:lang w:val="en-US" w:eastAsia="zh-CN" w:bidi="zh-CN"/>
        </w:rPr>
        <w:t>2</w:t>
      </w:r>
      <w:r>
        <w:rPr>
          <w:rFonts w:hint="default" w:ascii="Times New Roman" w:hAnsi="Times New Roman" w:eastAsia="宋体" w:cs="Times New Roman"/>
          <w:spacing w:val="-11"/>
          <w:kern w:val="2"/>
          <w:sz w:val="24"/>
          <w:szCs w:val="24"/>
          <w:lang w:val="en-US" w:eastAsia="zh-CN" w:bidi="zh-CN"/>
        </w:rPr>
        <w:t>，主河道长度0.915 km，平均比降为82.3‰，灌溉面积为</w:t>
      </w:r>
      <w:r>
        <w:rPr>
          <w:rFonts w:hint="eastAsia" w:cs="Times New Roman"/>
          <w:spacing w:val="-11"/>
          <w:kern w:val="2"/>
          <w:sz w:val="24"/>
          <w:szCs w:val="24"/>
          <w:lang w:val="en-US" w:eastAsia="zh-CN" w:bidi="zh-CN"/>
        </w:rPr>
        <w:t>700</w:t>
      </w:r>
      <w:r>
        <w:rPr>
          <w:rFonts w:hint="default" w:ascii="Times New Roman" w:hAnsi="Times New Roman" w:eastAsia="宋体" w:cs="Times New Roman"/>
          <w:spacing w:val="-11"/>
          <w:kern w:val="2"/>
          <w:sz w:val="24"/>
          <w:szCs w:val="24"/>
          <w:lang w:val="en-US" w:eastAsia="zh-CN" w:bidi="zh-CN"/>
        </w:rPr>
        <w:t>亩。根据《防洪标准》（GB50201-2014）与《水利水电工程等级划分及洪水标准》（SL252－2000）的规定，属小（2）型水库，主要任务以灌溉为主，兼有防洪、养鱼等综合功能。水库枢纽由大坝、溢洪道、放水设施三部分组成。工程等别为Ⅴ等，枢纽工程主要永久性建筑物级别为5级。</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水库校核洪水标准为200年一遇，校核洪水位为803.73m，相应库容12.6万m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；设计洪水标准为20年一遇，设计洪水位为803.46m，相应库容12.01万m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；正常蓄水位802.77m，相应库容10.54万m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；死水位791.62m，死库容1.6万m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，兴利库容8.94万m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w:t>
      </w:r>
    </w:p>
    <w:p>
      <w:pPr>
        <w:pStyle w:val="22"/>
        <w:rPr>
          <w:rFonts w:hint="default"/>
          <w:lang w:val="en-US" w:eastAsia="zh-CN"/>
        </w:rPr>
      </w:pPr>
      <w:r>
        <w:rPr>
          <w:rFonts w:hint="eastAsia" w:eastAsia="仿宋_GB2312"/>
          <w:lang w:eastAsia="zh-CN"/>
        </w:rPr>
        <w:drawing>
          <wp:inline distT="0" distB="0" distL="114300" distR="114300">
            <wp:extent cx="3606165" cy="5302885"/>
            <wp:effectExtent l="0" t="0" r="12065" b="13335"/>
            <wp:docPr id="15" name="图片 15" descr="IMG_2689(20201020-09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689(20201020-095323)"/>
                    <pic:cNvPicPr>
                      <a:picLocks noChangeAspect="1"/>
                    </pic:cNvPicPr>
                  </pic:nvPicPr>
                  <pic:blipFill>
                    <a:blip r:embed="rId81"/>
                    <a:stretch>
                      <a:fillRect/>
                    </a:stretch>
                  </pic:blipFill>
                  <pic:spPr>
                    <a:xfrm rot="16200000">
                      <a:off x="0" y="0"/>
                      <a:ext cx="3606165" cy="5302885"/>
                    </a:xfrm>
                    <a:prstGeom prst="rect">
                      <a:avLst/>
                    </a:prstGeom>
                  </pic:spPr>
                </pic:pic>
              </a:graphicData>
            </a:graphic>
          </wp:inline>
        </w:drawing>
      </w:r>
    </w:p>
    <w:p>
      <w:pPr>
        <w:pStyle w:val="2"/>
        <w:ind w:left="0" w:leftChars="0" w:firstLine="1928" w:firstLineChars="800"/>
        <w:jc w:val="center"/>
        <w:outlineLvl w:val="8"/>
        <w:rPr>
          <w:rFonts w:hint="eastAsia" w:ascii="Times New Roman" w:hAnsi="Times New Roman" w:eastAsia="宋体" w:cs="Times New Roman"/>
          <w:b/>
          <w:bCs w:val="0"/>
          <w:color w:val="auto"/>
          <w:kern w:val="2"/>
          <w:sz w:val="24"/>
          <w:szCs w:val="22"/>
          <w:lang w:val="en-US" w:eastAsia="zh-CN" w:bidi="ar-SA"/>
        </w:rPr>
      </w:pPr>
      <w:r>
        <w:rPr>
          <w:rFonts w:hint="default" w:ascii="Times New Roman" w:hAnsi="Times New Roman" w:eastAsia="宋体" w:cs="Times New Roman"/>
          <w:b/>
          <w:bCs w:val="0"/>
          <w:color w:val="auto"/>
          <w:kern w:val="2"/>
          <w:sz w:val="24"/>
          <w:szCs w:val="22"/>
          <w:lang w:val="en-US" w:eastAsia="zh-CN" w:bidi="ar-SA"/>
        </w:rPr>
        <w:t>图</w:t>
      </w:r>
      <w:r>
        <w:rPr>
          <w:rFonts w:hint="eastAsia" w:cs="Times New Roman"/>
          <w:b/>
          <w:bCs w:val="0"/>
          <w:color w:val="auto"/>
          <w:kern w:val="2"/>
          <w:sz w:val="24"/>
          <w:szCs w:val="22"/>
          <w:lang w:val="en-US" w:eastAsia="zh-CN" w:bidi="ar-SA"/>
        </w:rPr>
        <w:t>1.2-2</w:t>
      </w:r>
      <w:r>
        <w:rPr>
          <w:rFonts w:hint="eastAsia" w:ascii="Times New Roman" w:hAnsi="Times New Roman" w:eastAsia="宋体" w:cs="Times New Roman"/>
          <w:b/>
          <w:bCs w:val="0"/>
          <w:color w:val="auto"/>
          <w:kern w:val="2"/>
          <w:sz w:val="24"/>
          <w:szCs w:val="22"/>
          <w:lang w:val="en-US" w:eastAsia="zh-CN" w:bidi="ar-SA"/>
        </w:rPr>
        <w:t xml:space="preserve">     </w:t>
      </w:r>
      <w:r>
        <w:rPr>
          <w:rFonts w:hint="eastAsia" w:eastAsia="宋体" w:cs="Times New Roman"/>
          <w:b/>
          <w:bCs w:val="0"/>
          <w:color w:val="auto"/>
          <w:kern w:val="2"/>
          <w:sz w:val="24"/>
          <w:szCs w:val="22"/>
          <w:lang w:val="en-US" w:eastAsia="zh-CN" w:bidi="ar-SA"/>
        </w:rPr>
        <w:t>碾子沟水库大坝</w:t>
      </w:r>
      <w:r>
        <w:rPr>
          <w:rFonts w:hint="eastAsia" w:ascii="Times New Roman" w:hAnsi="Times New Roman" w:eastAsia="宋体" w:cs="Times New Roman"/>
          <w:b/>
          <w:bCs w:val="0"/>
          <w:color w:val="auto"/>
          <w:kern w:val="2"/>
          <w:sz w:val="24"/>
          <w:szCs w:val="22"/>
          <w:lang w:val="en-US" w:eastAsia="zh-CN" w:bidi="ar-SA"/>
        </w:rPr>
        <w:t>现场照片</w:t>
      </w:r>
    </w:p>
    <w:p>
      <w:pPr>
        <w:pStyle w:val="7"/>
        <w:keepNext w:val="0"/>
        <w:keepLines w:val="0"/>
        <w:pageBreakBefore w:val="0"/>
        <w:widowControl w:val="0"/>
        <w:numPr>
          <w:ilvl w:val="2"/>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eastAsia="宋体" w:cs="Times New Roman"/>
          <w:b/>
          <w:bCs/>
          <w:sz w:val="24"/>
          <w:szCs w:val="24"/>
          <w:lang w:val="en-US" w:eastAsia="zh-CN"/>
        </w:rPr>
      </w:pPr>
      <w:r>
        <w:rPr>
          <w:rFonts w:hint="eastAsia" w:cs="Times New Roman"/>
          <w:b/>
          <w:bCs w:val="0"/>
          <w:color w:val="auto"/>
          <w:kern w:val="2"/>
          <w:sz w:val="24"/>
          <w:szCs w:val="22"/>
          <w:lang w:val="en-US" w:eastAsia="zh-CN" w:bidi="ar-SA"/>
        </w:rPr>
        <w:t xml:space="preserve">1.2.3 </w:t>
      </w:r>
      <w:r>
        <w:rPr>
          <w:rFonts w:hint="eastAsia" w:ascii="Times New Roman" w:hAnsi="Times New Roman" w:eastAsia="宋体" w:cs="Times New Roman"/>
          <w:b/>
          <w:bCs/>
          <w:sz w:val="24"/>
          <w:szCs w:val="24"/>
          <w:lang w:val="en-US" w:eastAsia="zh-CN"/>
        </w:rPr>
        <w:t>其他涉河建筑物</w:t>
      </w:r>
    </w:p>
    <w:p>
      <w:pPr>
        <w:pStyle w:val="2"/>
        <w:keepNext w:val="0"/>
        <w:keepLines w:val="0"/>
        <w:pageBreakBefore w:val="0"/>
        <w:widowControl w:val="0"/>
        <w:kinsoku/>
        <w:wordWrap/>
        <w:overflowPunct/>
        <w:topLinePunct w:val="0"/>
        <w:autoSpaceDE/>
        <w:autoSpaceDN/>
        <w:bidi w:val="0"/>
        <w:adjustRightInd/>
        <w:snapToGrid w:val="0"/>
        <w:spacing w:after="0" w:line="360" w:lineRule="auto"/>
        <w:ind w:left="0" w:leftChars="0"/>
        <w:textAlignment w:val="auto"/>
        <w:rPr>
          <w:rFonts w:hint="default" w:eastAsia="宋体" w:cs="Times New Roman"/>
          <w:spacing w:val="-11"/>
          <w:kern w:val="2"/>
          <w:sz w:val="24"/>
          <w:szCs w:val="24"/>
          <w:lang w:val="en-US" w:eastAsia="zh-CN" w:bidi="zh-CN"/>
        </w:rPr>
      </w:pPr>
      <w:r>
        <w:rPr>
          <w:rFonts w:hint="eastAsia" w:eastAsia="宋体" w:cs="Times New Roman"/>
          <w:spacing w:val="-11"/>
          <w:kern w:val="2"/>
          <w:sz w:val="24"/>
          <w:szCs w:val="24"/>
          <w:lang w:val="en-US" w:eastAsia="zh-CN" w:bidi="zh-CN"/>
        </w:rPr>
        <w:t>沙溪浩河岸线沿线涉河建筑物详见下表</w:t>
      </w:r>
      <w:r>
        <w:rPr>
          <w:rFonts w:hint="eastAsia" w:cs="Times New Roman"/>
          <w:spacing w:val="-11"/>
          <w:kern w:val="2"/>
          <w:sz w:val="24"/>
          <w:szCs w:val="24"/>
          <w:lang w:val="en-US" w:eastAsia="zh-CN" w:bidi="zh-CN"/>
        </w:rPr>
        <w:t>1.2</w:t>
      </w:r>
      <w:r>
        <w:rPr>
          <w:rFonts w:hint="eastAsia" w:eastAsia="宋体" w:cs="Times New Roman"/>
          <w:spacing w:val="-11"/>
          <w:kern w:val="2"/>
          <w:sz w:val="24"/>
          <w:szCs w:val="24"/>
          <w:lang w:val="en-US" w:eastAsia="zh-CN" w:bidi="zh-CN"/>
        </w:rPr>
        <w:t>-</w:t>
      </w:r>
      <w:r>
        <w:rPr>
          <w:rFonts w:hint="eastAsia" w:cs="Times New Roman"/>
          <w:spacing w:val="-11"/>
          <w:kern w:val="2"/>
          <w:sz w:val="24"/>
          <w:szCs w:val="24"/>
          <w:lang w:val="en-US" w:eastAsia="zh-CN" w:bidi="zh-CN"/>
        </w:rPr>
        <w:t>2</w:t>
      </w:r>
    </w:p>
    <w:p>
      <w:pPr>
        <w:bidi w:val="0"/>
        <w:jc w:val="both"/>
        <w:outlineLvl w:val="8"/>
        <w:rPr>
          <w:rFonts w:hint="default"/>
          <w:b/>
          <w:bCs/>
          <w:lang w:val="en-GB"/>
        </w:rPr>
      </w:pPr>
      <w:bookmarkStart w:id="15" w:name="_Toc13393"/>
      <w:bookmarkStart w:id="16" w:name="_Toc14503"/>
      <w:r>
        <w:rPr>
          <w:rFonts w:hint="default"/>
          <w:b/>
          <w:bCs/>
          <w:lang w:val="en-GB"/>
        </w:rPr>
        <w:t>表</w:t>
      </w:r>
      <w:r>
        <w:rPr>
          <w:rFonts w:hint="eastAsia"/>
          <w:b/>
          <w:bCs/>
          <w:lang w:val="en-US" w:eastAsia="zh-CN"/>
        </w:rPr>
        <w:t>1.2-2</w:t>
      </w:r>
      <w:r>
        <w:rPr>
          <w:rFonts w:hint="default"/>
          <w:b/>
          <w:bCs/>
          <w:lang w:val="en-GB"/>
        </w:rPr>
        <w:t xml:space="preserve"> </w:t>
      </w:r>
      <w:r>
        <w:rPr>
          <w:rFonts w:hint="eastAsia"/>
          <w:b/>
          <w:bCs/>
          <w:lang w:val="en-US" w:eastAsia="zh-CN"/>
        </w:rPr>
        <w:t xml:space="preserve">          沙溪浩</w:t>
      </w:r>
      <w:r>
        <w:rPr>
          <w:rFonts w:hint="eastAsia"/>
          <w:b/>
          <w:bCs/>
          <w:lang w:val="en-GB" w:eastAsia="zh-CN"/>
        </w:rPr>
        <w:t>涉河建筑物</w:t>
      </w:r>
      <w:r>
        <w:rPr>
          <w:rFonts w:hint="default"/>
          <w:b/>
          <w:bCs/>
          <w:lang w:val="en-GB"/>
        </w:rPr>
        <w:t>统计表</w:t>
      </w:r>
      <w:bookmarkEnd w:id="15"/>
      <w:bookmarkEnd w:id="16"/>
    </w:p>
    <w:tbl>
      <w:tblPr>
        <w:tblStyle w:val="2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1"/>
        <w:gridCol w:w="1971"/>
        <w:gridCol w:w="1577"/>
        <w:gridCol w:w="2383"/>
        <w:gridCol w:w="28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编号</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名称</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桩号位置</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高程(m)</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主要特征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沙溪桥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K0+319.70</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389.70~390.00</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桥长132.52m，宽10.76m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2</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043乡道小桥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K0+824.14</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376.49~377.17</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桥长29.28m，宽8.39m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3</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池鲤村堡坎</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K4+530.49</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422.70~432.78</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长约248.69m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4</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池鲤村乡道桥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K4+893.98</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430.25~431.63</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桥长48.17m，宽4.93m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5</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西成铁路桥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K5+588.68</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475.82~475.86</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桥长105.88m，宽11.78m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6</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五显梁漫水桥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K6+203.22</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475.82~475.86</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桥长34.46m，宽6.06m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7</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王家咀漫水桥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K8+094.45</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502.99~503.26</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桥长34.91m，宽5.35m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8</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梁家咀乡村桥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K8+949.78</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507.60~508.03</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桥长29.31m，宽4.35m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9</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兰海高速桥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K8+971.49</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525.20~525.88</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桥长223.71m，宽24.06m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10</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老柏树沟乡村桥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K9+127.07</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509.06~509.64</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桥长67m，宽2.96m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11</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兰海高速桥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K17+061.91</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685.49~689.44</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桥长223.93m，宽23.86m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12</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周家梁乡村桥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K19+058.47</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678.69~678.82</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桥长13.03m，宽4.66m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13</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兰海高速桥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K20+097.43</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785.85~759.12</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桥长270.77m，宽11.63m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14</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兰海高速桥</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K20+130.36</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785.85~759.12</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桥长270.77m，宽11.63m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711"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15</w:t>
            </w:r>
          </w:p>
        </w:tc>
        <w:tc>
          <w:tcPr>
            <w:tcW w:w="1750"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胡家坟乡村道</w:t>
            </w:r>
          </w:p>
        </w:tc>
        <w:tc>
          <w:tcPr>
            <w:tcW w:w="1400"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K21+199.98</w:t>
            </w:r>
          </w:p>
        </w:tc>
        <w:tc>
          <w:tcPr>
            <w:tcW w:w="2116" w:type="dxa"/>
            <w:vAlign w:val="center"/>
          </w:tcPr>
          <w:p>
            <w:pPr>
              <w:pageBreakBefore w:val="0"/>
              <w:kinsoku/>
              <w:wordWrap/>
              <w:overflowPunct/>
              <w:topLinePunct w:val="0"/>
              <w:autoSpaceDE/>
              <w:autoSpaceDN/>
              <w:bidi w:val="0"/>
              <w:adjustRightInd/>
              <w:spacing w:line="360" w:lineRule="auto"/>
              <w:ind w:firstLine="0" w:firstLineChars="0"/>
              <w:jc w:val="left"/>
              <w:rPr>
                <w:rFonts w:hint="default" w:cs="Times New Roman"/>
                <w:kern w:val="2"/>
                <w:sz w:val="21"/>
                <w:szCs w:val="20"/>
                <w:lang w:val="en-US" w:eastAsia="zh-CN"/>
              </w:rPr>
            </w:pPr>
            <w:r>
              <w:rPr>
                <w:rFonts w:hint="eastAsia" w:cs="Times New Roman"/>
                <w:kern w:val="2"/>
                <w:sz w:val="21"/>
                <w:szCs w:val="20"/>
                <w:lang w:val="en-US" w:eastAsia="zh-CN"/>
              </w:rPr>
              <w:t>811.71~811.78</w:t>
            </w:r>
          </w:p>
        </w:tc>
        <w:tc>
          <w:tcPr>
            <w:tcW w:w="2545" w:type="dxa"/>
            <w:vAlign w:val="center"/>
          </w:tcPr>
          <w:p>
            <w:pPr>
              <w:pageBreakBefore w:val="0"/>
              <w:kinsoku/>
              <w:wordWrap/>
              <w:overflowPunct/>
              <w:topLinePunct w:val="0"/>
              <w:autoSpaceDE/>
              <w:autoSpaceDN/>
              <w:bidi w:val="0"/>
              <w:adjustRightInd/>
              <w:spacing w:line="360" w:lineRule="auto"/>
              <w:ind w:firstLine="0" w:firstLineChars="0"/>
              <w:jc w:val="left"/>
              <w:rPr>
                <w:rFonts w:hint="eastAsia" w:cs="Times New Roman"/>
                <w:kern w:val="2"/>
                <w:sz w:val="21"/>
                <w:szCs w:val="20"/>
                <w:lang w:val="en-US" w:eastAsia="zh-CN"/>
              </w:rPr>
            </w:pPr>
            <w:r>
              <w:rPr>
                <w:rFonts w:hint="eastAsia" w:cs="Times New Roman"/>
                <w:kern w:val="2"/>
                <w:sz w:val="21"/>
                <w:szCs w:val="20"/>
                <w:lang w:val="en-US" w:eastAsia="zh-CN"/>
              </w:rPr>
              <w:t>桥长6.38m，宽5.08m</w:t>
            </w:r>
          </w:p>
        </w:tc>
      </w:tr>
    </w:tbl>
    <w:p>
      <w:pPr>
        <w:pStyle w:val="2"/>
        <w:ind w:left="0" w:leftChars="0" w:firstLine="0" w:firstLineChars="0"/>
        <w:jc w:val="both"/>
        <w:outlineLvl w:val="9"/>
        <w:rPr>
          <w:rFonts w:hint="default" w:ascii="Times New Roman" w:hAnsi="Times New Roman" w:eastAsia="宋体" w:cs="Times New Roman"/>
          <w:b/>
          <w:bCs w:val="0"/>
          <w:color w:val="auto"/>
          <w:kern w:val="2"/>
          <w:sz w:val="24"/>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eastAsia="宋体" w:cs="Times New Roman"/>
          <w:spacing w:val="-11"/>
          <w:kern w:val="2"/>
          <w:sz w:val="28"/>
          <w:szCs w:val="28"/>
          <w:lang w:val="en-US" w:eastAsia="zh-CN" w:bidi="zh-CN"/>
        </w:rPr>
      </w:pPr>
      <w:r>
        <w:rPr>
          <w:rFonts w:hint="eastAsia" w:cs="Times New Roman"/>
          <w:b/>
          <w:bCs w:val="0"/>
          <w:color w:val="auto"/>
          <w:sz w:val="24"/>
          <w:lang w:val="en-US" w:eastAsia="zh-CN"/>
        </w:rPr>
        <w:t xml:space="preserve">      </w:t>
      </w:r>
      <w:r>
        <w:rPr>
          <w:rFonts w:hint="default" w:eastAsia="宋体" w:cs="Times New Roman"/>
          <w:spacing w:val="-11"/>
          <w:kern w:val="2"/>
          <w:sz w:val="28"/>
          <w:szCs w:val="28"/>
          <w:lang w:val="en-US" w:eastAsia="zh-CN" w:bidi="zh-CN"/>
        </w:rPr>
        <w:drawing>
          <wp:inline distT="0" distB="0" distL="114300" distR="114300">
            <wp:extent cx="3527425" cy="5186045"/>
            <wp:effectExtent l="0" t="0" r="14605" b="15875"/>
            <wp:docPr id="4" name="图片 4" descr="IMG_2669(20201020-08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669(20201020-084016)"/>
                    <pic:cNvPicPr>
                      <a:picLocks noChangeAspect="1"/>
                    </pic:cNvPicPr>
                  </pic:nvPicPr>
                  <pic:blipFill>
                    <a:blip r:embed="rId82"/>
                    <a:stretch>
                      <a:fillRect/>
                    </a:stretch>
                  </pic:blipFill>
                  <pic:spPr>
                    <a:xfrm rot="16200000">
                      <a:off x="0" y="0"/>
                      <a:ext cx="3527425" cy="51860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8"/>
        <w:rPr>
          <w:rFonts w:hint="eastAsia" w:cs="Times New Roman"/>
          <w:b/>
          <w:bCs w:val="0"/>
          <w:color w:val="auto"/>
          <w:sz w:val="24"/>
          <w:lang w:val="en-US" w:eastAsia="zh-CN"/>
        </w:rPr>
      </w:pPr>
      <w:r>
        <w:rPr>
          <w:rFonts w:hint="default" w:ascii="Times New Roman" w:hAnsi="Times New Roman" w:cs="Times New Roman"/>
          <w:b/>
          <w:bCs w:val="0"/>
          <w:color w:val="auto"/>
          <w:sz w:val="24"/>
          <w:lang w:eastAsia="zh-CN"/>
        </w:rPr>
        <w:t>图</w:t>
      </w:r>
      <w:r>
        <w:rPr>
          <w:rFonts w:hint="eastAsia" w:cs="Times New Roman"/>
          <w:b/>
          <w:bCs w:val="0"/>
          <w:color w:val="auto"/>
          <w:sz w:val="24"/>
          <w:lang w:val="en-US" w:eastAsia="zh-CN"/>
        </w:rPr>
        <w:t>1.2-1 沙溪桥现场照片</w:t>
      </w:r>
    </w:p>
    <w:p>
      <w:pPr>
        <w:pStyle w:val="22"/>
        <w:rPr>
          <w:rFonts w:hint="default"/>
          <w:lang w:eastAsia="zh-CN"/>
        </w:rPr>
      </w:pPr>
      <w:r>
        <w:rPr>
          <w:rFonts w:hint="default"/>
          <w:lang w:eastAsia="zh-CN"/>
        </w:rPr>
        <w:drawing>
          <wp:inline distT="0" distB="0" distL="114300" distR="114300">
            <wp:extent cx="3477895" cy="5114925"/>
            <wp:effectExtent l="0" t="0" r="9525" b="8255"/>
            <wp:docPr id="7" name="图片 7" descr="IMG_2671(20201020-08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71(20201020-085532)"/>
                    <pic:cNvPicPr>
                      <a:picLocks noChangeAspect="1"/>
                    </pic:cNvPicPr>
                  </pic:nvPicPr>
                  <pic:blipFill>
                    <a:blip r:embed="rId83"/>
                    <a:stretch>
                      <a:fillRect/>
                    </a:stretch>
                  </pic:blipFill>
                  <pic:spPr>
                    <a:xfrm rot="16200000">
                      <a:off x="0" y="0"/>
                      <a:ext cx="3477895" cy="51149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8"/>
        <w:rPr>
          <w:rFonts w:hint="eastAsia" w:cs="Times New Roman"/>
          <w:b/>
          <w:bCs w:val="0"/>
          <w:color w:val="auto"/>
          <w:sz w:val="24"/>
          <w:lang w:val="en-US" w:eastAsia="zh-CN"/>
        </w:rPr>
      </w:pPr>
      <w:r>
        <w:rPr>
          <w:rFonts w:hint="default" w:ascii="Times New Roman" w:hAnsi="Times New Roman" w:cs="Times New Roman"/>
          <w:b/>
          <w:bCs w:val="0"/>
          <w:color w:val="auto"/>
          <w:sz w:val="24"/>
          <w:lang w:eastAsia="zh-CN"/>
        </w:rPr>
        <w:t>图</w:t>
      </w:r>
      <w:r>
        <w:rPr>
          <w:rFonts w:hint="eastAsia" w:ascii="Times New Roman" w:hAnsi="Times New Roman" w:cs="Times New Roman"/>
          <w:b/>
          <w:bCs w:val="0"/>
          <w:color w:val="auto"/>
          <w:sz w:val="24"/>
          <w:lang w:val="en-US" w:eastAsia="zh-CN"/>
        </w:rPr>
        <w:t>1.2</w:t>
      </w:r>
      <w:r>
        <w:rPr>
          <w:rFonts w:hint="eastAsia" w:cs="Times New Roman"/>
          <w:b/>
          <w:bCs w:val="0"/>
          <w:color w:val="auto"/>
          <w:sz w:val="24"/>
          <w:lang w:val="en-US" w:eastAsia="zh-CN"/>
        </w:rPr>
        <w:t>-2      西成高铁现场照片</w:t>
      </w:r>
    </w:p>
    <w:p>
      <w:pPr>
        <w:pStyle w:val="22"/>
        <w:rPr>
          <w:rFonts w:hint="eastAsia"/>
          <w:lang w:val="en-US" w:eastAsia="zh-CN"/>
        </w:rPr>
      </w:pPr>
    </w:p>
    <w:p>
      <w:pPr>
        <w:pStyle w:val="22"/>
        <w:rPr>
          <w:rFonts w:hint="eastAsia" w:eastAsia="仿宋_GB2312"/>
          <w:lang w:eastAsia="zh-CN"/>
        </w:rPr>
      </w:pPr>
      <w:r>
        <w:rPr>
          <w:rFonts w:hint="eastAsia" w:eastAsia="仿宋_GB2312"/>
          <w:lang w:eastAsia="zh-CN"/>
        </w:rPr>
        <w:drawing>
          <wp:inline distT="0" distB="0" distL="114300" distR="114300">
            <wp:extent cx="3503930" cy="5151755"/>
            <wp:effectExtent l="0" t="0" r="10795" b="1270"/>
            <wp:docPr id="10" name="图片 10" descr="IMG_2673(20201020-09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73(20201020-090417)"/>
                    <pic:cNvPicPr>
                      <a:picLocks noChangeAspect="1"/>
                    </pic:cNvPicPr>
                  </pic:nvPicPr>
                  <pic:blipFill>
                    <a:blip r:embed="rId84"/>
                    <a:stretch>
                      <a:fillRect/>
                    </a:stretch>
                  </pic:blipFill>
                  <pic:spPr>
                    <a:xfrm rot="16200000">
                      <a:off x="0" y="0"/>
                      <a:ext cx="3503930" cy="51517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8"/>
        <w:rPr>
          <w:rFonts w:hint="eastAsia" w:ascii="Times New Roman" w:hAnsi="Times New Roman" w:cs="Times New Roman"/>
          <w:b/>
          <w:bCs w:val="0"/>
          <w:color w:val="auto"/>
          <w:sz w:val="24"/>
          <w:lang w:val="en-US" w:eastAsia="zh-CN"/>
        </w:rPr>
      </w:pPr>
      <w:r>
        <w:rPr>
          <w:rFonts w:hint="default" w:ascii="Times New Roman" w:hAnsi="Times New Roman" w:cs="Times New Roman"/>
          <w:b/>
          <w:bCs w:val="0"/>
          <w:color w:val="auto"/>
          <w:sz w:val="24"/>
          <w:lang w:eastAsia="zh-CN"/>
        </w:rPr>
        <w:t>图</w:t>
      </w:r>
      <w:r>
        <w:rPr>
          <w:rFonts w:hint="eastAsia" w:cs="Times New Roman"/>
          <w:b/>
          <w:bCs w:val="0"/>
          <w:color w:val="auto"/>
          <w:sz w:val="24"/>
          <w:lang w:val="en-US" w:eastAsia="zh-CN"/>
        </w:rPr>
        <w:t>1.2</w:t>
      </w:r>
      <w:r>
        <w:rPr>
          <w:rFonts w:hint="eastAsia" w:ascii="Times New Roman" w:hAnsi="Times New Roman" w:cs="Times New Roman"/>
          <w:b/>
          <w:bCs w:val="0"/>
          <w:color w:val="auto"/>
          <w:sz w:val="24"/>
          <w:lang w:val="en-US" w:eastAsia="zh-CN"/>
        </w:rPr>
        <w:t>-3      池鱼大桥现场照片</w:t>
      </w:r>
    </w:p>
    <w:p>
      <w:pPr>
        <w:pStyle w:val="22"/>
        <w:rPr>
          <w:rFonts w:hint="eastAsia" w:ascii="Times New Roman" w:hAnsi="Times New Roman" w:cs="Times New Roman"/>
          <w:b/>
          <w:bCs w:val="0"/>
          <w:color w:val="auto"/>
          <w:sz w:val="24"/>
          <w:lang w:val="en-US" w:eastAsia="zh-CN"/>
        </w:rPr>
      </w:pPr>
    </w:p>
    <w:p>
      <w:pPr>
        <w:pStyle w:val="22"/>
        <w:rPr>
          <w:rFonts w:hint="eastAsia" w:ascii="Times New Roman" w:hAnsi="Times New Roman" w:cs="Times New Roman"/>
          <w:b/>
          <w:bCs w:val="0"/>
          <w:color w:val="auto"/>
          <w:sz w:val="24"/>
          <w:lang w:val="en-US" w:eastAsia="zh-CN"/>
        </w:rPr>
      </w:pPr>
      <w:r>
        <w:rPr>
          <w:rFonts w:hint="eastAsia" w:eastAsia="仿宋_GB2312"/>
          <w:lang w:eastAsia="zh-CN"/>
        </w:rPr>
        <w:drawing>
          <wp:inline distT="0" distB="0" distL="114300" distR="114300">
            <wp:extent cx="3825240" cy="5624195"/>
            <wp:effectExtent l="0" t="0" r="14605" b="3810"/>
            <wp:docPr id="11" name="图片 11" descr="IMG_2674(20201020-09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74(20201020-090921)"/>
                    <pic:cNvPicPr>
                      <a:picLocks noChangeAspect="1"/>
                    </pic:cNvPicPr>
                  </pic:nvPicPr>
                  <pic:blipFill>
                    <a:blip r:embed="rId85"/>
                    <a:stretch>
                      <a:fillRect/>
                    </a:stretch>
                  </pic:blipFill>
                  <pic:spPr>
                    <a:xfrm rot="16200000">
                      <a:off x="0" y="0"/>
                      <a:ext cx="3825240" cy="56241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8"/>
        <w:rPr>
          <w:rFonts w:hint="eastAsia" w:ascii="Times New Roman" w:hAnsi="Times New Roman" w:cs="Times New Roman"/>
          <w:b/>
          <w:bCs w:val="0"/>
          <w:color w:val="auto"/>
          <w:sz w:val="24"/>
          <w:lang w:eastAsia="zh-CN"/>
        </w:rPr>
      </w:pPr>
      <w:r>
        <w:rPr>
          <w:rFonts w:hint="default" w:ascii="Times New Roman" w:hAnsi="Times New Roman" w:cs="Times New Roman"/>
          <w:b/>
          <w:bCs w:val="0"/>
          <w:color w:val="auto"/>
          <w:sz w:val="24"/>
          <w:lang w:eastAsia="zh-CN"/>
        </w:rPr>
        <w:t>图</w:t>
      </w:r>
      <w:r>
        <w:rPr>
          <w:rFonts w:hint="eastAsia" w:cs="Times New Roman"/>
          <w:b/>
          <w:bCs w:val="0"/>
          <w:color w:val="auto"/>
          <w:sz w:val="24"/>
          <w:lang w:val="en-US" w:eastAsia="zh-CN"/>
        </w:rPr>
        <w:t>1.2</w:t>
      </w:r>
      <w:r>
        <w:rPr>
          <w:rFonts w:hint="eastAsia" w:ascii="Times New Roman" w:hAnsi="Times New Roman" w:cs="Times New Roman"/>
          <w:b/>
          <w:bCs w:val="0"/>
          <w:color w:val="auto"/>
          <w:sz w:val="24"/>
          <w:lang w:val="en-US" w:eastAsia="zh-CN"/>
        </w:rPr>
        <w:t>-4      兰海高速茶店大桥现场照片</w:t>
      </w:r>
    </w:p>
    <w:p>
      <w:pPr>
        <w:pStyle w:val="22"/>
        <w:rPr>
          <w:rFonts w:hint="default"/>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17" w:name="_Toc19545"/>
      <w:r>
        <w:rPr>
          <w:rFonts w:hint="eastAsia" w:ascii="Times New Roman" w:hAnsi="Times New Roman" w:cs="Times New Roman"/>
          <w:b/>
          <w:bCs/>
          <w:color w:val="auto"/>
          <w:kern w:val="2"/>
          <w:sz w:val="24"/>
          <w:szCs w:val="24"/>
          <w:lang w:val="en-US" w:eastAsia="zh-CN"/>
        </w:rPr>
        <w:t>1.3 经济社会概况</w:t>
      </w:r>
      <w:bookmarkEnd w:id="17"/>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eastAsia" w:ascii="Times New Roman" w:hAnsi="Times New Roman" w:eastAsia="宋体" w:cs="Times New Roman"/>
          <w:spacing w:val="-11"/>
          <w:kern w:val="2"/>
          <w:sz w:val="24"/>
          <w:szCs w:val="24"/>
          <w:lang w:val="en-US" w:eastAsia="zh-CN" w:bidi="zh-CN"/>
        </w:rPr>
        <w:t>沙溪浩</w:t>
      </w:r>
      <w:r>
        <w:rPr>
          <w:rFonts w:hint="default" w:ascii="Times New Roman" w:hAnsi="Times New Roman" w:eastAsia="宋体" w:cs="Times New Roman"/>
          <w:spacing w:val="-11"/>
          <w:kern w:val="2"/>
          <w:sz w:val="24"/>
          <w:szCs w:val="24"/>
          <w:lang w:val="en-US" w:eastAsia="zh-CN" w:bidi="zh-CN"/>
        </w:rPr>
        <w:t>流域</w:t>
      </w:r>
      <w:r>
        <w:rPr>
          <w:rFonts w:hint="eastAsia" w:ascii="Times New Roman" w:hAnsi="Times New Roman" w:eastAsia="宋体" w:cs="Times New Roman"/>
          <w:spacing w:val="-11"/>
          <w:kern w:val="2"/>
          <w:sz w:val="24"/>
          <w:szCs w:val="24"/>
          <w:lang w:val="en-US" w:eastAsia="zh-CN" w:bidi="zh-CN"/>
        </w:rPr>
        <w:t>涉及</w:t>
      </w:r>
      <w:r>
        <w:rPr>
          <w:rFonts w:hint="default" w:ascii="Times New Roman" w:hAnsi="Times New Roman" w:eastAsia="宋体" w:cs="Times New Roman"/>
          <w:spacing w:val="-11"/>
          <w:kern w:val="2"/>
          <w:sz w:val="24"/>
          <w:szCs w:val="24"/>
          <w:lang w:val="en-US" w:eastAsia="zh-CN" w:bidi="zh-CN"/>
        </w:rPr>
        <w:t>五龙镇、白鹤乡、浙水乡以及陵江镇</w:t>
      </w:r>
      <w:r>
        <w:rPr>
          <w:rFonts w:hint="eastAsia" w:ascii="Times New Roman" w:hAnsi="Times New Roman" w:eastAsia="宋体" w:cs="Times New Roman"/>
          <w:spacing w:val="-11"/>
          <w:kern w:val="2"/>
          <w:sz w:val="24"/>
          <w:szCs w:val="24"/>
          <w:lang w:val="en-US" w:eastAsia="zh-CN" w:bidi="zh-CN"/>
        </w:rPr>
        <w:t>四</w:t>
      </w:r>
      <w:r>
        <w:rPr>
          <w:rFonts w:hint="default" w:ascii="Times New Roman" w:hAnsi="Times New Roman" w:eastAsia="宋体" w:cs="Times New Roman"/>
          <w:spacing w:val="-11"/>
          <w:kern w:val="2"/>
          <w:sz w:val="24"/>
          <w:szCs w:val="24"/>
          <w:lang w:val="en-US" w:eastAsia="zh-CN" w:bidi="zh-CN"/>
        </w:rPr>
        <w:t>个乡镇。</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eastAsia" w:ascii="Times New Roman" w:hAnsi="Times New Roman" w:eastAsia="宋体" w:cs="Times New Roman"/>
          <w:spacing w:val="-11"/>
          <w:kern w:val="2"/>
          <w:sz w:val="24"/>
          <w:szCs w:val="24"/>
          <w:lang w:val="en-US" w:eastAsia="zh-CN" w:bidi="zh-CN"/>
        </w:rPr>
        <w:t>1、五龙镇为</w:t>
      </w:r>
      <w:r>
        <w:rPr>
          <w:rFonts w:hint="default" w:ascii="Times New Roman" w:hAnsi="Times New Roman" w:eastAsia="宋体" w:cs="Times New Roman"/>
          <w:spacing w:val="-11"/>
          <w:kern w:val="2"/>
          <w:sz w:val="24"/>
          <w:szCs w:val="24"/>
          <w:lang w:val="en-US" w:eastAsia="zh-CN" w:bidi="zh-CN"/>
        </w:rPr>
        <w:fldChar w:fldCharType="begin"/>
      </w:r>
      <w:r>
        <w:rPr>
          <w:rFonts w:hint="default" w:ascii="Times New Roman" w:hAnsi="Times New Roman" w:eastAsia="宋体" w:cs="Times New Roman"/>
          <w:spacing w:val="-11"/>
          <w:kern w:val="2"/>
          <w:sz w:val="24"/>
          <w:szCs w:val="24"/>
          <w:lang w:val="en-US" w:eastAsia="zh-CN" w:bidi="zh-CN"/>
        </w:rPr>
        <w:instrText xml:space="preserve"> HYPERLINK "https://baike.baidu.com/item/%E8%8B%8D%E6%BA%AA%E5%8E%BF/203435" \t "https://baike.baidu.com/item/%E4%BA%94%E9%BE%99%E9%95%87/_blank" </w:instrText>
      </w:r>
      <w:r>
        <w:rPr>
          <w:rFonts w:hint="default" w:ascii="Times New Roman" w:hAnsi="Times New Roman" w:eastAsia="宋体" w:cs="Times New Roman"/>
          <w:spacing w:val="-11"/>
          <w:kern w:val="2"/>
          <w:sz w:val="24"/>
          <w:szCs w:val="24"/>
          <w:lang w:val="en-US" w:eastAsia="zh-CN" w:bidi="zh-CN"/>
        </w:rPr>
        <w:fldChar w:fldCharType="separate"/>
      </w:r>
      <w:r>
        <w:rPr>
          <w:rFonts w:hint="default" w:ascii="Times New Roman" w:hAnsi="Times New Roman" w:eastAsia="宋体" w:cs="Times New Roman"/>
          <w:spacing w:val="-11"/>
          <w:kern w:val="2"/>
          <w:sz w:val="24"/>
          <w:szCs w:val="24"/>
          <w:lang w:val="en-US" w:eastAsia="zh-CN" w:bidi="zh-CN"/>
        </w:rPr>
        <w:t>苍溪县</w:t>
      </w:r>
      <w:r>
        <w:rPr>
          <w:rFonts w:hint="default" w:ascii="Times New Roman" w:hAnsi="Times New Roman" w:eastAsia="宋体" w:cs="Times New Roman"/>
          <w:spacing w:val="-11"/>
          <w:kern w:val="2"/>
          <w:sz w:val="24"/>
          <w:szCs w:val="24"/>
          <w:lang w:val="en-US" w:eastAsia="zh-CN" w:bidi="zh-CN"/>
        </w:rPr>
        <w:fldChar w:fldCharType="end"/>
      </w:r>
      <w:r>
        <w:rPr>
          <w:rFonts w:hint="default" w:ascii="Times New Roman" w:hAnsi="Times New Roman" w:eastAsia="宋体" w:cs="Times New Roman"/>
          <w:spacing w:val="-11"/>
          <w:kern w:val="2"/>
          <w:sz w:val="24"/>
          <w:szCs w:val="24"/>
          <w:lang w:val="en-US" w:eastAsia="zh-CN" w:bidi="zh-CN"/>
        </w:rPr>
        <w:t>辖镇。元明时期，为利阆古驿道必经之道，为苍溪县北大门。1949年前为五龙乡，1958年改公社，1984年复置乡，1992年置镇。位于苍溪北部，距县城28公里，距广元100公里，国道212线、广南高速纵贯全镜，南临白鹤乡、北接永宁镇，东连三川镇，西靠鸳溪镇，辖15个村，一个居委会，93个村（居）民小组，总人口13415人（2017），幅员面积61.55平方千米，全镇属丘陵地带，森林覆盖率48%，平均海拔高度750米，四季分明，全年无霜期280天。境内资源丰富，盛产水稻、小麦、玉米，“米豆腐、折耳根、土鸡蛋、魔芋、大馒头”五龙五绝等土特产驰名县内外。现建有粮油示范基地1个、5000亩猕猴桃园区1个、500亩罗汉果种植园1个、400亩脆红李种植基地1个，正在建设1个省级现代农业园区。16个村（社区）通村道路硬化率100%。</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zh-CN" w:eastAsia="zh-CN" w:bidi="zh-CN"/>
        </w:rPr>
      </w:pPr>
      <w:r>
        <w:rPr>
          <w:rFonts w:hint="eastAsia" w:ascii="Times New Roman" w:hAnsi="Times New Roman" w:eastAsia="宋体" w:cs="Times New Roman"/>
          <w:spacing w:val="-11"/>
          <w:kern w:val="2"/>
          <w:sz w:val="24"/>
          <w:szCs w:val="24"/>
          <w:lang w:val="en-US" w:eastAsia="zh-CN" w:bidi="zh-CN"/>
        </w:rPr>
        <w:t>2、</w:t>
      </w:r>
      <w:r>
        <w:rPr>
          <w:rFonts w:hint="eastAsia" w:ascii="Times New Roman" w:hAnsi="Times New Roman" w:eastAsia="宋体" w:cs="Times New Roman"/>
          <w:spacing w:val="-11"/>
          <w:kern w:val="2"/>
          <w:sz w:val="24"/>
          <w:szCs w:val="24"/>
          <w:lang w:val="zh-CN" w:eastAsia="zh-CN" w:bidi="zh-CN"/>
        </w:rPr>
        <w:t>白鹤乡，四川省苍溪县辖乡，位于</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"https://baike.baidu.com/item/%E8%8B%8D%E6%BA%AA%E5%8E%BF/203435" \t "https://baike.baidu.com/item/%E7%99%BD%E9%B9%A4%E4%B9%A1/_blank"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苍溪县</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西北部，乡政府驻地白鹤铺，距县城19公里，距</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"https://baike.baidu.com/item/%E5%B9%BF%E5%85%83" \t "https://baike.baidu.com/item/%E7%99%BD%E9%B9%A4%E4%B9%A1/_blank"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广元</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市109公里。东临石门乡，三川镇，南接陵江镇，西接浙水乡，</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"https://baike.baidu.com/item/%E5%8C%97" \t "https://baike.baidu.com/item/%E7%99%BD%E9%B9%A4%E4%B9%A1/_blank"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北</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靠五龙镇。</w:t>
      </w:r>
      <w:r>
        <w:rPr>
          <w:rFonts w:hint="eastAsia" w:ascii="Times New Roman" w:hAnsi="Times New Roman" w:eastAsia="宋体" w:cs="Times New Roman"/>
          <w:spacing w:val="-11"/>
          <w:kern w:val="2"/>
          <w:sz w:val="24"/>
          <w:szCs w:val="24"/>
          <w:lang w:val="zh-CN" w:eastAsia="zh-CN" w:bidi="zh-CN"/>
        </w:rPr>
        <w:t>全乡幅员面积56.96平方千米，耕地面积551公顷，建小（</w:t>
      </w:r>
      <w:r>
        <w:rPr>
          <w:rFonts w:hint="eastAsia" w:cs="Times New Roman"/>
          <w:spacing w:val="-11"/>
          <w:kern w:val="2"/>
          <w:sz w:val="24"/>
          <w:szCs w:val="24"/>
          <w:lang w:val="en-US" w:eastAsia="zh-CN" w:bidi="zh-CN"/>
        </w:rPr>
        <w:t>1</w:t>
      </w:r>
      <w:r>
        <w:rPr>
          <w:rFonts w:hint="eastAsia" w:ascii="Times New Roman" w:hAnsi="Times New Roman" w:eastAsia="宋体" w:cs="Times New Roman"/>
          <w:spacing w:val="-11"/>
          <w:kern w:val="2"/>
          <w:sz w:val="24"/>
          <w:szCs w:val="24"/>
          <w:lang w:val="zh-CN" w:eastAsia="zh-CN" w:bidi="zh-CN"/>
        </w:rPr>
        <w:t>）型水库一座（红星水库），小（</w:t>
      </w:r>
      <w:r>
        <w:rPr>
          <w:rFonts w:hint="eastAsia" w:cs="Times New Roman"/>
          <w:spacing w:val="-11"/>
          <w:kern w:val="2"/>
          <w:sz w:val="24"/>
          <w:szCs w:val="24"/>
          <w:lang w:val="en-US" w:eastAsia="zh-CN" w:bidi="zh-CN"/>
        </w:rPr>
        <w:t>2</w:t>
      </w:r>
      <w:r>
        <w:rPr>
          <w:rFonts w:hint="eastAsia" w:ascii="Times New Roman" w:hAnsi="Times New Roman" w:eastAsia="宋体" w:cs="Times New Roman"/>
          <w:spacing w:val="-11"/>
          <w:kern w:val="2"/>
          <w:sz w:val="24"/>
          <w:szCs w:val="24"/>
          <w:lang w:val="zh-CN" w:eastAsia="zh-CN" w:bidi="zh-CN"/>
        </w:rPr>
        <w:t>）型水库二座（工农水库、五一水库），山平塘共408口，微型水池800余口，石河堰5口，主要以粮食、蚕桑、养殖、林果为支柱产业，资源丰富，市场繁荣。</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zh-CN" w:eastAsia="zh-CN" w:bidi="zh-CN"/>
        </w:rPr>
      </w:pPr>
      <w:r>
        <w:rPr>
          <w:rFonts w:hint="eastAsia" w:ascii="Times New Roman" w:hAnsi="Times New Roman" w:eastAsia="宋体" w:cs="Times New Roman"/>
          <w:spacing w:val="-11"/>
          <w:kern w:val="2"/>
          <w:sz w:val="24"/>
          <w:szCs w:val="24"/>
          <w:lang w:val="en-US" w:eastAsia="zh-CN" w:bidi="zh-CN"/>
        </w:rPr>
        <w:t>3、</w:t>
      </w:r>
      <w:r>
        <w:rPr>
          <w:rFonts w:hint="eastAsia" w:ascii="Times New Roman" w:hAnsi="Times New Roman" w:eastAsia="宋体" w:cs="Times New Roman"/>
          <w:spacing w:val="-11"/>
          <w:kern w:val="2"/>
          <w:sz w:val="24"/>
          <w:szCs w:val="24"/>
          <w:lang w:val="zh-CN" w:eastAsia="zh-CN" w:bidi="zh-CN"/>
        </w:rPr>
        <w:t>浙水乡为</w:t>
      </w:r>
      <w:r>
        <w:rPr>
          <w:rFonts w:hint="eastAsia" w:ascii="Times New Roman" w:hAnsi="Times New Roman" w:eastAsia="宋体" w:cs="Times New Roman"/>
          <w:spacing w:val="-11"/>
          <w:kern w:val="2"/>
          <w:sz w:val="24"/>
          <w:szCs w:val="24"/>
          <w:lang w:val="zh-CN" w:eastAsia="zh-CN" w:bidi="zh-CN"/>
        </w:rPr>
        <w:fldChar w:fldCharType="begin"/>
      </w:r>
      <w:r>
        <w:rPr>
          <w:rFonts w:hint="eastAsia" w:ascii="Times New Roman" w:hAnsi="Times New Roman" w:eastAsia="宋体" w:cs="Times New Roman"/>
          <w:spacing w:val="-11"/>
          <w:kern w:val="2"/>
          <w:sz w:val="24"/>
          <w:szCs w:val="24"/>
          <w:lang w:val="zh-CN" w:eastAsia="zh-CN" w:bidi="zh-CN"/>
        </w:rPr>
        <w:instrText xml:space="preserve"> HYPERLINK "https://baike.baidu.com/item/%E8%8B%8D%E6%BA%AA%E5%8E%BF/203435" \t "https://baike.baidu.com/item/%E6%B5%99%E6%B0%B4%E4%B9%A1/_blank" </w:instrText>
      </w:r>
      <w:r>
        <w:rPr>
          <w:rFonts w:hint="eastAsia"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苍溪县</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辖乡。1947年置浙水乡，1958年改公社，1984年复置乡，1992年并入</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"https://baike.baidu.com/item/%E4%BA%94%E9%BE%99%E9%95%87/45128" \t "https://baike.baidu.com/item/%E6%B5%99%E6%B0%B4%E4%B9%A1/_blank"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五龙镇</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，1994年复置乡。位于县境</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"https://baike.baidu.com/item/%E8%A5%BF%E9%83%A8" \t "https://baike.baidu.com/item/%E6%B5%99%E6%B0%B4%E4%B9%A1/_blank"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西部</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，距县府16公里。公路接212</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"https://baike.baidu.com/item/%E5%9B%BD%E9%81%93/1181044" \t "https://baike.baidu.com/item/%E6%B5%99%E6%B0%B4%E4%B9%A1/_blank"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国道</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。辖小淅、大湾、水文、坪江、四包、寨子、红旗、三台、玄都、梁山、花庙、杨柳12个村。农业主产水稻、小麦、玉米、甘薯。产猕猴桃、蚕。养殖业以生猪为主引。</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zh-CN" w:eastAsia="zh-CN" w:bidi="zh-CN"/>
        </w:rPr>
      </w:pPr>
      <w:r>
        <w:rPr>
          <w:rFonts w:hint="eastAsia" w:ascii="Times New Roman" w:hAnsi="Times New Roman" w:eastAsia="宋体" w:cs="Times New Roman"/>
          <w:spacing w:val="-11"/>
          <w:kern w:val="2"/>
          <w:sz w:val="24"/>
          <w:szCs w:val="24"/>
          <w:lang w:val="en-US" w:eastAsia="zh-CN" w:bidi="zh-CN"/>
        </w:rPr>
        <w:t>4、</w:t>
      </w:r>
      <w:r>
        <w:rPr>
          <w:rFonts w:hint="eastAsia" w:ascii="Times New Roman" w:hAnsi="Times New Roman" w:eastAsia="宋体" w:cs="Times New Roman"/>
          <w:spacing w:val="-11"/>
          <w:kern w:val="2"/>
          <w:sz w:val="24"/>
          <w:szCs w:val="24"/>
          <w:lang w:val="zh-CN" w:eastAsia="zh-CN" w:bidi="zh-CN"/>
        </w:rPr>
        <w:t>陵江镇位于</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"https://baike.baidu.com/item/%E8%8B%8D%E6%BA%AA%E5%8E%BF/203435"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苍溪县</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"https://baike.baidu.com/item/%E8%A5%BF%E5%8D%97/69770"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西南</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部，</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"https://baike.baidu.com/item/212%E5%9B%BD%E9%81%93/2847263"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212国道</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、苍溪至</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"https://baike.baidu.com/item/%E5%89%91%E9%98%81/241083"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剑阁</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公路、苍溪至</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"https://baike.baidu.com/item/%E5%B7%B4%E4%B8%AD/1544051"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巴中</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公路、苍溪至</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"https://baike.baidu.com/item/%E6%97%BA%E8%8B%8D/5505802"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旺苍</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公路、</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"https://baike.baidu.com/item/%E5%85%B0%E6%B8%9D%E9%93%81%E8%B7%AF/8847563"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兰渝铁路</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（在建）以及</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"https://baike.baidu.com/item/%E5%98%89%E9%99%B5%E6%B1%9F/627569"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嘉陵江</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在此交汇，是</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"https://baike.baidu.com/item/%E8%8B%8D%E6%BA%AA%E5%8E%BF"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苍溪县</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政府驻地，全县政治、经济、文化、交通的中心。下辖65个村（社区），总人口135000人（2017），是</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"https://baike.baidu.com/item/%E5%B9%BF%E5%85%83%E5%B8%82/10990089"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广元市</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人口第一大镇、全市第三大城市（镇），也是首批“</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"https://baike.baidu.com/item/%E5%85%A8%E5%9B%BD%E9%87%8D%E7%82%B9%E9%95%87/10440495"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全国重点镇</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w:t>
      </w:r>
      <w:r>
        <w:rPr>
          <w:rFonts w:hint="eastAsia" w:ascii="Times New Roman" w:hAnsi="Times New Roman" w:eastAsia="宋体" w:cs="Times New Roman"/>
          <w:spacing w:val="-11"/>
          <w:kern w:val="2"/>
          <w:sz w:val="24"/>
          <w:szCs w:val="24"/>
          <w:lang w:val="zh-CN" w:eastAsia="zh-CN" w:bidi="zh-CN"/>
        </w:rPr>
        <w:t>辖个65个村（居）委会（包括东关、西关、正西、北门、红军路、西江路6个居委会），264个村（居）民组，总人口135000人（2017），耕地面积48624亩，幅员面积175.68平方千米，是市、县人口大镇、经济强镇</w:t>
      </w:r>
      <w:r>
        <w:rPr>
          <w:rFonts w:hint="default" w:ascii="Times New Roman" w:hAnsi="Times New Roman" w:eastAsia="宋体" w:cs="Times New Roman"/>
          <w:spacing w:val="-11"/>
          <w:kern w:val="2"/>
          <w:sz w:val="24"/>
          <w:szCs w:val="24"/>
          <w:lang w:val="zh-CN" w:eastAsia="zh-CN" w:bidi="zh-CN"/>
        </w:rPr>
        <w:t>  。乡镇企业有麻纺、丝绸、建材等厂。农业主产水稻、小麦、油菜籽，特产</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"https://baike.baidu.com/item/%E9%9B%AA%E6%A2%A8"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雪梨</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。名胜古迹有白塔、</w:t>
      </w:r>
      <w:r>
        <w:rPr>
          <w:rFonts w:hint="default" w:ascii="Times New Roman" w:hAnsi="Times New Roman" w:eastAsia="宋体" w:cs="Times New Roman"/>
          <w:spacing w:val="-11"/>
          <w:kern w:val="2"/>
          <w:sz w:val="24"/>
          <w:szCs w:val="24"/>
          <w:lang w:val="zh-CN" w:eastAsia="zh-CN" w:bidi="zh-CN"/>
        </w:rPr>
        <w:fldChar w:fldCharType="begin"/>
      </w:r>
      <w:r>
        <w:rPr>
          <w:rFonts w:hint="default" w:ascii="Times New Roman" w:hAnsi="Times New Roman" w:eastAsia="宋体" w:cs="Times New Roman"/>
          <w:spacing w:val="-11"/>
          <w:kern w:val="2"/>
          <w:sz w:val="24"/>
          <w:szCs w:val="24"/>
          <w:lang w:val="zh-CN" w:eastAsia="zh-CN" w:bidi="zh-CN"/>
        </w:rPr>
        <w:instrText xml:space="preserve"> HYPERLINK "https://baike.baidu.com/item/%E4%B8%B4%E6%B1%9F%E5%AF%BA" \t "https://baike.baidu.com/item/%E9%99%B5%E6%B1%9F%E9%95%87/_blank" </w:instrText>
      </w:r>
      <w:r>
        <w:rPr>
          <w:rFonts w:hint="default" w:ascii="Times New Roman" w:hAnsi="Times New Roman" w:eastAsia="宋体" w:cs="Times New Roman"/>
          <w:spacing w:val="-11"/>
          <w:kern w:val="2"/>
          <w:sz w:val="24"/>
          <w:szCs w:val="24"/>
          <w:lang w:val="zh-CN" w:eastAsia="zh-CN" w:bidi="zh-CN"/>
        </w:rPr>
        <w:fldChar w:fldCharType="separate"/>
      </w:r>
      <w:r>
        <w:rPr>
          <w:rFonts w:hint="default" w:ascii="Times New Roman" w:hAnsi="Times New Roman" w:eastAsia="宋体" w:cs="Times New Roman"/>
          <w:spacing w:val="-11"/>
          <w:kern w:val="2"/>
          <w:sz w:val="24"/>
          <w:szCs w:val="24"/>
          <w:lang w:val="zh-CN" w:eastAsia="zh-CN" w:bidi="zh-CN"/>
        </w:rPr>
        <w:t>临江寺</w:t>
      </w:r>
      <w:r>
        <w:rPr>
          <w:rFonts w:hint="default" w:ascii="Times New Roman" w:hAnsi="Times New Roman" w:eastAsia="宋体" w:cs="Times New Roman"/>
          <w:spacing w:val="-11"/>
          <w:kern w:val="2"/>
          <w:sz w:val="24"/>
          <w:szCs w:val="24"/>
          <w:lang w:val="zh-CN" w:eastAsia="zh-CN" w:bidi="zh-CN"/>
        </w:rPr>
        <w:fldChar w:fldCharType="end"/>
      </w:r>
      <w:r>
        <w:rPr>
          <w:rFonts w:hint="default" w:ascii="Times New Roman" w:hAnsi="Times New Roman" w:eastAsia="宋体" w:cs="Times New Roman"/>
          <w:spacing w:val="-11"/>
          <w:kern w:val="2"/>
          <w:sz w:val="24"/>
          <w:szCs w:val="24"/>
          <w:lang w:val="zh-CN" w:eastAsia="zh-CN" w:bidi="zh-CN"/>
        </w:rPr>
        <w:t>。</w:t>
      </w:r>
    </w:p>
    <w:p>
      <w:pPr>
        <w:pStyle w:val="2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18" w:name="_Toc26317"/>
      <w:r>
        <w:rPr>
          <w:rFonts w:hint="eastAsia" w:ascii="Times New Roman" w:hAnsi="Times New Roman" w:cs="Times New Roman"/>
          <w:b/>
          <w:bCs/>
          <w:color w:val="auto"/>
          <w:kern w:val="2"/>
          <w:sz w:val="24"/>
          <w:szCs w:val="24"/>
          <w:lang w:val="en-US" w:eastAsia="zh-CN"/>
        </w:rPr>
        <w:t>1.4 水资源开发利用现状及存在的主要问题</w:t>
      </w:r>
      <w:bookmarkEnd w:id="18"/>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1.4.1 水资源开发利用现状</w:t>
      </w:r>
    </w:p>
    <w:p>
      <w:pPr>
        <w:pageBreakBefore w:val="0"/>
        <w:kinsoku/>
        <w:wordWrap/>
        <w:overflowPunct/>
        <w:topLinePunct w:val="0"/>
        <w:bidi w:val="0"/>
        <w:spacing w:line="360" w:lineRule="auto"/>
        <w:ind w:firstLine="466" w:firstLineChars="200"/>
        <w:rPr>
          <w:rFonts w:hint="default" w:ascii="Times New Roman" w:hAnsi="Times New Roman" w:eastAsia="宋体" w:cs="Times New Roman"/>
          <w:b/>
          <w:bCs/>
          <w:spacing w:val="-4"/>
          <w:sz w:val="24"/>
          <w:szCs w:val="24"/>
          <w:lang w:bidi="zh-CN"/>
        </w:rPr>
      </w:pPr>
      <w:r>
        <w:rPr>
          <w:rFonts w:hint="default" w:ascii="Times New Roman" w:hAnsi="Times New Roman" w:cs="Times New Roman"/>
          <w:b/>
          <w:bCs/>
          <w:spacing w:val="-4"/>
          <w:sz w:val="24"/>
          <w:szCs w:val="24"/>
          <w:lang w:bidi="zh-CN"/>
        </w:rPr>
        <w:t>1</w:t>
      </w:r>
      <w:r>
        <w:rPr>
          <w:rFonts w:hint="default" w:ascii="Times New Roman" w:hAnsi="Times New Roman" w:eastAsia="宋体" w:cs="Times New Roman"/>
          <w:b/>
          <w:bCs/>
          <w:spacing w:val="-4"/>
          <w:sz w:val="24"/>
          <w:szCs w:val="24"/>
          <w:lang w:bidi="zh-CN"/>
        </w:rPr>
        <w:t>、大洋沟水库（已建）</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大洋沟水库位于苍溪县陵江镇大洋村境内，修建在嘉陵江左岸小支流大洋沟河段上，距苍溪县城18km，地理坐标东经105°56´，北纬31°55´。坝址以上水库控制集雨面积25.4km</w:t>
      </w:r>
      <w:r>
        <w:rPr>
          <w:rFonts w:hint="default" w:ascii="Times New Roman" w:hAnsi="Times New Roman" w:eastAsia="宋体" w:cs="Times New Roman"/>
          <w:spacing w:val="-11"/>
          <w:kern w:val="2"/>
          <w:sz w:val="24"/>
          <w:szCs w:val="24"/>
          <w:vertAlign w:val="superscript"/>
          <w:lang w:val="en-US" w:eastAsia="zh-CN" w:bidi="zh-CN"/>
        </w:rPr>
        <w:t>2</w:t>
      </w:r>
      <w:r>
        <w:rPr>
          <w:rFonts w:hint="default" w:ascii="Times New Roman" w:hAnsi="Times New Roman" w:eastAsia="宋体" w:cs="Times New Roman"/>
          <w:spacing w:val="-11"/>
          <w:kern w:val="2"/>
          <w:sz w:val="24"/>
          <w:szCs w:val="24"/>
          <w:lang w:val="en-US" w:eastAsia="zh-CN" w:bidi="zh-CN"/>
        </w:rPr>
        <w:t>，多年平均径流深446.6mm，多年平均年径流量1134万m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，多年平均流量0.36m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/s。水库正常蓄水位562.40m，总库容978万m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，有效库容622.9万m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，死库容152万m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。水库设计洪水位564.89m，校核洪水位565.97m，正常蓄水位562.40m，死水位545.00m。是一座给闫家沟水库补水，灌溉面积4.56万亩，兼有城乡10万人畜饮水等综合利用的拦蓄式小（</w:t>
      </w:r>
      <w:r>
        <w:rPr>
          <w:rFonts w:hint="eastAsia" w:cs="Times New Roman"/>
          <w:spacing w:val="-11"/>
          <w:kern w:val="2"/>
          <w:sz w:val="24"/>
          <w:szCs w:val="24"/>
          <w:lang w:val="en-US" w:eastAsia="zh-CN" w:bidi="zh-CN"/>
        </w:rPr>
        <w:t>1</w:t>
      </w:r>
      <w:r>
        <w:rPr>
          <w:rFonts w:hint="default" w:ascii="Times New Roman" w:hAnsi="Times New Roman" w:eastAsia="宋体" w:cs="Times New Roman"/>
          <w:spacing w:val="-11"/>
          <w:kern w:val="2"/>
          <w:sz w:val="24"/>
          <w:szCs w:val="24"/>
          <w:lang w:val="en-US" w:eastAsia="zh-CN" w:bidi="zh-CN"/>
        </w:rPr>
        <w:t>）型水库。下游涉及5000人和2500亩耕地。枢纽工程包括大坝、溢洪道、放空导流隧洞、引水隧洞等建筑物。</w:t>
      </w:r>
    </w:p>
    <w:p>
      <w:pPr>
        <w:pStyle w:val="22"/>
        <w:rPr>
          <w:rFonts w:hint="default"/>
          <w:lang w:val="en-US" w:eastAsia="zh-CN"/>
        </w:rPr>
      </w:pPr>
      <w:r>
        <w:rPr>
          <w:rFonts w:hint="default"/>
          <w:lang w:val="en-US" w:eastAsia="zh-CN"/>
        </w:rPr>
        <w:drawing>
          <wp:inline distT="0" distB="0" distL="114300" distR="114300">
            <wp:extent cx="5265420" cy="2689860"/>
            <wp:effectExtent l="0" t="0" r="11430" b="15240"/>
            <wp:docPr id="3" name="图片 3" descr="2fc21fc3677eb6aa7e68461d5c6ad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fc21fc3677eb6aa7e68461d5c6adac"/>
                    <pic:cNvPicPr>
                      <a:picLocks noChangeAspect="1"/>
                    </pic:cNvPicPr>
                  </pic:nvPicPr>
                  <pic:blipFill>
                    <a:blip r:embed="rId86"/>
                    <a:stretch>
                      <a:fillRect/>
                    </a:stretch>
                  </pic:blipFill>
                  <pic:spPr>
                    <a:xfrm>
                      <a:off x="0" y="0"/>
                      <a:ext cx="5265420" cy="2689860"/>
                    </a:xfrm>
                    <a:prstGeom prst="rect">
                      <a:avLst/>
                    </a:prstGeom>
                  </pic:spPr>
                </pic:pic>
              </a:graphicData>
            </a:graphic>
          </wp:inline>
        </w:drawing>
      </w:r>
    </w:p>
    <w:p>
      <w:pPr>
        <w:pStyle w:val="22"/>
        <w:jc w:val="center"/>
        <w:outlineLvl w:val="8"/>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图1.4-1   大洋沟水库卫星图</w:t>
      </w:r>
    </w:p>
    <w:p>
      <w:pPr>
        <w:pStyle w:val="22"/>
        <w:jc w:val="center"/>
        <w:rPr>
          <w:rFonts w:hint="eastAsia" w:ascii="宋体" w:hAnsi="宋体" w:eastAsia="宋体" w:cs="宋体"/>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466" w:firstLineChars="200"/>
        <w:textAlignment w:val="auto"/>
        <w:rPr>
          <w:rFonts w:hint="default" w:ascii="Times New Roman" w:hAnsi="Times New Roman" w:eastAsia="宋体" w:cs="Times New Roman"/>
          <w:b/>
          <w:bCs/>
          <w:spacing w:val="-4"/>
          <w:sz w:val="24"/>
          <w:szCs w:val="24"/>
          <w:lang w:val="en-US" w:eastAsia="zh-CN" w:bidi="zh-CN"/>
        </w:rPr>
      </w:pPr>
      <w:r>
        <w:rPr>
          <w:rFonts w:hint="eastAsia" w:ascii="Times New Roman" w:hAnsi="Times New Roman" w:cs="Times New Roman"/>
          <w:b/>
          <w:bCs/>
          <w:spacing w:val="-4"/>
          <w:sz w:val="24"/>
          <w:szCs w:val="24"/>
          <w:lang w:val="en-US" w:eastAsia="zh-CN" w:bidi="zh-CN"/>
        </w:rPr>
        <w:t>2、</w:t>
      </w:r>
      <w:r>
        <w:rPr>
          <w:rFonts w:hint="default" w:ascii="Times New Roman" w:hAnsi="Times New Roman" w:eastAsia="宋体" w:cs="Times New Roman"/>
          <w:b/>
          <w:bCs/>
          <w:spacing w:val="-4"/>
          <w:sz w:val="24"/>
          <w:szCs w:val="24"/>
          <w:lang w:val="en-US" w:eastAsia="zh-CN" w:bidi="zh-CN"/>
        </w:rPr>
        <w:t>碾子沟水库（已建）</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碾子沟水库位于苍溪县五龙镇三会村境内，距苍溪县26.1公里，距五龙镇3.58公里。碾子沟水库于1986年12月全面竣工投入运行，地理坐标为东经105°56´8.4´´，北纬31°57´57.1´´。</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碾子沟水库坝址以上集雨面积为0.28km</w:t>
      </w:r>
      <w:r>
        <w:rPr>
          <w:rFonts w:hint="default" w:ascii="Times New Roman" w:hAnsi="Times New Roman" w:eastAsia="宋体" w:cs="Times New Roman"/>
          <w:spacing w:val="-11"/>
          <w:kern w:val="2"/>
          <w:sz w:val="24"/>
          <w:szCs w:val="24"/>
          <w:vertAlign w:val="superscript"/>
          <w:lang w:val="en-US" w:eastAsia="zh-CN" w:bidi="zh-CN"/>
        </w:rPr>
        <w:t>2</w:t>
      </w:r>
      <w:r>
        <w:rPr>
          <w:rFonts w:hint="default" w:ascii="Times New Roman" w:hAnsi="Times New Roman" w:eastAsia="宋体" w:cs="Times New Roman"/>
          <w:spacing w:val="-11"/>
          <w:kern w:val="2"/>
          <w:sz w:val="24"/>
          <w:szCs w:val="24"/>
          <w:lang w:val="en-US" w:eastAsia="zh-CN" w:bidi="zh-CN"/>
        </w:rPr>
        <w:t>，主河道长度0.915 km，平均比降为82.3‰，灌溉面积为</w:t>
      </w:r>
      <w:r>
        <w:rPr>
          <w:rFonts w:hint="eastAsia" w:cs="Times New Roman"/>
          <w:spacing w:val="-11"/>
          <w:kern w:val="2"/>
          <w:sz w:val="24"/>
          <w:szCs w:val="24"/>
          <w:lang w:val="en-US" w:eastAsia="zh-CN" w:bidi="zh-CN"/>
        </w:rPr>
        <w:t>700</w:t>
      </w:r>
      <w:r>
        <w:rPr>
          <w:rFonts w:hint="default" w:ascii="Times New Roman" w:hAnsi="Times New Roman" w:eastAsia="宋体" w:cs="Times New Roman"/>
          <w:spacing w:val="-11"/>
          <w:kern w:val="2"/>
          <w:sz w:val="24"/>
          <w:szCs w:val="24"/>
          <w:lang w:val="en-US" w:eastAsia="zh-CN" w:bidi="zh-CN"/>
        </w:rPr>
        <w:t>亩。根据《防洪标准》（GB50201-2014）与《水利水电工程等级划分及洪水标准》（SL252－2000）的规定，属小（2）型水库，主要任务以灌溉为主，兼有防洪、养鱼等综合功能。水库枢纽由大坝、溢洪道、放水设施三部分组成。工程等别为Ⅴ等，枢纽工程主要永久性建筑物级别为5级。</w:t>
      </w:r>
    </w:p>
    <w:p>
      <w:pPr>
        <w:keepNext w:val="0"/>
        <w:keepLines w:val="0"/>
        <w:pageBreakBefore w:val="0"/>
        <w:widowControl w:val="0"/>
        <w:kinsoku/>
        <w:wordWrap/>
        <w:overflowPunct/>
        <w:topLinePunct w:val="0"/>
        <w:autoSpaceDE/>
        <w:autoSpaceDN/>
        <w:bidi w:val="0"/>
        <w:adjustRightInd/>
        <w:snapToGrid w:val="0"/>
        <w:spacing w:line="360" w:lineRule="auto"/>
        <w:ind w:firstLine="436" w:firstLineChars="200"/>
        <w:jc w:val="both"/>
        <w:textAlignment w:val="auto"/>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水库校核洪水标准为200年一遇，校核洪水位为803.73m，相应库容12.6万m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；设计洪水标准为20年一遇，设计洪水位为803.46m，相应库容12.01万m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；正常蓄水位802.77m，相应库容10.54万m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；死水位791.62m，死库容1.6万m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，兴利库容8.94万m</w:t>
      </w:r>
      <w:r>
        <w:rPr>
          <w:rFonts w:hint="default" w:ascii="Times New Roman" w:hAnsi="Times New Roman" w:eastAsia="宋体" w:cs="Times New Roman"/>
          <w:spacing w:val="-11"/>
          <w:kern w:val="2"/>
          <w:sz w:val="24"/>
          <w:szCs w:val="24"/>
          <w:vertAlign w:val="superscript"/>
          <w:lang w:val="en-US" w:eastAsia="zh-CN" w:bidi="zh-CN"/>
        </w:rPr>
        <w:t>3</w:t>
      </w:r>
      <w:r>
        <w:rPr>
          <w:rFonts w:hint="default" w:ascii="Times New Roman" w:hAnsi="Times New Roman" w:eastAsia="宋体" w:cs="Times New Roman"/>
          <w:spacing w:val="-11"/>
          <w:kern w:val="2"/>
          <w:sz w:val="24"/>
          <w:szCs w:val="24"/>
          <w:lang w:val="en-US" w:eastAsia="zh-CN" w:bidi="zh-CN"/>
        </w:rPr>
        <w:t>。</w:t>
      </w:r>
    </w:p>
    <w:p>
      <w:pPr>
        <w:pStyle w:val="22"/>
        <w:rPr>
          <w:rFonts w:hint="eastAsia"/>
          <w:lang w:val="en-US" w:eastAsia="zh-CN"/>
        </w:rPr>
      </w:pPr>
      <w:r>
        <w:rPr>
          <w:rFonts w:hint="eastAsia"/>
          <w:lang w:val="en-US" w:eastAsia="zh-CN"/>
        </w:rPr>
        <w:drawing>
          <wp:inline distT="0" distB="0" distL="114300" distR="114300">
            <wp:extent cx="5265420" cy="2689860"/>
            <wp:effectExtent l="0" t="0" r="11430" b="15240"/>
            <wp:docPr id="1" name="图片 1" descr="9d3df5375a2d8037be54bcce1a7d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d3df5375a2d8037be54bcce1a7dd73"/>
                    <pic:cNvPicPr>
                      <a:picLocks noChangeAspect="1"/>
                    </pic:cNvPicPr>
                  </pic:nvPicPr>
                  <pic:blipFill>
                    <a:blip r:embed="rId87"/>
                    <a:stretch>
                      <a:fillRect/>
                    </a:stretch>
                  </pic:blipFill>
                  <pic:spPr>
                    <a:xfrm>
                      <a:off x="0" y="0"/>
                      <a:ext cx="5265420" cy="2689860"/>
                    </a:xfrm>
                    <a:prstGeom prst="rect">
                      <a:avLst/>
                    </a:prstGeom>
                  </pic:spPr>
                </pic:pic>
              </a:graphicData>
            </a:graphic>
          </wp:inline>
        </w:drawing>
      </w:r>
    </w:p>
    <w:p>
      <w:pPr>
        <w:pStyle w:val="22"/>
        <w:jc w:val="center"/>
        <w:outlineLvl w:val="8"/>
        <w:rPr>
          <w:rFonts w:hint="eastAsia" w:ascii="宋体" w:hAnsi="宋体" w:eastAsia="宋体" w:cs="宋体"/>
          <w:b/>
          <w:bCs/>
          <w:spacing w:val="-11"/>
          <w:kern w:val="2"/>
          <w:sz w:val="24"/>
          <w:szCs w:val="24"/>
          <w:lang w:val="en-US" w:eastAsia="zh-CN" w:bidi="zh-CN"/>
        </w:rPr>
      </w:pPr>
      <w:bookmarkStart w:id="19" w:name="_Toc26970"/>
      <w:r>
        <w:rPr>
          <w:rFonts w:hint="eastAsia" w:ascii="宋体" w:hAnsi="宋体" w:eastAsia="宋体" w:cs="宋体"/>
          <w:b/>
          <w:bCs/>
          <w:sz w:val="24"/>
          <w:szCs w:val="24"/>
          <w:lang w:val="en-US" w:eastAsia="zh-CN"/>
        </w:rPr>
        <w:t xml:space="preserve">图1.4-2   </w:t>
      </w:r>
      <w:r>
        <w:rPr>
          <w:rFonts w:hint="eastAsia" w:ascii="宋体" w:hAnsi="宋体" w:eastAsia="宋体" w:cs="宋体"/>
          <w:b/>
          <w:bCs/>
          <w:spacing w:val="-11"/>
          <w:kern w:val="2"/>
          <w:sz w:val="24"/>
          <w:szCs w:val="24"/>
          <w:lang w:val="en-US" w:eastAsia="zh-CN" w:bidi="zh-CN"/>
        </w:rPr>
        <w:t>碾子沟水库卫星图</w:t>
      </w:r>
      <w:bookmarkEnd w:id="19"/>
    </w:p>
    <w:p>
      <w:pPr>
        <w:pStyle w:val="22"/>
        <w:ind w:left="0" w:leftChars="0" w:firstLine="0" w:firstLineChars="0"/>
        <w:jc w:val="both"/>
        <w:rPr>
          <w:rFonts w:hint="eastAsia" w:ascii="宋体" w:hAnsi="宋体" w:eastAsia="宋体" w:cs="宋体"/>
          <w:b/>
          <w:bCs/>
          <w:spacing w:val="-11"/>
          <w:kern w:val="2"/>
          <w:sz w:val="24"/>
          <w:szCs w:val="24"/>
          <w:lang w:val="en-US" w:eastAsia="zh-CN" w:bidi="zh-CN"/>
        </w:rPr>
      </w:pPr>
    </w:p>
    <w:p>
      <w:pPr>
        <w:wordWrap/>
        <w:autoSpaceDE/>
        <w:autoSpaceDN/>
        <w:adjustRightInd w:val="0"/>
        <w:snapToGrid w:val="0"/>
        <w:spacing w:before="166" w:beforeLines="50" w:after="166" w:afterLines="50" w:line="360" w:lineRule="auto"/>
        <w:ind w:firstLine="0" w:firstLineChars="0"/>
        <w:outlineLvl w:val="2"/>
        <w:rPr>
          <w:rFonts w:hint="default" w:ascii="Times New Roman" w:hAnsi="Times New Roman" w:cs="Times New Roman"/>
          <w:b/>
          <w:bCs/>
          <w:color w:val="auto"/>
          <w:kern w:val="2"/>
          <w:sz w:val="24"/>
          <w:szCs w:val="24"/>
          <w:lang w:val="en-US" w:eastAsia="zh-CN"/>
        </w:rPr>
      </w:pPr>
      <w:r>
        <w:rPr>
          <w:rFonts w:hint="default" w:ascii="Times New Roman" w:hAnsi="Times New Roman" w:cs="Times New Roman"/>
          <w:b/>
          <w:bCs/>
          <w:color w:val="auto"/>
          <w:kern w:val="2"/>
          <w:sz w:val="24"/>
          <w:szCs w:val="24"/>
          <w:lang w:val="en-US" w:eastAsia="zh-CN"/>
        </w:rPr>
        <w:t>1.4.2 存在的主要问题</w:t>
      </w:r>
    </w:p>
    <w:p>
      <w:pPr>
        <w:spacing w:line="360" w:lineRule="auto"/>
        <w:ind w:firstLine="480"/>
        <w:rPr>
          <w:rFonts w:hint="default" w:ascii="Times New Roman" w:hAnsi="Times New Roman" w:eastAsia="宋体" w:cs="Times New Roman"/>
          <w:snapToGrid w:val="0"/>
          <w:kern w:val="0"/>
          <w:sz w:val="24"/>
          <w:szCs w:val="24"/>
          <w:lang w:eastAsia="zh-CN"/>
        </w:rPr>
      </w:pPr>
      <w:r>
        <w:rPr>
          <w:rFonts w:hint="default" w:ascii="Times New Roman" w:hAnsi="Times New Roman" w:cs="Times New Roman"/>
          <w:snapToGrid w:val="0"/>
          <w:kern w:val="0"/>
          <w:sz w:val="24"/>
          <w:szCs w:val="24"/>
        </w:rPr>
        <w:t>沙溪浩流域苍溪县资料以及流域内污染源调查情况，沙溪浩苍溪段水环境总体良好；仅存在一定的农业面源污染及场镇段生活污水污染，少量垃圾污染，总体水质为Ⅲ类</w:t>
      </w:r>
      <w:r>
        <w:rPr>
          <w:rFonts w:hint="default" w:ascii="Times New Roman" w:hAnsi="Times New Roman" w:cs="Times New Roman"/>
          <w:snapToGrid w:val="0"/>
          <w:kern w:val="0"/>
          <w:sz w:val="24"/>
          <w:szCs w:val="24"/>
          <w:lang w:eastAsia="zh-CN"/>
        </w:rPr>
        <w:t>。</w:t>
      </w:r>
    </w:p>
    <w:p>
      <w:pPr>
        <w:pStyle w:val="22"/>
        <w:rPr>
          <w:rFonts w:hint="default"/>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20" w:name="_Toc6260"/>
      <w:r>
        <w:rPr>
          <w:rFonts w:hint="eastAsia" w:ascii="Times New Roman" w:hAnsi="Times New Roman" w:cs="Times New Roman"/>
          <w:b/>
          <w:bCs/>
          <w:color w:val="auto"/>
          <w:kern w:val="2"/>
          <w:sz w:val="24"/>
          <w:szCs w:val="24"/>
          <w:lang w:val="en-US" w:eastAsia="zh-CN"/>
        </w:rPr>
        <w:t>1.5 河湖健康评价工作概况</w:t>
      </w:r>
      <w:bookmarkEnd w:id="20"/>
    </w:p>
    <w:p>
      <w:pPr>
        <w:ind w:firstLine="482"/>
        <w:outlineLvl w:val="9"/>
      </w:pPr>
      <w:bookmarkStart w:id="21" w:name="_Toc16016"/>
      <w:r>
        <w:rPr>
          <w:rFonts w:hint="eastAsia"/>
          <w:b/>
        </w:rPr>
        <w:t>工作组织单位：</w:t>
      </w:r>
      <w:r>
        <w:rPr>
          <w:rFonts w:hint="eastAsia"/>
        </w:rPr>
        <w:t>四川省广元市苍溪县水利局</w:t>
      </w:r>
      <w:bookmarkEnd w:id="21"/>
    </w:p>
    <w:p>
      <w:pPr>
        <w:ind w:firstLine="480"/>
      </w:pPr>
      <w:r>
        <w:rPr>
          <w:rFonts w:hint="eastAsia"/>
        </w:rPr>
        <w:t xml:space="preserve">工作过程：(1)技术准备。开展资料、数据收集与踏勘，根据本指南确定河湖健康评价指标，自选指标还应研究制定评价标准，提出评价指标专项调查监测方案与技术细则，形成河湖健康评价工作大纲。 </w:t>
      </w:r>
    </w:p>
    <w:p>
      <w:pPr>
        <w:ind w:firstLine="480"/>
        <w:outlineLvl w:val="9"/>
      </w:pPr>
      <w:bookmarkStart w:id="22" w:name="_Toc212"/>
      <w:r>
        <w:rPr>
          <w:rFonts w:hint="eastAsia"/>
        </w:rPr>
        <w:t>(2)调查监测。组织开展河湖健康评价调查与专项监测。</w:t>
      </w:r>
      <w:bookmarkEnd w:id="22"/>
      <w:r>
        <w:rPr>
          <w:rFonts w:hint="eastAsia"/>
        </w:rPr>
        <w:t xml:space="preserve"> </w:t>
      </w:r>
    </w:p>
    <w:p>
      <w:pPr>
        <w:ind w:firstLine="480"/>
      </w:pPr>
      <w:r>
        <w:rPr>
          <w:rFonts w:hint="eastAsia"/>
        </w:rPr>
        <w:t>(3)报告编制。系统整理调查与监测数据，根据本指南对河湖健康评价指标进行计算赋分，评价河湖健康状况，编制河湖健康评价报告。</w:t>
      </w:r>
    </w:p>
    <w:p>
      <w:pPr>
        <w:ind w:left="0" w:leftChars="0" w:firstLine="0" w:firstLineChars="0"/>
        <w:jc w:val="left"/>
      </w:pPr>
      <w:r>
        <w:drawing>
          <wp:inline distT="0" distB="0" distL="114300" distR="114300">
            <wp:extent cx="5194300" cy="3774440"/>
            <wp:effectExtent l="0" t="0" r="635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8"/>
                    <a:stretch>
                      <a:fillRect/>
                    </a:stretch>
                  </pic:blipFill>
                  <pic:spPr>
                    <a:xfrm>
                      <a:off x="0" y="0"/>
                      <a:ext cx="5194300" cy="3774440"/>
                    </a:xfrm>
                    <a:prstGeom prst="rect">
                      <a:avLst/>
                    </a:prstGeom>
                    <a:noFill/>
                    <a:ln>
                      <a:noFill/>
                    </a:ln>
                  </pic:spPr>
                </pic:pic>
              </a:graphicData>
            </a:graphic>
          </wp:inline>
        </w:drawing>
      </w:r>
    </w:p>
    <w:p>
      <w:pPr>
        <w:bidi w:val="0"/>
        <w:jc w:val="center"/>
        <w:outlineLvl w:val="8"/>
        <w:rPr>
          <w:rFonts w:hint="eastAsia"/>
          <w:b/>
          <w:bCs/>
          <w:lang w:val="en-GB"/>
        </w:rPr>
      </w:pPr>
      <w:bookmarkStart w:id="23" w:name="_Toc10989"/>
      <w:r>
        <w:rPr>
          <w:rFonts w:hint="eastAsia"/>
          <w:b/>
          <w:bCs/>
          <w:lang w:val="en-GB"/>
        </w:rPr>
        <w:t>图</w:t>
      </w:r>
      <w:r>
        <w:rPr>
          <w:rFonts w:hint="eastAsia"/>
          <w:b/>
          <w:bCs/>
          <w:lang w:val="en-US" w:eastAsia="zh-CN"/>
        </w:rPr>
        <w:t>1.5</w:t>
      </w:r>
      <w:r>
        <w:rPr>
          <w:rFonts w:hint="eastAsia"/>
          <w:b/>
          <w:bCs/>
          <w:lang w:val="en-GB"/>
        </w:rPr>
        <w:t>-1 河湖健康评价工作流程图</w:t>
      </w:r>
      <w:bookmarkEnd w:id="23"/>
    </w:p>
    <w:p>
      <w:pPr>
        <w:pStyle w:val="43"/>
        <w:ind w:firstLine="482"/>
        <w:outlineLvl w:val="9"/>
        <w:rPr>
          <w:rFonts w:hint="eastAsia" w:ascii="宋体" w:hAnsi="宋体" w:eastAsia="宋体" w:cs="宋体"/>
          <w:kern w:val="2"/>
          <w:sz w:val="24"/>
          <w:szCs w:val="24"/>
        </w:rPr>
      </w:pPr>
    </w:p>
    <w:p>
      <w:pPr>
        <w:snapToGrid w:val="0"/>
        <w:ind w:firstLine="482"/>
        <w:rPr>
          <w:szCs w:val="24"/>
        </w:rPr>
      </w:pPr>
      <w:r>
        <w:rPr>
          <w:b/>
          <w:bCs/>
          <w:szCs w:val="24"/>
        </w:rPr>
        <w:t>主要工作内容</w:t>
      </w:r>
      <w:r>
        <w:rPr>
          <w:szCs w:val="24"/>
        </w:rPr>
        <w:t>：</w:t>
      </w:r>
    </w:p>
    <w:p>
      <w:pPr>
        <w:snapToGrid w:val="0"/>
        <w:ind w:firstLine="480"/>
        <w:rPr>
          <w:szCs w:val="24"/>
        </w:rPr>
      </w:pPr>
      <w:r>
        <w:rPr>
          <w:szCs w:val="24"/>
        </w:rPr>
        <w:t>水文水资源：</w:t>
      </w:r>
      <w:r>
        <w:rPr>
          <w:rFonts w:hint="eastAsia"/>
          <w:szCs w:val="24"/>
        </w:rPr>
        <w:t>下泄生态基流满足程度</w:t>
      </w:r>
    </w:p>
    <w:p>
      <w:pPr>
        <w:snapToGrid w:val="0"/>
        <w:ind w:firstLine="480"/>
        <w:rPr>
          <w:szCs w:val="24"/>
        </w:rPr>
      </w:pPr>
      <w:r>
        <w:rPr>
          <w:szCs w:val="24"/>
        </w:rPr>
        <w:t>物理结构：</w:t>
      </w:r>
      <w:r>
        <w:rPr>
          <w:rFonts w:hint="eastAsia"/>
          <w:szCs w:val="24"/>
        </w:rPr>
        <w:t>库岸带稳定性指标</w:t>
      </w:r>
    </w:p>
    <w:p>
      <w:pPr>
        <w:snapToGrid w:val="0"/>
        <w:ind w:firstLine="480"/>
        <w:rPr>
          <w:szCs w:val="24"/>
        </w:rPr>
      </w:pPr>
      <w:r>
        <w:rPr>
          <w:szCs w:val="24"/>
        </w:rPr>
        <w:t>水质：水体整洁程度、水质优劣程度、</w:t>
      </w:r>
      <w:r>
        <w:rPr>
          <w:rFonts w:hint="eastAsia"/>
          <w:szCs w:val="24"/>
        </w:rPr>
        <w:t>富营养化状况、</w:t>
      </w:r>
      <w:r>
        <w:rPr>
          <w:szCs w:val="24"/>
        </w:rPr>
        <w:t>水质变化趋势</w:t>
      </w:r>
    </w:p>
    <w:p>
      <w:pPr>
        <w:snapToGrid w:val="0"/>
        <w:ind w:firstLine="480"/>
        <w:rPr>
          <w:szCs w:val="24"/>
        </w:rPr>
      </w:pPr>
      <w:r>
        <w:rPr>
          <w:szCs w:val="24"/>
        </w:rPr>
        <w:t>生物：外来水生动植物</w:t>
      </w:r>
    </w:p>
    <w:p>
      <w:pPr>
        <w:snapToGrid w:val="0"/>
        <w:ind w:firstLine="480"/>
        <w:rPr>
          <w:szCs w:val="24"/>
        </w:rPr>
      </w:pPr>
      <w:r>
        <w:rPr>
          <w:szCs w:val="24"/>
        </w:rPr>
        <w:t>河湖管理与社会服务功能：公众满意度、防洪指标、供水指标、开发利用现状与规划的符合性</w:t>
      </w:r>
    </w:p>
    <w:p>
      <w:pPr>
        <w:snapToGrid w:val="0"/>
        <w:ind w:firstLine="480"/>
        <w:rPr>
          <w:szCs w:val="24"/>
        </w:rPr>
      </w:pPr>
      <w:r>
        <w:rPr>
          <w:szCs w:val="24"/>
        </w:rPr>
        <w:t>给以上</w:t>
      </w:r>
      <w:r>
        <w:rPr>
          <w:rFonts w:hint="eastAsia"/>
          <w:szCs w:val="24"/>
        </w:rPr>
        <w:t>11</w:t>
      </w:r>
      <w:r>
        <w:rPr>
          <w:szCs w:val="24"/>
        </w:rPr>
        <w:t>个指标赋分，用示意图</w:t>
      </w:r>
      <w:r>
        <w:rPr>
          <w:rFonts w:hint="eastAsia"/>
        </w:rPr>
        <w:t>水库健康评价指标赋分示意图</w:t>
      </w:r>
      <w:r>
        <w:rPr>
          <w:szCs w:val="24"/>
        </w:rPr>
        <w:t>表示</w:t>
      </w:r>
    </w:p>
    <w:p>
      <w:pPr>
        <w:pStyle w:val="16"/>
        <w:rPr>
          <w:rFonts w:hint="eastAsia"/>
        </w:rPr>
      </w:pPr>
      <w:r>
        <w:rPr>
          <w:b/>
          <w:bCs/>
          <w:szCs w:val="24"/>
        </w:rPr>
        <w:t>主要成果</w:t>
      </w:r>
      <w:r>
        <w:rPr>
          <w:szCs w:val="24"/>
        </w:rPr>
        <w:t>：根据上面指标评分，</w:t>
      </w:r>
      <w:r>
        <w:rPr>
          <w:rFonts w:hint="eastAsia"/>
          <w:szCs w:val="24"/>
        </w:rPr>
        <w:t>根据</w:t>
      </w:r>
      <w:r>
        <w:rPr>
          <w:rFonts w:hint="eastAsia"/>
        </w:rPr>
        <w:t>《四川省河流（湖库）健康评价指南（</w:t>
      </w:r>
      <w:r>
        <w:rPr>
          <w:rFonts w:hint="eastAsia"/>
          <w:lang w:eastAsia="zh-CN"/>
        </w:rPr>
        <w:t>正式</w:t>
      </w:r>
      <w:r>
        <w:rPr>
          <w:rFonts w:hint="eastAsia"/>
        </w:rPr>
        <w:t>）》得出</w:t>
      </w:r>
      <w:r>
        <w:rPr>
          <w:rFonts w:hint="eastAsia"/>
          <w:lang w:eastAsia="zh-CN"/>
        </w:rPr>
        <w:t>沙溪浩</w:t>
      </w:r>
      <w:r>
        <w:rPr>
          <w:rFonts w:hint="eastAsia"/>
        </w:rPr>
        <w:t>最终健康状况，最终完成《苍溪县</w:t>
      </w:r>
      <w:r>
        <w:rPr>
          <w:rFonts w:hint="eastAsia"/>
          <w:lang w:eastAsia="zh-CN"/>
        </w:rPr>
        <w:t>沙溪浩</w:t>
      </w:r>
      <w:r>
        <w:rPr>
          <w:rFonts w:hint="eastAsia"/>
        </w:rPr>
        <w:t>健康评价》报告编制。</w:t>
      </w:r>
    </w:p>
    <w:p>
      <w:pPr>
        <w:pStyle w:val="16"/>
        <w:rPr>
          <w:rFonts w:hint="eastAsia"/>
        </w:rPr>
      </w:pPr>
    </w:p>
    <w:p>
      <w:pPr>
        <w:pStyle w:val="16"/>
        <w:rPr>
          <w:rFonts w:hint="eastAsia"/>
        </w:rPr>
      </w:pPr>
    </w:p>
    <w:p>
      <w:pPr>
        <w:pStyle w:val="16"/>
        <w:rPr>
          <w:rFonts w:hint="eastAsia"/>
        </w:rPr>
      </w:pPr>
    </w:p>
    <w:p>
      <w:pPr>
        <w:pStyle w:val="16"/>
        <w:rPr>
          <w:rFonts w:hint="eastAsia"/>
        </w:rPr>
      </w:pPr>
    </w:p>
    <w:p>
      <w:pPr>
        <w:ind w:left="0" w:leftChars="0" w:firstLine="0" w:firstLineChars="0"/>
        <w:rPr>
          <w:rFonts w:hint="eastAsia"/>
        </w:rPr>
        <w:sectPr>
          <w:headerReference r:id="rId10" w:type="default"/>
          <w:pgSz w:w="11906" w:h="16838"/>
          <w:pgMar w:top="1361" w:right="1162" w:bottom="1162" w:left="1361" w:header="567" w:footer="567" w:gutter="0"/>
          <w:cols w:space="720" w:num="1"/>
          <w:docGrid w:linePitch="326" w:charSpace="0"/>
        </w:sectPr>
      </w:pPr>
    </w:p>
    <w:p>
      <w:pPr>
        <w:pStyle w:val="16"/>
        <w:ind w:left="0" w:leftChars="0" w:firstLine="0" w:firstLineChars="0"/>
        <w:rPr>
          <w:rFonts w:hint="eastAsia"/>
        </w:rPr>
      </w:pPr>
    </w:p>
    <w:p>
      <w:pPr>
        <w:pStyle w:val="42"/>
        <w:numPr>
          <w:ilvl w:val="0"/>
          <w:numId w:val="0"/>
        </w:numPr>
        <w:adjustRightInd/>
        <w:spacing w:line="520" w:lineRule="exact"/>
        <w:ind w:leftChars="0"/>
        <w:jc w:val="center"/>
        <w:outlineLvl w:val="0"/>
        <w:rPr>
          <w:rFonts w:hint="eastAsia" w:ascii="宋体" w:hAnsi="宋体" w:eastAsia="宋体" w:cs="宋体"/>
          <w:b/>
          <w:bCs w:val="0"/>
          <w:color w:val="auto"/>
          <w:sz w:val="36"/>
          <w:szCs w:val="36"/>
        </w:rPr>
      </w:pPr>
      <w:bookmarkStart w:id="24" w:name="_Toc9516"/>
      <w:r>
        <w:rPr>
          <w:rFonts w:hint="eastAsia" w:ascii="宋体" w:hAnsi="宋体" w:eastAsia="宋体" w:cs="宋体"/>
          <w:b/>
          <w:bCs w:val="0"/>
          <w:color w:val="auto"/>
          <w:sz w:val="36"/>
          <w:szCs w:val="36"/>
          <w:lang w:eastAsia="zh-CN"/>
        </w:rPr>
        <w:t>第二章</w:t>
      </w:r>
      <w:r>
        <w:rPr>
          <w:rFonts w:hint="eastAsia" w:ascii="宋体" w:hAnsi="宋体" w:eastAsia="宋体" w:cs="宋体"/>
          <w:b/>
          <w:bCs w:val="0"/>
          <w:color w:val="auto"/>
          <w:sz w:val="36"/>
          <w:szCs w:val="36"/>
          <w:lang w:val="en-US" w:eastAsia="zh-CN"/>
        </w:rPr>
        <w:t xml:space="preserve"> </w:t>
      </w:r>
      <w:r>
        <w:rPr>
          <w:rFonts w:hint="eastAsia" w:ascii="宋体" w:hAnsi="宋体" w:eastAsia="宋体" w:cs="宋体"/>
          <w:b/>
          <w:bCs w:val="0"/>
          <w:color w:val="auto"/>
          <w:sz w:val="36"/>
          <w:szCs w:val="36"/>
        </w:rPr>
        <w:t>湖健康评价方案</w:t>
      </w:r>
      <w:bookmarkEnd w:id="24"/>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25" w:name="_Toc27633"/>
      <w:r>
        <w:rPr>
          <w:rFonts w:hint="eastAsia" w:ascii="Times New Roman" w:hAnsi="Times New Roman" w:cs="Times New Roman"/>
          <w:b/>
          <w:bCs/>
          <w:color w:val="auto"/>
          <w:kern w:val="2"/>
          <w:sz w:val="24"/>
          <w:szCs w:val="24"/>
          <w:lang w:val="en-US" w:eastAsia="zh-CN"/>
        </w:rPr>
        <w:t>2.1 评价范围</w:t>
      </w:r>
      <w:bookmarkEnd w:id="25"/>
    </w:p>
    <w:p>
      <w:pPr>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①沙溪浩，自然河道</w:t>
      </w:r>
      <w:r>
        <w:rPr>
          <w:rFonts w:hint="default" w:ascii="Times New Roman" w:hAnsi="Times New Roman" w:cs="Times New Roman"/>
          <w:color w:val="000000" w:themeColor="text1"/>
          <w:lang w:eastAsia="zh-CN"/>
          <w14:textFill>
            <w14:solidFill>
              <w14:schemeClr w14:val="tx1"/>
            </w14:solidFill>
          </w14:textFill>
        </w:rPr>
        <w:t>共流经</w:t>
      </w:r>
      <w:r>
        <w:rPr>
          <w:rFonts w:hint="default" w:ascii="Times New Roman" w:hAnsi="Times New Roman" w:eastAsia="宋体" w:cs="Times New Roman"/>
          <w:color w:val="000000"/>
          <w:kern w:val="0"/>
          <w:sz w:val="24"/>
          <w:szCs w:val="24"/>
          <w:lang w:val="en-US" w:eastAsia="zh-CN" w:bidi="ar"/>
        </w:rPr>
        <w:t>4个乡镇</w:t>
      </w:r>
      <w:r>
        <w:rPr>
          <w:rFonts w:hint="default" w:ascii="Times New Roman" w:hAnsi="Times New Roman" w:cs="Times New Roman"/>
          <w:color w:val="000000"/>
          <w:kern w:val="0"/>
          <w:sz w:val="24"/>
          <w:szCs w:val="24"/>
          <w:lang w:val="en-US" w:eastAsia="zh-CN" w:bidi="ar"/>
        </w:rPr>
        <w:t>共计11村（社区）</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中心里程桩号为</w:t>
      </w:r>
      <w:r>
        <w:rPr>
          <w:rFonts w:hint="default" w:ascii="Times New Roman" w:hAnsi="Times New Roman" w:cs="Times New Roman"/>
          <w:color w:val="000000" w:themeColor="text1"/>
          <w:lang w:eastAsia="zh-CN"/>
          <w14:textFill>
            <w14:solidFill>
              <w14:schemeClr w14:val="tx1"/>
            </w14:solidFill>
          </w14:textFill>
        </w:rPr>
        <w:t>：沙溪浩</w:t>
      </w:r>
      <w:r>
        <w:rPr>
          <w:rFonts w:hint="default" w:ascii="Times New Roman" w:hAnsi="Times New Roman" w:cs="Times New Roman"/>
          <w:color w:val="000000" w:themeColor="text1"/>
          <w14:textFill>
            <w14:solidFill>
              <w14:schemeClr w14:val="tx1"/>
            </w14:solidFill>
          </w14:textFill>
        </w:rPr>
        <w:t>K0+000</w:t>
      </w:r>
      <w:r>
        <w:rPr>
          <w:rFonts w:hint="default" w:ascii="Times New Roman" w:hAnsi="Times New Roman" w:cs="Times New Roman"/>
          <w:color w:val="000000" w:themeColor="text1"/>
          <w:lang w:val="en-US" w:eastAsia="zh-CN"/>
          <w14:textFill>
            <w14:solidFill>
              <w14:schemeClr w14:val="tx1"/>
            </w14:solidFill>
          </w14:textFill>
        </w:rPr>
        <w:t>.00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沙溪浩</w:t>
      </w:r>
      <w:r>
        <w:rPr>
          <w:rFonts w:hint="default" w:ascii="Times New Roman" w:hAnsi="Times New Roman" w:cs="Times New Roman"/>
          <w:spacing w:val="-4"/>
          <w:sz w:val="24"/>
          <w:szCs w:val="24"/>
          <w:lang w:val="en-US" w:eastAsia="zh-CN"/>
        </w:rPr>
        <w:t>K21+689</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kern w:val="0"/>
          <w:sz w:val="24"/>
          <w:szCs w:val="24"/>
          <w:lang w:val="en-US" w:eastAsia="zh-CN" w:bidi="ar"/>
        </w:rPr>
        <w:t>河流总流域面积60.2km</w:t>
      </w:r>
      <w:r>
        <w:rPr>
          <w:rFonts w:hint="default" w:ascii="Times New Roman" w:hAnsi="Times New Roman" w:cs="Times New Roman"/>
          <w:color w:val="000000"/>
          <w:kern w:val="0"/>
          <w:sz w:val="24"/>
          <w:szCs w:val="24"/>
          <w:vertAlign w:val="superscript"/>
          <w:lang w:val="en-US" w:eastAsia="zh-CN" w:bidi="ar"/>
        </w:rPr>
        <w:t>2</w:t>
      </w:r>
      <w:r>
        <w:rPr>
          <w:rFonts w:hint="default" w:ascii="Times New Roman" w:hAnsi="Times New Roman" w:eastAsia="宋体" w:cs="Times New Roman"/>
          <w:color w:val="000000"/>
          <w:kern w:val="0"/>
          <w:sz w:val="24"/>
          <w:szCs w:val="24"/>
          <w:lang w:val="en-US" w:eastAsia="zh-CN" w:bidi="ar"/>
        </w:rPr>
        <w:t>，长度21.689km</w:t>
      </w:r>
      <w:r>
        <w:rPr>
          <w:rFonts w:hint="default" w:ascii="Times New Roman" w:hAnsi="Times New Roman" w:cs="Times New Roman"/>
          <w:color w:val="000000" w:themeColor="text1"/>
          <w:lang w:eastAsia="zh-CN"/>
          <w14:textFill>
            <w14:solidFill>
              <w14:schemeClr w14:val="tx1"/>
            </w14:solidFill>
          </w14:textFill>
        </w:rPr>
        <w:t>，其支流多属季节性溪沟。</w:t>
      </w:r>
    </w:p>
    <w:p>
      <w:pPr>
        <w:pStyle w:val="22"/>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color w:val="000000" w:themeColor="text1"/>
          <w:sz w:val="24"/>
          <w:szCs w:val="24"/>
          <w:lang w:eastAsia="zh-CN"/>
          <w14:textFill>
            <w14:solidFill>
              <w14:schemeClr w14:val="tx1"/>
            </w14:solidFill>
          </w14:textFill>
        </w:rPr>
        <w:t>②</w:t>
      </w:r>
      <w:r>
        <w:rPr>
          <w:rFonts w:hint="default" w:ascii="Times New Roman" w:hAnsi="Times New Roman" w:eastAsia="宋体" w:cs="Times New Roman"/>
          <w:spacing w:val="-11"/>
          <w:kern w:val="2"/>
          <w:sz w:val="24"/>
          <w:szCs w:val="24"/>
          <w:lang w:val="en-US" w:eastAsia="zh-CN" w:bidi="zh-CN"/>
        </w:rPr>
        <w:t>大洋沟水库，水库位于苍溪县陵江镇大洋村境内，修建在嘉陵江左岸小支流大洋沟河段上，距苍溪县城18km，地理坐标东经105°56´，北纬31°55´。</w:t>
      </w:r>
    </w:p>
    <w:p>
      <w:pPr>
        <w:pStyle w:val="22"/>
        <w:rPr>
          <w:rFonts w:hint="default" w:ascii="Times New Roman" w:hAnsi="Times New Roman" w:eastAsia="宋体" w:cs="Times New Roman"/>
          <w:spacing w:val="-11"/>
          <w:kern w:val="2"/>
          <w:sz w:val="24"/>
          <w:szCs w:val="24"/>
          <w:lang w:val="en-US" w:eastAsia="zh-CN" w:bidi="zh-CN"/>
        </w:rPr>
      </w:pPr>
      <w:r>
        <w:rPr>
          <w:rFonts w:hint="default" w:ascii="Times New Roman" w:hAnsi="Times New Roman" w:eastAsia="宋体" w:cs="Times New Roman"/>
          <w:spacing w:val="-11"/>
          <w:kern w:val="2"/>
          <w:sz w:val="24"/>
          <w:szCs w:val="24"/>
          <w:lang w:val="en-US" w:eastAsia="zh-CN" w:bidi="zh-CN"/>
        </w:rPr>
        <w:t>③碾子沟水库，水库位于苍溪县五龙镇三会村境内，距苍溪县26.1公里，距五龙镇3.58公里。碾子沟水库于1986年12月全面竣工投入运行，地理坐标为东经105°56´8.4´´，北纬31°57´57.1´´。</w:t>
      </w:r>
    </w:p>
    <w:p>
      <w:pPr>
        <w:bidi w:val="0"/>
        <w:rPr>
          <w:rFonts w:hint="default" w:ascii="Times New Roman" w:hAnsi="Times New Roman" w:cs="Times New Roman"/>
          <w:lang w:eastAsia="zh-CN"/>
        </w:rPr>
      </w:pPr>
      <w:r>
        <w:rPr>
          <w:rFonts w:hint="default" w:ascii="Times New Roman" w:hAnsi="Times New Roman" w:cs="Times New Roman"/>
          <w:lang w:eastAsia="zh-CN"/>
        </w:rPr>
        <w:t>此次河道评价范围为广元市</w:t>
      </w:r>
      <w:r>
        <w:rPr>
          <w:rFonts w:hint="default" w:ascii="Times New Roman" w:hAnsi="Times New Roman" w:cs="Times New Roman"/>
          <w:lang w:val="en-US" w:eastAsia="zh-CN"/>
        </w:rPr>
        <w:t>苍溪</w:t>
      </w:r>
      <w:r>
        <w:rPr>
          <w:rFonts w:hint="default" w:ascii="Times New Roman" w:hAnsi="Times New Roman" w:cs="Times New Roman"/>
          <w:lang w:eastAsia="zh-CN"/>
        </w:rPr>
        <w:t>县内</w:t>
      </w:r>
      <w:r>
        <w:rPr>
          <w:rFonts w:hint="eastAsia" w:ascii="Times New Roman" w:hAnsi="Times New Roman" w:cs="Times New Roman"/>
          <w:lang w:val="en-US" w:eastAsia="zh-CN"/>
        </w:rPr>
        <w:t>沙溪浩</w:t>
      </w:r>
      <w:r>
        <w:rPr>
          <w:rFonts w:hint="default" w:ascii="Times New Roman" w:hAnsi="Times New Roman" w:cs="Times New Roman"/>
          <w:lang w:eastAsia="zh-CN"/>
        </w:rPr>
        <w:t>干流河段，干流长度</w:t>
      </w:r>
      <w:r>
        <w:rPr>
          <w:rFonts w:hint="default" w:ascii="Times New Roman" w:hAnsi="Times New Roman" w:eastAsia="宋体" w:cs="Times New Roman"/>
          <w:color w:val="000000"/>
          <w:kern w:val="0"/>
          <w:sz w:val="24"/>
          <w:szCs w:val="24"/>
          <w:lang w:val="en-US" w:eastAsia="zh-CN" w:bidi="ar"/>
        </w:rPr>
        <w:t>21.689km</w:t>
      </w:r>
      <w:r>
        <w:rPr>
          <w:rFonts w:hint="default" w:ascii="Times New Roman" w:hAnsi="Times New Roman" w:cs="Times New Roman"/>
          <w:lang w:eastAsia="zh-CN"/>
        </w:rPr>
        <w:t>，起点为</w:t>
      </w:r>
      <w:r>
        <w:rPr>
          <w:rFonts w:hint="default" w:ascii="Times New Roman" w:hAnsi="Times New Roman" w:cs="Times New Roman"/>
          <w:lang w:val="en-US" w:eastAsia="zh-CN"/>
        </w:rPr>
        <w:t>苍溪县</w:t>
      </w:r>
      <w:r>
        <w:rPr>
          <w:rFonts w:hint="default" w:ascii="Times New Roman" w:hAnsi="Times New Roman" w:eastAsia="宋体" w:cs="Times New Roman"/>
          <w:lang w:eastAsia="zh-CN"/>
        </w:rPr>
        <w:t>五龙镇石板村</w:t>
      </w:r>
      <w:r>
        <w:rPr>
          <w:rFonts w:hint="default" w:ascii="Times New Roman" w:hAnsi="Times New Roman" w:cs="Times New Roman"/>
          <w:lang w:eastAsia="zh-CN"/>
        </w:rPr>
        <w:t>（X=3570852.0849，Y=548731.0385），终点为</w:t>
      </w:r>
      <w:r>
        <w:rPr>
          <w:rFonts w:hint="default" w:ascii="Times New Roman" w:hAnsi="Times New Roman" w:eastAsia="宋体" w:cs="Times New Roman"/>
          <w:lang w:eastAsia="zh-CN"/>
        </w:rPr>
        <w:t>陵江镇沙溪村</w:t>
      </w:r>
      <w:r>
        <w:rPr>
          <w:rFonts w:hint="default" w:ascii="Times New Roman" w:hAnsi="Times New Roman" w:cs="Times New Roman"/>
          <w:lang w:eastAsia="zh-CN"/>
        </w:rPr>
        <w:t>（X=3560514.0474，Y=553334.644）。</w:t>
      </w:r>
    </w:p>
    <w:p>
      <w:pPr>
        <w:pStyle w:val="22"/>
        <w:rPr>
          <w:rFonts w:hint="eastAsia" w:ascii="Times New Roman" w:hAnsi="Times New Roman" w:eastAsia="宋体" w:cs="Times New Roman"/>
          <w:spacing w:val="-11"/>
          <w:kern w:val="2"/>
          <w:sz w:val="24"/>
          <w:szCs w:val="24"/>
          <w:lang w:val="en-US" w:eastAsia="zh-CN" w:bidi="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26" w:name="_Toc6923"/>
      <w:r>
        <w:rPr>
          <w:rFonts w:hint="eastAsia" w:ascii="Times New Roman" w:hAnsi="Times New Roman" w:cs="Times New Roman"/>
          <w:b/>
          <w:bCs/>
          <w:color w:val="auto"/>
          <w:kern w:val="2"/>
          <w:sz w:val="24"/>
          <w:szCs w:val="24"/>
          <w:lang w:val="en-US" w:eastAsia="zh-CN"/>
        </w:rPr>
        <w:t>2.2 评价对象主要特征</w:t>
      </w:r>
      <w:bookmarkEnd w:id="26"/>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27" w:name="_Toc25840"/>
      <w:r>
        <w:rPr>
          <w:rFonts w:hint="eastAsia" w:ascii="Times New Roman" w:hAnsi="Times New Roman" w:cs="Times New Roman"/>
          <w:b/>
          <w:bCs/>
          <w:color w:val="auto"/>
          <w:kern w:val="2"/>
          <w:sz w:val="24"/>
          <w:szCs w:val="24"/>
          <w:lang w:val="en-US" w:eastAsia="zh-CN"/>
        </w:rPr>
        <w:t>2.3 评价指标体系</w:t>
      </w:r>
      <w:bookmarkEnd w:id="27"/>
    </w:p>
    <w:p>
      <w:pPr>
        <w:ind w:firstLine="480"/>
      </w:pPr>
      <w:r>
        <w:rPr>
          <w:rFonts w:hint="eastAsia"/>
          <w:lang w:eastAsia="zh-CN"/>
        </w:rPr>
        <w:t>沙溪浩</w:t>
      </w:r>
      <w:r>
        <w:rPr>
          <w:rFonts w:hint="eastAsia"/>
        </w:rPr>
        <w:t>评价标准按照《四川省河流（湖库）健康评价指南（</w:t>
      </w:r>
      <w:r>
        <w:rPr>
          <w:rFonts w:hint="eastAsia"/>
          <w:lang w:eastAsia="zh-CN"/>
        </w:rPr>
        <w:t>正式</w:t>
      </w:r>
      <w:r>
        <w:rPr>
          <w:rFonts w:hint="eastAsia"/>
        </w:rPr>
        <w:t>）》中表1河湖健康评估指标体系表中选取，无新增加的自选指标，评价指标如下表：</w:t>
      </w:r>
    </w:p>
    <w:p>
      <w:pPr>
        <w:pStyle w:val="2"/>
        <w:rPr>
          <w:rFonts w:hint="eastAsia"/>
          <w:lang w:val="en-US" w:eastAsia="zh-CN"/>
        </w:rPr>
      </w:pPr>
    </w:p>
    <w:p>
      <w:pPr>
        <w:pStyle w:val="43"/>
        <w:jc w:val="both"/>
        <w:outlineLvl w:val="8"/>
      </w:pPr>
      <w:bookmarkStart w:id="28" w:name="_Toc10040"/>
      <w:r>
        <w:t>表</w:t>
      </w:r>
      <w:r>
        <w:rPr>
          <w:rFonts w:hint="eastAsia"/>
          <w:lang w:val="en-US" w:eastAsia="zh-CN"/>
        </w:rPr>
        <w:t xml:space="preserve">2.3-1       </w:t>
      </w:r>
      <w:r>
        <w:t>河湖库健康评估指标体系表</w:t>
      </w:r>
      <w:bookmarkEnd w:id="28"/>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准则层</w:t>
            </w:r>
          </w:p>
        </w:tc>
        <w:tc>
          <w:tcPr>
            <w:tcW w:w="2841" w:type="dxa"/>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指标层</w:t>
            </w:r>
          </w:p>
        </w:tc>
        <w:tc>
          <w:tcPr>
            <w:tcW w:w="2841" w:type="dxa"/>
            <w:vMerge w:val="restart"/>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指标类型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河流</w:t>
            </w:r>
          </w:p>
        </w:tc>
        <w:tc>
          <w:tcPr>
            <w:tcW w:w="2841" w:type="dxa"/>
            <w:vMerge w:val="continue"/>
          </w:tcPr>
          <w:p>
            <w:pPr>
              <w:pStyle w:val="43"/>
              <w:jc w:val="center"/>
              <w:rPr>
                <w:rFonts w:hint="default" w:ascii="Times New Roman" w:hAnsi="Times New Roman" w:cs="Times New Roman"/>
                <w:b w:val="0"/>
                <w:bCs/>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盆</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岸线自然状况</w:t>
            </w:r>
          </w:p>
        </w:tc>
        <w:tc>
          <w:tcPr>
            <w:tcW w:w="2841" w:type="dxa"/>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违规开发利用水域岸线程度</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河流纵向连通性指数</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eastAsia="宋体" w:cs="Times New Roman"/>
                <w:b w:val="0"/>
                <w:bCs/>
                <w:sz w:val="18"/>
                <w:szCs w:val="18"/>
                <w:vertAlign w:val="baseline"/>
                <w:lang w:eastAsia="zh-CN"/>
              </w:rPr>
            </w:pPr>
            <w:r>
              <w:rPr>
                <w:rFonts w:hint="default" w:ascii="Times New Roman" w:hAnsi="Times New Roman" w:cs="Times New Roman"/>
                <w:b w:val="0"/>
                <w:bCs/>
                <w:sz w:val="18"/>
                <w:szCs w:val="18"/>
                <w:vertAlign w:val="baseline"/>
                <w:lang w:eastAsia="zh-CN"/>
              </w:rPr>
              <w:t>水</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生态流量/水位满足程度</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水资源开发利用率</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水体整洁程度</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水质优劣程度</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水质变化趋势</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eastAsia="宋体" w:cs="Times New Roman"/>
                <w:b w:val="0"/>
                <w:bCs/>
                <w:sz w:val="18"/>
                <w:szCs w:val="18"/>
                <w:vertAlign w:val="baseline"/>
                <w:lang w:eastAsia="zh-CN"/>
              </w:rPr>
            </w:pPr>
            <w:r>
              <w:rPr>
                <w:rFonts w:hint="default" w:ascii="Times New Roman" w:hAnsi="Times New Roman" w:cs="Times New Roman"/>
                <w:b w:val="0"/>
                <w:bCs/>
                <w:sz w:val="18"/>
                <w:szCs w:val="18"/>
                <w:vertAlign w:val="baseline"/>
                <w:lang w:eastAsia="zh-CN"/>
              </w:rPr>
              <w:t>生物</w:t>
            </w:r>
          </w:p>
        </w:tc>
        <w:tc>
          <w:tcPr>
            <w:tcW w:w="2841" w:type="dxa"/>
            <w:vAlign w:val="center"/>
          </w:tcPr>
          <w:p>
            <w:pPr>
              <w:ind w:firstLine="360" w:firstLineChars="200"/>
              <w:jc w:val="center"/>
              <w:rPr>
                <w:rFonts w:hint="default" w:ascii="Times New Roman" w:hAnsi="Times New Roman" w:cs="Times New Roman"/>
                <w:b w:val="0"/>
                <w:bCs/>
                <w:kern w:val="0"/>
                <w:sz w:val="18"/>
                <w:szCs w:val="18"/>
              </w:rPr>
            </w:pPr>
            <w:r>
              <w:rPr>
                <w:rFonts w:hint="default" w:ascii="Times New Roman" w:hAnsi="Times New Roman" w:cs="Times New Roman"/>
                <w:b w:val="0"/>
                <w:bCs/>
                <w:kern w:val="0"/>
                <w:sz w:val="18"/>
                <w:szCs w:val="18"/>
              </w:rPr>
              <w:t>鱼类保有指数</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cs="Times New Roman"/>
                <w:b w:val="0"/>
                <w:bCs/>
                <w:kern w:val="0"/>
                <w:sz w:val="18"/>
                <w:szCs w:val="18"/>
              </w:rPr>
            </w:pPr>
            <w:r>
              <w:rPr>
                <w:rFonts w:hint="default" w:ascii="Times New Roman" w:hAnsi="Times New Roman" w:cs="Times New Roman"/>
                <w:b w:val="0"/>
                <w:bCs/>
                <w:kern w:val="0"/>
                <w:sz w:val="18"/>
                <w:szCs w:val="18"/>
              </w:rPr>
              <w:t>外来入侵物种</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社会服务功能</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公众满意度</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防洪指标</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供水指标</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left="0" w:leftChars="0" w:firstLine="0" w:firstLineChars="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开发利用现状与规划的符合性</w:t>
            </w:r>
          </w:p>
        </w:tc>
        <w:tc>
          <w:tcPr>
            <w:tcW w:w="2841" w:type="dxa"/>
          </w:tcPr>
          <w:p>
            <w:pPr>
              <w:ind w:firstLine="360" w:firstLineChars="20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基本指标</w:t>
            </w:r>
          </w:p>
        </w:tc>
      </w:tr>
    </w:tbl>
    <w:p>
      <w:pPr>
        <w:pStyle w:val="43"/>
        <w:jc w:val="both"/>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29" w:name="_Toc7511"/>
      <w:r>
        <w:rPr>
          <w:rFonts w:hint="eastAsia" w:ascii="Times New Roman" w:hAnsi="Times New Roman" w:cs="Times New Roman"/>
          <w:b/>
          <w:bCs/>
          <w:color w:val="auto"/>
          <w:kern w:val="2"/>
          <w:sz w:val="24"/>
          <w:szCs w:val="24"/>
          <w:lang w:val="en-US" w:eastAsia="zh-CN"/>
        </w:rPr>
        <w:t>2.4 分级标准</w:t>
      </w:r>
      <w:bookmarkEnd w:id="29"/>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bookmarkStart w:id="30" w:name="_Toc97131019"/>
      <w:bookmarkStart w:id="31" w:name="_Toc497497073"/>
      <w:bookmarkStart w:id="32" w:name="_Toc498937598"/>
      <w:bookmarkStart w:id="33" w:name="_Toc497497687"/>
      <w:r>
        <w:rPr>
          <w:rFonts w:hint="eastAsia" w:ascii="Times New Roman" w:hAnsi="Times New Roman" w:cs="Times New Roman"/>
          <w:b/>
          <w:bCs/>
          <w:color w:val="auto"/>
          <w:kern w:val="2"/>
          <w:sz w:val="24"/>
          <w:szCs w:val="24"/>
          <w:lang w:val="en-US" w:eastAsia="zh-CN"/>
        </w:rPr>
        <w:t>2.4.1 河湖健康分级</w:t>
      </w:r>
      <w:bookmarkEnd w:id="30"/>
    </w:p>
    <w:p>
      <w:pPr>
        <w:pStyle w:val="8"/>
      </w:pPr>
      <w:r>
        <w:rPr>
          <w:rFonts w:hint="eastAsia" w:ascii="宋体" w:hAnsi="宋体" w:eastAsia="宋体" w:cs="宋体"/>
        </w:rPr>
        <w:t>河湖健康分为5级：非常健康、健康、亚健康、不健康、劣态。</w:t>
      </w:r>
      <w:bookmarkEnd w:id="31"/>
      <w:bookmarkEnd w:id="32"/>
      <w:bookmarkEnd w:id="33"/>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bookmarkStart w:id="34" w:name="_Toc97131020"/>
      <w:bookmarkStart w:id="35" w:name="_Toc497497074"/>
      <w:bookmarkStart w:id="36" w:name="_Toc497497688"/>
      <w:bookmarkStart w:id="37" w:name="_Toc498937599"/>
      <w:r>
        <w:rPr>
          <w:rFonts w:hint="eastAsia" w:ascii="Times New Roman" w:hAnsi="Times New Roman" w:cs="Times New Roman"/>
          <w:b/>
          <w:bCs/>
          <w:color w:val="auto"/>
          <w:kern w:val="2"/>
          <w:sz w:val="24"/>
          <w:szCs w:val="24"/>
          <w:lang w:val="en-US" w:eastAsia="zh-CN"/>
        </w:rPr>
        <w:t>2.4.2 河湖健康分级赋分</w:t>
      </w:r>
      <w:bookmarkEnd w:id="34"/>
    </w:p>
    <w:p>
      <w:pPr>
        <w:pStyle w:val="8"/>
        <w:rPr>
          <w:rFonts w:hint="eastAsia" w:ascii="宋体" w:hAnsi="宋体" w:eastAsia="宋体" w:cs="宋体"/>
        </w:rPr>
      </w:pPr>
      <w:r>
        <w:rPr>
          <w:rFonts w:hint="eastAsia" w:ascii="宋体" w:hAnsi="宋体" w:eastAsia="宋体" w:cs="宋体"/>
        </w:rPr>
        <w:t>等级根据评估指标综合赋分确定，采用百分制，河湖健康等级、颜色分级和说明见表2</w:t>
      </w:r>
      <w:r>
        <w:rPr>
          <w:rFonts w:hint="eastAsia" w:ascii="宋体" w:hAnsi="宋体" w:eastAsia="宋体" w:cs="宋体"/>
          <w:lang w:val="en-US" w:eastAsia="zh-CN"/>
        </w:rPr>
        <w:t>.4-1</w:t>
      </w:r>
      <w:r>
        <w:rPr>
          <w:rFonts w:hint="eastAsia" w:ascii="宋体" w:hAnsi="宋体" w:eastAsia="宋体" w:cs="宋体"/>
        </w:rPr>
        <w:t>。</w:t>
      </w:r>
      <w:bookmarkEnd w:id="35"/>
      <w:bookmarkEnd w:id="36"/>
      <w:bookmarkEnd w:id="37"/>
    </w:p>
    <w:p>
      <w:pPr>
        <w:pStyle w:val="43"/>
        <w:jc w:val="both"/>
        <w:outlineLvl w:val="8"/>
      </w:pPr>
      <w:bookmarkStart w:id="38" w:name="_Toc14602"/>
      <w:r>
        <w:t>表</w:t>
      </w:r>
      <w:r>
        <w:rPr>
          <w:rFonts w:hint="eastAsia"/>
          <w:lang w:val="en-US" w:eastAsia="zh-CN"/>
        </w:rPr>
        <w:t xml:space="preserve">2.4-1                    </w:t>
      </w:r>
      <w:r>
        <w:t>河湖健康评价分级表</w:t>
      </w:r>
      <w:bookmarkEnd w:id="38"/>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3"/>
        <w:gridCol w:w="2133"/>
        <w:gridCol w:w="2135"/>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等级</w:t>
            </w:r>
          </w:p>
        </w:tc>
        <w:tc>
          <w:tcPr>
            <w:tcW w:w="2223"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颜色</w: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赋分范围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非常健康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蓝</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59264" behindDoc="0" locked="0" layoutInCell="1" allowOverlap="1">
                      <wp:simplePos x="0" y="0"/>
                      <wp:positionH relativeFrom="column">
                        <wp:posOffset>429895</wp:posOffset>
                      </wp:positionH>
                      <wp:positionV relativeFrom="paragraph">
                        <wp:posOffset>48260</wp:posOffset>
                      </wp:positionV>
                      <wp:extent cx="179705" cy="190500"/>
                      <wp:effectExtent l="6985" t="6350" r="22860" b="12700"/>
                      <wp:wrapNone/>
                      <wp:docPr id="16" name="六边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00B0F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85pt;margin-top:3.8pt;height:15pt;width:14.15pt;z-index:251659264;mso-width-relative:page;mso-height-relative:page;" fillcolor="#00B0F0" filled="t" stroked="t" coordsize="21600,21600" o:gfxdata="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8E5PWAAAABgEAAA8AAAAAAAAAAQAgAAAAIgAAAGRycy9kb3ducmV2&#10;LnhtbFBLAQIUABQAAAAIAIdO4kBGqNus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90≤HI≤100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绿</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0288" behindDoc="0" locked="0" layoutInCell="1" allowOverlap="1">
                      <wp:simplePos x="0" y="0"/>
                      <wp:positionH relativeFrom="column">
                        <wp:posOffset>436245</wp:posOffset>
                      </wp:positionH>
                      <wp:positionV relativeFrom="paragraph">
                        <wp:posOffset>40005</wp:posOffset>
                      </wp:positionV>
                      <wp:extent cx="179705" cy="190500"/>
                      <wp:effectExtent l="6985" t="6350" r="22860" b="12700"/>
                      <wp:wrapNone/>
                      <wp:docPr id="14" name="六边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92D05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4.35pt;margin-top:3.15pt;height:15pt;width:14.15pt;z-index:251660288;mso-width-relative:page;mso-height-relative:page;" fillcolor="#92D050" filled="t" stroked="t" coordsize="21600,21600" o:gfxdata="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kxf9YAAAAGAQAADwAAAAAAAAABACAAAAAiAAAAZHJzL2Rvd25yZXYu&#10;eG1sUEsBAhQAFAAAAAgAh07iQEhpGKBvAgAA5gQAAA4AAAAAAAAAAQAgAAAAJQEAAGRycy9lMm9E&#10;b2MueG1sUEsFBgAAAAAGAAYAWQEAAAYGA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75≤HI＜90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亚健康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黄</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1312" behindDoc="0" locked="0" layoutInCell="1" allowOverlap="1">
                      <wp:simplePos x="0" y="0"/>
                      <wp:positionH relativeFrom="column">
                        <wp:posOffset>425450</wp:posOffset>
                      </wp:positionH>
                      <wp:positionV relativeFrom="paragraph">
                        <wp:posOffset>20320</wp:posOffset>
                      </wp:positionV>
                      <wp:extent cx="190500" cy="190500"/>
                      <wp:effectExtent l="6985" t="6350" r="12065" b="12700"/>
                      <wp:wrapNone/>
                      <wp:docPr id="13" name="六边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FF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1.6pt;height:15pt;width:15pt;z-index:251661312;mso-width-relative:page;mso-height-relative:page;" fillcolor="#FFFF00" filled="t" stroked="t" coordsize="21600,21600" o:gfxdata="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mxPD0wAAAAYBAAAPAAAAAAAAAAEAIAAAACIAAABkcnMvZG93bnJldi54bWxQ&#10;SwECFAAUAAAACACHTuJAG6WnW24CAADmBAAADgAAAAAAAAABACAAAAAiAQAAZHJzL2Uyb0RvYy54&#10;bWxQSwUGAAAAAAYABgBZAQAAAg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60≤HI＜75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橙</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2336" behindDoc="0" locked="0" layoutInCell="1" allowOverlap="1">
                      <wp:simplePos x="0" y="0"/>
                      <wp:positionH relativeFrom="column">
                        <wp:posOffset>425450</wp:posOffset>
                      </wp:positionH>
                      <wp:positionV relativeFrom="paragraph">
                        <wp:posOffset>30480</wp:posOffset>
                      </wp:positionV>
                      <wp:extent cx="190500" cy="190500"/>
                      <wp:effectExtent l="6985" t="6350" r="12065" b="12700"/>
                      <wp:wrapNone/>
                      <wp:docPr id="9" name="六边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C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4pt;height:15pt;width:15pt;z-index:251662336;mso-width-relative:page;mso-height-relative:page;" fillcolor="#FFC000" filled="t" stroked="t" coordsize="21600,21600" o:gfxdata="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GQJRd0QAAAAYBAAAPAAAAAAAAAAEAIAAAACIAAABkcnMvZG93bnJldi54bWxQSwEC&#10;FAAUAAAACACHTuJAur2PU20CAADkBAAADgAAAAAAAAABACAAAAAgAQAAZHJzL2Uyb0RvYy54bWxQ&#10;SwUGAAAAAAYABgBZAQAA/wU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40≤HI＜60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红</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3360" behindDoc="0" locked="0" layoutInCell="1" allowOverlap="1">
                      <wp:simplePos x="0" y="0"/>
                      <wp:positionH relativeFrom="column">
                        <wp:posOffset>425450</wp:posOffset>
                      </wp:positionH>
                      <wp:positionV relativeFrom="paragraph">
                        <wp:posOffset>34925</wp:posOffset>
                      </wp:positionV>
                      <wp:extent cx="190500" cy="194945"/>
                      <wp:effectExtent l="6985" t="6350" r="12065" b="8255"/>
                      <wp:wrapNone/>
                      <wp:docPr id="6" name="六边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4945"/>
                              </a:xfrm>
                              <a:prstGeom prst="hexagon">
                                <a:avLst>
                                  <a:gd name="adj" fmla="val 25000"/>
                                  <a:gd name="vf" fmla="val 115470"/>
                                </a:avLst>
                              </a:prstGeom>
                              <a:solidFill>
                                <a:srgbClr val="FF0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75pt;height:15.35pt;width:15pt;z-index:251663360;mso-width-relative:page;mso-height-relative:page;" fillcolor="#FF0000" filled="t" stroked="t" coordsize="21600,21600" o:gfxdata="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e+xETXAAAABgEAAA8AAAAAAAAAAQAgAAAAIgAAAGRycy9kb3ducmV2&#10;LnhtbFBLAQIUABQAAAAIAIdO4kBUBvdibwIAAOQEAAAOAAAAAAAAAAEAIAAAACY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0≤HI＜40</w:t>
            </w:r>
          </w:p>
        </w:tc>
      </w:tr>
    </w:tbl>
    <w:p>
      <w:pPr>
        <w:wordWrap/>
        <w:autoSpaceDE/>
        <w:autoSpaceDN/>
        <w:adjustRightInd w:val="0"/>
        <w:snapToGrid w:val="0"/>
        <w:spacing w:before="166" w:beforeLines="50" w:after="166" w:afterLines="50" w:line="360" w:lineRule="auto"/>
        <w:ind w:firstLine="0" w:firstLineChars="0"/>
        <w:outlineLvl w:val="9"/>
        <w:rPr>
          <w:rFonts w:hint="default" w:ascii="Times New Roman" w:hAnsi="Times New Roman" w:cs="Times New Roman"/>
          <w:b/>
          <w:bCs/>
          <w:color w:val="auto"/>
          <w:kern w:val="2"/>
          <w:sz w:val="18"/>
          <w:szCs w:val="18"/>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39" w:name="_Toc7887"/>
      <w:r>
        <w:rPr>
          <w:rFonts w:hint="eastAsia" w:ascii="Times New Roman" w:hAnsi="Times New Roman" w:cs="Times New Roman"/>
          <w:b/>
          <w:bCs/>
          <w:color w:val="auto"/>
          <w:kern w:val="2"/>
          <w:sz w:val="24"/>
          <w:szCs w:val="24"/>
          <w:lang w:val="en-US" w:eastAsia="zh-CN"/>
        </w:rPr>
        <w:t>2.</w:t>
      </w:r>
      <w:r>
        <w:rPr>
          <w:rFonts w:hint="eastAsia" w:cs="Times New Roman"/>
          <w:b/>
          <w:bCs/>
          <w:color w:val="auto"/>
          <w:kern w:val="2"/>
          <w:sz w:val="24"/>
          <w:szCs w:val="24"/>
          <w:lang w:val="en-US" w:eastAsia="zh-CN"/>
        </w:rPr>
        <w:t>5</w:t>
      </w:r>
      <w:r>
        <w:rPr>
          <w:rFonts w:hint="eastAsia" w:ascii="Times New Roman" w:hAnsi="Times New Roman" w:cs="Times New Roman"/>
          <w:b/>
          <w:bCs/>
          <w:color w:val="auto"/>
          <w:kern w:val="2"/>
          <w:sz w:val="24"/>
          <w:szCs w:val="24"/>
          <w:lang w:val="en-US" w:eastAsia="zh-CN"/>
        </w:rPr>
        <w:t xml:space="preserve"> 评价标准与评价方法</w:t>
      </w:r>
      <w:bookmarkEnd w:id="39"/>
    </w:p>
    <w:p>
      <w:pPr>
        <w:pStyle w:val="2"/>
        <w:ind w:left="0" w:leftChars="0" w:firstLine="0" w:firstLineChars="0"/>
        <w:outlineLvl w:val="2"/>
        <w:rPr>
          <w:rFonts w:hint="eastAsia" w:cs="Times New Roman"/>
          <w:b/>
          <w:bCs/>
          <w:color w:val="auto"/>
          <w:kern w:val="2"/>
          <w:sz w:val="24"/>
          <w:szCs w:val="24"/>
          <w:lang w:val="en-US" w:eastAsia="zh-CN"/>
        </w:rPr>
      </w:pPr>
      <w:r>
        <w:rPr>
          <w:rFonts w:hint="eastAsia" w:cs="Times New Roman"/>
          <w:b/>
          <w:bCs/>
          <w:color w:val="auto"/>
          <w:kern w:val="2"/>
          <w:sz w:val="24"/>
          <w:szCs w:val="24"/>
          <w:lang w:val="en-US" w:eastAsia="zh-CN"/>
        </w:rPr>
        <w:t>2.5.1 评价标准</w:t>
      </w:r>
    </w:p>
    <w:p>
      <w:pPr>
        <w:snapToGrid w:val="0"/>
        <w:ind w:firstLine="480"/>
        <w:rPr>
          <w:szCs w:val="24"/>
          <w:lang w:val="zh-CN"/>
        </w:rPr>
      </w:pPr>
      <w:r>
        <w:rPr>
          <w:szCs w:val="24"/>
        </w:rPr>
        <w:t>（1）</w:t>
      </w:r>
      <w:r>
        <w:rPr>
          <w:szCs w:val="24"/>
          <w:lang w:val="zh-CN"/>
        </w:rPr>
        <w:t>《河湖健康评价指南》（</w:t>
      </w:r>
      <w:r>
        <w:rPr>
          <w:rFonts w:hint="eastAsia"/>
          <w:szCs w:val="24"/>
          <w:lang w:val="zh-CN"/>
        </w:rPr>
        <w:t>正式</w:t>
      </w:r>
      <w:r>
        <w:rPr>
          <w:szCs w:val="24"/>
          <w:lang w:val="zh-CN"/>
        </w:rPr>
        <w:t>）；</w:t>
      </w:r>
    </w:p>
    <w:p>
      <w:pPr>
        <w:snapToGrid w:val="0"/>
        <w:ind w:firstLine="480"/>
        <w:rPr>
          <w:szCs w:val="24"/>
          <w:lang w:val="zh-CN"/>
        </w:rPr>
      </w:pPr>
      <w:r>
        <w:rPr>
          <w:szCs w:val="24"/>
          <w:lang w:val="zh-CN"/>
        </w:rPr>
        <w:t>（</w:t>
      </w:r>
      <w:r>
        <w:rPr>
          <w:szCs w:val="24"/>
        </w:rPr>
        <w:t>2</w:t>
      </w:r>
      <w:r>
        <w:rPr>
          <w:szCs w:val="24"/>
          <w:lang w:val="zh-CN"/>
        </w:rPr>
        <w:t>）《四川省河长制办公室关于在全省开展河流（湖库）健康评价工作的通知》（川河长制办函</w:t>
      </w:r>
      <w:r>
        <w:rPr>
          <w:szCs w:val="24"/>
        </w:rPr>
        <w:t>【2021】5号</w:t>
      </w:r>
      <w:r>
        <w:rPr>
          <w:szCs w:val="24"/>
          <w:lang w:val="zh-CN"/>
        </w:rPr>
        <w:t>）；</w:t>
      </w:r>
    </w:p>
    <w:p>
      <w:pPr>
        <w:snapToGrid w:val="0"/>
        <w:ind w:firstLine="480"/>
        <w:rPr>
          <w:szCs w:val="24"/>
        </w:rPr>
      </w:pPr>
      <w:r>
        <w:rPr>
          <w:szCs w:val="24"/>
          <w:lang w:val="zh-CN"/>
        </w:rPr>
        <w:t>（</w:t>
      </w:r>
      <w:r>
        <w:rPr>
          <w:szCs w:val="24"/>
        </w:rPr>
        <w:t>3</w:t>
      </w:r>
      <w:r>
        <w:rPr>
          <w:szCs w:val="24"/>
          <w:lang w:val="zh-CN"/>
        </w:rPr>
        <w:t>）水利部《河湖管理监督检查办法（试行）》（水河湖〔【2019】</w:t>
      </w:r>
      <w:r>
        <w:rPr>
          <w:szCs w:val="24"/>
        </w:rPr>
        <w:t>421号）；</w:t>
      </w:r>
    </w:p>
    <w:p>
      <w:pPr>
        <w:snapToGrid w:val="0"/>
        <w:ind w:firstLine="480"/>
        <w:rPr>
          <w:szCs w:val="24"/>
          <w:lang w:val="zh-CN"/>
        </w:rPr>
      </w:pPr>
      <w:r>
        <w:rPr>
          <w:szCs w:val="24"/>
        </w:rPr>
        <w:t>（4）</w:t>
      </w:r>
      <w:r>
        <w:rPr>
          <w:szCs w:val="24"/>
          <w:lang w:val="zh-CN"/>
        </w:rPr>
        <w:t>水利部办公厅关于明确全国河湖“清四乱”专项行动问题认定及清理整治标准的通知（办河湖〔2018]245号）；</w:t>
      </w:r>
    </w:p>
    <w:p>
      <w:pPr>
        <w:snapToGrid w:val="0"/>
        <w:ind w:firstLine="480"/>
        <w:rPr>
          <w:szCs w:val="24"/>
          <w:lang w:val="zh-CN"/>
        </w:rPr>
      </w:pPr>
      <w:r>
        <w:rPr>
          <w:szCs w:val="24"/>
          <w:lang w:val="zh-CN"/>
        </w:rPr>
        <w:t>（</w:t>
      </w:r>
      <w:r>
        <w:rPr>
          <w:szCs w:val="24"/>
        </w:rPr>
        <w:t>5</w:t>
      </w:r>
      <w:r>
        <w:rPr>
          <w:szCs w:val="24"/>
          <w:lang w:val="zh-CN"/>
        </w:rPr>
        <w:t>）水利部办公厅《河湖岸线保护与利用规划编制指南（试行）》（办河湖函【2019】394号）；</w:t>
      </w:r>
    </w:p>
    <w:p>
      <w:pPr>
        <w:snapToGrid w:val="0"/>
        <w:ind w:firstLine="480"/>
        <w:rPr>
          <w:szCs w:val="24"/>
          <w:lang w:val="zh-CN"/>
        </w:rPr>
      </w:pPr>
      <w:r>
        <w:rPr>
          <w:szCs w:val="24"/>
          <w:lang w:val="zh-CN"/>
        </w:rPr>
        <w:t>（</w:t>
      </w:r>
      <w:r>
        <w:rPr>
          <w:szCs w:val="24"/>
        </w:rPr>
        <w:t>6</w:t>
      </w:r>
      <w:r>
        <w:rPr>
          <w:szCs w:val="24"/>
          <w:lang w:val="zh-CN"/>
        </w:rPr>
        <w:t>）水利部办公厅《“一河（湖）一策”方案编制指南（试行）》（办建管函【2017】1071号）；</w:t>
      </w:r>
    </w:p>
    <w:p>
      <w:pPr>
        <w:snapToGrid w:val="0"/>
        <w:ind w:firstLine="480"/>
        <w:rPr>
          <w:szCs w:val="24"/>
          <w:lang w:val="zh-CN"/>
        </w:rPr>
      </w:pPr>
      <w:r>
        <w:rPr>
          <w:szCs w:val="24"/>
          <w:lang w:val="zh-CN"/>
        </w:rPr>
        <w:t>（</w:t>
      </w:r>
      <w:r>
        <w:rPr>
          <w:szCs w:val="24"/>
        </w:rPr>
        <w:t>7</w:t>
      </w:r>
      <w:r>
        <w:rPr>
          <w:szCs w:val="24"/>
          <w:lang w:val="zh-CN"/>
        </w:rPr>
        <w:t>）水利部办公厅《“一河（湖）一档”建立指南（试行）》（办建管函【2018】360号）；</w:t>
      </w:r>
    </w:p>
    <w:p>
      <w:pPr>
        <w:snapToGrid w:val="0"/>
        <w:ind w:firstLine="480"/>
        <w:rPr>
          <w:szCs w:val="24"/>
          <w:lang w:val="zh-CN"/>
        </w:rPr>
      </w:pPr>
      <w:r>
        <w:rPr>
          <w:szCs w:val="24"/>
          <w:lang w:val="zh-CN"/>
        </w:rPr>
        <w:t>（</w:t>
      </w:r>
      <w:r>
        <w:rPr>
          <w:szCs w:val="24"/>
        </w:rPr>
        <w:t>8</w:t>
      </w:r>
      <w:r>
        <w:rPr>
          <w:szCs w:val="24"/>
          <w:lang w:val="zh-CN"/>
        </w:rPr>
        <w:t>）《地表水环境质量标准》（GB3838-2002）；</w:t>
      </w:r>
    </w:p>
    <w:p>
      <w:pPr>
        <w:snapToGrid w:val="0"/>
        <w:rPr>
          <w:szCs w:val="24"/>
          <w:lang w:val="zh-CN"/>
        </w:rPr>
      </w:pPr>
      <w:r>
        <w:rPr>
          <w:rFonts w:hint="eastAsia"/>
          <w:szCs w:val="24"/>
          <w:lang w:val="zh-CN" w:eastAsia="zh-CN"/>
        </w:rPr>
        <w:t>（</w:t>
      </w:r>
      <w:r>
        <w:rPr>
          <w:rFonts w:hint="eastAsia"/>
          <w:szCs w:val="24"/>
          <w:lang w:val="en-US" w:eastAsia="zh-CN"/>
        </w:rPr>
        <w:t>9</w:t>
      </w:r>
      <w:r>
        <w:rPr>
          <w:rFonts w:hint="eastAsia"/>
          <w:szCs w:val="24"/>
          <w:lang w:val="zh-CN" w:eastAsia="zh-CN"/>
        </w:rPr>
        <w:t>）</w:t>
      </w:r>
      <w:r>
        <w:rPr>
          <w:szCs w:val="24"/>
          <w:lang w:val="zh-CN"/>
        </w:rPr>
        <w:t>《防洪标准》（GB50201-2014）；</w:t>
      </w:r>
    </w:p>
    <w:p>
      <w:pPr>
        <w:snapToGrid w:val="0"/>
        <w:ind w:firstLine="480"/>
        <w:rPr>
          <w:szCs w:val="24"/>
        </w:rPr>
      </w:pPr>
      <w:r>
        <w:rPr>
          <w:szCs w:val="24"/>
          <w:lang w:val="zh-CN"/>
        </w:rPr>
        <w:t>（</w:t>
      </w:r>
      <w:r>
        <w:rPr>
          <w:szCs w:val="24"/>
        </w:rPr>
        <w:t>10</w:t>
      </w:r>
      <w:r>
        <w:rPr>
          <w:szCs w:val="24"/>
          <w:lang w:val="zh-CN"/>
        </w:rPr>
        <w:t>）《土壤环境质量农用地土壤污染风险管控标准》（试行）（GB15618-2018）；</w:t>
      </w:r>
    </w:p>
    <w:p>
      <w:pPr>
        <w:numPr>
          <w:ilvl w:val="0"/>
          <w:numId w:val="0"/>
        </w:numPr>
        <w:autoSpaceDE/>
        <w:autoSpaceDN/>
        <w:snapToGrid w:val="0"/>
        <w:ind w:firstLine="480" w:firstLineChars="200"/>
        <w:rPr>
          <w:szCs w:val="24"/>
          <w:lang w:val="zh-CN"/>
        </w:rPr>
      </w:pPr>
      <w:r>
        <w:rPr>
          <w:rFonts w:hint="eastAsia"/>
          <w:szCs w:val="24"/>
          <w:lang w:val="zh-CN"/>
        </w:rPr>
        <w:t>（</w:t>
      </w:r>
      <w:r>
        <w:rPr>
          <w:rFonts w:hint="eastAsia"/>
          <w:szCs w:val="24"/>
          <w:lang w:val="en-US" w:eastAsia="zh-CN"/>
        </w:rPr>
        <w:t>11</w:t>
      </w:r>
      <w:r>
        <w:rPr>
          <w:rFonts w:hint="eastAsia"/>
          <w:szCs w:val="24"/>
          <w:lang w:val="zh-CN"/>
        </w:rPr>
        <w:t>）</w:t>
      </w:r>
      <w:r>
        <w:rPr>
          <w:szCs w:val="24"/>
          <w:lang w:val="zh-CN"/>
        </w:rPr>
        <w:t>《</w:t>
      </w:r>
      <w:r>
        <w:rPr>
          <w:rFonts w:hint="eastAsia" w:ascii="宋体" w:hAnsi="宋体" w:cs="宋体"/>
          <w:szCs w:val="24"/>
          <w:lang w:val="zh-CN"/>
        </w:rPr>
        <w:t>地表水资源质量评价技术规程</w:t>
      </w:r>
      <w:r>
        <w:rPr>
          <w:szCs w:val="24"/>
          <w:lang w:val="zh-CN"/>
        </w:rPr>
        <w:t>》（</w:t>
      </w:r>
      <w:r>
        <w:rPr>
          <w:rFonts w:eastAsia="Times New Roman"/>
          <w:szCs w:val="24"/>
          <w:lang w:val="zh-CN"/>
        </w:rPr>
        <w:t>SL395-2007</w:t>
      </w:r>
      <w:r>
        <w:rPr>
          <w:szCs w:val="24"/>
          <w:lang w:val="zh-CN"/>
        </w:rPr>
        <w:t>）；</w:t>
      </w:r>
    </w:p>
    <w:p>
      <w:pPr>
        <w:snapToGrid w:val="0"/>
        <w:ind w:firstLine="480"/>
        <w:rPr>
          <w:rFonts w:ascii="Times New Roman" w:hAnsi="Times New Roman" w:cs="Times New Roman"/>
          <w:szCs w:val="24"/>
          <w:lang w:val="zh-CN"/>
        </w:rPr>
      </w:pPr>
      <w:r>
        <w:rPr>
          <w:rFonts w:hint="eastAsia" w:ascii="Times New Roman" w:hAnsi="Times New Roman" w:cs="Times New Roman"/>
          <w:szCs w:val="24"/>
          <w:lang w:val="zh-CN"/>
        </w:rPr>
        <w:t>（</w:t>
      </w:r>
      <w:r>
        <w:rPr>
          <w:rFonts w:hint="eastAsia" w:ascii="Times New Roman" w:hAnsi="Times New Roman" w:cs="Times New Roman"/>
          <w:szCs w:val="24"/>
          <w:lang w:val="en-US" w:eastAsia="zh-CN"/>
        </w:rPr>
        <w:t>12</w:t>
      </w:r>
      <w:r>
        <w:rPr>
          <w:rFonts w:hint="eastAsia" w:ascii="Times New Roman" w:hAnsi="Times New Roman" w:cs="Times New Roman"/>
          <w:szCs w:val="24"/>
          <w:lang w:val="zh-CN"/>
        </w:rPr>
        <w:t>）《水环境监测规范》（</w:t>
      </w:r>
      <w:r>
        <w:rPr>
          <w:rFonts w:ascii="Times New Roman" w:hAnsi="Times New Roman" w:cs="Times New Roman"/>
          <w:szCs w:val="24"/>
          <w:lang w:val="zh-CN"/>
        </w:rPr>
        <w:t>SL219-2013</w:t>
      </w:r>
      <w:r>
        <w:rPr>
          <w:rFonts w:hint="eastAsia" w:ascii="Times New Roman" w:hAnsi="Times New Roman" w:cs="Times New Roman"/>
          <w:szCs w:val="24"/>
          <w:lang w:val="zh-CN"/>
        </w:rPr>
        <w:t>）；</w:t>
      </w:r>
    </w:p>
    <w:p>
      <w:pPr>
        <w:snapToGrid w:val="0"/>
        <w:ind w:firstLine="480"/>
        <w:rPr>
          <w:rFonts w:ascii="Times New Roman" w:hAnsi="Times New Roman" w:cs="Times New Roman"/>
          <w:szCs w:val="24"/>
          <w:lang w:val="zh-CN"/>
        </w:rPr>
      </w:pPr>
      <w:r>
        <w:rPr>
          <w:rFonts w:hint="eastAsia" w:ascii="Times New Roman" w:hAnsi="Times New Roman" w:cs="Times New Roman"/>
          <w:szCs w:val="24"/>
          <w:lang w:val="zh-CN"/>
        </w:rPr>
        <w:t>（</w:t>
      </w:r>
      <w:r>
        <w:rPr>
          <w:rFonts w:hint="eastAsia" w:ascii="Times New Roman" w:hAnsi="Times New Roman" w:cs="Times New Roman"/>
          <w:szCs w:val="24"/>
          <w:lang w:val="en-US" w:eastAsia="zh-CN"/>
        </w:rPr>
        <w:t>13</w:t>
      </w:r>
      <w:r>
        <w:rPr>
          <w:rFonts w:hint="eastAsia" w:ascii="Times New Roman" w:hAnsi="Times New Roman" w:cs="Times New Roman"/>
          <w:szCs w:val="24"/>
          <w:lang w:val="zh-CN"/>
        </w:rPr>
        <w:t>）《水库渔业资源调查规范》（</w:t>
      </w:r>
      <w:r>
        <w:rPr>
          <w:rFonts w:ascii="Times New Roman" w:hAnsi="Times New Roman" w:cs="Times New Roman"/>
          <w:szCs w:val="24"/>
          <w:lang w:val="zh-CN"/>
        </w:rPr>
        <w:t>SL167-2014</w:t>
      </w:r>
      <w:r>
        <w:rPr>
          <w:rFonts w:hint="eastAsia" w:ascii="Times New Roman" w:hAnsi="Times New Roman" w:cs="Times New Roman"/>
          <w:szCs w:val="24"/>
          <w:lang w:val="zh-CN"/>
        </w:rPr>
        <w:t>）；</w:t>
      </w:r>
    </w:p>
    <w:p>
      <w:pPr>
        <w:snapToGrid w:val="0"/>
        <w:ind w:firstLine="480"/>
        <w:rPr>
          <w:rFonts w:ascii="Times New Roman" w:hAnsi="Times New Roman" w:cs="Times New Roman"/>
          <w:szCs w:val="24"/>
          <w:lang w:val="zh-CN"/>
        </w:rPr>
      </w:pPr>
      <w:r>
        <w:rPr>
          <w:rFonts w:hint="eastAsia" w:ascii="Times New Roman" w:hAnsi="Times New Roman" w:cs="Times New Roman"/>
          <w:szCs w:val="24"/>
          <w:lang w:val="zh-CN" w:eastAsia="zh-CN"/>
        </w:rPr>
        <w:t>（</w:t>
      </w:r>
      <w:r>
        <w:rPr>
          <w:rFonts w:hint="eastAsia" w:ascii="Times New Roman" w:hAnsi="Times New Roman" w:cs="Times New Roman"/>
          <w:szCs w:val="24"/>
          <w:lang w:val="en-US" w:eastAsia="zh-CN"/>
        </w:rPr>
        <w:t>14</w:t>
      </w:r>
      <w:r>
        <w:rPr>
          <w:rFonts w:hint="eastAsia" w:ascii="Times New Roman" w:hAnsi="Times New Roman" w:cs="Times New Roman"/>
          <w:szCs w:val="24"/>
          <w:lang w:val="zh-CN" w:eastAsia="zh-CN"/>
        </w:rPr>
        <w:t>）</w:t>
      </w:r>
      <w:r>
        <w:rPr>
          <w:rFonts w:ascii="Times New Roman" w:hAnsi="Times New Roman" w:cs="Times New Roman"/>
          <w:szCs w:val="24"/>
          <w:lang w:val="zh-CN"/>
        </w:rPr>
        <w:t>《四川省中小流域暴雨洪水计算手册》；</w:t>
      </w:r>
    </w:p>
    <w:p>
      <w:pPr>
        <w:snapToGrid w:val="0"/>
        <w:ind w:firstLine="480"/>
        <w:rPr>
          <w:rFonts w:hint="eastAsia" w:ascii="Times New Roman" w:hAnsi="Times New Roman" w:cs="Times New Roman"/>
          <w:szCs w:val="24"/>
          <w:lang w:val="zh-CN"/>
        </w:rPr>
      </w:pPr>
      <w:r>
        <w:rPr>
          <w:rFonts w:hint="eastAsia" w:ascii="Times New Roman" w:hAnsi="Times New Roman" w:cs="Times New Roman"/>
          <w:szCs w:val="24"/>
          <w:lang w:val="zh-CN"/>
        </w:rPr>
        <w:t>（</w:t>
      </w:r>
      <w:r>
        <w:rPr>
          <w:rFonts w:hint="eastAsia" w:ascii="Times New Roman" w:hAnsi="Times New Roman" w:cs="Times New Roman"/>
          <w:szCs w:val="24"/>
          <w:lang w:val="en-US" w:eastAsia="zh-CN"/>
        </w:rPr>
        <w:t>1</w:t>
      </w:r>
      <w:r>
        <w:rPr>
          <w:rFonts w:hint="eastAsia" w:cs="Times New Roman"/>
          <w:szCs w:val="24"/>
          <w:lang w:val="en-US" w:eastAsia="zh-CN"/>
        </w:rPr>
        <w:t>5</w:t>
      </w:r>
      <w:r>
        <w:rPr>
          <w:rFonts w:hint="eastAsia" w:ascii="Times New Roman" w:hAnsi="Times New Roman" w:cs="Times New Roman"/>
          <w:szCs w:val="24"/>
          <w:lang w:val="zh-CN"/>
        </w:rPr>
        <w:t>）《苍溪县沙溪浩一河（湖）一策管理保护方案（2021年）》</w:t>
      </w:r>
    </w:p>
    <w:p>
      <w:pPr>
        <w:snapToGrid w:val="0"/>
        <w:ind w:firstLine="480"/>
        <w:rPr>
          <w:rFonts w:hint="eastAsia" w:ascii="Times New Roman" w:hAnsi="Times New Roman" w:cs="Times New Roman"/>
          <w:szCs w:val="24"/>
          <w:lang w:val="zh-CN" w:eastAsia="zh-CN"/>
        </w:rPr>
      </w:pPr>
      <w:r>
        <w:rPr>
          <w:rFonts w:hint="eastAsia" w:ascii="Times New Roman" w:hAnsi="Times New Roman" w:cs="Times New Roman"/>
          <w:szCs w:val="24"/>
          <w:lang w:val="zh-CN" w:eastAsia="zh-CN"/>
        </w:rPr>
        <w:t>（</w:t>
      </w:r>
      <w:r>
        <w:rPr>
          <w:rFonts w:hint="eastAsia" w:ascii="Times New Roman" w:hAnsi="Times New Roman" w:cs="Times New Roman"/>
          <w:szCs w:val="24"/>
          <w:lang w:val="en-US" w:eastAsia="zh-CN"/>
        </w:rPr>
        <w:t>1</w:t>
      </w:r>
      <w:r>
        <w:rPr>
          <w:rFonts w:hint="eastAsia" w:cs="Times New Roman"/>
          <w:szCs w:val="24"/>
          <w:lang w:val="en-US" w:eastAsia="zh-CN"/>
        </w:rPr>
        <w:t>6</w:t>
      </w:r>
      <w:r>
        <w:rPr>
          <w:rFonts w:hint="eastAsia" w:ascii="Times New Roman" w:hAnsi="Times New Roman" w:cs="Times New Roman"/>
          <w:szCs w:val="24"/>
          <w:lang w:val="zh-CN" w:eastAsia="zh-CN"/>
        </w:rPr>
        <w:t>）《四川省广元市苍溪县沙溪浩河河湖管理范围划定报告（</w:t>
      </w:r>
      <w:r>
        <w:rPr>
          <w:rFonts w:hint="eastAsia" w:ascii="Times New Roman" w:hAnsi="Times New Roman" w:cs="Times New Roman"/>
          <w:szCs w:val="24"/>
          <w:lang w:val="en-US" w:eastAsia="zh-CN"/>
        </w:rPr>
        <w:t>2020年</w:t>
      </w:r>
      <w:r>
        <w:rPr>
          <w:rFonts w:hint="eastAsia" w:ascii="Times New Roman" w:hAnsi="Times New Roman" w:cs="Times New Roman"/>
          <w:szCs w:val="24"/>
          <w:lang w:val="zh-CN" w:eastAsia="zh-CN"/>
        </w:rPr>
        <w:t>）》</w:t>
      </w:r>
    </w:p>
    <w:p>
      <w:pPr>
        <w:snapToGrid w:val="0"/>
        <w:ind w:firstLine="480"/>
        <w:rPr>
          <w:rFonts w:hint="eastAsia" w:ascii="Times New Roman" w:hAnsi="Times New Roman" w:cs="Times New Roman"/>
          <w:szCs w:val="24"/>
          <w:lang w:val="zh-CN" w:eastAsia="zh-CN"/>
        </w:rPr>
      </w:pPr>
      <w:r>
        <w:rPr>
          <w:rFonts w:hint="eastAsia" w:ascii="Times New Roman" w:hAnsi="Times New Roman" w:cs="Times New Roman"/>
          <w:szCs w:val="24"/>
          <w:lang w:val="zh-CN" w:eastAsia="zh-CN"/>
        </w:rPr>
        <w:t>（</w:t>
      </w:r>
      <w:r>
        <w:rPr>
          <w:rFonts w:hint="eastAsia" w:ascii="Times New Roman" w:hAnsi="Times New Roman" w:cs="Times New Roman"/>
          <w:szCs w:val="24"/>
          <w:lang w:val="en-US" w:eastAsia="zh-CN"/>
        </w:rPr>
        <w:t>1</w:t>
      </w:r>
      <w:r>
        <w:rPr>
          <w:rFonts w:hint="eastAsia" w:cs="Times New Roman"/>
          <w:szCs w:val="24"/>
          <w:lang w:val="en-US" w:eastAsia="zh-CN"/>
        </w:rPr>
        <w:t>7</w:t>
      </w:r>
      <w:r>
        <w:rPr>
          <w:rFonts w:hint="eastAsia" w:ascii="Times New Roman" w:hAnsi="Times New Roman" w:cs="Times New Roman"/>
          <w:szCs w:val="24"/>
          <w:lang w:val="zh-CN" w:eastAsia="zh-CN"/>
        </w:rPr>
        <w:t>）《</w:t>
      </w:r>
      <w:r>
        <w:rPr>
          <w:rFonts w:hint="default" w:ascii="Times New Roman" w:hAnsi="Times New Roman" w:cs="Times New Roman"/>
          <w:szCs w:val="24"/>
          <w:lang w:val="zh-CN" w:eastAsia="zh-CN"/>
        </w:rPr>
        <w:t>苍溪县</w:t>
      </w:r>
      <w:r>
        <w:rPr>
          <w:rFonts w:hint="eastAsia" w:ascii="Times New Roman" w:hAnsi="Times New Roman" w:cs="Times New Roman"/>
          <w:szCs w:val="24"/>
          <w:lang w:val="en-US" w:eastAsia="zh-CN"/>
        </w:rPr>
        <w:t>2021年</w:t>
      </w:r>
      <w:r>
        <w:rPr>
          <w:rFonts w:hint="default" w:ascii="Times New Roman" w:hAnsi="Times New Roman" w:cs="Times New Roman"/>
          <w:szCs w:val="24"/>
          <w:lang w:val="zh-CN" w:eastAsia="zh-CN"/>
        </w:rPr>
        <w:t>小型病险水库</w:t>
      </w:r>
      <w:r>
        <w:rPr>
          <w:rFonts w:hint="eastAsia" w:ascii="Times New Roman" w:hAnsi="Times New Roman" w:cs="Times New Roman"/>
          <w:szCs w:val="24"/>
          <w:lang w:val="zh-CN" w:eastAsia="zh-CN"/>
        </w:rPr>
        <w:t>唤马镇碾子沟</w:t>
      </w:r>
      <w:r>
        <w:rPr>
          <w:rFonts w:hint="default" w:ascii="Times New Roman" w:hAnsi="Times New Roman" w:cs="Times New Roman"/>
          <w:szCs w:val="24"/>
          <w:lang w:val="zh-CN" w:eastAsia="zh-CN"/>
        </w:rPr>
        <w:t>水库除险加固工程</w:t>
      </w:r>
      <w:r>
        <w:rPr>
          <w:rFonts w:hint="eastAsia" w:ascii="Times New Roman" w:hAnsi="Times New Roman" w:cs="Times New Roman"/>
          <w:szCs w:val="24"/>
          <w:lang w:val="zh-CN" w:eastAsia="zh-CN"/>
        </w:rPr>
        <w:t>初步设计报告》（中国水利水电第五工程局有限公司</w:t>
      </w:r>
      <w:r>
        <w:rPr>
          <w:rFonts w:hint="eastAsia" w:ascii="Times New Roman" w:hAnsi="Times New Roman" w:cs="Times New Roman"/>
          <w:szCs w:val="24"/>
          <w:lang w:val="en-US" w:eastAsia="zh-CN"/>
        </w:rPr>
        <w:t>2021.4</w:t>
      </w:r>
      <w:r>
        <w:rPr>
          <w:rFonts w:hint="eastAsia" w:ascii="Times New Roman" w:hAnsi="Times New Roman" w:cs="Times New Roman"/>
          <w:szCs w:val="24"/>
          <w:lang w:val="zh-CN" w:eastAsia="zh-CN"/>
        </w:rPr>
        <w:t>）</w:t>
      </w:r>
    </w:p>
    <w:p>
      <w:pPr>
        <w:snapToGrid w:val="0"/>
        <w:ind w:firstLine="480"/>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（1</w:t>
      </w:r>
      <w:r>
        <w:rPr>
          <w:rFonts w:hint="eastAsia" w:cs="Times New Roman"/>
          <w:szCs w:val="24"/>
          <w:lang w:val="en-US" w:eastAsia="zh-CN"/>
        </w:rPr>
        <w:t>8</w:t>
      </w:r>
      <w:r>
        <w:rPr>
          <w:rFonts w:hint="eastAsia" w:ascii="Times New Roman" w:hAnsi="Times New Roman" w:cs="Times New Roman"/>
          <w:szCs w:val="24"/>
          <w:lang w:val="en-US" w:eastAsia="zh-CN"/>
        </w:rPr>
        <w:t>）《苍溪县2020年大洋沟水库工程设施维修养护项目实施方案（2020.10）》</w:t>
      </w:r>
    </w:p>
    <w:p>
      <w:pPr>
        <w:pStyle w:val="16"/>
        <w:rPr>
          <w:rFonts w:hint="eastAsia"/>
          <w:lang w:val="en-US" w:eastAsia="zh-CN"/>
        </w:rPr>
      </w:pPr>
    </w:p>
    <w:p>
      <w:pPr>
        <w:pStyle w:val="2"/>
        <w:ind w:left="0" w:leftChars="0" w:firstLine="0" w:firstLineChars="0"/>
        <w:outlineLvl w:val="2"/>
        <w:rPr>
          <w:rFonts w:hint="eastAsia" w:cs="Times New Roman"/>
          <w:b/>
          <w:bCs/>
          <w:color w:val="auto"/>
          <w:kern w:val="2"/>
          <w:sz w:val="24"/>
          <w:szCs w:val="24"/>
          <w:lang w:val="en-US" w:eastAsia="zh-CN"/>
        </w:rPr>
      </w:pPr>
      <w:r>
        <w:rPr>
          <w:rFonts w:hint="eastAsia" w:cs="Times New Roman"/>
          <w:b/>
          <w:bCs/>
          <w:color w:val="auto"/>
          <w:kern w:val="2"/>
          <w:sz w:val="24"/>
          <w:szCs w:val="24"/>
          <w:lang w:val="en-US" w:eastAsia="zh-CN"/>
        </w:rPr>
        <w:t>2.5.2 评价方法与赋分标准</w:t>
      </w:r>
    </w:p>
    <w:p>
      <w:pPr>
        <w:ind w:firstLine="482"/>
        <w:outlineLvl w:val="3"/>
        <w:rPr>
          <w:b/>
        </w:rPr>
      </w:pPr>
      <w:r>
        <w:rPr>
          <w:rFonts w:hint="eastAsia"/>
          <w:b/>
          <w:lang w:val="en-US" w:eastAsia="zh-CN"/>
        </w:rPr>
        <w:t xml:space="preserve">2.5.2.1 </w:t>
      </w:r>
      <w:r>
        <w:rPr>
          <w:rFonts w:hint="eastAsia"/>
          <w:b/>
        </w:rPr>
        <w:t>水文与水资源</w:t>
      </w:r>
    </w:p>
    <w:p>
      <w:pPr>
        <w:ind w:firstLine="480"/>
      </w:pPr>
      <w:r>
        <w:rPr>
          <w:rFonts w:hint="eastAsia"/>
        </w:rPr>
        <w:t>水库生态用水满足程度：评估水库下泄生态基流满足程度，计算水库下泄生态基流满足天数占评估年总天数的百分比。</w:t>
      </w:r>
    </w:p>
    <w:p>
      <w:pPr>
        <w:pStyle w:val="43"/>
        <w:ind w:left="0" w:leftChars="0" w:firstLine="482" w:firstLineChars="200"/>
        <w:jc w:val="both"/>
        <w:outlineLvl w:val="8"/>
        <w:rPr>
          <w:rFonts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2.5-1</w:t>
      </w:r>
      <w:r>
        <w:rPr>
          <w:rFonts w:hint="eastAsia" w:ascii="Times New Roman" w:hAnsi="Times New Roman" w:cs="Times New Roman"/>
          <w:sz w:val="24"/>
          <w:szCs w:val="24"/>
        </w:rPr>
        <w:t xml:space="preserve">            水库生态用水满足程度评估赋分标准表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5"/>
        <w:gridCol w:w="1182"/>
        <w:gridCol w:w="1519"/>
        <w:gridCol w:w="1519"/>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满足生态基流天数比例</w:t>
            </w:r>
          </w:p>
        </w:tc>
        <w:tc>
          <w:tcPr>
            <w:tcW w:w="61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≤50%</w:t>
            </w:r>
          </w:p>
        </w:tc>
        <w:tc>
          <w:tcPr>
            <w:tcW w:w="791"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50%-75%</w:t>
            </w:r>
          </w:p>
        </w:tc>
        <w:tc>
          <w:tcPr>
            <w:tcW w:w="791"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75%-90%</w:t>
            </w:r>
          </w:p>
        </w:tc>
        <w:tc>
          <w:tcPr>
            <w:tcW w:w="878"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90%-100%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赋分</w:t>
            </w:r>
          </w:p>
        </w:tc>
        <w:tc>
          <w:tcPr>
            <w:tcW w:w="61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0</w:t>
            </w:r>
          </w:p>
        </w:tc>
        <w:tc>
          <w:tcPr>
            <w:tcW w:w="791"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40</w:t>
            </w:r>
          </w:p>
        </w:tc>
        <w:tc>
          <w:tcPr>
            <w:tcW w:w="791"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80</w:t>
            </w:r>
          </w:p>
        </w:tc>
        <w:tc>
          <w:tcPr>
            <w:tcW w:w="878"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100</w:t>
            </w:r>
          </w:p>
        </w:tc>
      </w:tr>
    </w:tbl>
    <w:p>
      <w:pPr>
        <w:ind w:firstLine="482"/>
        <w:rPr>
          <w:rFonts w:hint="eastAsia"/>
          <w:b/>
        </w:rPr>
      </w:pPr>
    </w:p>
    <w:p>
      <w:pPr>
        <w:ind w:firstLine="482"/>
        <w:outlineLvl w:val="3"/>
        <w:rPr>
          <w:b/>
        </w:rPr>
      </w:pPr>
      <w:r>
        <w:rPr>
          <w:rFonts w:hint="eastAsia"/>
          <w:b/>
          <w:lang w:val="en-US" w:eastAsia="zh-CN"/>
        </w:rPr>
        <w:t xml:space="preserve">2.5.2.2 </w:t>
      </w:r>
      <w:r>
        <w:rPr>
          <w:rFonts w:hint="eastAsia"/>
          <w:b/>
        </w:rPr>
        <w:t>物理结构</w:t>
      </w:r>
    </w:p>
    <w:p>
      <w:pPr>
        <w:ind w:firstLine="480"/>
      </w:pPr>
      <w:r>
        <w:rPr>
          <w:rFonts w:hint="eastAsia"/>
        </w:rPr>
        <w:t>根据河（湖、库）岸坡侵蚀现状（包括已经发生的或潜在发生的河岸侵蚀）进行评估，评估要素包括：岸坡倾角、河岸高度、基质特征、岸坡植被覆盖度和坡脚冲刷强度，采用公式计算。</w:t>
      </w:r>
    </w:p>
    <w:p>
      <w:pPr>
        <w:ind w:firstLine="0" w:firstLineChars="0"/>
        <w:jc w:val="center"/>
      </w:pPr>
      <w:r>
        <w:rPr>
          <w:position w:val="-10"/>
        </w:rPr>
        <w:object>
          <v:shape id="_x0000_i1058" o:spt="75" type="#_x0000_t75" style="height:15.75pt;width:201.75pt;" o:ole="t" filled="f" o:preferrelative="t" stroked="f" coordsize="21600,21600">
            <v:path/>
            <v:fill on="f" focussize="0,0"/>
            <v:stroke on="f" joinstyle="miter"/>
            <v:imagedata r:id="rId90" o:title=""/>
            <o:lock v:ext="edit" aspectratio="t"/>
            <w10:wrap type="none"/>
            <w10:anchorlock/>
          </v:shape>
          <o:OLEObject Type="Embed" ProgID="Equation.3" ShapeID="_x0000_i1058" DrawAspect="Content" ObjectID="_1468075758" r:id="rId89">
            <o:LockedField>false</o:LockedField>
          </o:OLEObject>
        </w:object>
      </w:r>
    </w:p>
    <w:p>
      <w:pPr>
        <w:ind w:firstLine="480"/>
      </w:pPr>
      <w:r>
        <w:rPr>
          <w:rFonts w:hint="eastAsia"/>
        </w:rPr>
        <w:t>式中：</w:t>
      </w:r>
    </w:p>
    <w:p>
      <w:pPr>
        <w:ind w:firstLine="480"/>
      </w:pPr>
      <w:r>
        <w:rPr>
          <w:rFonts w:hint="eastAsia"/>
        </w:rPr>
        <w:t>BKS</w:t>
      </w:r>
      <w:r>
        <w:rPr>
          <w:rFonts w:hint="eastAsia"/>
          <w:vertAlign w:val="subscript"/>
        </w:rPr>
        <w:t>r</w:t>
      </w:r>
      <w:r>
        <w:rPr>
          <w:rFonts w:hint="eastAsia"/>
        </w:rPr>
        <w:t>──岸坡稳定性指标赋分；</w:t>
      </w:r>
    </w:p>
    <w:p>
      <w:pPr>
        <w:ind w:firstLine="480"/>
      </w:pPr>
      <w:r>
        <w:rPr>
          <w:rFonts w:hint="eastAsia"/>
        </w:rPr>
        <w:t>SA</w:t>
      </w:r>
      <w:r>
        <w:rPr>
          <w:rFonts w:hint="eastAsia"/>
          <w:vertAlign w:val="subscript"/>
        </w:rPr>
        <w:t>r</w:t>
      </w:r>
      <w:r>
        <w:rPr>
          <w:rFonts w:hint="eastAsia"/>
        </w:rPr>
        <w:t>──岸坡倾角分值；</w:t>
      </w:r>
    </w:p>
    <w:p>
      <w:pPr>
        <w:ind w:firstLine="480"/>
      </w:pPr>
      <w:r>
        <w:rPr>
          <w:rFonts w:hint="eastAsia"/>
        </w:rPr>
        <w:t>SC</w:t>
      </w:r>
      <w:r>
        <w:rPr>
          <w:rFonts w:hint="eastAsia"/>
          <w:vertAlign w:val="subscript"/>
        </w:rPr>
        <w:t>r</w:t>
      </w:r>
      <w:r>
        <w:rPr>
          <w:rFonts w:hint="eastAsia"/>
        </w:rPr>
        <w:t>──岸坡植被覆盖度分值；</w:t>
      </w:r>
    </w:p>
    <w:p>
      <w:pPr>
        <w:ind w:firstLine="480"/>
      </w:pPr>
      <w:r>
        <w:rPr>
          <w:rFonts w:hint="eastAsia"/>
        </w:rPr>
        <w:t>SH</w:t>
      </w:r>
      <w:r>
        <w:rPr>
          <w:rFonts w:hint="eastAsia"/>
          <w:vertAlign w:val="subscript"/>
        </w:rPr>
        <w:t>r</w:t>
      </w:r>
      <w:r>
        <w:rPr>
          <w:rFonts w:hint="eastAsia"/>
        </w:rPr>
        <w:t>──岸坡高度分值；</w:t>
      </w:r>
    </w:p>
    <w:p>
      <w:pPr>
        <w:ind w:firstLine="480"/>
      </w:pPr>
      <w:r>
        <w:rPr>
          <w:rFonts w:hint="eastAsia"/>
        </w:rPr>
        <w:t>SM</w:t>
      </w:r>
      <w:r>
        <w:rPr>
          <w:rFonts w:hint="eastAsia"/>
          <w:vertAlign w:val="subscript"/>
        </w:rPr>
        <w:t>r</w:t>
      </w:r>
      <w:r>
        <w:rPr>
          <w:rFonts w:hint="eastAsia"/>
        </w:rPr>
        <w:t>──河岸基质分值；</w:t>
      </w:r>
    </w:p>
    <w:p>
      <w:pPr>
        <w:ind w:firstLine="480"/>
      </w:pPr>
      <w:r>
        <w:rPr>
          <w:rFonts w:hint="eastAsia"/>
        </w:rPr>
        <w:t>ST</w:t>
      </w:r>
      <w:r>
        <w:rPr>
          <w:rFonts w:hint="eastAsia"/>
          <w:vertAlign w:val="subscript"/>
        </w:rPr>
        <w:t>r</w:t>
      </w:r>
      <w:r>
        <w:rPr>
          <w:rFonts w:hint="eastAsia"/>
        </w:rPr>
        <w:t>──坡脚冲刷强度分值。</w:t>
      </w:r>
    </w:p>
    <w:p>
      <w:pPr>
        <w:ind w:firstLine="480"/>
      </w:pPr>
      <w:r>
        <w:rPr>
          <w:rFonts w:hint="eastAsia"/>
        </w:rPr>
        <w:t>库岸稳定性指标中评估要素赋分标准见下表：</w:t>
      </w:r>
    </w:p>
    <w:p>
      <w:pPr>
        <w:pStyle w:val="43"/>
        <w:ind w:firstLine="482"/>
        <w:jc w:val="left"/>
        <w:outlineLvl w:val="8"/>
        <w:rPr>
          <w:sz w:val="24"/>
          <w:szCs w:val="24"/>
        </w:rPr>
      </w:pPr>
      <w:r>
        <w:rPr>
          <w:rFonts w:hint="eastAsia"/>
          <w:sz w:val="24"/>
          <w:szCs w:val="24"/>
        </w:rPr>
        <w:t>表</w:t>
      </w:r>
      <w:r>
        <w:rPr>
          <w:rFonts w:hint="eastAsia"/>
          <w:sz w:val="24"/>
          <w:szCs w:val="24"/>
          <w:lang w:val="en-US" w:eastAsia="zh-CN"/>
        </w:rPr>
        <w:t>2.5-2</w:t>
      </w:r>
      <w:r>
        <w:rPr>
          <w:rFonts w:hint="eastAsia"/>
          <w:sz w:val="24"/>
          <w:szCs w:val="24"/>
        </w:rPr>
        <w:t xml:space="preserve">           库岸稳定性评估分指标评估赋分标准表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1590"/>
        <w:gridCol w:w="2221"/>
        <w:gridCol w:w="2421"/>
        <w:gridCol w:w="2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岸坡特征</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稳定</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基本稳定</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次不稳定</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不稳定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b w:val="0"/>
                <w:bCs/>
                <w:sz w:val="18"/>
                <w:szCs w:val="18"/>
              </w:rPr>
            </w:pPr>
            <w:r>
              <w:rPr>
                <w:rFonts w:hint="default" w:ascii="Times New Roman" w:hAnsi="Times New Roman" w:cs="Times New Roman"/>
                <w:b w:val="0"/>
                <w:bCs/>
                <w:sz w:val="18"/>
                <w:szCs w:val="18"/>
              </w:rPr>
              <w:t>分值</w:t>
            </w:r>
          </w:p>
        </w:tc>
        <w:tc>
          <w:tcPr>
            <w:tcW w:w="828" w:type="pct"/>
            <w:vAlign w:val="center"/>
          </w:tcPr>
          <w:p>
            <w:pPr>
              <w:pStyle w:val="51"/>
              <w:rPr>
                <w:rFonts w:hint="default" w:ascii="Times New Roman" w:hAnsi="Times New Roman" w:cs="Times New Roman"/>
                <w:b w:val="0"/>
                <w:bCs/>
                <w:sz w:val="18"/>
                <w:szCs w:val="18"/>
              </w:rPr>
            </w:pPr>
            <w:r>
              <w:rPr>
                <w:rFonts w:hint="default" w:ascii="Times New Roman" w:hAnsi="Times New Roman" w:cs="Times New Roman"/>
                <w:b w:val="0"/>
                <w:bCs/>
                <w:sz w:val="18"/>
                <w:szCs w:val="18"/>
              </w:rPr>
              <w:t>100</w:t>
            </w:r>
          </w:p>
        </w:tc>
        <w:tc>
          <w:tcPr>
            <w:tcW w:w="1157" w:type="pct"/>
            <w:vAlign w:val="center"/>
          </w:tcPr>
          <w:p>
            <w:pPr>
              <w:pStyle w:val="51"/>
              <w:rPr>
                <w:rFonts w:hint="default" w:ascii="Times New Roman" w:hAnsi="Times New Roman" w:cs="Times New Roman"/>
                <w:b w:val="0"/>
                <w:bCs/>
                <w:sz w:val="18"/>
                <w:szCs w:val="18"/>
              </w:rPr>
            </w:pPr>
            <w:r>
              <w:rPr>
                <w:rFonts w:hint="default" w:ascii="Times New Roman" w:hAnsi="Times New Roman" w:cs="Times New Roman"/>
                <w:b w:val="0"/>
                <w:bCs/>
                <w:sz w:val="18"/>
                <w:szCs w:val="18"/>
              </w:rPr>
              <w:t>75</w:t>
            </w:r>
          </w:p>
        </w:tc>
        <w:tc>
          <w:tcPr>
            <w:tcW w:w="1261" w:type="pct"/>
            <w:vAlign w:val="center"/>
          </w:tcPr>
          <w:p>
            <w:pPr>
              <w:pStyle w:val="51"/>
              <w:rPr>
                <w:rFonts w:hint="default" w:ascii="Times New Roman" w:hAnsi="Times New Roman" w:cs="Times New Roman"/>
                <w:b w:val="0"/>
                <w:bCs/>
                <w:sz w:val="18"/>
                <w:szCs w:val="18"/>
              </w:rPr>
            </w:pPr>
            <w:r>
              <w:rPr>
                <w:rFonts w:hint="default" w:ascii="Times New Roman" w:hAnsi="Times New Roman" w:cs="Times New Roman"/>
                <w:b w:val="0"/>
                <w:bCs/>
                <w:sz w:val="18"/>
                <w:szCs w:val="18"/>
              </w:rPr>
              <w:t>25</w:t>
            </w:r>
          </w:p>
        </w:tc>
        <w:tc>
          <w:tcPr>
            <w:tcW w:w="1131" w:type="pct"/>
            <w:vAlign w:val="center"/>
          </w:tcPr>
          <w:p>
            <w:pPr>
              <w:pStyle w:val="51"/>
              <w:rPr>
                <w:rFonts w:hint="default" w:ascii="Times New Roman" w:hAnsi="Times New Roman" w:cs="Times New Roman"/>
                <w:b w:val="0"/>
                <w:bCs/>
                <w:sz w:val="18"/>
                <w:szCs w:val="18"/>
              </w:rPr>
            </w:pPr>
            <w:r>
              <w:rPr>
                <w:rFonts w:hint="default" w:ascii="Times New Roman" w:hAnsi="Times New Roman" w:cs="Times New Roman"/>
                <w:b w:val="0"/>
                <w:bCs/>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斜坡倾角（度）</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&lt;15</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15-30</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30-45</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45-60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植被覆盖率（%）</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&gt;75</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50-75</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25-50</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斜坡高度（米）</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&lt;1</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1-2</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2-3</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基质（类别）</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基岩</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岩土河岸</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黏土河岸</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非黏土河岸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库岸冲刷（浪蚀）状况</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无冲刷迹象</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轻度冲刷</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中度冲刷</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重度冲刷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总体特征描述</w:t>
            </w:r>
          </w:p>
        </w:tc>
        <w:tc>
          <w:tcPr>
            <w:tcW w:w="82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近期内库岸不会发生变形破坏，无水土流失现象</w:t>
            </w:r>
          </w:p>
        </w:tc>
        <w:tc>
          <w:tcPr>
            <w:tcW w:w="115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库岸结构有松动发育迹象，有水土流失迹象，但近期不会发生变形和破坏</w:t>
            </w:r>
          </w:p>
        </w:tc>
        <w:tc>
          <w:tcPr>
            <w:tcW w:w="126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库岸松动裂痕发育趋势明显，一定条件下可导致河岸变形和破坏，中度水土流失。</w:t>
            </w:r>
          </w:p>
        </w:tc>
        <w:tc>
          <w:tcPr>
            <w:tcW w:w="113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库岸水土流失严重，随时可能发生大的变形和破坏，或已经发生破坏。</w:t>
            </w:r>
          </w:p>
        </w:tc>
      </w:tr>
    </w:tbl>
    <w:p>
      <w:pPr>
        <w:ind w:firstLine="482"/>
        <w:outlineLvl w:val="9"/>
        <w:rPr>
          <w:rFonts w:hint="eastAsia"/>
          <w:b/>
          <w:lang w:val="en-US" w:eastAsia="zh-CN"/>
        </w:rPr>
      </w:pPr>
    </w:p>
    <w:p>
      <w:pPr>
        <w:ind w:firstLine="482"/>
        <w:outlineLvl w:val="3"/>
        <w:rPr>
          <w:b/>
        </w:rPr>
      </w:pPr>
      <w:r>
        <w:rPr>
          <w:rFonts w:hint="eastAsia"/>
          <w:b/>
          <w:lang w:val="en-US" w:eastAsia="zh-CN"/>
        </w:rPr>
        <w:t xml:space="preserve">2.5.2.3 </w:t>
      </w:r>
      <w:r>
        <w:rPr>
          <w:rFonts w:hint="eastAsia"/>
          <w:b/>
        </w:rPr>
        <w:t>水质</w:t>
      </w:r>
    </w:p>
    <w:p>
      <w:pPr>
        <w:ind w:firstLine="480"/>
      </w:pPr>
      <w:r>
        <w:rPr>
          <w:rFonts w:hint="eastAsia"/>
        </w:rPr>
        <w:t>（一）水体整洁程度</w:t>
      </w:r>
    </w:p>
    <w:p>
      <w:pPr>
        <w:ind w:firstLine="480"/>
      </w:pPr>
      <w:r>
        <w:rPr>
          <w:rFonts w:hint="eastAsia"/>
        </w:rPr>
        <w:t>水体整洁程度根据水库水域感官状况评估。</w:t>
      </w:r>
    </w:p>
    <w:p>
      <w:pPr>
        <w:ind w:firstLine="480"/>
      </w:pPr>
      <w:r>
        <w:rPr>
          <w:rFonts w:hint="eastAsia"/>
        </w:rPr>
        <w:t>水体整洁程度赋分标准见下表，根据嗅和味、漂浮废弃物中最差状况确定最终得分。</w:t>
      </w:r>
    </w:p>
    <w:p>
      <w:pPr>
        <w:pStyle w:val="43"/>
        <w:ind w:firstLine="482"/>
        <w:jc w:val="left"/>
        <w:outlineLvl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2.5-3</w:t>
      </w:r>
      <w:r>
        <w:rPr>
          <w:rFonts w:hint="eastAsia" w:ascii="宋体" w:hAnsi="宋体" w:eastAsia="宋体" w:cs="宋体"/>
          <w:sz w:val="24"/>
          <w:szCs w:val="24"/>
        </w:rPr>
        <w:t xml:space="preserve">               水体整洁程度评估赋分标准表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302"/>
        <w:gridCol w:w="1797"/>
        <w:gridCol w:w="1797"/>
        <w:gridCol w:w="1624"/>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感官指标</w:t>
            </w:r>
          </w:p>
        </w:tc>
        <w:tc>
          <w:tcPr>
            <w:tcW w:w="678"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优</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良</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中</w:t>
            </w:r>
          </w:p>
        </w:tc>
        <w:tc>
          <w:tcPr>
            <w:tcW w:w="84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差</w:t>
            </w:r>
          </w:p>
        </w:tc>
        <w:tc>
          <w:tcPr>
            <w:tcW w:w="1025"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臭和味</w:t>
            </w:r>
          </w:p>
        </w:tc>
        <w:tc>
          <w:tcPr>
            <w:tcW w:w="678"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无任何异味</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仅敏感者可以感觉</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多数人可以轻微感觉</w:t>
            </w:r>
          </w:p>
        </w:tc>
        <w:tc>
          <w:tcPr>
            <w:tcW w:w="84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已能明显感觉</w:t>
            </w:r>
          </w:p>
        </w:tc>
        <w:tc>
          <w:tcPr>
            <w:tcW w:w="1025"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有很显著的异味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漂浮废弃物</w:t>
            </w:r>
          </w:p>
        </w:tc>
        <w:tc>
          <w:tcPr>
            <w:tcW w:w="678"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无漂浮废弃物</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有极少量漂浮废弃物</w:t>
            </w:r>
          </w:p>
        </w:tc>
        <w:tc>
          <w:tcPr>
            <w:tcW w:w="93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有少量漂浮废弃物</w:t>
            </w:r>
          </w:p>
        </w:tc>
        <w:tc>
          <w:tcPr>
            <w:tcW w:w="846"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有较多漂浮废弃物</w:t>
            </w:r>
          </w:p>
        </w:tc>
        <w:tc>
          <w:tcPr>
            <w:tcW w:w="1025" w:type="pct"/>
          </w:tcPr>
          <w:p>
            <w:pPr>
              <w:pStyle w:val="51"/>
              <w:rPr>
                <w:rFonts w:hint="default" w:ascii="Times New Roman" w:hAnsi="Times New Roman" w:cs="Times New Roman"/>
                <w:sz w:val="18"/>
                <w:szCs w:val="18"/>
              </w:rPr>
            </w:pPr>
            <w:r>
              <w:rPr>
                <w:rFonts w:hint="default" w:ascii="Times New Roman" w:hAnsi="Times New Roman" w:cs="Times New Roman"/>
                <w:sz w:val="18"/>
                <w:szCs w:val="18"/>
              </w:rPr>
              <w:t>有大量成片漂浮废弃物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9"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赋分</w:t>
            </w:r>
          </w:p>
        </w:tc>
        <w:tc>
          <w:tcPr>
            <w:tcW w:w="678"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100</w:t>
            </w:r>
          </w:p>
        </w:tc>
        <w:tc>
          <w:tcPr>
            <w:tcW w:w="936"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80</w:t>
            </w:r>
          </w:p>
        </w:tc>
        <w:tc>
          <w:tcPr>
            <w:tcW w:w="936"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60</w:t>
            </w:r>
          </w:p>
        </w:tc>
        <w:tc>
          <w:tcPr>
            <w:tcW w:w="846"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40</w:t>
            </w:r>
          </w:p>
        </w:tc>
        <w:tc>
          <w:tcPr>
            <w:tcW w:w="1025" w:type="pct"/>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0</w:t>
            </w:r>
          </w:p>
        </w:tc>
      </w:tr>
    </w:tbl>
    <w:p>
      <w:pPr>
        <w:ind w:firstLine="480"/>
      </w:pPr>
      <w:r>
        <w:rPr>
          <w:rFonts w:hint="eastAsia"/>
        </w:rPr>
        <w:t>（二）水质优劣程度</w:t>
      </w:r>
    </w:p>
    <w:p>
      <w:pPr>
        <w:ind w:firstLine="480"/>
        <w:rPr>
          <w:rFonts w:hint="eastAsia"/>
        </w:rPr>
      </w:pPr>
      <w:r>
        <w:rPr>
          <w:rFonts w:hint="eastAsia"/>
        </w:rPr>
        <w:t>按照河湖水质类别比例赋分。水质类别比例根据《地表水资源质量评价技术规程》（SL395-2007）进行评估。</w:t>
      </w:r>
    </w:p>
    <w:p>
      <w:pPr>
        <w:numPr>
          <w:ilvl w:val="0"/>
          <w:numId w:val="0"/>
        </w:numPr>
        <w:ind w:leftChars="0"/>
        <w:outlineLvl w:val="9"/>
      </w:pPr>
    </w:p>
    <w:p>
      <w:pPr>
        <w:pStyle w:val="43"/>
        <w:ind w:firstLine="482"/>
        <w:jc w:val="left"/>
        <w:outlineLvl w:val="8"/>
        <w:rPr>
          <w:sz w:val="24"/>
          <w:szCs w:val="24"/>
        </w:rPr>
      </w:pPr>
      <w:r>
        <w:rPr>
          <w:rFonts w:hint="eastAsia"/>
          <w:sz w:val="24"/>
          <w:szCs w:val="24"/>
        </w:rPr>
        <w:t>表</w:t>
      </w:r>
      <w:r>
        <w:rPr>
          <w:rFonts w:hint="eastAsia"/>
          <w:sz w:val="24"/>
          <w:szCs w:val="24"/>
          <w:lang w:val="en-US" w:eastAsia="zh-CN"/>
        </w:rPr>
        <w:t>2.5-4</w:t>
      </w:r>
      <w:r>
        <w:rPr>
          <w:rFonts w:hint="eastAsia"/>
          <w:sz w:val="24"/>
          <w:szCs w:val="24"/>
        </w:rPr>
        <w:t xml:space="preserve">                水质优劣程度评估赋分标准表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137"/>
        <w:gridCol w:w="1344"/>
        <w:gridCol w:w="1906"/>
        <w:gridCol w:w="2098"/>
        <w:gridCol w:w="1167"/>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水质优劣程度</w:t>
            </w:r>
          </w:p>
        </w:tc>
        <w:tc>
          <w:tcPr>
            <w:tcW w:w="592"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Ⅰ～Ⅲ类水质比例≥90%</w:t>
            </w:r>
          </w:p>
        </w:tc>
        <w:tc>
          <w:tcPr>
            <w:tcW w:w="700"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75％≤Ⅰ～Ⅲ类水质比例＜90％</w:t>
            </w:r>
          </w:p>
        </w:tc>
        <w:tc>
          <w:tcPr>
            <w:tcW w:w="99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Ⅰ～Ⅲ类水质比例＜75％，且劣Ⅴ类比例＜20％</w:t>
            </w:r>
          </w:p>
        </w:tc>
        <w:tc>
          <w:tcPr>
            <w:tcW w:w="109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Ⅰ～Ⅲ类水质比例＜75％，且20％≤劣Ⅴ类比例＜30％</w:t>
            </w:r>
          </w:p>
        </w:tc>
        <w:tc>
          <w:tcPr>
            <w:tcW w:w="60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Ⅰ～Ⅲ类水质比例＜50％</w:t>
            </w:r>
          </w:p>
        </w:tc>
        <w:tc>
          <w:tcPr>
            <w:tcW w:w="63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Ⅴ～劣Ⅴ类水质比例＞50％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赋分</w:t>
            </w:r>
          </w:p>
        </w:tc>
        <w:tc>
          <w:tcPr>
            <w:tcW w:w="592"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100</w:t>
            </w:r>
          </w:p>
        </w:tc>
        <w:tc>
          <w:tcPr>
            <w:tcW w:w="700"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80</w:t>
            </w:r>
          </w:p>
        </w:tc>
        <w:tc>
          <w:tcPr>
            <w:tcW w:w="99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60</w:t>
            </w:r>
          </w:p>
        </w:tc>
        <w:tc>
          <w:tcPr>
            <w:tcW w:w="109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40</w:t>
            </w:r>
          </w:p>
        </w:tc>
        <w:tc>
          <w:tcPr>
            <w:tcW w:w="608"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不健康</w:t>
            </w:r>
          </w:p>
        </w:tc>
        <w:tc>
          <w:tcPr>
            <w:tcW w:w="638"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劣态</w:t>
            </w:r>
          </w:p>
        </w:tc>
      </w:tr>
    </w:tbl>
    <w:p>
      <w:pPr>
        <w:ind w:firstLine="480"/>
      </w:pPr>
      <w:r>
        <w:rPr>
          <w:rFonts w:hint="eastAsia"/>
        </w:rPr>
        <w:t>（三）水库富营养化指数</w:t>
      </w:r>
    </w:p>
    <w:p>
      <w:pPr>
        <w:ind w:firstLine="480"/>
      </w:pPr>
      <w:r>
        <w:rPr>
          <w:rFonts w:hint="eastAsia"/>
        </w:rPr>
        <w:t>按照《地表水资源质量评价技术规程》（SL395-2007）计算，水库富营养化指数评估标准见下表。根据水库富营养化指数值确定湖库富营养化指数赋分。</w:t>
      </w:r>
    </w:p>
    <w:p>
      <w:pPr>
        <w:pStyle w:val="43"/>
        <w:ind w:firstLine="482"/>
        <w:jc w:val="left"/>
        <w:outlineLvl w:val="8"/>
        <w:rPr>
          <w:sz w:val="24"/>
          <w:szCs w:val="24"/>
        </w:rPr>
      </w:pPr>
      <w:r>
        <w:rPr>
          <w:rFonts w:hint="eastAsia"/>
          <w:sz w:val="24"/>
          <w:szCs w:val="24"/>
        </w:rPr>
        <w:t>表</w:t>
      </w:r>
      <w:r>
        <w:rPr>
          <w:rFonts w:hint="eastAsia"/>
          <w:sz w:val="24"/>
          <w:szCs w:val="24"/>
          <w:lang w:val="en-US" w:eastAsia="zh-CN"/>
        </w:rPr>
        <w:t>2.5-5</w:t>
      </w:r>
      <w:r>
        <w:rPr>
          <w:rFonts w:hint="eastAsia"/>
          <w:sz w:val="24"/>
          <w:szCs w:val="24"/>
        </w:rPr>
        <w:t xml:space="preserve">                  水库富营养化指数标准表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2651"/>
        <w:gridCol w:w="1158"/>
        <w:gridCol w:w="927"/>
        <w:gridCol w:w="927"/>
        <w:gridCol w:w="927"/>
        <w:gridCol w:w="1158"/>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营养状态分级(EI=营养状态指数)</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评估项目</w:t>
            </w:r>
          </w:p>
          <w:p>
            <w:pPr>
              <w:pStyle w:val="51"/>
              <w:rPr>
                <w:rFonts w:hint="default" w:ascii="Times New Roman" w:hAnsi="Times New Roman" w:cs="Times New Roman"/>
                <w:b/>
                <w:sz w:val="18"/>
                <w:szCs w:val="18"/>
              </w:rPr>
            </w:pPr>
            <w:r>
              <w:rPr>
                <w:rFonts w:hint="default" w:ascii="Times New Roman" w:hAnsi="Times New Roman" w:cs="Times New Roman"/>
                <w:b/>
                <w:sz w:val="18"/>
                <w:szCs w:val="18"/>
              </w:rPr>
              <w:t>赋分值</w:t>
            </w:r>
          </w:p>
          <w:p>
            <w:pPr>
              <w:pStyle w:val="51"/>
              <w:rPr>
                <w:rFonts w:hint="default" w:ascii="Times New Roman" w:hAnsi="Times New Roman" w:cs="Times New Roman"/>
                <w:b/>
                <w:sz w:val="18"/>
                <w:szCs w:val="18"/>
              </w:rPr>
            </w:pPr>
            <w:r>
              <w:rPr>
                <w:rFonts w:hint="default" w:ascii="Times New Roman" w:hAnsi="Times New Roman" w:cs="Times New Roman"/>
                <w:b/>
                <w:sz w:val="18"/>
                <w:szCs w:val="18"/>
              </w:rPr>
              <w:t>(En)</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总磷</w:t>
            </w:r>
          </w:p>
          <w:p>
            <w:pPr>
              <w:pStyle w:val="51"/>
              <w:rPr>
                <w:rFonts w:hint="default" w:ascii="Times New Roman" w:hAnsi="Times New Roman" w:cs="Times New Roman"/>
                <w:sz w:val="18"/>
                <w:szCs w:val="18"/>
              </w:rPr>
            </w:pPr>
            <w:r>
              <w:rPr>
                <w:rFonts w:hint="default" w:ascii="Times New Roman" w:hAnsi="Times New Roman" w:cs="Times New Roman"/>
                <w:sz w:val="18"/>
                <w:szCs w:val="18"/>
              </w:rPr>
              <w:t>(mg/L)</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总氮</w:t>
            </w:r>
          </w:p>
          <w:p>
            <w:pPr>
              <w:pStyle w:val="51"/>
              <w:rPr>
                <w:rFonts w:hint="default" w:ascii="Times New Roman" w:hAnsi="Times New Roman" w:cs="Times New Roman"/>
                <w:sz w:val="18"/>
                <w:szCs w:val="18"/>
              </w:rPr>
            </w:pPr>
            <w:r>
              <w:rPr>
                <w:rFonts w:hint="default" w:ascii="Times New Roman" w:hAnsi="Times New Roman" w:cs="Times New Roman"/>
                <w:sz w:val="18"/>
                <w:szCs w:val="18"/>
              </w:rPr>
              <w:t>(mg/L)</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叶绿素</w:t>
            </w:r>
          </w:p>
          <w:p>
            <w:pPr>
              <w:pStyle w:val="51"/>
              <w:rPr>
                <w:rFonts w:hint="default" w:ascii="Times New Roman" w:hAnsi="Times New Roman" w:cs="Times New Roman"/>
                <w:sz w:val="18"/>
                <w:szCs w:val="18"/>
              </w:rPr>
            </w:pPr>
            <w:r>
              <w:rPr>
                <w:rFonts w:hint="default" w:ascii="Times New Roman" w:hAnsi="Times New Roman" w:cs="Times New Roman"/>
                <w:sz w:val="18"/>
                <w:szCs w:val="18"/>
              </w:rPr>
              <w:t>(α)</w:t>
            </w:r>
          </w:p>
          <w:p>
            <w:pPr>
              <w:pStyle w:val="51"/>
              <w:rPr>
                <w:rFonts w:hint="default" w:ascii="Times New Roman" w:hAnsi="Times New Roman" w:cs="Times New Roman"/>
                <w:sz w:val="18"/>
                <w:szCs w:val="18"/>
              </w:rPr>
            </w:pPr>
            <w:r>
              <w:rPr>
                <w:rFonts w:hint="default" w:ascii="Times New Roman" w:hAnsi="Times New Roman" w:cs="Times New Roman"/>
                <w:sz w:val="18"/>
                <w:szCs w:val="18"/>
              </w:rPr>
              <w:t>(mg/L)</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高锰酸盐</w:t>
            </w:r>
          </w:p>
          <w:p>
            <w:pPr>
              <w:pStyle w:val="51"/>
              <w:rPr>
                <w:rFonts w:hint="default" w:ascii="Times New Roman" w:hAnsi="Times New Roman" w:cs="Times New Roman"/>
                <w:sz w:val="18"/>
                <w:szCs w:val="18"/>
              </w:rPr>
            </w:pPr>
            <w:r>
              <w:rPr>
                <w:rFonts w:hint="default" w:ascii="Times New Roman" w:hAnsi="Times New Roman" w:cs="Times New Roman"/>
                <w:sz w:val="18"/>
                <w:szCs w:val="18"/>
              </w:rPr>
              <w:t>指数</w:t>
            </w:r>
          </w:p>
          <w:p>
            <w:pPr>
              <w:pStyle w:val="51"/>
              <w:rPr>
                <w:rFonts w:hint="default" w:ascii="Times New Roman" w:hAnsi="Times New Roman" w:cs="Times New Roman"/>
                <w:sz w:val="18"/>
                <w:szCs w:val="18"/>
              </w:rPr>
            </w:pPr>
            <w:r>
              <w:rPr>
                <w:rFonts w:hint="default" w:ascii="Times New Roman" w:hAnsi="Times New Roman" w:cs="Times New Roman"/>
                <w:sz w:val="18"/>
                <w:szCs w:val="18"/>
              </w:rPr>
              <w:t>(mg/L)</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透明度</w:t>
            </w:r>
          </w:p>
          <w:p>
            <w:pPr>
              <w:pStyle w:val="51"/>
              <w:rPr>
                <w:rFonts w:hint="default" w:ascii="Times New Roman" w:hAnsi="Times New Roman" w:cs="Times New Roman"/>
                <w:sz w:val="18"/>
                <w:szCs w:val="18"/>
              </w:rPr>
            </w:pPr>
            <w:r>
              <w:rPr>
                <w:rFonts w:hint="default" w:ascii="Times New Roman" w:hAnsi="Times New Roman" w:cs="Times New Roman"/>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贫营养</w:t>
            </w:r>
          </w:p>
          <w:p>
            <w:pPr>
              <w:pStyle w:val="51"/>
              <w:rPr>
                <w:rFonts w:hint="default" w:ascii="Times New Roman" w:hAnsi="Times New Roman" w:cs="Times New Roman"/>
                <w:sz w:val="18"/>
                <w:szCs w:val="18"/>
              </w:rPr>
            </w:pPr>
            <w:r>
              <w:rPr>
                <w:rFonts w:hint="default" w:ascii="Times New Roman" w:hAnsi="Times New Roman" w:cs="Times New Roman"/>
                <w:sz w:val="18"/>
                <w:szCs w:val="18"/>
              </w:rPr>
              <w:t>(0≤EI≤20)</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0.001</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0.020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0.0005</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0.15</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Merge w:val="continue"/>
            <w:vAlign w:val="center"/>
          </w:tcPr>
          <w:p>
            <w:pPr>
              <w:pStyle w:val="51"/>
              <w:rPr>
                <w:rFonts w:hint="default" w:ascii="Times New Roman" w:hAnsi="Times New Roman" w:cs="Times New Roman"/>
                <w:sz w:val="18"/>
                <w:szCs w:val="18"/>
              </w:rPr>
            </w:pP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20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0.004</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0.050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0.0010</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0.4</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中营养</w:t>
            </w:r>
          </w:p>
          <w:p>
            <w:pPr>
              <w:pStyle w:val="51"/>
              <w:rPr>
                <w:rFonts w:hint="default" w:ascii="Times New Roman" w:hAnsi="Times New Roman" w:cs="Times New Roman"/>
                <w:sz w:val="18"/>
                <w:szCs w:val="18"/>
              </w:rPr>
            </w:pPr>
            <w:r>
              <w:rPr>
                <w:rFonts w:hint="default" w:ascii="Times New Roman" w:hAnsi="Times New Roman" w:cs="Times New Roman"/>
                <w:sz w:val="18"/>
                <w:szCs w:val="18"/>
              </w:rPr>
              <w:t>(20&lt;EI≤50)</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30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0.0020</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Merge w:val="continue"/>
            <w:vAlign w:val="center"/>
          </w:tcPr>
          <w:p>
            <w:pPr>
              <w:pStyle w:val="51"/>
              <w:rPr>
                <w:rFonts w:hint="default" w:ascii="Times New Roman" w:hAnsi="Times New Roman" w:cs="Times New Roman"/>
                <w:sz w:val="18"/>
                <w:szCs w:val="18"/>
              </w:rPr>
            </w:pP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40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0.025</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0.30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0.0040</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2.0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pct"/>
            <w:gridSpan w:val="2"/>
            <w:vMerge w:val="continue"/>
            <w:vAlign w:val="center"/>
          </w:tcPr>
          <w:p>
            <w:pPr>
              <w:pStyle w:val="51"/>
              <w:rPr>
                <w:rFonts w:hint="default" w:ascii="Times New Roman" w:hAnsi="Times New Roman" w:cs="Times New Roman"/>
                <w:sz w:val="18"/>
                <w:szCs w:val="18"/>
              </w:rPr>
            </w:pP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50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0.050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0.50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0.010</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4.0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富营养</w:t>
            </w:r>
          </w:p>
        </w:tc>
        <w:tc>
          <w:tcPr>
            <w:tcW w:w="13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轻度富营养(50&lt;EI≤60)</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60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0.026</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8.0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continue"/>
            <w:vAlign w:val="center"/>
          </w:tcPr>
          <w:p>
            <w:pPr>
              <w:pStyle w:val="51"/>
              <w:rPr>
                <w:rFonts w:hint="default" w:ascii="Times New Roman" w:hAnsi="Times New Roman" w:cs="Times New Roman"/>
                <w:sz w:val="18"/>
                <w:szCs w:val="18"/>
              </w:rPr>
            </w:pPr>
          </w:p>
        </w:tc>
        <w:tc>
          <w:tcPr>
            <w:tcW w:w="1381"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中度富营养(60&lt;EI≤80)</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70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0.20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2.0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0.064</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10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continue"/>
            <w:vAlign w:val="center"/>
          </w:tcPr>
          <w:p>
            <w:pPr>
              <w:pStyle w:val="51"/>
              <w:rPr>
                <w:rFonts w:hint="default" w:ascii="Times New Roman" w:hAnsi="Times New Roman" w:cs="Times New Roman"/>
                <w:sz w:val="18"/>
                <w:szCs w:val="18"/>
              </w:rPr>
            </w:pPr>
          </w:p>
        </w:tc>
        <w:tc>
          <w:tcPr>
            <w:tcW w:w="1381" w:type="pct"/>
            <w:vMerge w:val="continue"/>
            <w:vAlign w:val="center"/>
          </w:tcPr>
          <w:p>
            <w:pPr>
              <w:pStyle w:val="51"/>
              <w:rPr>
                <w:rFonts w:hint="default" w:ascii="Times New Roman" w:hAnsi="Times New Roman" w:cs="Times New Roman"/>
                <w:sz w:val="18"/>
                <w:szCs w:val="18"/>
              </w:rPr>
            </w:pP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80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0.60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6.0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0.16</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25</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continue"/>
            <w:vAlign w:val="center"/>
          </w:tcPr>
          <w:p>
            <w:pPr>
              <w:pStyle w:val="51"/>
              <w:rPr>
                <w:rFonts w:hint="default" w:ascii="Times New Roman" w:hAnsi="Times New Roman" w:cs="Times New Roman"/>
                <w:sz w:val="18"/>
                <w:szCs w:val="18"/>
              </w:rPr>
            </w:pPr>
          </w:p>
        </w:tc>
        <w:tc>
          <w:tcPr>
            <w:tcW w:w="13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重度富营养(80&lt;E≤100)</w:t>
            </w:r>
          </w:p>
        </w:tc>
        <w:tc>
          <w:tcPr>
            <w:tcW w:w="60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90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0.90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9.0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0.40</w:t>
            </w:r>
          </w:p>
        </w:tc>
        <w:tc>
          <w:tcPr>
            <w:tcW w:w="60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40</w:t>
            </w:r>
          </w:p>
        </w:tc>
        <w:tc>
          <w:tcPr>
            <w:tcW w:w="48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0.2</w:t>
            </w:r>
          </w:p>
        </w:tc>
      </w:tr>
    </w:tbl>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2.5-6</w:t>
      </w:r>
      <w:r>
        <w:rPr>
          <w:rFonts w:hint="eastAsia" w:ascii="Times New Roman" w:hAnsi="Times New Roman" w:cs="Times New Roman"/>
          <w:sz w:val="24"/>
          <w:szCs w:val="24"/>
        </w:rPr>
        <w:t xml:space="preserve">               水库富营养化状况评估赋分标准表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9"/>
        <w:gridCol w:w="767"/>
        <w:gridCol w:w="741"/>
        <w:gridCol w:w="899"/>
        <w:gridCol w:w="899"/>
        <w:gridCol w:w="899"/>
        <w:gridCol w:w="899"/>
        <w:gridCol w:w="899"/>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0" w:type="pct"/>
            <w:vAlign w:val="center"/>
          </w:tcPr>
          <w:p>
            <w:pPr>
              <w:pStyle w:val="51"/>
            </w:pPr>
            <w:r>
              <w:rPr>
                <w:rFonts w:hint="eastAsia"/>
              </w:rPr>
              <w:t>湖库富营养化指数值</w:t>
            </w:r>
          </w:p>
        </w:tc>
        <w:tc>
          <w:tcPr>
            <w:tcW w:w="406" w:type="pct"/>
            <w:vAlign w:val="center"/>
          </w:tcPr>
          <w:p>
            <w:pPr>
              <w:pStyle w:val="51"/>
            </w:pPr>
            <w:r>
              <w:rPr>
                <w:rFonts w:hint="eastAsia"/>
              </w:rPr>
              <w:t>≤10</w:t>
            </w:r>
          </w:p>
        </w:tc>
        <w:tc>
          <w:tcPr>
            <w:tcW w:w="339" w:type="pct"/>
            <w:vAlign w:val="center"/>
          </w:tcPr>
          <w:p>
            <w:pPr>
              <w:pStyle w:val="51"/>
            </w:pPr>
            <w:r>
              <w:t>10-42</w:t>
            </w:r>
          </w:p>
        </w:tc>
        <w:tc>
          <w:tcPr>
            <w:tcW w:w="474" w:type="pct"/>
            <w:vAlign w:val="center"/>
          </w:tcPr>
          <w:p>
            <w:pPr>
              <w:pStyle w:val="51"/>
            </w:pPr>
            <w:r>
              <w:t>42-45</w:t>
            </w:r>
          </w:p>
        </w:tc>
        <w:tc>
          <w:tcPr>
            <w:tcW w:w="474" w:type="pct"/>
            <w:vAlign w:val="center"/>
          </w:tcPr>
          <w:p>
            <w:pPr>
              <w:pStyle w:val="51"/>
            </w:pPr>
            <w:r>
              <w:t>45-50</w:t>
            </w:r>
          </w:p>
        </w:tc>
        <w:tc>
          <w:tcPr>
            <w:tcW w:w="474" w:type="pct"/>
            <w:vAlign w:val="center"/>
          </w:tcPr>
          <w:p>
            <w:pPr>
              <w:pStyle w:val="51"/>
            </w:pPr>
            <w:r>
              <w:t>50-60</w:t>
            </w:r>
          </w:p>
        </w:tc>
        <w:tc>
          <w:tcPr>
            <w:tcW w:w="474" w:type="pct"/>
            <w:vAlign w:val="center"/>
          </w:tcPr>
          <w:p>
            <w:pPr>
              <w:pStyle w:val="51"/>
            </w:pPr>
            <w:r>
              <w:t>60-65</w:t>
            </w:r>
          </w:p>
        </w:tc>
        <w:tc>
          <w:tcPr>
            <w:tcW w:w="474" w:type="pct"/>
            <w:vAlign w:val="center"/>
          </w:tcPr>
          <w:p>
            <w:pPr>
              <w:pStyle w:val="51"/>
            </w:pPr>
            <w:r>
              <w:t>65-70</w:t>
            </w:r>
          </w:p>
        </w:tc>
        <w:tc>
          <w:tcPr>
            <w:tcW w:w="406" w:type="pct"/>
            <w:vAlign w:val="center"/>
          </w:tcPr>
          <w:p>
            <w:pPr>
              <w:pStyle w:val="51"/>
            </w:pPr>
            <w:r>
              <w:rPr>
                <w:rFonts w:hint="eastAsia"/>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0" w:type="pct"/>
            <w:vAlign w:val="center"/>
          </w:tcPr>
          <w:p>
            <w:pPr>
              <w:pStyle w:val="51"/>
              <w:rPr>
                <w:b/>
              </w:rPr>
            </w:pPr>
            <w:r>
              <w:rPr>
                <w:rFonts w:hint="eastAsia"/>
                <w:b/>
              </w:rPr>
              <w:t>湖库富营养化指数赋分</w:t>
            </w:r>
          </w:p>
        </w:tc>
        <w:tc>
          <w:tcPr>
            <w:tcW w:w="406" w:type="pct"/>
            <w:vAlign w:val="center"/>
          </w:tcPr>
          <w:p>
            <w:pPr>
              <w:pStyle w:val="51"/>
              <w:rPr>
                <w:b/>
              </w:rPr>
            </w:pPr>
            <w:r>
              <w:rPr>
                <w:rFonts w:hint="eastAsia"/>
                <w:b/>
              </w:rPr>
              <w:t>100</w:t>
            </w:r>
          </w:p>
        </w:tc>
        <w:tc>
          <w:tcPr>
            <w:tcW w:w="339" w:type="pct"/>
            <w:vAlign w:val="center"/>
          </w:tcPr>
          <w:p>
            <w:pPr>
              <w:pStyle w:val="51"/>
              <w:rPr>
                <w:b/>
              </w:rPr>
            </w:pPr>
            <w:r>
              <w:rPr>
                <w:rFonts w:hint="eastAsia"/>
                <w:b/>
              </w:rPr>
              <w:t>80</w:t>
            </w:r>
          </w:p>
        </w:tc>
        <w:tc>
          <w:tcPr>
            <w:tcW w:w="474" w:type="pct"/>
            <w:vAlign w:val="center"/>
          </w:tcPr>
          <w:p>
            <w:pPr>
              <w:pStyle w:val="51"/>
              <w:rPr>
                <w:b/>
              </w:rPr>
            </w:pPr>
            <w:r>
              <w:rPr>
                <w:rFonts w:hint="eastAsia"/>
                <w:b/>
              </w:rPr>
              <w:t>70</w:t>
            </w:r>
          </w:p>
        </w:tc>
        <w:tc>
          <w:tcPr>
            <w:tcW w:w="474" w:type="pct"/>
            <w:vAlign w:val="center"/>
          </w:tcPr>
          <w:p>
            <w:pPr>
              <w:pStyle w:val="51"/>
              <w:rPr>
                <w:b/>
              </w:rPr>
            </w:pPr>
            <w:r>
              <w:rPr>
                <w:rFonts w:hint="eastAsia"/>
                <w:b/>
              </w:rPr>
              <w:t>60</w:t>
            </w:r>
          </w:p>
        </w:tc>
        <w:tc>
          <w:tcPr>
            <w:tcW w:w="474" w:type="pct"/>
            <w:vAlign w:val="center"/>
          </w:tcPr>
          <w:p>
            <w:pPr>
              <w:pStyle w:val="51"/>
              <w:rPr>
                <w:b/>
              </w:rPr>
            </w:pPr>
            <w:r>
              <w:rPr>
                <w:rFonts w:hint="eastAsia"/>
                <w:b/>
              </w:rPr>
              <w:t>50</w:t>
            </w:r>
          </w:p>
        </w:tc>
        <w:tc>
          <w:tcPr>
            <w:tcW w:w="474" w:type="pct"/>
            <w:vAlign w:val="center"/>
          </w:tcPr>
          <w:p>
            <w:pPr>
              <w:pStyle w:val="51"/>
              <w:rPr>
                <w:b/>
              </w:rPr>
            </w:pPr>
            <w:r>
              <w:rPr>
                <w:rFonts w:hint="eastAsia"/>
                <w:b/>
              </w:rPr>
              <w:t>30</w:t>
            </w:r>
          </w:p>
        </w:tc>
        <w:tc>
          <w:tcPr>
            <w:tcW w:w="474" w:type="pct"/>
            <w:vAlign w:val="center"/>
          </w:tcPr>
          <w:p>
            <w:pPr>
              <w:pStyle w:val="51"/>
              <w:rPr>
                <w:b/>
              </w:rPr>
            </w:pPr>
            <w:r>
              <w:rPr>
                <w:rFonts w:hint="eastAsia"/>
                <w:b/>
              </w:rPr>
              <w:t>10</w:t>
            </w:r>
          </w:p>
        </w:tc>
        <w:tc>
          <w:tcPr>
            <w:tcW w:w="406" w:type="pct"/>
            <w:vAlign w:val="center"/>
          </w:tcPr>
          <w:p>
            <w:pPr>
              <w:pStyle w:val="51"/>
              <w:rPr>
                <w:b/>
              </w:rPr>
            </w:pPr>
            <w:r>
              <w:rPr>
                <w:rFonts w:hint="eastAsia"/>
                <w:b/>
              </w:rPr>
              <w:t>0</w:t>
            </w:r>
          </w:p>
        </w:tc>
      </w:tr>
    </w:tbl>
    <w:p>
      <w:pPr>
        <w:ind w:firstLine="480"/>
      </w:pPr>
      <w:r>
        <w:rPr>
          <w:rFonts w:hint="eastAsia"/>
        </w:rPr>
        <w:t>（四）水文变化趋势</w:t>
      </w:r>
    </w:p>
    <w:p>
      <w:pPr>
        <w:ind w:firstLine="480"/>
      </w:pPr>
      <w:r>
        <w:rPr>
          <w:rFonts w:hint="eastAsia"/>
        </w:rPr>
        <w:t>收集近年（近3年或上一年度）水质监测资料并开展评价，按照水质变化趋势赋分。</w:t>
      </w:r>
    </w:p>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2.5-7</w:t>
      </w:r>
      <w:r>
        <w:rPr>
          <w:rFonts w:hint="eastAsia" w:ascii="Times New Roman" w:hAnsi="Times New Roman" w:cs="Times New Roman"/>
          <w:sz w:val="24"/>
          <w:szCs w:val="24"/>
        </w:rPr>
        <w:t xml:space="preserve">                  水质变化趋势赋分标准表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091"/>
        <w:gridCol w:w="2091"/>
        <w:gridCol w:w="1522"/>
        <w:gridCol w:w="1522"/>
        <w:gridCol w:w="843"/>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水质变化趋势</w:t>
            </w:r>
          </w:p>
        </w:tc>
        <w:tc>
          <w:tcPr>
            <w:tcW w:w="1089"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水质提升2个类别或稳定在Ⅱ类水质（主要水质指标总体向好）</w:t>
            </w:r>
          </w:p>
        </w:tc>
        <w:tc>
          <w:tcPr>
            <w:tcW w:w="1089"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水质提升1个类别或稳定在Ⅱ类水质（主要水质指标总体稳定）</w:t>
            </w:r>
          </w:p>
        </w:tc>
        <w:tc>
          <w:tcPr>
            <w:tcW w:w="793"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水质类别稳定，且主要水质指标总体稳定</w:t>
            </w:r>
          </w:p>
        </w:tc>
        <w:tc>
          <w:tcPr>
            <w:tcW w:w="793"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水质类别稳定，但主要水质指标总体下降</w:t>
            </w:r>
          </w:p>
        </w:tc>
        <w:tc>
          <w:tcPr>
            <w:tcW w:w="439"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水质下降1个类别</w:t>
            </w:r>
          </w:p>
        </w:tc>
        <w:tc>
          <w:tcPr>
            <w:tcW w:w="431" w:type="pct"/>
            <w:vAlign w:val="center"/>
          </w:tcPr>
          <w:p>
            <w:pPr>
              <w:pStyle w:val="51"/>
              <w:rPr>
                <w:rFonts w:hint="default" w:ascii="Times New Roman" w:hAnsi="Times New Roman" w:cs="Times New Roman"/>
                <w:sz w:val="18"/>
                <w:szCs w:val="18"/>
                <w:lang w:val="en-GB"/>
              </w:rPr>
            </w:pPr>
            <w:r>
              <w:rPr>
                <w:rFonts w:hint="default" w:ascii="Times New Roman" w:hAnsi="Times New Roman" w:cs="Times New Roman"/>
                <w:sz w:val="18"/>
                <w:szCs w:val="18"/>
                <w:lang w:val="en-GB"/>
              </w:rPr>
              <w:t>水质下降2个类别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赋分</w:t>
            </w:r>
          </w:p>
        </w:tc>
        <w:tc>
          <w:tcPr>
            <w:tcW w:w="1089"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100</w:t>
            </w:r>
          </w:p>
        </w:tc>
        <w:tc>
          <w:tcPr>
            <w:tcW w:w="1089"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90</w:t>
            </w:r>
          </w:p>
        </w:tc>
        <w:tc>
          <w:tcPr>
            <w:tcW w:w="793"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70</w:t>
            </w:r>
          </w:p>
        </w:tc>
        <w:tc>
          <w:tcPr>
            <w:tcW w:w="793"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40</w:t>
            </w:r>
          </w:p>
        </w:tc>
        <w:tc>
          <w:tcPr>
            <w:tcW w:w="439"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20</w:t>
            </w:r>
          </w:p>
        </w:tc>
        <w:tc>
          <w:tcPr>
            <w:tcW w:w="431" w:type="pct"/>
            <w:vAlign w:val="center"/>
          </w:tcPr>
          <w:p>
            <w:pPr>
              <w:pStyle w:val="51"/>
              <w:rPr>
                <w:rFonts w:hint="default" w:ascii="Times New Roman" w:hAnsi="Times New Roman" w:cs="Times New Roman"/>
                <w:b/>
                <w:sz w:val="18"/>
                <w:szCs w:val="18"/>
                <w:lang w:val="en-GB"/>
              </w:rPr>
            </w:pPr>
            <w:r>
              <w:rPr>
                <w:rFonts w:hint="default" w:ascii="Times New Roman" w:hAnsi="Times New Roman" w:cs="Times New Roman"/>
                <w:b/>
                <w:sz w:val="18"/>
                <w:szCs w:val="18"/>
                <w:lang w:val="en-GB"/>
              </w:rPr>
              <w:t>0</w:t>
            </w:r>
          </w:p>
        </w:tc>
      </w:tr>
    </w:tbl>
    <w:p>
      <w:pPr>
        <w:outlineLvl w:val="9"/>
        <w:rPr>
          <w:rFonts w:hint="eastAsia"/>
          <w:b/>
          <w:lang w:val="en-US" w:eastAsia="zh-CN"/>
        </w:rPr>
      </w:pPr>
    </w:p>
    <w:p>
      <w:pPr>
        <w:outlineLvl w:val="3"/>
        <w:rPr>
          <w:b/>
          <w:lang w:val="en-GB"/>
        </w:rPr>
      </w:pPr>
      <w:r>
        <w:rPr>
          <w:rFonts w:hint="eastAsia"/>
          <w:b/>
          <w:lang w:val="en-US" w:eastAsia="zh-CN"/>
        </w:rPr>
        <w:t xml:space="preserve">2.5.2.4 </w:t>
      </w:r>
      <w:r>
        <w:rPr>
          <w:rFonts w:hint="eastAsia"/>
          <w:b/>
          <w:lang w:val="en-GB"/>
        </w:rPr>
        <w:t>生物</w:t>
      </w:r>
    </w:p>
    <w:p>
      <w:pPr>
        <w:ind w:firstLine="480"/>
        <w:rPr>
          <w:lang w:val="en-GB"/>
        </w:rPr>
      </w:pPr>
      <w:r>
        <w:rPr>
          <w:rFonts w:hint="eastAsia"/>
          <w:lang w:val="en-GB"/>
        </w:rPr>
        <w:t>收集或调查历史及现状水生动植物情况，按照下表赋分。</w:t>
      </w:r>
    </w:p>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2.5-8</w:t>
      </w:r>
      <w:r>
        <w:rPr>
          <w:rFonts w:hint="eastAsia" w:ascii="Times New Roman" w:hAnsi="Times New Roman" w:cs="Times New Roman"/>
          <w:sz w:val="24"/>
          <w:szCs w:val="24"/>
        </w:rPr>
        <w:t xml:space="preserve">                外来水生动植物指数赋分标准表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056"/>
        <w:gridCol w:w="1491"/>
        <w:gridCol w:w="1621"/>
        <w:gridCol w:w="1358"/>
        <w:gridCol w:w="1621"/>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51"/>
              <w:rPr>
                <w:sz w:val="18"/>
                <w:szCs w:val="18"/>
              </w:rPr>
            </w:pPr>
            <w:r>
              <w:rPr>
                <w:rFonts w:hint="eastAsia"/>
                <w:sz w:val="18"/>
                <w:szCs w:val="18"/>
              </w:rPr>
              <w:t>外来水生动植物</w:t>
            </w:r>
          </w:p>
        </w:tc>
        <w:tc>
          <w:tcPr>
            <w:tcW w:w="0" w:type="auto"/>
            <w:vAlign w:val="center"/>
          </w:tcPr>
          <w:p>
            <w:pPr>
              <w:pStyle w:val="51"/>
              <w:rPr>
                <w:sz w:val="18"/>
                <w:szCs w:val="18"/>
              </w:rPr>
            </w:pPr>
            <w:r>
              <w:rPr>
                <w:rFonts w:hint="eastAsia"/>
                <w:sz w:val="18"/>
                <w:szCs w:val="18"/>
              </w:rPr>
              <w:t>无外来水生动植物</w:t>
            </w:r>
          </w:p>
        </w:tc>
        <w:tc>
          <w:tcPr>
            <w:tcW w:w="0" w:type="auto"/>
            <w:vAlign w:val="center"/>
          </w:tcPr>
          <w:p>
            <w:pPr>
              <w:pStyle w:val="51"/>
              <w:rPr>
                <w:sz w:val="18"/>
                <w:szCs w:val="18"/>
              </w:rPr>
            </w:pPr>
            <w:r>
              <w:rPr>
                <w:rFonts w:hint="eastAsia"/>
                <w:sz w:val="18"/>
                <w:szCs w:val="18"/>
              </w:rPr>
              <w:t>有1~2种无害外来水生动植物</w:t>
            </w:r>
          </w:p>
        </w:tc>
        <w:tc>
          <w:tcPr>
            <w:tcW w:w="0" w:type="auto"/>
            <w:vAlign w:val="center"/>
          </w:tcPr>
          <w:p>
            <w:pPr>
              <w:pStyle w:val="51"/>
              <w:rPr>
                <w:sz w:val="18"/>
                <w:szCs w:val="18"/>
              </w:rPr>
            </w:pPr>
            <w:r>
              <w:rPr>
                <w:rFonts w:hint="eastAsia"/>
                <w:sz w:val="18"/>
                <w:szCs w:val="18"/>
              </w:rPr>
              <w:t>有3种及以上无害外来水生动植物</w:t>
            </w:r>
          </w:p>
        </w:tc>
        <w:tc>
          <w:tcPr>
            <w:tcW w:w="0" w:type="auto"/>
            <w:vAlign w:val="center"/>
          </w:tcPr>
          <w:p>
            <w:pPr>
              <w:pStyle w:val="51"/>
              <w:rPr>
                <w:sz w:val="18"/>
                <w:szCs w:val="18"/>
              </w:rPr>
            </w:pPr>
            <w:r>
              <w:rPr>
                <w:rFonts w:hint="eastAsia"/>
                <w:sz w:val="18"/>
                <w:szCs w:val="18"/>
              </w:rPr>
              <w:t>有1种有害外来水生动植物</w:t>
            </w:r>
          </w:p>
        </w:tc>
        <w:tc>
          <w:tcPr>
            <w:tcW w:w="0" w:type="auto"/>
            <w:vAlign w:val="center"/>
          </w:tcPr>
          <w:p>
            <w:pPr>
              <w:pStyle w:val="51"/>
              <w:rPr>
                <w:sz w:val="18"/>
                <w:szCs w:val="18"/>
              </w:rPr>
            </w:pPr>
            <w:r>
              <w:rPr>
                <w:rFonts w:hint="eastAsia"/>
                <w:sz w:val="18"/>
                <w:szCs w:val="18"/>
              </w:rPr>
              <w:t>有2种及以上有害外来水生动植物</w:t>
            </w:r>
          </w:p>
        </w:tc>
        <w:tc>
          <w:tcPr>
            <w:tcW w:w="0" w:type="auto"/>
            <w:vAlign w:val="center"/>
          </w:tcPr>
          <w:p>
            <w:pPr>
              <w:pStyle w:val="51"/>
              <w:rPr>
                <w:sz w:val="18"/>
                <w:szCs w:val="18"/>
              </w:rPr>
            </w:pPr>
            <w:r>
              <w:rPr>
                <w:rFonts w:hint="eastAsia"/>
                <w:sz w:val="18"/>
                <w:szCs w:val="18"/>
              </w:rPr>
              <w:t>外来水生动植物已造成生态灾害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51"/>
              <w:rPr>
                <w:b/>
                <w:sz w:val="18"/>
                <w:szCs w:val="18"/>
              </w:rPr>
            </w:pPr>
            <w:r>
              <w:rPr>
                <w:rFonts w:hint="eastAsia"/>
                <w:b/>
                <w:sz w:val="18"/>
                <w:szCs w:val="18"/>
              </w:rPr>
              <w:t>赋分</w:t>
            </w:r>
          </w:p>
        </w:tc>
        <w:tc>
          <w:tcPr>
            <w:tcW w:w="0" w:type="auto"/>
            <w:vAlign w:val="center"/>
          </w:tcPr>
          <w:p>
            <w:pPr>
              <w:pStyle w:val="51"/>
              <w:rPr>
                <w:b/>
                <w:sz w:val="18"/>
                <w:szCs w:val="18"/>
              </w:rPr>
            </w:pPr>
            <w:r>
              <w:rPr>
                <w:rFonts w:hint="eastAsia"/>
                <w:b/>
                <w:sz w:val="18"/>
                <w:szCs w:val="18"/>
              </w:rPr>
              <w:t>100</w:t>
            </w:r>
          </w:p>
        </w:tc>
        <w:tc>
          <w:tcPr>
            <w:tcW w:w="0" w:type="auto"/>
            <w:vAlign w:val="center"/>
          </w:tcPr>
          <w:p>
            <w:pPr>
              <w:pStyle w:val="51"/>
              <w:rPr>
                <w:b/>
                <w:sz w:val="18"/>
                <w:szCs w:val="18"/>
              </w:rPr>
            </w:pPr>
            <w:r>
              <w:rPr>
                <w:rFonts w:hint="eastAsia"/>
                <w:b/>
                <w:sz w:val="18"/>
                <w:szCs w:val="18"/>
              </w:rPr>
              <w:t>80</w:t>
            </w:r>
          </w:p>
        </w:tc>
        <w:tc>
          <w:tcPr>
            <w:tcW w:w="0" w:type="auto"/>
            <w:vAlign w:val="center"/>
          </w:tcPr>
          <w:p>
            <w:pPr>
              <w:pStyle w:val="51"/>
              <w:rPr>
                <w:b/>
                <w:sz w:val="18"/>
                <w:szCs w:val="18"/>
              </w:rPr>
            </w:pPr>
            <w:r>
              <w:rPr>
                <w:rFonts w:hint="eastAsia"/>
                <w:b/>
                <w:sz w:val="18"/>
                <w:szCs w:val="18"/>
              </w:rPr>
              <w:t>60</w:t>
            </w:r>
          </w:p>
        </w:tc>
        <w:tc>
          <w:tcPr>
            <w:tcW w:w="0" w:type="auto"/>
            <w:vAlign w:val="center"/>
          </w:tcPr>
          <w:p>
            <w:pPr>
              <w:pStyle w:val="51"/>
              <w:rPr>
                <w:b/>
                <w:sz w:val="18"/>
                <w:szCs w:val="18"/>
              </w:rPr>
            </w:pPr>
            <w:r>
              <w:rPr>
                <w:rFonts w:hint="eastAsia"/>
                <w:b/>
                <w:sz w:val="18"/>
                <w:szCs w:val="18"/>
              </w:rPr>
              <w:t>40</w:t>
            </w:r>
          </w:p>
        </w:tc>
        <w:tc>
          <w:tcPr>
            <w:tcW w:w="0" w:type="auto"/>
            <w:vAlign w:val="center"/>
          </w:tcPr>
          <w:p>
            <w:pPr>
              <w:pStyle w:val="51"/>
              <w:rPr>
                <w:b/>
                <w:sz w:val="18"/>
                <w:szCs w:val="18"/>
              </w:rPr>
            </w:pPr>
            <w:r>
              <w:rPr>
                <w:rFonts w:hint="eastAsia"/>
                <w:b/>
                <w:sz w:val="18"/>
                <w:szCs w:val="18"/>
              </w:rPr>
              <w:t>20</w:t>
            </w:r>
          </w:p>
        </w:tc>
        <w:tc>
          <w:tcPr>
            <w:tcW w:w="0" w:type="auto"/>
            <w:vAlign w:val="center"/>
          </w:tcPr>
          <w:p>
            <w:pPr>
              <w:pStyle w:val="51"/>
              <w:rPr>
                <w:b/>
                <w:sz w:val="18"/>
                <w:szCs w:val="18"/>
              </w:rPr>
            </w:pPr>
            <w:r>
              <w:rPr>
                <w:rFonts w:hint="eastAsia"/>
                <w:b/>
                <w:sz w:val="18"/>
                <w:szCs w:val="18"/>
              </w:rPr>
              <w:t>0</w:t>
            </w:r>
          </w:p>
        </w:tc>
      </w:tr>
    </w:tbl>
    <w:p>
      <w:pPr>
        <w:ind w:firstLine="482"/>
        <w:outlineLvl w:val="3"/>
        <w:rPr>
          <w:b/>
        </w:rPr>
      </w:pPr>
      <w:r>
        <w:rPr>
          <w:rFonts w:hint="eastAsia"/>
          <w:b/>
          <w:lang w:val="en-US" w:eastAsia="zh-CN"/>
        </w:rPr>
        <w:t xml:space="preserve">2.5.2.5 </w:t>
      </w:r>
      <w:r>
        <w:rPr>
          <w:rFonts w:hint="eastAsia"/>
          <w:b/>
        </w:rPr>
        <w:t>河湖管理与社会服务功能</w:t>
      </w:r>
    </w:p>
    <w:p>
      <w:pPr>
        <w:ind w:firstLine="480"/>
      </w:pPr>
      <w:r>
        <w:rPr>
          <w:rFonts w:hint="eastAsia"/>
        </w:rPr>
        <w:t>（一）公众满意度调查</w:t>
      </w:r>
    </w:p>
    <w:p>
      <w:pPr>
        <w:ind w:firstLine="480"/>
      </w:pPr>
      <w:r>
        <w:rPr>
          <w:rFonts w:hint="eastAsia"/>
        </w:rPr>
        <w:t>评估公众对水库环境、水质水量、涉水景观、舒适性、美学价值等的满意程度，采用公众调查方法评估。</w:t>
      </w:r>
    </w:p>
    <w:p>
      <w:pPr>
        <w:ind w:firstLine="480"/>
      </w:pPr>
      <w:r>
        <w:rPr>
          <w:rFonts w:hint="eastAsia"/>
        </w:rPr>
        <w:t>公众满意度赋分取所有公众赋分的平均值。水库健康评价公众调查表采用《四川省河流（湖库）健康评价指南（试行）》中附表河湖健康评价公众调查表。</w:t>
      </w:r>
    </w:p>
    <w:p>
      <w:pPr>
        <w:ind w:firstLine="480"/>
      </w:pPr>
      <w:r>
        <w:rPr>
          <w:rFonts w:hint="eastAsia"/>
        </w:rPr>
        <w:t>（二）防洪指标</w:t>
      </w:r>
    </w:p>
    <w:p>
      <w:pPr>
        <w:ind w:firstLine="480"/>
      </w:pPr>
      <w:r>
        <w:rPr>
          <w:rFonts w:hint="eastAsia"/>
        </w:rPr>
        <w:t>选用大坝安全、防洪运行调度、监控设施作为防洪评估指标，采用专家评估方法对上述3方面的达标状况进行评估赋分，选用3类指标的最低赋分作为水库防洪指标赋分。</w:t>
      </w:r>
    </w:p>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2.5-9</w:t>
      </w:r>
      <w:r>
        <w:rPr>
          <w:rFonts w:hint="eastAsia" w:ascii="Times New Roman" w:hAnsi="Times New Roman" w:cs="Times New Roman"/>
          <w:sz w:val="24"/>
          <w:szCs w:val="24"/>
        </w:rPr>
        <w:t xml:space="preserve">               水库防洪指标赋分标准表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5389"/>
        <w:gridCol w:w="2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指标</w:t>
            </w:r>
          </w:p>
        </w:tc>
        <w:tc>
          <w:tcPr>
            <w:tcW w:w="280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指标说明</w:t>
            </w:r>
          </w:p>
        </w:tc>
        <w:tc>
          <w:tcPr>
            <w:tcW w:w="1405"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赋分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防洪运行调度</w:t>
            </w:r>
          </w:p>
        </w:tc>
        <w:tc>
          <w:tcPr>
            <w:tcW w:w="280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实际调度方式是否符合设计要求或省、市防指调度命令</w:t>
            </w:r>
          </w:p>
        </w:tc>
        <w:tc>
          <w:tcPr>
            <w:tcW w:w="1405"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符合100，基本符合50，</w:t>
            </w:r>
          </w:p>
          <w:p>
            <w:pPr>
              <w:pStyle w:val="51"/>
              <w:rPr>
                <w:rFonts w:hint="default" w:ascii="Times New Roman" w:hAnsi="Times New Roman" w:cs="Times New Roman"/>
                <w:sz w:val="18"/>
                <w:szCs w:val="18"/>
              </w:rPr>
            </w:pPr>
            <w:r>
              <w:rPr>
                <w:rFonts w:hint="default" w:ascii="Times New Roman" w:hAnsi="Times New Roman" w:cs="Times New Roman"/>
                <w:sz w:val="18"/>
                <w:szCs w:val="18"/>
              </w:rPr>
              <w:t>不符合0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大坝安全</w:t>
            </w:r>
          </w:p>
        </w:tc>
        <w:tc>
          <w:tcPr>
            <w:tcW w:w="280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安评结果是否符合要求</w:t>
            </w:r>
          </w:p>
        </w:tc>
        <w:tc>
          <w:tcPr>
            <w:tcW w:w="1405"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按照安评结果，一类坝</w:t>
            </w:r>
          </w:p>
          <w:p>
            <w:pPr>
              <w:pStyle w:val="51"/>
              <w:rPr>
                <w:rFonts w:hint="default" w:ascii="Times New Roman" w:hAnsi="Times New Roman" w:cs="Times New Roman"/>
                <w:sz w:val="18"/>
                <w:szCs w:val="18"/>
              </w:rPr>
            </w:pPr>
            <w:r>
              <w:rPr>
                <w:rFonts w:hint="default" w:ascii="Times New Roman" w:hAnsi="Times New Roman" w:cs="Times New Roman"/>
                <w:sz w:val="18"/>
                <w:szCs w:val="18"/>
              </w:rPr>
              <w:t>100、二类坝或鉴定为三类</w:t>
            </w:r>
          </w:p>
          <w:p>
            <w:pPr>
              <w:pStyle w:val="51"/>
              <w:rPr>
                <w:rFonts w:hint="default" w:ascii="Times New Roman" w:hAnsi="Times New Roman" w:cs="Times New Roman"/>
                <w:sz w:val="18"/>
                <w:szCs w:val="18"/>
              </w:rPr>
            </w:pPr>
            <w:r>
              <w:rPr>
                <w:rFonts w:hint="default" w:ascii="Times New Roman" w:hAnsi="Times New Roman" w:cs="Times New Roman"/>
                <w:sz w:val="18"/>
                <w:szCs w:val="18"/>
              </w:rPr>
              <w:t>坝但正及时组织开展除险</w:t>
            </w:r>
          </w:p>
          <w:p>
            <w:pPr>
              <w:pStyle w:val="51"/>
              <w:rPr>
                <w:rFonts w:hint="default" w:ascii="Times New Roman" w:hAnsi="Times New Roman" w:cs="Times New Roman"/>
                <w:sz w:val="18"/>
                <w:szCs w:val="18"/>
              </w:rPr>
            </w:pPr>
            <w:r>
              <w:rPr>
                <w:rFonts w:hint="default" w:ascii="Times New Roman" w:hAnsi="Times New Roman" w:cs="Times New Roman"/>
                <w:sz w:val="18"/>
                <w:szCs w:val="18"/>
              </w:rPr>
              <w:t>加固50、超期未安全鉴定</w:t>
            </w:r>
          </w:p>
          <w:p>
            <w:pPr>
              <w:pStyle w:val="51"/>
              <w:rPr>
                <w:rFonts w:hint="default" w:ascii="Times New Roman" w:hAnsi="Times New Roman" w:cs="Times New Roman"/>
                <w:sz w:val="18"/>
                <w:szCs w:val="18"/>
              </w:rPr>
            </w:pPr>
            <w:r>
              <w:rPr>
                <w:rFonts w:hint="default" w:ascii="Times New Roman" w:hAnsi="Times New Roman" w:cs="Times New Roman"/>
                <w:sz w:val="18"/>
                <w:szCs w:val="18"/>
              </w:rPr>
              <w:t>或鉴定为三类坝一年以上</w:t>
            </w:r>
          </w:p>
          <w:p>
            <w:pPr>
              <w:pStyle w:val="51"/>
              <w:rPr>
                <w:rFonts w:hint="default" w:ascii="Times New Roman" w:hAnsi="Times New Roman" w:cs="Times New Roman"/>
                <w:sz w:val="18"/>
                <w:szCs w:val="18"/>
              </w:rPr>
            </w:pPr>
            <w:r>
              <w:rPr>
                <w:rFonts w:hint="default" w:ascii="Times New Roman" w:hAnsi="Times New Roman" w:cs="Times New Roman"/>
                <w:sz w:val="18"/>
                <w:szCs w:val="18"/>
              </w:rPr>
              <w:t>未组织开展除险加固0。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监控设施</w:t>
            </w:r>
          </w:p>
        </w:tc>
        <w:tc>
          <w:tcPr>
            <w:tcW w:w="280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监控设施是否完备</w:t>
            </w:r>
          </w:p>
        </w:tc>
        <w:tc>
          <w:tcPr>
            <w:tcW w:w="1405"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完备100，具备50，不具</w:t>
            </w:r>
          </w:p>
          <w:p>
            <w:pPr>
              <w:pStyle w:val="51"/>
              <w:rPr>
                <w:rFonts w:hint="default" w:ascii="Times New Roman" w:hAnsi="Times New Roman" w:cs="Times New Roman"/>
                <w:sz w:val="18"/>
                <w:szCs w:val="18"/>
              </w:rPr>
            </w:pPr>
            <w:r>
              <w:rPr>
                <w:rFonts w:hint="default" w:ascii="Times New Roman" w:hAnsi="Times New Roman" w:cs="Times New Roman"/>
                <w:sz w:val="18"/>
                <w:szCs w:val="18"/>
              </w:rPr>
              <w:t>备0</w:t>
            </w:r>
          </w:p>
        </w:tc>
      </w:tr>
    </w:tbl>
    <w:p>
      <w:pPr>
        <w:ind w:firstLine="480"/>
      </w:pPr>
      <w:r>
        <w:rPr>
          <w:rFonts w:hint="eastAsia"/>
        </w:rPr>
        <w:t>（三）供水指标</w:t>
      </w:r>
    </w:p>
    <w:p>
      <w:pPr>
        <w:ind w:firstLine="480"/>
      </w:pPr>
      <w:r>
        <w:rPr>
          <w:rFonts w:hint="eastAsia"/>
        </w:rPr>
        <w:t>采用综合供水保证率评估，根据公式计算水库所有供水工程的供水保证率，确定赋分值。</w:t>
      </w:r>
    </w:p>
    <w:p>
      <w:pPr>
        <w:ind w:firstLine="0" w:firstLineChars="0"/>
        <w:jc w:val="center"/>
      </w:pPr>
      <w:r>
        <w:rPr>
          <w:position w:val="-60"/>
        </w:rPr>
        <w:object>
          <v:shape id="_x0000_i1059" o:spt="75" type="#_x0000_t75" style="height:66.75pt;width:89.25pt;" o:ole="t" filled="f" o:preferrelative="t" stroked="f" coordsize="21600,21600">
            <v:path/>
            <v:fill on="f" focussize="0,0"/>
            <v:stroke on="f" joinstyle="miter"/>
            <v:imagedata r:id="rId92" o:title=""/>
            <o:lock v:ext="edit" aspectratio="t"/>
            <w10:wrap type="none"/>
            <w10:anchorlock/>
          </v:shape>
          <o:OLEObject Type="Embed" ProgID="Equation.3" ShapeID="_x0000_i1059" DrawAspect="Content" ObjectID="_1468075759" r:id="rId91">
            <o:LockedField>false</o:LockedField>
          </o:OLEObject>
        </w:object>
      </w:r>
    </w:p>
    <w:p>
      <w:pPr>
        <w:ind w:firstLine="480"/>
      </w:pPr>
      <w:r>
        <w:rPr>
          <w:rFonts w:hint="eastAsia"/>
        </w:rPr>
        <w:t>式中：</w:t>
      </w:r>
    </w:p>
    <w:p>
      <w:pPr>
        <w:ind w:firstLine="480"/>
      </w:pPr>
      <w:r>
        <w:rPr>
          <w:rFonts w:hint="eastAsia"/>
        </w:rPr>
        <w:t>WS──综合供水保证率；</w:t>
      </w:r>
    </w:p>
    <w:p>
      <w:pPr>
        <w:ind w:firstLine="480"/>
      </w:pPr>
      <w:r>
        <w:rPr>
          <w:rFonts w:hint="eastAsia"/>
        </w:rPr>
        <w:t>W</w:t>
      </w:r>
      <w:r>
        <w:rPr>
          <w:rFonts w:hint="eastAsia"/>
          <w:vertAlign w:val="subscript"/>
        </w:rPr>
        <w:t>i</w:t>
      </w:r>
      <w:r>
        <w:rPr>
          <w:rFonts w:hint="eastAsia"/>
        </w:rPr>
        <w:t>──第i个供水工程的平均日供水量（m</w:t>
      </w:r>
      <w:r>
        <w:rPr>
          <w:rFonts w:hint="eastAsia"/>
          <w:vertAlign w:val="superscript"/>
        </w:rPr>
        <w:t>3</w:t>
      </w:r>
      <w:r>
        <w:rPr>
          <w:rFonts w:hint="eastAsia"/>
        </w:rPr>
        <w:t>/d）；</w:t>
      </w:r>
    </w:p>
    <w:p>
      <w:pPr>
        <w:ind w:firstLine="480"/>
      </w:pPr>
      <w:r>
        <w:rPr>
          <w:rFonts w:hint="eastAsia"/>
        </w:rPr>
        <w:t>P</w:t>
      </w:r>
      <w:r>
        <w:rPr>
          <w:rFonts w:hint="eastAsia"/>
          <w:vertAlign w:val="subscript"/>
        </w:rPr>
        <w:t>i</w:t>
      </w:r>
      <w:r>
        <w:rPr>
          <w:rFonts w:hint="eastAsia"/>
        </w:rPr>
        <w:t>──第i个供水工程的供水保证率；</w:t>
      </w:r>
    </w:p>
    <w:p>
      <w:pPr>
        <w:ind w:firstLine="480"/>
      </w:pPr>
      <w:r>
        <w:rPr>
          <w:rFonts w:hint="eastAsia"/>
        </w:rPr>
        <w:t>i──供水工程的序号；</w:t>
      </w:r>
    </w:p>
    <w:p>
      <w:pPr>
        <w:ind w:firstLine="480"/>
      </w:pPr>
      <w:r>
        <w:rPr>
          <w:rFonts w:hint="eastAsia"/>
        </w:rPr>
        <w:t>n──河湖供水工程的总个数。</w:t>
      </w:r>
    </w:p>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2.5-10</w:t>
      </w:r>
      <w:r>
        <w:rPr>
          <w:rFonts w:hint="eastAsia" w:ascii="Times New Roman" w:hAnsi="Times New Roman" w:cs="Times New Roman"/>
          <w:sz w:val="24"/>
          <w:szCs w:val="24"/>
        </w:rPr>
        <w:t xml:space="preserve">             综合供水保证率评估赋分标准表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7"/>
        <w:gridCol w:w="962"/>
        <w:gridCol w:w="1121"/>
        <w:gridCol w:w="1121"/>
        <w:gridCol w:w="1121"/>
        <w:gridCol w:w="112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综合供水保证率（%）</w:t>
            </w:r>
          </w:p>
        </w:tc>
        <w:tc>
          <w:tcPr>
            <w:tcW w:w="50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≥98</w:t>
            </w:r>
          </w:p>
        </w:tc>
        <w:tc>
          <w:tcPr>
            <w:tcW w:w="58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95-98</w:t>
            </w:r>
          </w:p>
        </w:tc>
        <w:tc>
          <w:tcPr>
            <w:tcW w:w="58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85-95</w:t>
            </w:r>
          </w:p>
        </w:tc>
        <w:tc>
          <w:tcPr>
            <w:tcW w:w="58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60-85</w:t>
            </w:r>
          </w:p>
        </w:tc>
        <w:tc>
          <w:tcPr>
            <w:tcW w:w="58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50-60</w:t>
            </w:r>
          </w:p>
        </w:tc>
        <w:tc>
          <w:tcPr>
            <w:tcW w:w="419"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赋分</w:t>
            </w:r>
          </w:p>
        </w:tc>
        <w:tc>
          <w:tcPr>
            <w:tcW w:w="501"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100</w:t>
            </w:r>
          </w:p>
        </w:tc>
        <w:tc>
          <w:tcPr>
            <w:tcW w:w="584"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80</w:t>
            </w:r>
          </w:p>
        </w:tc>
        <w:tc>
          <w:tcPr>
            <w:tcW w:w="584"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60</w:t>
            </w:r>
          </w:p>
        </w:tc>
        <w:tc>
          <w:tcPr>
            <w:tcW w:w="584"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40</w:t>
            </w:r>
          </w:p>
        </w:tc>
        <w:tc>
          <w:tcPr>
            <w:tcW w:w="584"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20</w:t>
            </w:r>
          </w:p>
        </w:tc>
        <w:tc>
          <w:tcPr>
            <w:tcW w:w="419"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0</w:t>
            </w:r>
          </w:p>
        </w:tc>
      </w:tr>
    </w:tbl>
    <w:p>
      <w:pPr>
        <w:ind w:firstLine="480"/>
      </w:pPr>
      <w:r>
        <w:rPr>
          <w:rFonts w:hint="eastAsia"/>
        </w:rPr>
        <w:t>（四）开发利用状况与规划的符合性</w:t>
      </w:r>
    </w:p>
    <w:p>
      <w:pPr>
        <w:ind w:firstLine="480"/>
      </w:pPr>
      <w:r>
        <w:rPr>
          <w:rFonts w:hint="eastAsia"/>
        </w:rPr>
        <w:t>主要复核开发利用任务、运行方式、供水量、供水保证率等内容与规划的符合性；并收集水库主要开发利用现状（发电、采砂、航运、供水）及相关规划，按照符合性赋分。</w:t>
      </w:r>
    </w:p>
    <w:p>
      <w:pPr>
        <w:pStyle w:val="43"/>
        <w:ind w:firstLine="482"/>
        <w:jc w:val="left"/>
        <w:outlineLvl w:val="8"/>
        <w:rPr>
          <w:rFonts w:hint="eastAsia" w:ascii="Times New Roman" w:hAnsi="Times New Roman" w:cs="Times New Roman"/>
          <w:sz w:val="24"/>
          <w:szCs w:val="24"/>
        </w:rPr>
      </w:pPr>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2.5-11</w:t>
      </w:r>
      <w:r>
        <w:rPr>
          <w:rFonts w:hint="eastAsia" w:ascii="Times New Roman" w:hAnsi="Times New Roman" w:cs="Times New Roman"/>
          <w:sz w:val="24"/>
          <w:szCs w:val="24"/>
        </w:rPr>
        <w:t xml:space="preserve">            开发利用状况与规划的符合性赋分标准表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2292"/>
        <w:gridCol w:w="2194"/>
        <w:gridCol w:w="1789"/>
        <w:gridCol w:w="1400"/>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符合性</w:t>
            </w:r>
          </w:p>
        </w:tc>
        <w:tc>
          <w:tcPr>
            <w:tcW w:w="1194"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开发利用活动有规划支撑，且规划现行有效</w:t>
            </w:r>
          </w:p>
        </w:tc>
        <w:tc>
          <w:tcPr>
            <w:tcW w:w="114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开发利用活动有规划支撑，但规划需修编</w:t>
            </w:r>
          </w:p>
        </w:tc>
        <w:tc>
          <w:tcPr>
            <w:tcW w:w="932"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开发利用活动有规划但不完全相符</w:t>
            </w:r>
          </w:p>
        </w:tc>
        <w:tc>
          <w:tcPr>
            <w:tcW w:w="729"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开发利用活动无规划支撑</w:t>
            </w:r>
          </w:p>
        </w:tc>
        <w:tc>
          <w:tcPr>
            <w:tcW w:w="679"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开发利用活动违反规划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赋分</w:t>
            </w:r>
          </w:p>
        </w:tc>
        <w:tc>
          <w:tcPr>
            <w:tcW w:w="1194"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100</w:t>
            </w:r>
          </w:p>
        </w:tc>
        <w:tc>
          <w:tcPr>
            <w:tcW w:w="1143"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80</w:t>
            </w:r>
          </w:p>
        </w:tc>
        <w:tc>
          <w:tcPr>
            <w:tcW w:w="932"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60</w:t>
            </w:r>
          </w:p>
        </w:tc>
        <w:tc>
          <w:tcPr>
            <w:tcW w:w="729"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40</w:t>
            </w:r>
          </w:p>
        </w:tc>
        <w:tc>
          <w:tcPr>
            <w:tcW w:w="679" w:type="pct"/>
            <w:vAlign w:val="center"/>
          </w:tcPr>
          <w:p>
            <w:pPr>
              <w:pStyle w:val="51"/>
              <w:rPr>
                <w:rFonts w:hint="default" w:ascii="Times New Roman" w:hAnsi="Times New Roman" w:cs="Times New Roman"/>
                <w:b/>
                <w:sz w:val="18"/>
                <w:szCs w:val="18"/>
              </w:rPr>
            </w:pPr>
            <w:r>
              <w:rPr>
                <w:rFonts w:hint="default" w:ascii="Times New Roman" w:hAnsi="Times New Roman" w:cs="Times New Roman"/>
                <w:b/>
                <w:sz w:val="18"/>
                <w:szCs w:val="18"/>
              </w:rPr>
              <w:t>0</w:t>
            </w:r>
          </w:p>
        </w:tc>
      </w:tr>
    </w:tbl>
    <w:p>
      <w:pPr>
        <w:ind w:firstLine="482"/>
        <w:outlineLvl w:val="9"/>
        <w:rPr>
          <w:rFonts w:hint="eastAsia"/>
          <w:b/>
          <w:lang w:val="en-US" w:eastAsia="zh-CN"/>
        </w:rPr>
      </w:pPr>
    </w:p>
    <w:p>
      <w:pPr>
        <w:ind w:firstLine="482"/>
        <w:outlineLvl w:val="3"/>
        <w:rPr>
          <w:b/>
        </w:rPr>
      </w:pPr>
      <w:r>
        <w:rPr>
          <w:rFonts w:hint="eastAsia"/>
          <w:b/>
          <w:lang w:val="en-US" w:eastAsia="zh-CN"/>
        </w:rPr>
        <w:t>2.5.2.6</w:t>
      </w:r>
      <w:r>
        <w:rPr>
          <w:rFonts w:hint="eastAsia"/>
          <w:b/>
        </w:rPr>
        <w:t>指标权重</w:t>
      </w:r>
    </w:p>
    <w:p>
      <w:pPr>
        <w:pStyle w:val="43"/>
        <w:ind w:firstLine="482"/>
        <w:jc w:val="left"/>
        <w:outlineLvl w:val="8"/>
        <w:rPr>
          <w:rFonts w:hint="eastAsia" w:ascii="Times New Roman" w:hAnsi="Times New Roman" w:cs="Times New Roman"/>
          <w:sz w:val="24"/>
          <w:szCs w:val="24"/>
        </w:rPr>
      </w:pPr>
      <w:bookmarkStart w:id="40" w:name="_Toc19712"/>
      <w:r>
        <w:rPr>
          <w:rFonts w:hint="eastAsia" w:ascii="Times New Roman" w:hAnsi="Times New Roman" w:cs="Times New Roman"/>
          <w:sz w:val="24"/>
          <w:szCs w:val="24"/>
        </w:rPr>
        <w:t>表</w:t>
      </w:r>
      <w:r>
        <w:rPr>
          <w:rFonts w:hint="eastAsia" w:ascii="Times New Roman" w:hAnsi="Times New Roman" w:cs="Times New Roman"/>
          <w:sz w:val="24"/>
          <w:szCs w:val="24"/>
          <w:lang w:val="en-US" w:eastAsia="zh-CN"/>
        </w:rPr>
        <w:t>2.5-12</w:t>
      </w:r>
      <w:r>
        <w:rPr>
          <w:rFonts w:hint="eastAsia" w:ascii="Times New Roman" w:hAnsi="Times New Roman" w:cs="Times New Roman"/>
          <w:sz w:val="24"/>
          <w:szCs w:val="24"/>
        </w:rPr>
        <w:t xml:space="preserve">                    水库指标权重表</w:t>
      </w:r>
      <w:bookmarkEnd w:id="40"/>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808"/>
        <w:gridCol w:w="2262"/>
        <w:gridCol w:w="2267"/>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分类指标</w:t>
            </w:r>
          </w:p>
        </w:tc>
        <w:tc>
          <w:tcPr>
            <w:tcW w:w="42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所占权重</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 xml:space="preserve">分项指标 </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所占权重（综合利用水库）</w:t>
            </w:r>
          </w:p>
        </w:tc>
        <w:tc>
          <w:tcPr>
            <w:tcW w:w="154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水文水资源</w:t>
            </w:r>
          </w:p>
        </w:tc>
        <w:tc>
          <w:tcPr>
            <w:tcW w:w="42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0.15</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下泄生态基流</w:t>
            </w:r>
          </w:p>
          <w:p>
            <w:pPr>
              <w:pStyle w:val="51"/>
              <w:rPr>
                <w:rFonts w:hint="default" w:ascii="Times New Roman" w:hAnsi="Times New Roman" w:cs="Times New Roman"/>
                <w:sz w:val="18"/>
                <w:szCs w:val="18"/>
              </w:rPr>
            </w:pPr>
            <w:r>
              <w:rPr>
                <w:rFonts w:hint="default" w:ascii="Times New Roman" w:hAnsi="Times New Roman" w:cs="Times New Roman"/>
                <w:sz w:val="18"/>
                <w:szCs w:val="18"/>
              </w:rPr>
              <w:t>满足程度</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0.15</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物理结构</w:t>
            </w:r>
          </w:p>
        </w:tc>
        <w:tc>
          <w:tcPr>
            <w:tcW w:w="42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岸带稳定性指</w:t>
            </w:r>
          </w:p>
          <w:p>
            <w:pPr>
              <w:pStyle w:val="51"/>
              <w:rPr>
                <w:rFonts w:hint="default" w:ascii="Times New Roman" w:hAnsi="Times New Roman" w:cs="Times New Roman"/>
                <w:sz w:val="18"/>
                <w:szCs w:val="18"/>
              </w:rPr>
            </w:pPr>
            <w:r>
              <w:rPr>
                <w:rFonts w:hint="default" w:ascii="Times New Roman" w:hAnsi="Times New Roman" w:cs="Times New Roman"/>
                <w:sz w:val="18"/>
                <w:szCs w:val="18"/>
              </w:rPr>
              <w:t>标</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水质</w:t>
            </w:r>
          </w:p>
        </w:tc>
        <w:tc>
          <w:tcPr>
            <w:tcW w:w="421"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0.25</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水体整洁程度</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水质优劣程度</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154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Ⅰ～Ⅲ类水质比例＜50％，一票否决；（对于水质无明确要求的，Ⅰ～Ⅳ类水质比例＜50％，一票否决）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水质变化趋势</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0.04</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富营养化状况</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0.06</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生物</w:t>
            </w:r>
          </w:p>
        </w:tc>
        <w:tc>
          <w:tcPr>
            <w:tcW w:w="42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外来水生动植物</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154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以养殖为主要功能的水库，不做此项评价，直接赋满分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河湖管理与社会服务功能</w:t>
            </w:r>
          </w:p>
        </w:tc>
        <w:tc>
          <w:tcPr>
            <w:tcW w:w="421" w:type="pct"/>
            <w:vMerge w:val="restar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0.4</w:t>
            </w: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公众满意度</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防洪指标</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1547"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无防洪任务水库直接赋分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供水指标</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0.15</w:t>
            </w:r>
          </w:p>
        </w:tc>
        <w:tc>
          <w:tcPr>
            <w:tcW w:w="1547" w:type="pct"/>
            <w:vAlign w:val="center"/>
          </w:tcPr>
          <w:p>
            <w:pPr>
              <w:pStyle w:val="51"/>
              <w:rPr>
                <w:rFonts w:hint="default"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pct"/>
            <w:vMerge w:val="continue"/>
            <w:vAlign w:val="center"/>
          </w:tcPr>
          <w:p>
            <w:pPr>
              <w:pStyle w:val="51"/>
              <w:rPr>
                <w:rFonts w:hint="default" w:ascii="Times New Roman" w:hAnsi="Times New Roman" w:cs="Times New Roman"/>
                <w:sz w:val="18"/>
                <w:szCs w:val="18"/>
              </w:rPr>
            </w:pPr>
          </w:p>
        </w:tc>
        <w:tc>
          <w:tcPr>
            <w:tcW w:w="421" w:type="pct"/>
            <w:vMerge w:val="continue"/>
            <w:vAlign w:val="center"/>
          </w:tcPr>
          <w:p>
            <w:pPr>
              <w:pStyle w:val="51"/>
              <w:rPr>
                <w:rFonts w:hint="default" w:ascii="Times New Roman" w:hAnsi="Times New Roman" w:cs="Times New Roman"/>
                <w:sz w:val="18"/>
                <w:szCs w:val="18"/>
              </w:rPr>
            </w:pPr>
          </w:p>
        </w:tc>
        <w:tc>
          <w:tcPr>
            <w:tcW w:w="1178"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开发利用现状与规划的符合性</w:t>
            </w:r>
          </w:p>
        </w:tc>
        <w:tc>
          <w:tcPr>
            <w:tcW w:w="1181" w:type="pct"/>
            <w:vAlign w:val="center"/>
          </w:tcPr>
          <w:p>
            <w:pPr>
              <w:pStyle w:val="51"/>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1547" w:type="pct"/>
            <w:vAlign w:val="center"/>
          </w:tcPr>
          <w:p>
            <w:pPr>
              <w:pStyle w:val="51"/>
              <w:rPr>
                <w:rFonts w:hint="default" w:ascii="Times New Roman" w:hAnsi="Times New Roman" w:cs="Times New Roman"/>
                <w:sz w:val="18"/>
                <w:szCs w:val="18"/>
              </w:rPr>
            </w:pPr>
          </w:p>
        </w:tc>
      </w:tr>
    </w:tbl>
    <w:p>
      <w:pPr>
        <w:pStyle w:val="43"/>
        <w:ind w:firstLine="482"/>
        <w:jc w:val="left"/>
      </w:pPr>
    </w:p>
    <w:p>
      <w:pPr>
        <w:pStyle w:val="7"/>
        <w:numPr>
          <w:ilvl w:val="2"/>
          <w:numId w:val="0"/>
        </w:numPr>
        <w:spacing w:before="48" w:after="48"/>
        <w:ind w:leftChars="0"/>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2.5.3 </w:t>
      </w:r>
      <w:r>
        <w:rPr>
          <w:rFonts w:hint="default" w:ascii="Times New Roman" w:hAnsi="Times New Roman" w:cs="Times New Roman"/>
          <w:sz w:val="24"/>
          <w:szCs w:val="24"/>
        </w:rPr>
        <w:t>依据合理性</w:t>
      </w:r>
    </w:p>
    <w:p>
      <w:pPr>
        <w:snapToGrid w:val="0"/>
        <w:ind w:firstLine="480"/>
        <w:rPr>
          <w:szCs w:val="24"/>
          <w:lang w:val="zh-CN"/>
        </w:rPr>
      </w:pPr>
      <w:r>
        <w:rPr>
          <w:szCs w:val="24"/>
          <w:lang w:val="zh-CN"/>
        </w:rPr>
        <w:t>根据《河湖健康评价指南》（</w:t>
      </w:r>
      <w:r>
        <w:rPr>
          <w:rFonts w:hint="eastAsia"/>
          <w:szCs w:val="24"/>
          <w:lang w:val="en-US" w:eastAsia="zh-CN"/>
        </w:rPr>
        <w:t>正式</w:t>
      </w:r>
      <w:r>
        <w:rPr>
          <w:szCs w:val="24"/>
          <w:lang w:val="zh-CN"/>
        </w:rPr>
        <w:t>）以及《四川省河长制办公室关于在全省开展河流（湖库）健康评价工作的通知》（川河长制办函</w:t>
      </w:r>
      <w:r>
        <w:rPr>
          <w:szCs w:val="24"/>
        </w:rPr>
        <w:t>【2021】5号</w:t>
      </w:r>
      <w:r>
        <w:rPr>
          <w:szCs w:val="24"/>
          <w:lang w:val="zh-CN"/>
        </w:rPr>
        <w:t>）的有关内容，本次评价河段应符合以下原则。</w:t>
      </w:r>
    </w:p>
    <w:p>
      <w:pPr>
        <w:snapToGrid w:val="0"/>
        <w:ind w:firstLine="482"/>
        <w:rPr>
          <w:szCs w:val="24"/>
          <w:lang w:val="zh-CN"/>
        </w:rPr>
      </w:pPr>
      <w:r>
        <w:rPr>
          <w:b/>
          <w:bCs/>
          <w:szCs w:val="24"/>
          <w:lang w:val="zh-CN"/>
        </w:rPr>
        <w:t>（一）科学性原则</w:t>
      </w:r>
      <w:r>
        <w:rPr>
          <w:szCs w:val="24"/>
          <w:lang w:val="zh-CN"/>
        </w:rPr>
        <w:t>：评价指标设置合理，评价方法、程序正确，基础数据来源客观、真实，评价结果应准确、可靠地描述河湖健康状况。</w:t>
      </w:r>
    </w:p>
    <w:p>
      <w:pPr>
        <w:snapToGrid w:val="0"/>
        <w:ind w:firstLine="480"/>
        <w:rPr>
          <w:szCs w:val="24"/>
          <w:lang w:val="zh-CN"/>
        </w:rPr>
      </w:pPr>
      <w:r>
        <w:rPr>
          <w:szCs w:val="24"/>
        </w:rPr>
        <w:t>1</w:t>
      </w:r>
      <w:r>
        <w:rPr>
          <w:rFonts w:hint="eastAsia"/>
          <w:szCs w:val="24"/>
        </w:rPr>
        <w:t>、</w:t>
      </w:r>
      <w:r>
        <w:rPr>
          <w:szCs w:val="24"/>
          <w:lang w:val="zh-CN"/>
        </w:rPr>
        <w:t>评价指标应清晰地指示河湖健康</w:t>
      </w:r>
      <w:r>
        <w:rPr>
          <w:rFonts w:hint="eastAsia"/>
          <w:szCs w:val="24"/>
          <w:lang w:val="zh-CN"/>
        </w:rPr>
        <w:t>—</w:t>
      </w:r>
      <w:r>
        <w:rPr>
          <w:szCs w:val="24"/>
          <w:lang w:val="zh-CN"/>
        </w:rPr>
        <w:t>环境压力的响应关系， 可识别河湖健康状况并揭示受损成因。</w:t>
      </w:r>
    </w:p>
    <w:p>
      <w:pPr>
        <w:snapToGrid w:val="0"/>
        <w:ind w:firstLine="480"/>
        <w:rPr>
          <w:szCs w:val="24"/>
          <w:lang w:val="zh-CN"/>
        </w:rPr>
      </w:pPr>
      <w:r>
        <w:rPr>
          <w:szCs w:val="24"/>
        </w:rPr>
        <w:t>2</w:t>
      </w:r>
      <w:r>
        <w:rPr>
          <w:rFonts w:hint="eastAsia"/>
          <w:szCs w:val="24"/>
        </w:rPr>
        <w:t>、</w:t>
      </w:r>
      <w:r>
        <w:rPr>
          <w:szCs w:val="24"/>
          <w:lang w:val="zh-CN"/>
        </w:rPr>
        <w:t>应根据评价对象的实际及功能，选择代表性指标进行评价。</w:t>
      </w:r>
    </w:p>
    <w:p>
      <w:pPr>
        <w:snapToGrid w:val="0"/>
        <w:ind w:firstLine="480"/>
        <w:rPr>
          <w:szCs w:val="24"/>
          <w:lang w:val="zh-CN"/>
        </w:rPr>
      </w:pPr>
      <w:r>
        <w:rPr>
          <w:szCs w:val="24"/>
        </w:rPr>
        <w:t>3</w:t>
      </w:r>
      <w:r>
        <w:rPr>
          <w:rFonts w:hint="eastAsia"/>
          <w:szCs w:val="24"/>
        </w:rPr>
        <w:t>、</w:t>
      </w:r>
      <w:r>
        <w:rPr>
          <w:szCs w:val="24"/>
          <w:lang w:val="zh-CN"/>
        </w:rPr>
        <w:t>资料及监测数据来源准确，能够准确反映河湖健康状况随时间和空间的变化趋势。</w:t>
      </w:r>
    </w:p>
    <w:p>
      <w:pPr>
        <w:snapToGrid w:val="0"/>
        <w:ind w:firstLine="482"/>
        <w:rPr>
          <w:szCs w:val="24"/>
          <w:lang w:val="zh-CN"/>
        </w:rPr>
      </w:pPr>
      <w:r>
        <w:rPr>
          <w:b/>
          <w:bCs/>
          <w:szCs w:val="24"/>
          <w:lang w:val="zh-CN"/>
        </w:rPr>
        <w:t>（二）目的性原则</w:t>
      </w:r>
      <w:r>
        <w:rPr>
          <w:szCs w:val="24"/>
          <w:lang w:val="zh-CN"/>
        </w:rPr>
        <w:t>：评价指标体系符合我省的省情水情与河湖管理实际，评价成果能够帮助公众了解河湖真实健康状况，有效服务于河长制湖长制工作， 为各级河长湖长及相关主管部门履行河湖管理保护职责提供参考。</w:t>
      </w:r>
    </w:p>
    <w:p>
      <w:pPr>
        <w:snapToGrid w:val="0"/>
        <w:ind w:firstLine="480"/>
        <w:rPr>
          <w:szCs w:val="24"/>
          <w:lang w:val="zh-CN"/>
        </w:rPr>
      </w:pPr>
      <w:r>
        <w:rPr>
          <w:szCs w:val="24"/>
        </w:rPr>
        <w:t>1</w:t>
      </w:r>
      <w:r>
        <w:rPr>
          <w:rFonts w:hint="eastAsia"/>
          <w:szCs w:val="24"/>
        </w:rPr>
        <w:t>、</w:t>
      </w:r>
      <w:r>
        <w:rPr>
          <w:szCs w:val="24"/>
          <w:lang w:val="zh-CN"/>
        </w:rPr>
        <w:t>结合河湖管理要求开展评价，为河湖管理有效性评估提供支撑。</w:t>
      </w:r>
    </w:p>
    <w:p>
      <w:pPr>
        <w:snapToGrid w:val="0"/>
        <w:ind w:firstLine="480"/>
        <w:rPr>
          <w:szCs w:val="24"/>
          <w:lang w:val="zh-CN"/>
        </w:rPr>
      </w:pPr>
      <w:r>
        <w:rPr>
          <w:szCs w:val="24"/>
        </w:rPr>
        <w:t>2</w:t>
      </w:r>
      <w:r>
        <w:rPr>
          <w:rFonts w:hint="eastAsia"/>
          <w:szCs w:val="24"/>
        </w:rPr>
        <w:t>、</w:t>
      </w:r>
      <w:r>
        <w:rPr>
          <w:szCs w:val="24"/>
          <w:lang w:val="zh-CN"/>
        </w:rPr>
        <w:t>体现普适性与区域差异性特点，对于不同功能、不同类型的评价对象评价指标及赋分有所差异。</w:t>
      </w:r>
    </w:p>
    <w:p>
      <w:pPr>
        <w:snapToGrid w:val="0"/>
        <w:ind w:firstLine="480"/>
        <w:rPr>
          <w:szCs w:val="24"/>
          <w:lang w:val="zh-CN"/>
        </w:rPr>
      </w:pPr>
      <w:r>
        <w:rPr>
          <w:szCs w:val="24"/>
        </w:rPr>
        <w:t>3</w:t>
      </w:r>
      <w:r>
        <w:rPr>
          <w:rFonts w:hint="eastAsia"/>
          <w:szCs w:val="24"/>
        </w:rPr>
        <w:t>、</w:t>
      </w:r>
      <w:r>
        <w:rPr>
          <w:szCs w:val="24"/>
          <w:lang w:val="zh-CN"/>
        </w:rPr>
        <w:t>形成兼顾专业与公众需求的评价成果表，为河湖监管与社会监督提供支撑</w:t>
      </w:r>
      <w:r>
        <w:rPr>
          <w:rFonts w:hint="eastAsia"/>
          <w:szCs w:val="24"/>
          <w:lang w:val="zh-CN"/>
        </w:rPr>
        <w:t>。</w:t>
      </w:r>
    </w:p>
    <w:p>
      <w:pPr>
        <w:snapToGrid w:val="0"/>
        <w:ind w:firstLine="482"/>
        <w:rPr>
          <w:szCs w:val="24"/>
          <w:lang w:val="zh-CN"/>
        </w:rPr>
      </w:pPr>
      <w:r>
        <w:rPr>
          <w:b/>
          <w:bCs/>
          <w:szCs w:val="24"/>
          <w:lang w:val="zh-CN"/>
        </w:rPr>
        <w:t>（三）实用性原则</w:t>
      </w:r>
      <w:r>
        <w:rPr>
          <w:szCs w:val="24"/>
          <w:lang w:val="zh-CN"/>
        </w:rPr>
        <w:t>：评价所需基础数据应易获取、可监测。指标设置简易可行，调查监测方法应具备可操作性。</w:t>
      </w:r>
    </w:p>
    <w:p>
      <w:pPr>
        <w:snapToGrid w:val="0"/>
        <w:ind w:firstLine="480"/>
        <w:rPr>
          <w:szCs w:val="24"/>
          <w:lang w:val="zh-CN"/>
        </w:rPr>
      </w:pPr>
      <w:r>
        <w:rPr>
          <w:szCs w:val="24"/>
        </w:rPr>
        <w:t>1</w:t>
      </w:r>
      <w:r>
        <w:rPr>
          <w:rFonts w:hint="eastAsia"/>
          <w:szCs w:val="24"/>
        </w:rPr>
        <w:t>、</w:t>
      </w:r>
      <w:r>
        <w:rPr>
          <w:szCs w:val="24"/>
          <w:lang w:val="zh-CN"/>
        </w:rPr>
        <w:t>根据评价要求尽量利用现有资料和成果。</w:t>
      </w:r>
    </w:p>
    <w:p>
      <w:pPr>
        <w:snapToGrid w:val="0"/>
        <w:ind w:firstLine="480"/>
        <w:rPr>
          <w:szCs w:val="24"/>
          <w:lang w:val="zh-CN"/>
        </w:rPr>
      </w:pPr>
      <w:r>
        <w:rPr>
          <w:szCs w:val="24"/>
        </w:rPr>
        <w:t>2</w:t>
      </w:r>
      <w:r>
        <w:rPr>
          <w:rFonts w:hint="eastAsia"/>
          <w:szCs w:val="24"/>
        </w:rPr>
        <w:t>、</w:t>
      </w:r>
      <w:r>
        <w:rPr>
          <w:szCs w:val="24"/>
          <w:lang w:val="zh-CN"/>
        </w:rPr>
        <w:t>选择效率高，成本适宜的调查监测方法。</w:t>
      </w:r>
    </w:p>
    <w:p>
      <w:pPr>
        <w:ind w:firstLine="480"/>
        <w:sectPr>
          <w:headerReference r:id="rId11" w:type="default"/>
          <w:pgSz w:w="11906" w:h="16838"/>
          <w:pgMar w:top="1361" w:right="1162" w:bottom="1162" w:left="1361" w:header="567" w:footer="567" w:gutter="0"/>
          <w:cols w:space="720" w:num="1"/>
          <w:docGrid w:linePitch="326" w:charSpace="0"/>
        </w:sectPr>
      </w:pPr>
      <w:r>
        <w:rPr>
          <w:szCs w:val="24"/>
        </w:rPr>
        <w:t>3</w:t>
      </w:r>
      <w:r>
        <w:rPr>
          <w:rFonts w:hint="eastAsia"/>
          <w:szCs w:val="24"/>
        </w:rPr>
        <w:t>、</w:t>
      </w:r>
      <w:r>
        <w:rPr>
          <w:szCs w:val="24"/>
          <w:lang w:val="zh-CN"/>
        </w:rPr>
        <w:t>对于缺乏历史监测资料及难以获取的指标，予以适当精简</w:t>
      </w:r>
      <w:r>
        <w:rPr>
          <w:rFonts w:hint="eastAsia"/>
          <w:szCs w:val="24"/>
          <w:lang w:val="zh-CN"/>
        </w:rPr>
        <w:t>。</w:t>
      </w:r>
    </w:p>
    <w:p>
      <w:pPr>
        <w:pStyle w:val="2"/>
        <w:ind w:left="0" w:leftChars="0" w:firstLine="0" w:firstLineChars="0"/>
        <w:outlineLvl w:val="9"/>
        <w:rPr>
          <w:rFonts w:hint="eastAsia" w:cs="Times New Roman"/>
          <w:b/>
          <w:bCs/>
          <w:color w:val="auto"/>
          <w:kern w:val="2"/>
          <w:sz w:val="24"/>
          <w:szCs w:val="24"/>
          <w:lang w:val="en-US" w:eastAsia="zh-CN"/>
        </w:rPr>
      </w:pPr>
    </w:p>
    <w:p>
      <w:pPr>
        <w:pStyle w:val="42"/>
        <w:numPr>
          <w:ilvl w:val="0"/>
          <w:numId w:val="0"/>
        </w:numPr>
        <w:adjustRightInd/>
        <w:spacing w:line="520" w:lineRule="exact"/>
        <w:ind w:leftChars="0"/>
        <w:jc w:val="center"/>
        <w:outlineLvl w:val="0"/>
        <w:rPr>
          <w:rFonts w:hint="eastAsia" w:ascii="宋体" w:hAnsi="宋体" w:eastAsia="宋体" w:cs="宋体"/>
          <w:b/>
          <w:bCs w:val="0"/>
          <w:color w:val="auto"/>
          <w:sz w:val="36"/>
          <w:szCs w:val="36"/>
        </w:rPr>
      </w:pPr>
      <w:bookmarkStart w:id="41" w:name="_Toc5009"/>
      <w:r>
        <w:rPr>
          <w:rFonts w:hint="eastAsia" w:ascii="宋体" w:hAnsi="宋体" w:eastAsia="宋体" w:cs="宋体"/>
          <w:b/>
          <w:bCs w:val="0"/>
          <w:color w:val="auto"/>
          <w:sz w:val="36"/>
          <w:szCs w:val="36"/>
          <w:lang w:eastAsia="zh-CN"/>
        </w:rPr>
        <w:t>第三章</w:t>
      </w:r>
      <w:r>
        <w:rPr>
          <w:rFonts w:hint="eastAsia" w:ascii="宋体" w:hAnsi="宋体" w:eastAsia="宋体" w:cs="宋体"/>
          <w:b/>
          <w:bCs w:val="0"/>
          <w:color w:val="auto"/>
          <w:sz w:val="36"/>
          <w:szCs w:val="36"/>
          <w:lang w:val="en-US" w:eastAsia="zh-CN"/>
        </w:rPr>
        <w:t xml:space="preserve"> </w:t>
      </w:r>
      <w:r>
        <w:rPr>
          <w:rFonts w:hint="eastAsia" w:ascii="宋体" w:hAnsi="宋体" w:eastAsia="宋体" w:cs="宋体"/>
          <w:b/>
          <w:bCs w:val="0"/>
          <w:color w:val="auto"/>
          <w:sz w:val="36"/>
          <w:szCs w:val="36"/>
          <w:lang w:eastAsia="zh-CN"/>
        </w:rPr>
        <w:t>河湖健康调查监测</w:t>
      </w:r>
      <w:bookmarkEnd w:id="41"/>
    </w:p>
    <w:p>
      <w:pPr>
        <w:wordWrap/>
        <w:autoSpaceDE/>
        <w:autoSpaceDN/>
        <w:adjustRightInd w:val="0"/>
        <w:snapToGrid w:val="0"/>
        <w:spacing w:before="166" w:beforeLines="50" w:after="166" w:afterLines="50" w:line="360" w:lineRule="auto"/>
        <w:ind w:firstLine="0" w:firstLineChars="0"/>
        <w:outlineLvl w:val="1"/>
        <w:rPr>
          <w:rFonts w:hint="eastAsia" w:ascii="Times New Roman" w:hAnsi="Times New Roman" w:cs="Times New Roman"/>
          <w:b/>
          <w:bCs/>
          <w:color w:val="auto"/>
          <w:kern w:val="2"/>
          <w:sz w:val="24"/>
          <w:szCs w:val="24"/>
          <w:lang w:val="en-US" w:eastAsia="zh-CN"/>
        </w:rPr>
      </w:pPr>
      <w:bookmarkStart w:id="42" w:name="_Toc7740"/>
      <w:r>
        <w:rPr>
          <w:rFonts w:hint="eastAsia" w:ascii="Times New Roman" w:hAnsi="Times New Roman" w:cs="Times New Roman"/>
          <w:b/>
          <w:bCs/>
          <w:color w:val="auto"/>
          <w:kern w:val="2"/>
          <w:sz w:val="24"/>
          <w:szCs w:val="24"/>
          <w:lang w:val="en-US" w:eastAsia="zh-CN"/>
        </w:rPr>
        <w:t>3.1 调查监测方案</w:t>
      </w:r>
      <w:bookmarkEnd w:id="42"/>
    </w:p>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3.1.1 水资源开发利用率</w:t>
      </w:r>
    </w:p>
    <w:p>
      <w:pPr>
        <w:pStyle w:val="48"/>
        <w:adjustRightInd/>
        <w:snapToGrid/>
        <w:spacing w:beforeLines="0" w:line="520" w:lineRule="exact"/>
        <w:ind w:firstLine="600" w:firstLineChars="250"/>
        <w:jc w:val="left"/>
        <w:rPr>
          <w:rFonts w:ascii="Times New Roman" w:hAnsi="Times New Roman" w:eastAsia="宋体"/>
          <w:bCs/>
          <w:sz w:val="24"/>
          <w:szCs w:val="24"/>
        </w:rPr>
      </w:pPr>
      <w:r>
        <w:rPr>
          <w:rFonts w:ascii="Times New Roman" w:hAnsi="Times New Roman" w:eastAsia="宋体"/>
          <w:bCs/>
          <w:sz w:val="24"/>
          <w:szCs w:val="24"/>
        </w:rPr>
        <w:t>评价流域或区域内本地产水中地表水用水量（</w:t>
      </w:r>
      <w:r>
        <w:rPr>
          <w:rFonts w:hint="eastAsia" w:ascii="Times New Roman" w:hAnsi="Times New Roman" w:eastAsia="宋体"/>
          <w:bCs/>
          <w:sz w:val="24"/>
          <w:szCs w:val="24"/>
        </w:rPr>
        <w:t>含外调水量</w:t>
      </w:r>
      <w:r>
        <w:rPr>
          <w:rFonts w:ascii="Times New Roman" w:hAnsi="Times New Roman" w:eastAsia="宋体"/>
          <w:bCs/>
          <w:sz w:val="24"/>
          <w:szCs w:val="24"/>
        </w:rPr>
        <w:t>）占评价流域或区域地表水资源</w:t>
      </w:r>
      <w:r>
        <w:rPr>
          <w:rFonts w:hint="eastAsia" w:ascii="Times New Roman" w:hAnsi="Times New Roman" w:eastAsia="宋体"/>
          <w:bCs/>
          <w:sz w:val="24"/>
          <w:szCs w:val="24"/>
        </w:rPr>
        <w:t>总</w:t>
      </w:r>
      <w:r>
        <w:rPr>
          <w:rFonts w:ascii="Times New Roman" w:hAnsi="Times New Roman" w:eastAsia="宋体"/>
          <w:bCs/>
          <w:sz w:val="24"/>
          <w:szCs w:val="24"/>
        </w:rPr>
        <w:t>量的百分比，</w:t>
      </w:r>
      <w:r>
        <w:rPr>
          <w:rFonts w:hint="eastAsia" w:ascii="Times New Roman" w:hAnsi="Times New Roman" w:eastAsia="宋体"/>
          <w:bCs/>
          <w:sz w:val="24"/>
          <w:szCs w:val="24"/>
        </w:rPr>
        <w:t>赋分</w:t>
      </w:r>
      <w:r>
        <w:rPr>
          <w:rFonts w:ascii="Times New Roman" w:hAnsi="Times New Roman" w:eastAsia="宋体"/>
          <w:bCs/>
          <w:sz w:val="24"/>
          <w:szCs w:val="24"/>
        </w:rPr>
        <w:t>按公式计算。</w:t>
      </w:r>
    </w:p>
    <w:p>
      <w:pPr>
        <w:pStyle w:val="8"/>
        <w:rPr>
          <w:rFonts w:hint="eastAsia" w:ascii="宋体" w:hAnsi="宋体" w:eastAsia="宋体" w:cs="宋体"/>
          <w:sz w:val="24"/>
          <w:szCs w:val="24"/>
        </w:rPr>
      </w:pPr>
      <w:r>
        <w:rPr>
          <w:rFonts w:hint="eastAsia" w:ascii="宋体" w:hAnsi="宋体" w:eastAsia="宋体" w:cs="宋体"/>
          <w:position w:val="-24"/>
          <w:sz w:val="24"/>
          <w:szCs w:val="24"/>
        </w:rPr>
        <w:object>
          <v:shape id="_x0000_i1060" o:spt="75" type="#_x0000_t75" style="height:50.25pt;width:165.8pt;" o:ole="t" filled="f" o:preferrelative="t" stroked="f" coordsize="21600,21600">
            <v:path/>
            <v:fill on="f" focussize="0,0"/>
            <v:stroke on="f"/>
            <v:imagedata r:id="rId94" o:title=""/>
            <o:lock v:ext="edit" aspectratio="t"/>
            <w10:wrap type="none"/>
            <w10:anchorlock/>
          </v:shape>
          <o:OLEObject Type="Embed" ProgID="Equation.DSMT4" ShapeID="_x0000_i1060" DrawAspect="Content" ObjectID="_1468075760" r:id="rId93">
            <o:LockedField>false</o:LockedField>
          </o:OLEObject>
        </w:object>
      </w:r>
    </w:p>
    <w:p>
      <w:pPr>
        <w:pStyle w:val="8"/>
        <w:rPr>
          <w:rFonts w:hint="eastAsia" w:ascii="宋体" w:hAnsi="宋体" w:eastAsia="宋体" w:cs="宋体"/>
          <w:sz w:val="24"/>
          <w:szCs w:val="24"/>
        </w:rPr>
      </w:pPr>
      <w:r>
        <w:rPr>
          <w:rFonts w:hint="eastAsia" w:ascii="宋体" w:hAnsi="宋体" w:eastAsia="宋体" w:cs="宋体"/>
          <w:sz w:val="24"/>
          <w:szCs w:val="24"/>
        </w:rPr>
        <w:t>式中：</w:t>
      </w:r>
    </w:p>
    <w:p>
      <w:pPr>
        <w:pStyle w:val="48"/>
        <w:adjustRightInd/>
        <w:snapToGrid/>
        <w:spacing w:beforeLines="0" w:line="520" w:lineRule="exact"/>
        <w:ind w:firstLine="600" w:firstLineChars="250"/>
        <w:jc w:val="left"/>
        <w:rPr>
          <w:rFonts w:hint="eastAsia" w:ascii="宋体" w:hAnsi="宋体" w:eastAsia="宋体" w:cs="宋体"/>
          <w:bCs/>
          <w:sz w:val="24"/>
          <w:szCs w:val="24"/>
        </w:rPr>
      </w:pPr>
      <w:r>
        <w:rPr>
          <w:rFonts w:hint="eastAsia" w:ascii="宋体" w:hAnsi="宋体" w:eastAsia="宋体" w:cs="宋体"/>
          <w:bCs/>
          <w:sz w:val="24"/>
          <w:szCs w:val="24"/>
        </w:rPr>
        <w:t>WRU──地表水资源开发利用率（%）；</w:t>
      </w:r>
    </w:p>
    <w:p>
      <w:pPr>
        <w:pStyle w:val="48"/>
        <w:adjustRightInd/>
        <w:snapToGrid/>
        <w:spacing w:beforeLines="0" w:line="520" w:lineRule="exact"/>
        <w:ind w:firstLine="600" w:firstLineChars="250"/>
        <w:jc w:val="left"/>
        <w:rPr>
          <w:rFonts w:hint="eastAsia" w:ascii="宋体" w:hAnsi="宋体" w:eastAsia="宋体" w:cs="宋体"/>
          <w:bCs/>
          <w:sz w:val="24"/>
          <w:szCs w:val="24"/>
        </w:rPr>
      </w:pPr>
      <w:r>
        <w:rPr>
          <w:rFonts w:hint="eastAsia" w:ascii="宋体" w:hAnsi="宋体" w:eastAsia="宋体" w:cs="宋体"/>
          <w:bCs/>
          <w:sz w:val="24"/>
          <w:szCs w:val="24"/>
        </w:rPr>
        <w:t>WU──评价流域或区域内本地产水中地表水用水量（含外调水量）；</w:t>
      </w:r>
    </w:p>
    <w:p>
      <w:pPr>
        <w:pStyle w:val="48"/>
        <w:adjustRightInd/>
        <w:snapToGrid/>
        <w:spacing w:beforeLines="0" w:line="520" w:lineRule="exact"/>
        <w:ind w:firstLine="600" w:firstLineChars="250"/>
        <w:jc w:val="left"/>
        <w:rPr>
          <w:rFonts w:hint="eastAsia" w:ascii="宋体" w:hAnsi="宋体" w:eastAsia="宋体" w:cs="宋体"/>
          <w:bCs/>
          <w:sz w:val="24"/>
          <w:szCs w:val="24"/>
        </w:rPr>
      </w:pPr>
      <w:r>
        <w:rPr>
          <w:rFonts w:hint="eastAsia" w:ascii="宋体" w:hAnsi="宋体" w:eastAsia="宋体" w:cs="宋体"/>
          <w:bCs/>
          <w:sz w:val="24"/>
          <w:szCs w:val="24"/>
        </w:rPr>
        <w:t>WR──评价区域或流域地表水资源总量。</w:t>
      </w:r>
    </w:p>
    <w:p>
      <w:pPr>
        <w:pStyle w:val="48"/>
        <w:adjustRightInd/>
        <w:snapToGrid/>
        <w:spacing w:beforeLines="0" w:line="520" w:lineRule="exact"/>
        <w:ind w:firstLine="600" w:firstLineChars="250"/>
        <w:jc w:val="left"/>
        <w:rPr>
          <w:rFonts w:hint="eastAsia" w:ascii="宋体" w:hAnsi="宋体" w:eastAsia="宋体" w:cs="宋体"/>
          <w:bCs/>
          <w:sz w:val="24"/>
          <w:szCs w:val="24"/>
        </w:rPr>
      </w:pPr>
      <w:r>
        <w:rPr>
          <w:rFonts w:hint="eastAsia" w:ascii="宋体" w:hAnsi="宋体" w:eastAsia="宋体" w:cs="宋体"/>
          <w:bCs/>
          <w:sz w:val="24"/>
          <w:szCs w:val="24"/>
        </w:rPr>
        <w:t>水资源开发利用率赋分标准见表</w:t>
      </w:r>
      <w:r>
        <w:rPr>
          <w:rFonts w:hint="eastAsia" w:ascii="宋体" w:hAnsi="宋体" w:eastAsia="宋体" w:cs="宋体"/>
          <w:bCs/>
          <w:sz w:val="24"/>
          <w:szCs w:val="24"/>
          <w:lang w:val="en-US" w:eastAsia="zh-CN"/>
        </w:rPr>
        <w:t>3.1-1</w:t>
      </w:r>
      <w:r>
        <w:rPr>
          <w:rFonts w:hint="eastAsia" w:ascii="宋体" w:hAnsi="宋体" w:eastAsia="宋体" w:cs="宋体"/>
          <w:bCs/>
          <w:sz w:val="24"/>
          <w:szCs w:val="24"/>
        </w:rPr>
        <w:t>。</w:t>
      </w:r>
    </w:p>
    <w:p>
      <w:pPr>
        <w:rPr>
          <w:rFonts w:ascii="Times New Roman" w:hAnsi="Times New Roman"/>
        </w:rPr>
      </w:pPr>
    </w:p>
    <w:p>
      <w:pPr>
        <w:pStyle w:val="2"/>
      </w:pPr>
    </w:p>
    <w:p>
      <w:pPr>
        <w:pStyle w:val="2"/>
      </w:pPr>
    </w:p>
    <w:p>
      <w:pPr>
        <w:pStyle w:val="43"/>
        <w:jc w:val="both"/>
        <w:outlineLvl w:val="8"/>
        <w:rPr>
          <w:sz w:val="24"/>
          <w:szCs w:val="24"/>
        </w:rPr>
      </w:pPr>
      <w:r>
        <w:rPr>
          <w:sz w:val="24"/>
          <w:szCs w:val="24"/>
        </w:rPr>
        <w:t>表</w:t>
      </w:r>
      <w:r>
        <w:rPr>
          <w:rFonts w:hint="eastAsia"/>
          <w:sz w:val="24"/>
          <w:szCs w:val="24"/>
          <w:lang w:val="en-US" w:eastAsia="zh-CN"/>
        </w:rPr>
        <w:t xml:space="preserve">3.1-1       </w:t>
      </w:r>
      <w:r>
        <w:rPr>
          <w:sz w:val="24"/>
          <w:szCs w:val="24"/>
        </w:rPr>
        <w:t>水资源开发利用率评估赋分标准表</w:t>
      </w:r>
    </w:p>
    <w:tbl>
      <w:tblPr>
        <w:tblStyle w:val="28"/>
        <w:tblW w:w="5000" w:type="pct"/>
        <w:jc w:val="center"/>
        <w:tblLayout w:type="autofit"/>
        <w:tblCellMar>
          <w:top w:w="0" w:type="dxa"/>
          <w:left w:w="28" w:type="dxa"/>
          <w:bottom w:w="0" w:type="dxa"/>
          <w:right w:w="28" w:type="dxa"/>
        </w:tblCellMar>
      </w:tblPr>
      <w:tblGrid>
        <w:gridCol w:w="2390"/>
        <w:gridCol w:w="1194"/>
        <w:gridCol w:w="1194"/>
        <w:gridCol w:w="1194"/>
        <w:gridCol w:w="1195"/>
        <w:gridCol w:w="1195"/>
      </w:tblGrid>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水资源开发利用率</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hint="eastAsia" w:ascii="Times New Roman" w:hAnsi="Times New Roman"/>
                <w:bCs/>
                <w:sz w:val="18"/>
                <w:szCs w:val="18"/>
                <w:lang w:val="en-US" w:eastAsia="zh-CN"/>
              </w:rPr>
              <w:t>20%～</w:t>
            </w:r>
            <w:r>
              <w:rPr>
                <w:rFonts w:ascii="Times New Roman" w:hAnsi="Times New Roman"/>
                <w:bCs/>
                <w:sz w:val="18"/>
                <w:szCs w:val="18"/>
                <w:lang w:val="en-US" w:eastAsia="zh-CN"/>
              </w:rPr>
              <w:t>30%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30%</w:t>
            </w:r>
            <w:r>
              <w:rPr>
                <w:rFonts w:hint="eastAsia" w:ascii="Times New Roman" w:hAnsi="Times New Roman"/>
                <w:bCs/>
                <w:sz w:val="18"/>
                <w:szCs w:val="18"/>
                <w:lang w:val="en-US" w:eastAsia="zh-CN"/>
              </w:rPr>
              <w:t>～</w:t>
            </w:r>
            <w:r>
              <w:rPr>
                <w:rFonts w:ascii="Times New Roman" w:hAnsi="Times New Roman"/>
                <w:bCs/>
                <w:sz w:val="18"/>
                <w:szCs w:val="18"/>
                <w:lang w:val="en-US" w:eastAsia="zh-CN"/>
              </w:rPr>
              <w:t>40%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40%</w:t>
            </w:r>
            <w:r>
              <w:rPr>
                <w:rFonts w:hint="eastAsia" w:ascii="Times New Roman" w:hAnsi="Times New Roman"/>
                <w:bCs/>
                <w:sz w:val="18"/>
                <w:szCs w:val="18"/>
                <w:lang w:val="en-US" w:eastAsia="zh-CN"/>
              </w:rPr>
              <w:t>～60</w:t>
            </w:r>
            <w:r>
              <w:rPr>
                <w:rFonts w:ascii="Times New Roman" w:hAnsi="Times New Roman"/>
                <w:bCs/>
                <w:sz w:val="18"/>
                <w:szCs w:val="18"/>
                <w:lang w:val="en-US" w:eastAsia="zh-CN"/>
              </w:rPr>
              <w:t>%</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≥60%</w:t>
            </w:r>
          </w:p>
        </w:tc>
      </w:tr>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000000" w:sz="4" w:space="0"/>
            </w:tcBorders>
            <w:noWrap w:val="0"/>
            <w:vAlign w:val="center"/>
          </w:tcPr>
          <w:p>
            <w:pPr>
              <w:pStyle w:val="46"/>
              <w:snapToGrid w:val="0"/>
              <w:jc w:val="center"/>
              <w:rPr>
                <w:rFonts w:ascii="Times New Roman" w:hAnsi="Times New Roman"/>
                <w:bCs/>
                <w:sz w:val="18"/>
                <w:szCs w:val="18"/>
                <w:lang w:val="en-US" w:eastAsia="zh-CN"/>
              </w:rPr>
            </w:pPr>
            <w:r>
              <w:rPr>
                <w:rFonts w:ascii="Times New Roman" w:hAnsi="Times New Roman"/>
                <w:bCs/>
                <w:sz w:val="18"/>
                <w:szCs w:val="18"/>
                <w:lang w:val="en-US" w:eastAsia="zh-CN"/>
              </w:rPr>
              <w:t>赋分</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100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80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50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3.1.2 生态用水满足程度</w:t>
      </w:r>
    </w:p>
    <w:p>
      <w:pPr>
        <w:spacing w:line="520" w:lineRule="exact"/>
        <w:ind w:firstLine="480" w:firstLineChars="200"/>
        <w:rPr>
          <w:rFonts w:ascii="Times New Roman" w:hAnsi="Times New Roman"/>
          <w:sz w:val="24"/>
          <w:szCs w:val="24"/>
        </w:rPr>
      </w:pPr>
      <w:r>
        <w:rPr>
          <w:rFonts w:ascii="Times New Roman" w:hAnsi="Times New Roman"/>
          <w:sz w:val="24"/>
          <w:szCs w:val="24"/>
        </w:rPr>
        <w:t>河流生态用水满足程度。评估河流流量过程生态适宜程度，分别计算4-9月及10-3月最小日均流量占</w:t>
      </w:r>
      <w:r>
        <w:rPr>
          <w:rFonts w:hint="eastAsia" w:ascii="Times New Roman" w:hAnsi="Times New Roman"/>
          <w:sz w:val="24"/>
          <w:szCs w:val="24"/>
        </w:rPr>
        <w:t>同期</w:t>
      </w:r>
      <w:r>
        <w:rPr>
          <w:rFonts w:ascii="Times New Roman" w:hAnsi="Times New Roman"/>
          <w:sz w:val="24"/>
          <w:szCs w:val="24"/>
        </w:rPr>
        <w:t>多年平均流量的百分比，根据表</w:t>
      </w:r>
      <w:r>
        <w:rPr>
          <w:rFonts w:hint="eastAsia" w:ascii="Times New Roman" w:hAnsi="Times New Roman"/>
          <w:sz w:val="24"/>
          <w:szCs w:val="24"/>
          <w:lang w:val="en-US" w:eastAsia="zh-CN"/>
        </w:rPr>
        <w:t>3.1-2</w:t>
      </w:r>
      <w:r>
        <w:rPr>
          <w:rFonts w:ascii="Times New Roman" w:hAnsi="Times New Roman"/>
          <w:sz w:val="24"/>
          <w:szCs w:val="24"/>
        </w:rPr>
        <w:t>分别计算赋分值，取二者的最低赋分为河流生态用水满足程度赋分。评估断面应选择国家有明确要求、具有重要生态保护价值</w:t>
      </w:r>
      <w:r>
        <w:rPr>
          <w:rFonts w:hint="eastAsia" w:ascii="Times New Roman" w:hAnsi="Times New Roman"/>
          <w:sz w:val="24"/>
          <w:szCs w:val="24"/>
        </w:rPr>
        <w:t>、</w:t>
      </w:r>
      <w:r>
        <w:rPr>
          <w:rFonts w:ascii="Times New Roman" w:hAnsi="Times New Roman"/>
          <w:sz w:val="24"/>
          <w:szCs w:val="24"/>
        </w:rPr>
        <w:t>重要敏感物种的水域或行政区界断面。</w:t>
      </w:r>
    </w:p>
    <w:p>
      <w:pPr>
        <w:pStyle w:val="2"/>
      </w:pPr>
    </w:p>
    <w:p>
      <w:pPr>
        <w:spacing w:line="520" w:lineRule="exact"/>
        <w:outlineLvl w:val="8"/>
        <w:rPr>
          <w:b/>
          <w:bCs/>
        </w:rPr>
      </w:pPr>
      <w:r>
        <w:rPr>
          <w:b/>
          <w:bCs/>
        </w:rPr>
        <w:t>表</w:t>
      </w:r>
      <w:r>
        <w:rPr>
          <w:rFonts w:hint="eastAsia"/>
          <w:b/>
          <w:bCs/>
          <w:lang w:val="en-US" w:eastAsia="zh-CN"/>
        </w:rPr>
        <w:t xml:space="preserve">3.1-2       </w:t>
      </w:r>
      <w:r>
        <w:rPr>
          <w:b/>
          <w:bCs/>
        </w:rPr>
        <w:t>河流生态</w:t>
      </w:r>
      <w:r>
        <w:rPr>
          <w:rFonts w:hint="eastAsia"/>
          <w:b/>
          <w:bCs/>
        </w:rPr>
        <w:t>流量</w:t>
      </w:r>
      <w:r>
        <w:rPr>
          <w:b/>
          <w:bCs/>
        </w:rPr>
        <w:t>满足程度评估赋分标准表</w:t>
      </w:r>
    </w:p>
    <w:tbl>
      <w:tblPr>
        <w:tblStyle w:val="28"/>
        <w:tblW w:w="57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1238"/>
        <w:gridCol w:w="1238"/>
        <w:gridCol w:w="1082"/>
        <w:gridCol w:w="1056"/>
        <w:gridCol w:w="1162"/>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（10-3月）最小日均流量占比</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15%-20%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10%-15%</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5%-10%</w:t>
            </w:r>
          </w:p>
        </w:tc>
        <w:tc>
          <w:tcPr>
            <w:tcW w:w="59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&lt;5%（无）</w:t>
            </w:r>
          </w:p>
        </w:tc>
        <w:tc>
          <w:tcPr>
            <w:tcW w:w="61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人为断流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59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616" w:type="pct"/>
            <w:noWrap w:val="0"/>
            <w:vAlign w:val="center"/>
          </w:tcPr>
          <w:p>
            <w:pPr>
              <w:pStyle w:val="46"/>
              <w:adjustRightInd w:val="0"/>
              <w:snapToGrid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（4-9月）最小日均流量占比</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40%-50%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30%-40%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10%-30%</w:t>
            </w:r>
          </w:p>
        </w:tc>
        <w:tc>
          <w:tcPr>
            <w:tcW w:w="1209"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1209"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8"/>
      </w:pPr>
    </w:p>
    <w:p>
      <w:pPr>
        <w:pStyle w:val="8"/>
        <w:rPr>
          <w:rFonts w:hint="eastAsia" w:ascii="宋体" w:hAnsi="宋体" w:eastAsia="宋体" w:cs="宋体"/>
          <w:sz w:val="24"/>
          <w:szCs w:val="24"/>
        </w:rPr>
      </w:pPr>
      <w:r>
        <w:rPr>
          <w:rFonts w:hint="eastAsia" w:ascii="宋体" w:hAnsi="宋体" w:eastAsia="宋体" w:cs="宋体"/>
          <w:sz w:val="24"/>
          <w:szCs w:val="24"/>
        </w:rPr>
        <w:t>湖泊生态水位满足程度。评估湖泊最低生态水位满足程度，赋分标准见表</w:t>
      </w:r>
      <w:r>
        <w:rPr>
          <w:rFonts w:hint="eastAsia" w:ascii="宋体" w:hAnsi="宋体" w:cs="宋体"/>
          <w:sz w:val="24"/>
          <w:szCs w:val="24"/>
          <w:lang w:val="en-US" w:eastAsia="zh-CN"/>
        </w:rPr>
        <w:t>3.1-3</w:t>
      </w:r>
      <w:r>
        <w:rPr>
          <w:rFonts w:hint="eastAsia" w:ascii="宋体" w:hAnsi="宋体" w:eastAsia="宋体" w:cs="宋体"/>
          <w:sz w:val="24"/>
          <w:szCs w:val="24"/>
        </w:rPr>
        <w:t>。最低生态水位应选择规划或管理文件确定的限值，或采用天然水位资料法、湖泊形态法、生物空间最小需求法等确定。</w:t>
      </w:r>
    </w:p>
    <w:p>
      <w:pPr>
        <w:pStyle w:val="8"/>
        <w:rPr>
          <w:rFonts w:hint="eastAsia" w:ascii="宋体" w:hAnsi="宋体" w:eastAsia="宋体" w:cs="宋体"/>
          <w:sz w:val="24"/>
          <w:szCs w:val="24"/>
        </w:rPr>
      </w:pPr>
    </w:p>
    <w:p>
      <w:pPr>
        <w:spacing w:line="520" w:lineRule="exact"/>
        <w:outlineLvl w:val="8"/>
        <w:rPr>
          <w:rFonts w:ascii="Times New Roman" w:hAnsi="Times New Roman" w:cs="Times New Roman"/>
          <w:b/>
          <w:bCs/>
        </w:rPr>
      </w:pPr>
      <w:r>
        <w:rPr>
          <w:rFonts w:ascii="Times New Roman" w:hAnsi="Times New Roman" w:cs="Times New Roman"/>
          <w:b/>
          <w:bCs/>
        </w:rPr>
        <w:t>表</w:t>
      </w:r>
      <w:r>
        <w:rPr>
          <w:rFonts w:hint="eastAsia" w:ascii="Times New Roman" w:hAnsi="Times New Roman" w:cs="Times New Roman"/>
          <w:b/>
          <w:bCs/>
          <w:lang w:val="en-US" w:eastAsia="zh-CN"/>
        </w:rPr>
        <w:t xml:space="preserve">3.1-3       </w:t>
      </w:r>
      <w:r>
        <w:rPr>
          <w:rFonts w:ascii="Times New Roman" w:hAnsi="Times New Roman" w:cs="Times New Roman"/>
          <w:b/>
          <w:bCs/>
        </w:rPr>
        <w:t>湖泊生态</w:t>
      </w:r>
      <w:r>
        <w:rPr>
          <w:rFonts w:hint="eastAsia" w:ascii="Times New Roman" w:hAnsi="Times New Roman" w:cs="Times New Roman"/>
          <w:b/>
          <w:bCs/>
        </w:rPr>
        <w:t>水位</w:t>
      </w:r>
      <w:r>
        <w:rPr>
          <w:rFonts w:ascii="Times New Roman" w:hAnsi="Times New Roman" w:cs="Times New Roman"/>
          <w:b/>
          <w:bCs/>
        </w:rPr>
        <w:t>满足程度评估赋分标准表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0"/>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湖泊生态用水满足程度</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年内365日日均水位均高于最低生态水位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日均水位低于最低生态水位，但3天滑移平均水位不低于最低生态水位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3天滑移平均水位低于最低生态水位，但7天滑移平均水位不低于最低生态水位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7天滑移平均水位低于最低生态水位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14天滑移平均水位低于最低生态水位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30天滑移平均水位低于最低生态水位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4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60天滑移平均水位低于最低生态水位</w:t>
            </w:r>
          </w:p>
        </w:tc>
        <w:tc>
          <w:tcPr>
            <w:tcW w:w="52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8"/>
        <w:rPr>
          <w:sz w:val="24"/>
          <w:szCs w:val="24"/>
        </w:rPr>
      </w:pPr>
      <w:r>
        <w:rPr>
          <w:sz w:val="24"/>
          <w:szCs w:val="24"/>
        </w:rPr>
        <w:t>水库生态用水满足程度：评估水库下泄生态基流满足程度，计算水库下泄生态基流满足天数占评估年总天数的百分比。</w:t>
      </w:r>
    </w:p>
    <w:p>
      <w:pPr>
        <w:pStyle w:val="8"/>
        <w:rPr>
          <w:sz w:val="24"/>
          <w:szCs w:val="24"/>
        </w:rPr>
      </w:pPr>
      <w:r>
        <w:rPr>
          <w:rFonts w:hint="eastAsia"/>
          <w:sz w:val="24"/>
          <w:szCs w:val="24"/>
        </w:rPr>
        <w:t>“一库一策”或所在河流“一河一策”对水库下泄流量没有明确要求的，可以不评价。</w:t>
      </w:r>
    </w:p>
    <w:p>
      <w:pPr>
        <w:pStyle w:val="43"/>
        <w:jc w:val="both"/>
        <w:outlineLvl w:val="8"/>
        <w:rPr>
          <w:sz w:val="24"/>
          <w:szCs w:val="24"/>
        </w:rPr>
      </w:pPr>
      <w:r>
        <w:rPr>
          <w:sz w:val="24"/>
          <w:szCs w:val="24"/>
        </w:rPr>
        <w:t>表</w:t>
      </w:r>
      <w:r>
        <w:rPr>
          <w:rFonts w:hint="eastAsia"/>
          <w:sz w:val="24"/>
          <w:szCs w:val="24"/>
          <w:lang w:val="en-US" w:eastAsia="zh-CN"/>
        </w:rPr>
        <w:t xml:space="preserve">3.1-4       </w:t>
      </w:r>
      <w:r>
        <w:rPr>
          <w:sz w:val="24"/>
          <w:szCs w:val="24"/>
        </w:rPr>
        <w:t>水库生态用水满足程度评估赋分标准表</w:t>
      </w:r>
    </w:p>
    <w:tbl>
      <w:tblPr>
        <w:tblStyle w:val="28"/>
        <w:tblW w:w="5000" w:type="pct"/>
        <w:jc w:val="center"/>
        <w:tblLayout w:type="autofit"/>
        <w:tblCellMar>
          <w:top w:w="0" w:type="dxa"/>
          <w:left w:w="108" w:type="dxa"/>
          <w:bottom w:w="0" w:type="dxa"/>
          <w:right w:w="108" w:type="dxa"/>
        </w:tblCellMar>
      </w:tblPr>
      <w:tblGrid>
        <w:gridCol w:w="3200"/>
        <w:gridCol w:w="1091"/>
        <w:gridCol w:w="1364"/>
        <w:gridCol w:w="1364"/>
        <w:gridCol w:w="1503"/>
      </w:tblGrid>
      <w:tr>
        <w:tblPrEx>
          <w:tblCellMar>
            <w:top w:w="0" w:type="dxa"/>
            <w:left w:w="108" w:type="dxa"/>
            <w:bottom w:w="0" w:type="dxa"/>
            <w:right w:w="108" w:type="dxa"/>
          </w:tblCellMar>
        </w:tblPrEx>
        <w:trPr>
          <w:trHeight w:val="397" w:hRule="atLeast"/>
          <w:jc w:val="center"/>
        </w:trPr>
        <w:tc>
          <w:tcPr>
            <w:tcW w:w="1878" w:type="pct"/>
            <w:tcBorders>
              <w:top w:val="single" w:color="auto" w:sz="4" w:space="0"/>
              <w:left w:val="single" w:color="auto" w:sz="4" w:space="0"/>
              <w:bottom w:val="single" w:color="000000"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满足生态基流天数比例</w:t>
            </w:r>
          </w:p>
        </w:tc>
        <w:tc>
          <w:tcPr>
            <w:tcW w:w="64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c>
          <w:tcPr>
            <w:tcW w:w="80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50%-75%</w:t>
            </w:r>
          </w:p>
        </w:tc>
        <w:tc>
          <w:tcPr>
            <w:tcW w:w="80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75%-90%</w:t>
            </w:r>
          </w:p>
        </w:tc>
        <w:tc>
          <w:tcPr>
            <w:tcW w:w="88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90%-100%</w:t>
            </w:r>
          </w:p>
        </w:tc>
      </w:tr>
      <w:tr>
        <w:tblPrEx>
          <w:tblCellMar>
            <w:top w:w="0" w:type="dxa"/>
            <w:left w:w="108" w:type="dxa"/>
            <w:bottom w:w="0" w:type="dxa"/>
            <w:right w:w="108" w:type="dxa"/>
          </w:tblCellMar>
        </w:tblPrEx>
        <w:trPr>
          <w:trHeight w:val="397" w:hRule="atLeast"/>
          <w:jc w:val="center"/>
        </w:trPr>
        <w:tc>
          <w:tcPr>
            <w:tcW w:w="1878" w:type="pct"/>
            <w:tcBorders>
              <w:top w:val="single" w:color="auto" w:sz="4" w:space="0"/>
              <w:left w:val="single" w:color="auto" w:sz="4" w:space="0"/>
              <w:bottom w:val="single" w:color="auto" w:sz="4" w:space="0"/>
              <w:right w:val="single" w:color="000000"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c>
          <w:tcPr>
            <w:tcW w:w="80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80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882"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3.1.3 稳定性指标</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河（湖）岸稳定性指标示意见图</w:t>
      </w:r>
      <w:r>
        <w:rPr>
          <w:rFonts w:hint="eastAsia" w:ascii="Times New Roman" w:hAnsi="Times New Roman" w:cs="Times New Roman"/>
          <w:sz w:val="24"/>
          <w:szCs w:val="24"/>
          <w:lang w:val="en-US" w:eastAsia="zh-CN"/>
        </w:rPr>
        <w:t>3.1-1</w:t>
      </w:r>
      <w:r>
        <w:rPr>
          <w:rFonts w:hint="default" w:ascii="Times New Roman" w:hAnsi="Times New Roman" w:cs="Times New Roman"/>
          <w:sz w:val="24"/>
          <w:szCs w:val="24"/>
        </w:rPr>
        <w:t>。</w:t>
      </w:r>
    </w:p>
    <w:p>
      <w:pPr>
        <w:pStyle w:val="8"/>
        <w:ind w:firstLine="0" w:firstLineChars="0"/>
        <w:jc w:val="left"/>
      </w:pPr>
      <w:r>
        <w:drawing>
          <wp:inline distT="0" distB="0" distL="114300" distR="114300">
            <wp:extent cx="5787390" cy="2559685"/>
            <wp:effectExtent l="0" t="0" r="3810" b="12065"/>
            <wp:docPr id="1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6"/>
                    <pic:cNvPicPr>
                      <a:picLocks noChangeAspect="1"/>
                    </pic:cNvPicPr>
                  </pic:nvPicPr>
                  <pic:blipFill>
                    <a:blip r:embed="rId95"/>
                    <a:stretch>
                      <a:fillRect/>
                    </a:stretch>
                  </pic:blipFill>
                  <pic:spPr>
                    <a:xfrm>
                      <a:off x="0" y="0"/>
                      <a:ext cx="5787390" cy="2559685"/>
                    </a:xfrm>
                    <a:prstGeom prst="rect">
                      <a:avLst/>
                    </a:prstGeom>
                    <a:noFill/>
                    <a:ln>
                      <a:noFill/>
                    </a:ln>
                  </pic:spPr>
                </pic:pic>
              </a:graphicData>
            </a:graphic>
          </wp:inline>
        </w:drawing>
      </w:r>
    </w:p>
    <w:p>
      <w:pPr>
        <w:ind w:firstLine="482" w:firstLineChars="200"/>
        <w:jc w:val="center"/>
        <w:outlineLvl w:val="8"/>
        <w:rPr>
          <w:rFonts w:hint="eastAsia" w:ascii="Times New Roman" w:hAnsi="Times New Roman" w:cs="Times New Roman"/>
          <w:b/>
          <w:bCs/>
          <w:sz w:val="24"/>
          <w:szCs w:val="24"/>
        </w:rPr>
      </w:pPr>
      <w:r>
        <w:rPr>
          <w:rFonts w:hint="default" w:ascii="Times New Roman" w:hAnsi="Times New Roman" w:cs="Times New Roman"/>
          <w:b/>
          <w:bCs/>
          <w:sz w:val="24"/>
          <w:szCs w:val="24"/>
        </w:rPr>
        <w:t>图</w:t>
      </w:r>
      <w:r>
        <w:rPr>
          <w:rFonts w:hint="eastAsia" w:ascii="Times New Roman" w:hAnsi="Times New Roman" w:cs="Times New Roman"/>
          <w:b/>
          <w:bCs/>
          <w:sz w:val="24"/>
          <w:szCs w:val="24"/>
          <w:lang w:val="en-US" w:eastAsia="zh-CN"/>
        </w:rPr>
        <w:t xml:space="preserve">3.1-1  </w:t>
      </w:r>
      <w:r>
        <w:rPr>
          <w:rFonts w:hint="default" w:ascii="Times New Roman" w:hAnsi="Times New Roman" w:cs="Times New Roman"/>
          <w:b/>
          <w:bCs/>
          <w:sz w:val="24"/>
          <w:szCs w:val="24"/>
        </w:rPr>
        <w:t xml:space="preserve"> 河（湖）岸稳定性指标示意图</w:t>
      </w:r>
    </w:p>
    <w:p>
      <w:pPr>
        <w:ind w:left="0" w:lef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河（湖、库）岸稳定性指标中评估要素赋分标准见表</w:t>
      </w:r>
      <w:r>
        <w:rPr>
          <w:rFonts w:hint="eastAsia" w:ascii="Times New Roman" w:hAnsi="Times New Roman" w:cs="Times New Roman"/>
          <w:sz w:val="24"/>
          <w:szCs w:val="24"/>
          <w:lang w:val="en-US" w:eastAsia="zh-CN"/>
        </w:rPr>
        <w:t>3.1-5</w:t>
      </w:r>
      <w:r>
        <w:rPr>
          <w:rFonts w:hint="default" w:ascii="Times New Roman" w:hAnsi="Times New Roman" w:cs="Times New Roman"/>
          <w:sz w:val="24"/>
          <w:szCs w:val="24"/>
        </w:rPr>
        <w:t>。</w:t>
      </w:r>
    </w:p>
    <w:p>
      <w:pPr>
        <w:pStyle w:val="43"/>
        <w:outlineLvl w:val="8"/>
      </w:pPr>
      <w:r>
        <w:t>表</w:t>
      </w:r>
      <w:r>
        <w:rPr>
          <w:rFonts w:hint="eastAsia"/>
          <w:lang w:val="en-US" w:eastAsia="zh-CN"/>
        </w:rPr>
        <w:t>3.1-5</w:t>
      </w:r>
      <w:r>
        <w:t>河（湖、库）岸线自然状况评估分指标评估赋分标准表</w:t>
      </w:r>
    </w:p>
    <w:tbl>
      <w:tblPr>
        <w:tblStyle w:val="28"/>
        <w:tblW w:w="53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1650"/>
        <w:gridCol w:w="1917"/>
        <w:gridCol w:w="1840"/>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岸坡特征</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稳定</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基本稳定</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次不稳定</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不稳定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分值</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100≥BKSr＞75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75≥ BKSr＞25</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25≥BKSr＞0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BKSr＝0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斜坡倾角（度）</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&lt;15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15-30</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30-45</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植被覆盖率（%）</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&gt;75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50-75</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25-50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斜坡高度（米）</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&lt;5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5-10</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10-30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基质（类别）</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岩质河岸</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岩质或土质河岸</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岩土混合河岸</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土质河岸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河岸冲刷状况</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无冲刷现象</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轻度冲刷</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中度冲刷</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重度冲刷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总体特征描述</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近期内河（湖、库）岸不会发生变形破坏，无水土流失现象</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河（湖、库）岸结构有松动发育迹象，有水土流失迹象，但近期不会发生变形和破坏</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河（湖、库）岸松动裂痕发育趋势明显，一定条件下可导致河岸变形和破坏，中度水土流失</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河（湖、库）岸水土流失严重，随时可能发生大的变形和破坏，或已经发生破坏</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3.1.4 违规开发水域岸线程度</w:t>
      </w:r>
    </w:p>
    <w:p>
      <w:pPr>
        <w:snapToGrid w:val="0"/>
        <w:spacing w:line="360" w:lineRule="auto"/>
        <w:ind w:firstLine="420"/>
        <w:rPr>
          <w:rFonts w:ascii="Times New Roman" w:hAnsi="Times New Roman"/>
          <w:sz w:val="28"/>
          <w:szCs w:val="28"/>
        </w:rPr>
      </w:pPr>
      <w:r>
        <w:rPr>
          <w:rFonts w:hint="eastAsia" w:ascii="宋体" w:hAnsi="宋体" w:eastAsia="宋体" w:cs="宋体"/>
          <w:sz w:val="24"/>
          <w:szCs w:val="24"/>
        </w:rPr>
        <w:t>违规开发利用水域岸线程度综合考虑河湖“四乱”状况和入河排污口设置违反河道管理要求程度，采用各指标的加权平均值，各指标权重可参考表</w:t>
      </w:r>
      <w:r>
        <w:rPr>
          <w:rFonts w:hint="eastAsia" w:ascii="宋体" w:hAnsi="宋体" w:eastAsia="宋体" w:cs="宋体"/>
          <w:sz w:val="24"/>
          <w:szCs w:val="24"/>
          <w:lang w:val="en-US" w:eastAsia="zh-CN"/>
        </w:rPr>
        <w:t>3.1-6</w:t>
      </w:r>
      <w:r>
        <w:rPr>
          <w:rFonts w:hint="eastAsia" w:ascii="宋体" w:hAnsi="宋体" w:eastAsia="宋体" w:cs="宋体"/>
          <w:sz w:val="24"/>
          <w:szCs w:val="24"/>
        </w:rPr>
        <w:t>。</w:t>
      </w:r>
      <w:r>
        <w:rPr>
          <w:rFonts w:ascii="Times New Roman" w:hAnsi="Times New Roman"/>
          <w:sz w:val="28"/>
          <w:szCs w:val="28"/>
        </w:rPr>
        <w:t xml:space="preserve"> </w:t>
      </w:r>
    </w:p>
    <w:p>
      <w:pPr>
        <w:pStyle w:val="43"/>
        <w:jc w:val="both"/>
        <w:outlineLvl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 xml:space="preserve">3.1-6      </w:t>
      </w:r>
      <w:r>
        <w:rPr>
          <w:rFonts w:hint="eastAsia" w:ascii="宋体" w:hAnsi="宋体" w:eastAsia="宋体" w:cs="宋体"/>
          <w:sz w:val="24"/>
          <w:szCs w:val="24"/>
        </w:rPr>
        <w:t>违规开发利用水域岸线程度指标权重表</w:t>
      </w:r>
    </w:p>
    <w:tbl>
      <w:tblPr>
        <w:tblStyle w:val="28"/>
        <w:tblW w:w="43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5"/>
        <w:gridCol w:w="4332"/>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序号</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名称</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河湖“四乱”状况</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入河排污口设置违反河道管理要求程度</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0.3</w:t>
            </w:r>
          </w:p>
        </w:tc>
      </w:tr>
    </w:tbl>
    <w:p>
      <w:pPr>
        <w:numPr>
          <w:ilvl w:val="0"/>
          <w:numId w:val="0"/>
        </w:numPr>
        <w:tabs>
          <w:tab w:val="left" w:pos="420"/>
        </w:tabs>
        <w:spacing w:before="0" w:beforeLines="0" w:after="0" w:afterLines="0"/>
        <w:ind w:firstLine="480" w:firstLineChars="200"/>
        <w:outlineLvl w:val="9"/>
        <w:rPr>
          <w:rFonts w:hint="eastAsia" w:ascii="宋体" w:hAnsi="宋体" w:eastAsia="宋体" w:cs="宋体"/>
          <w:bCs w:val="0"/>
          <w:sz w:val="24"/>
          <w:szCs w:val="24"/>
        </w:rPr>
      </w:pPr>
      <w:r>
        <w:rPr>
          <w:rFonts w:hint="eastAsia" w:ascii="宋体" w:hAnsi="宋体" w:eastAsia="宋体" w:cs="宋体"/>
          <w:bCs w:val="0"/>
          <w:sz w:val="24"/>
          <w:szCs w:val="24"/>
        </w:rPr>
        <w:t xml:space="preserve">（1）河湖“四乱”状况 </w:t>
      </w:r>
    </w:p>
    <w:p>
      <w:pPr>
        <w:numPr>
          <w:ilvl w:val="0"/>
          <w:numId w:val="0"/>
        </w:numPr>
        <w:tabs>
          <w:tab w:val="left" w:pos="420"/>
        </w:tabs>
        <w:spacing w:before="0" w:beforeLines="0" w:after="0" w:afterLines="0"/>
        <w:ind w:firstLine="480" w:firstLineChars="200"/>
        <w:outlineLvl w:val="9"/>
        <w:rPr>
          <w:rFonts w:hint="eastAsia" w:ascii="宋体" w:hAnsi="宋体" w:eastAsia="宋体" w:cs="宋体"/>
          <w:bCs w:val="0"/>
          <w:sz w:val="24"/>
          <w:szCs w:val="24"/>
        </w:rPr>
      </w:pPr>
      <w:r>
        <w:rPr>
          <w:rFonts w:hint="eastAsia" w:ascii="宋体" w:hAnsi="宋体" w:eastAsia="宋体" w:cs="宋体"/>
          <w:bCs w:val="0"/>
          <w:sz w:val="24"/>
          <w:szCs w:val="24"/>
        </w:rPr>
        <w:t>无“四乱”状况的河段/湖库区赋分为 100 分，“四乱”扣分时应考虑其严重程度，扣完为止，赋分标准见表</w:t>
      </w:r>
      <w:r>
        <w:rPr>
          <w:rFonts w:hint="eastAsia" w:ascii="宋体" w:hAnsi="宋体" w:eastAsia="宋体" w:cs="宋体"/>
          <w:bCs w:val="0"/>
          <w:sz w:val="24"/>
          <w:szCs w:val="24"/>
          <w:lang w:val="en-US" w:eastAsia="zh-CN"/>
        </w:rPr>
        <w:t>3.1-7</w:t>
      </w:r>
    </w:p>
    <w:p>
      <w:pPr>
        <w:pStyle w:val="43"/>
        <w:jc w:val="both"/>
        <w:outlineLvl w:val="8"/>
        <w:rPr>
          <w:sz w:val="24"/>
          <w:szCs w:val="24"/>
        </w:rPr>
      </w:pPr>
      <w:r>
        <w:rPr>
          <w:sz w:val="24"/>
          <w:szCs w:val="24"/>
        </w:rPr>
        <w:t>表</w:t>
      </w:r>
      <w:r>
        <w:rPr>
          <w:rFonts w:hint="eastAsia"/>
          <w:sz w:val="24"/>
          <w:szCs w:val="24"/>
          <w:lang w:val="en-US" w:eastAsia="zh-CN"/>
        </w:rPr>
        <w:t xml:space="preserve">3.1-7             </w:t>
      </w:r>
      <w:r>
        <w:rPr>
          <w:sz w:val="24"/>
          <w:szCs w:val="24"/>
        </w:rPr>
        <w:t>河湖“四乱”状况赋分标准表</w:t>
      </w:r>
    </w:p>
    <w:tbl>
      <w:tblPr>
        <w:tblStyle w:val="28"/>
        <w:tblW w:w="4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1771"/>
        <w:gridCol w:w="1893"/>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285" w:type="pct"/>
            <w:vMerge w:val="restar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类型</w:t>
            </w:r>
          </w:p>
        </w:tc>
        <w:tc>
          <w:tcPr>
            <w:tcW w:w="3715" w:type="pct"/>
            <w:gridSpan w:val="3"/>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“四乱”问题扣分标准（每发现 1 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285" w:type="pct"/>
            <w:vMerge w:val="continue"/>
            <w:noWrap w:val="0"/>
            <w:vAlign w:val="center"/>
          </w:tcPr>
          <w:p>
            <w:pPr>
              <w:pStyle w:val="46"/>
              <w:adjustRightInd w:val="0"/>
              <w:snapToGrid w:val="0"/>
              <w:jc w:val="center"/>
              <w:rPr>
                <w:rFonts w:hint="default" w:ascii="Times New Roman" w:hAnsi="Times New Roman" w:cs="Times New Roman"/>
                <w:sz w:val="18"/>
                <w:szCs w:val="18"/>
                <w:lang w:val="en-US" w:eastAsia="zh-CN"/>
              </w:rPr>
            </w:pP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一般问题</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较严重问题</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重大问题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乱采</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乱占</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乱堆</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乱建</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bl>
    <w:p/>
    <w:p>
      <w:pPr>
        <w:numPr>
          <w:ilvl w:val="0"/>
          <w:numId w:val="0"/>
        </w:numPr>
        <w:tabs>
          <w:tab w:val="left" w:pos="420"/>
        </w:tabs>
        <w:spacing w:before="0" w:beforeLines="0" w:after="0" w:afterLines="0"/>
        <w:ind w:firstLine="480" w:firstLineChars="200"/>
        <w:outlineLvl w:val="9"/>
        <w:rPr>
          <w:rFonts w:eastAsia="宋体"/>
          <w:b w:val="0"/>
          <w:bCs/>
          <w:sz w:val="24"/>
          <w:szCs w:val="24"/>
        </w:rPr>
      </w:pPr>
      <w:r>
        <w:rPr>
          <w:rFonts w:hint="eastAsia" w:eastAsia="宋体"/>
          <w:b w:val="0"/>
          <w:bCs/>
          <w:sz w:val="24"/>
          <w:szCs w:val="24"/>
        </w:rPr>
        <w:t>（</w:t>
      </w:r>
      <w:r>
        <w:rPr>
          <w:rFonts w:eastAsia="宋体"/>
          <w:b w:val="0"/>
          <w:bCs/>
          <w:sz w:val="24"/>
          <w:szCs w:val="24"/>
        </w:rPr>
        <w:t>2</w:t>
      </w:r>
      <w:r>
        <w:rPr>
          <w:rFonts w:hint="eastAsia" w:eastAsia="宋体"/>
          <w:b w:val="0"/>
          <w:bCs/>
          <w:sz w:val="24"/>
          <w:szCs w:val="24"/>
        </w:rPr>
        <w:t>）</w:t>
      </w:r>
      <w:r>
        <w:rPr>
          <w:rFonts w:eastAsia="宋体"/>
          <w:b w:val="0"/>
          <w:bCs/>
          <w:sz w:val="24"/>
          <w:szCs w:val="24"/>
        </w:rPr>
        <w:t>入河排污口</w:t>
      </w:r>
      <w:r>
        <w:rPr>
          <w:rFonts w:hint="eastAsia" w:eastAsia="宋体"/>
          <w:b w:val="0"/>
          <w:bCs/>
          <w:sz w:val="24"/>
          <w:szCs w:val="24"/>
        </w:rPr>
        <w:t>设置违反河道管理要求程度</w:t>
      </w:r>
      <w:r>
        <w:rPr>
          <w:rFonts w:eastAsia="宋体"/>
          <w:b w:val="0"/>
          <w:bCs/>
          <w:sz w:val="24"/>
          <w:szCs w:val="24"/>
        </w:rPr>
        <w:t xml:space="preserve"> </w:t>
      </w:r>
    </w:p>
    <w:p>
      <w:pPr>
        <w:numPr>
          <w:ilvl w:val="0"/>
          <w:numId w:val="0"/>
        </w:numPr>
        <w:tabs>
          <w:tab w:val="left" w:pos="420"/>
        </w:tabs>
        <w:spacing w:before="0" w:beforeLines="0" w:after="0" w:afterLines="0"/>
        <w:ind w:firstLine="480" w:firstLineChars="200"/>
        <w:outlineLvl w:val="9"/>
        <w:rPr>
          <w:rFonts w:eastAsia="宋体"/>
          <w:bCs w:val="0"/>
          <w:sz w:val="24"/>
          <w:szCs w:val="24"/>
        </w:rPr>
      </w:pPr>
      <w:r>
        <w:rPr>
          <w:rFonts w:eastAsia="宋体"/>
          <w:bCs w:val="0"/>
          <w:sz w:val="24"/>
          <w:szCs w:val="24"/>
        </w:rPr>
        <w:t>入河湖</w:t>
      </w:r>
      <w:r>
        <w:rPr>
          <w:rFonts w:hint="eastAsia" w:eastAsia="宋体"/>
          <w:bCs w:val="0"/>
          <w:sz w:val="24"/>
          <w:szCs w:val="24"/>
        </w:rPr>
        <w:t>（库）</w:t>
      </w:r>
      <w:r>
        <w:rPr>
          <w:rFonts w:eastAsia="宋体"/>
          <w:bCs w:val="0"/>
          <w:sz w:val="24"/>
          <w:szCs w:val="24"/>
        </w:rPr>
        <w:t>排污口</w:t>
      </w:r>
      <w:r>
        <w:rPr>
          <w:rFonts w:hint="eastAsia" w:eastAsia="宋体"/>
          <w:bCs w:val="0"/>
          <w:sz w:val="24"/>
          <w:szCs w:val="24"/>
        </w:rPr>
        <w:t>设置违反河道管理要求程度</w:t>
      </w:r>
      <w:r>
        <w:rPr>
          <w:rFonts w:eastAsia="宋体"/>
          <w:bCs w:val="0"/>
          <w:sz w:val="24"/>
          <w:szCs w:val="24"/>
        </w:rPr>
        <w:t>是指</w:t>
      </w:r>
      <w:r>
        <w:rPr>
          <w:rFonts w:hint="eastAsia" w:eastAsia="宋体"/>
          <w:bCs w:val="0"/>
          <w:sz w:val="24"/>
          <w:szCs w:val="24"/>
        </w:rPr>
        <w:t>入河排污口涉河构筑物建设未取得水行主管部门同意</w:t>
      </w:r>
      <w:r>
        <w:rPr>
          <w:rFonts w:eastAsia="宋体"/>
          <w:bCs w:val="0"/>
          <w:sz w:val="24"/>
          <w:szCs w:val="24"/>
        </w:rPr>
        <w:t>的比例。</w:t>
      </w:r>
    </w:p>
    <w:p>
      <w:pPr>
        <w:numPr>
          <w:ilvl w:val="0"/>
          <w:numId w:val="0"/>
        </w:numPr>
        <w:tabs>
          <w:tab w:val="left" w:pos="420"/>
        </w:tabs>
        <w:spacing w:before="0" w:beforeLines="0" w:after="0" w:afterLines="0"/>
        <w:ind w:firstLine="480" w:firstLineChars="200"/>
        <w:outlineLvl w:val="9"/>
        <w:rPr>
          <w:rFonts w:eastAsia="宋体"/>
          <w:bCs w:val="0"/>
          <w:sz w:val="24"/>
          <w:szCs w:val="24"/>
        </w:rPr>
      </w:pPr>
      <w:bookmarkStart w:id="43" w:name="_Toc17449"/>
      <w:r>
        <w:rPr>
          <w:rFonts w:eastAsia="宋体"/>
          <w:bCs w:val="0"/>
          <w:sz w:val="24"/>
          <w:szCs w:val="24"/>
        </w:rPr>
        <w:t xml:space="preserve">指标赋分值按照以下公式： R </w:t>
      </w:r>
      <w:r>
        <w:rPr>
          <w:rFonts w:eastAsia="宋体"/>
          <w:bCs w:val="0"/>
          <w:sz w:val="24"/>
          <w:szCs w:val="24"/>
        </w:rPr>
        <w:sym w:font="Symbol" w:char="F03D"/>
      </w:r>
      <w:r>
        <w:rPr>
          <w:rFonts w:eastAsia="宋体"/>
          <w:bCs w:val="0"/>
          <w:sz w:val="24"/>
          <w:szCs w:val="24"/>
        </w:rPr>
        <w:t xml:space="preserve"> Ni / N </w:t>
      </w:r>
      <w:r>
        <w:rPr>
          <w:rFonts w:eastAsia="宋体"/>
          <w:bCs w:val="0"/>
          <w:sz w:val="24"/>
          <w:szCs w:val="24"/>
        </w:rPr>
        <w:sym w:font="Symbol" w:char="F0B4"/>
      </w:r>
      <w:r>
        <w:rPr>
          <w:rFonts w:eastAsia="宋体"/>
          <w:bCs w:val="0"/>
          <w:sz w:val="24"/>
          <w:szCs w:val="24"/>
        </w:rPr>
        <w:t>100</w:t>
      </w:r>
      <w:bookmarkEnd w:id="43"/>
      <w:r>
        <w:rPr>
          <w:rFonts w:eastAsia="宋体"/>
          <w:bCs w:val="0"/>
          <w:sz w:val="24"/>
          <w:szCs w:val="24"/>
        </w:rPr>
        <w:t xml:space="preserve">  </w:t>
      </w:r>
    </w:p>
    <w:p>
      <w:pPr>
        <w:numPr>
          <w:ilvl w:val="0"/>
          <w:numId w:val="0"/>
        </w:numPr>
        <w:tabs>
          <w:tab w:val="left" w:pos="420"/>
        </w:tabs>
        <w:spacing w:before="0" w:beforeLines="0" w:after="0" w:afterLines="0"/>
        <w:ind w:firstLine="480" w:firstLineChars="200"/>
        <w:outlineLvl w:val="9"/>
        <w:rPr>
          <w:rFonts w:eastAsia="宋体"/>
          <w:bCs w:val="0"/>
          <w:sz w:val="24"/>
          <w:szCs w:val="24"/>
        </w:rPr>
      </w:pPr>
      <w:r>
        <w:rPr>
          <w:rFonts w:eastAsia="宋体"/>
          <w:bCs w:val="0"/>
          <w:sz w:val="24"/>
          <w:szCs w:val="24"/>
        </w:rPr>
        <w:t>式中：R——</w:t>
      </w:r>
      <w:r>
        <w:rPr>
          <w:rFonts w:hint="eastAsia" w:eastAsia="宋体"/>
          <w:bCs w:val="0"/>
          <w:sz w:val="24"/>
          <w:szCs w:val="24"/>
        </w:rPr>
        <w:t>入河排污口涉河构筑物建设未取得水行主管部门同意</w:t>
      </w:r>
      <w:r>
        <w:rPr>
          <w:rFonts w:eastAsia="宋体"/>
          <w:bCs w:val="0"/>
          <w:sz w:val="24"/>
          <w:szCs w:val="24"/>
        </w:rPr>
        <w:t>的比例； Ni——</w:t>
      </w:r>
      <w:r>
        <w:rPr>
          <w:rFonts w:hint="eastAsia" w:eastAsia="宋体"/>
          <w:bCs w:val="0"/>
          <w:sz w:val="24"/>
          <w:szCs w:val="24"/>
        </w:rPr>
        <w:t>未取得水行主管部门同意设置</w:t>
      </w:r>
      <w:r>
        <w:rPr>
          <w:rFonts w:eastAsia="宋体"/>
          <w:bCs w:val="0"/>
          <w:sz w:val="24"/>
          <w:szCs w:val="24"/>
        </w:rPr>
        <w:t>的入河排污口数量（个）； N——入河湖排污口总数（个），赋分标准见表</w:t>
      </w:r>
      <w:r>
        <w:rPr>
          <w:rFonts w:hint="eastAsia" w:eastAsia="宋体"/>
          <w:bCs w:val="0"/>
          <w:sz w:val="24"/>
          <w:szCs w:val="24"/>
          <w:lang w:val="en-US" w:eastAsia="zh-CN"/>
        </w:rPr>
        <w:t>3.1-8</w:t>
      </w:r>
      <w:r>
        <w:rPr>
          <w:rFonts w:eastAsia="宋体"/>
          <w:bCs w:val="0"/>
          <w:sz w:val="24"/>
          <w:szCs w:val="24"/>
        </w:rPr>
        <w:t>。</w:t>
      </w:r>
    </w:p>
    <w:p>
      <w:pPr>
        <w:pStyle w:val="43"/>
        <w:jc w:val="both"/>
        <w:outlineLvl w:val="8"/>
        <w:rPr>
          <w:sz w:val="24"/>
          <w:szCs w:val="24"/>
        </w:rPr>
      </w:pPr>
      <w:r>
        <w:rPr>
          <w:sz w:val="24"/>
          <w:szCs w:val="24"/>
        </w:rPr>
        <w:t>表</w:t>
      </w:r>
      <w:r>
        <w:rPr>
          <w:rFonts w:hint="eastAsia"/>
          <w:sz w:val="24"/>
          <w:szCs w:val="24"/>
          <w:lang w:val="en-US" w:eastAsia="zh-CN"/>
        </w:rPr>
        <w:t xml:space="preserve">3.1-8    </w:t>
      </w:r>
      <w:r>
        <w:rPr>
          <w:sz w:val="24"/>
          <w:szCs w:val="24"/>
        </w:rPr>
        <w:t>入河排污口</w:t>
      </w:r>
      <w:r>
        <w:rPr>
          <w:rFonts w:hint="eastAsia"/>
          <w:sz w:val="24"/>
          <w:szCs w:val="24"/>
        </w:rPr>
        <w:t>设置违反河道管理要求</w:t>
      </w:r>
      <w:r>
        <w:rPr>
          <w:sz w:val="24"/>
          <w:szCs w:val="24"/>
        </w:rPr>
        <w:t>赋分标准表</w:t>
      </w:r>
    </w:p>
    <w:tbl>
      <w:tblPr>
        <w:tblStyle w:val="28"/>
        <w:tblW w:w="46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761"/>
        <w:gridCol w:w="959"/>
        <w:gridCol w:w="959"/>
        <w:gridCol w:w="959"/>
        <w:gridCol w:w="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入河排污口涉河构筑物建设未取得水行主管部门同意的比例</w:t>
            </w:r>
          </w:p>
        </w:tc>
        <w:tc>
          <w:tcPr>
            <w:tcW w:w="479"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20-40-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40-60</w:t>
            </w:r>
          </w:p>
        </w:tc>
        <w:tc>
          <w:tcPr>
            <w:tcW w:w="6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赋分</w:t>
            </w:r>
          </w:p>
        </w:tc>
        <w:tc>
          <w:tcPr>
            <w:tcW w:w="479"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80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w:t>
            </w:r>
          </w:p>
        </w:tc>
        <w:tc>
          <w:tcPr>
            <w:tcW w:w="6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r>
    </w:tbl>
    <w:p>
      <w:pPr>
        <w:pStyle w:val="2"/>
        <w:ind w:left="0" w:leftChars="0" w:firstLine="0" w:firstLineChars="0"/>
        <w:outlineLvl w:val="9"/>
        <w:rPr>
          <w:rFonts w:hint="default"/>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5</w:t>
      </w:r>
      <w:r>
        <w:rPr>
          <w:rFonts w:hint="eastAsia" w:ascii="Times New Roman" w:hAnsi="Times New Roman" w:cs="Times New Roman"/>
          <w:b/>
          <w:bCs/>
          <w:color w:val="auto"/>
          <w:kern w:val="2"/>
          <w:sz w:val="24"/>
          <w:szCs w:val="24"/>
          <w:lang w:val="en-US" w:eastAsia="zh-CN"/>
        </w:rPr>
        <w:t xml:space="preserve"> 连通性指数</w:t>
      </w:r>
    </w:p>
    <w:p>
      <w:pPr>
        <w:snapToGrid w:val="0"/>
        <w:spacing w:line="360" w:lineRule="auto"/>
        <w:ind w:firstLine="480" w:firstLineChars="200"/>
        <w:rPr>
          <w:rFonts w:ascii="Times New Roman" w:hAnsi="Times New Roman"/>
          <w:sz w:val="28"/>
          <w:szCs w:val="28"/>
        </w:rPr>
      </w:pPr>
      <w:r>
        <w:rPr>
          <w:rFonts w:ascii="Times New Roman" w:hAnsi="Times New Roman"/>
          <w:sz w:val="24"/>
          <w:szCs w:val="24"/>
        </w:rPr>
        <w:t>河流纵向连通性指数。根据单位河长内影响河流连通性的人工建筑物或设施数量进行评估，有过鱼设施且能正常运行的不在统计范围之列。</w:t>
      </w:r>
    </w:p>
    <w:p>
      <w:pPr>
        <w:snapToGrid w:val="0"/>
        <w:spacing w:line="276" w:lineRule="auto"/>
        <w:ind w:left="0" w:leftChars="0" w:firstLine="482" w:firstLineChars="200"/>
        <w:jc w:val="both"/>
        <w:outlineLvl w:val="8"/>
        <w:rPr>
          <w:rFonts w:hint="eastAsia"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cs="宋体"/>
          <w:b/>
          <w:bCs/>
          <w:sz w:val="24"/>
          <w:szCs w:val="24"/>
          <w:lang w:val="en-US" w:eastAsia="zh-CN"/>
        </w:rPr>
        <w:t>3.1-9</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河流纵向连通性指数评估赋分标准表</w:t>
      </w:r>
    </w:p>
    <w:tbl>
      <w:tblPr>
        <w:tblStyle w:val="28"/>
        <w:tblW w:w="5000" w:type="pct"/>
        <w:jc w:val="center"/>
        <w:tblLayout w:type="fixed"/>
        <w:tblCellMar>
          <w:top w:w="0" w:type="dxa"/>
          <w:left w:w="108" w:type="dxa"/>
          <w:bottom w:w="0" w:type="dxa"/>
          <w:right w:w="108" w:type="dxa"/>
        </w:tblCellMar>
      </w:tblPr>
      <w:tblGrid>
        <w:gridCol w:w="759"/>
        <w:gridCol w:w="1778"/>
        <w:gridCol w:w="524"/>
        <w:gridCol w:w="666"/>
        <w:gridCol w:w="884"/>
        <w:gridCol w:w="766"/>
        <w:gridCol w:w="1386"/>
        <w:gridCol w:w="881"/>
        <w:gridCol w:w="878"/>
      </w:tblGrid>
      <w:tr>
        <w:trPr>
          <w:trHeight w:val="623" w:hRule="atLeast"/>
          <w:jc w:val="center"/>
        </w:trPr>
        <w:tc>
          <w:tcPr>
            <w:tcW w:w="1488" w:type="pct"/>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河流纵向连通性指数</w:t>
            </w:r>
          </w:p>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（单位：≥个/100km）</w:t>
            </w:r>
          </w:p>
        </w:tc>
        <w:tc>
          <w:tcPr>
            <w:tcW w:w="307" w:type="pct"/>
            <w:tcBorders>
              <w:top w:val="single" w:color="auto" w:sz="4" w:space="0"/>
              <w:left w:val="nil"/>
              <w:bottom w:val="single" w:color="auto" w:sz="4" w:space="0"/>
              <w:right w:val="nil"/>
            </w:tcBorders>
            <w:noWrap w:val="0"/>
            <w:vAlign w:val="top"/>
          </w:tcPr>
          <w:p>
            <w:pPr>
              <w:adjustRightInd w:val="0"/>
              <w:snapToGrid w:val="0"/>
              <w:ind w:left="0" w:leftChars="0" w:firstLine="0" w:firstLineChars="0"/>
              <w:jc w:val="center"/>
              <w:rPr>
                <w:rFonts w:hint="default" w:ascii="Times New Roman" w:hAnsi="Times New Roman" w:cs="Times New Roman"/>
                <w:sz w:val="18"/>
                <w:szCs w:val="18"/>
              </w:rPr>
            </w:pPr>
          </w:p>
        </w:tc>
        <w:tc>
          <w:tcPr>
            <w:tcW w:w="39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w:t>
            </w:r>
          </w:p>
        </w:tc>
        <w:tc>
          <w:tcPr>
            <w:tcW w:w="518"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1-1.2</w:t>
            </w:r>
          </w:p>
        </w:tc>
        <w:tc>
          <w:tcPr>
            <w:tcW w:w="449"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0.5-1</w:t>
            </w:r>
          </w:p>
        </w:tc>
        <w:tc>
          <w:tcPr>
            <w:tcW w:w="81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0.25-0.5</w:t>
            </w:r>
          </w:p>
        </w:tc>
        <w:tc>
          <w:tcPr>
            <w:tcW w:w="516"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w:t>
            </w:r>
          </w:p>
        </w:tc>
        <w:tc>
          <w:tcPr>
            <w:tcW w:w="515" w:type="pct"/>
            <w:tcBorders>
              <w:top w:val="single" w:color="auto" w:sz="4" w:space="0"/>
              <w:left w:val="nil"/>
              <w:bottom w:val="single" w:color="auto" w:sz="4" w:space="0"/>
              <w:right w:val="single" w:color="auto" w:sz="4" w:space="0"/>
            </w:tcBorders>
            <w:noWrap w:val="0"/>
            <w:vAlign w:val="center"/>
          </w:tcPr>
          <w:p>
            <w:pPr>
              <w:adjustRightInd w:val="0"/>
              <w:snapToGrid w:val="0"/>
              <w:ind w:firstLine="180" w:firstLineChars="100"/>
              <w:jc w:val="center"/>
              <w:rPr>
                <w:rFonts w:hint="default" w:ascii="Times New Roman" w:hAnsi="Times New Roman" w:cs="Times New Roman"/>
                <w:sz w:val="18"/>
                <w:szCs w:val="18"/>
              </w:rPr>
            </w:pPr>
            <w:r>
              <w:rPr>
                <w:rFonts w:hint="default" w:ascii="Times New Roman" w:hAnsi="Times New Roman" w:cs="Times New Roman"/>
                <w:sz w:val="18"/>
                <w:szCs w:val="18"/>
              </w:rPr>
              <w:t>0</w:t>
            </w:r>
          </w:p>
        </w:tc>
      </w:tr>
      <w:tr>
        <w:tblPrEx>
          <w:tblCellMar>
            <w:top w:w="0" w:type="dxa"/>
            <w:left w:w="108" w:type="dxa"/>
            <w:bottom w:w="0" w:type="dxa"/>
            <w:right w:w="108" w:type="dxa"/>
          </w:tblCellMar>
        </w:tblPrEx>
        <w:trPr>
          <w:trHeight w:val="285" w:hRule="atLeast"/>
          <w:jc w:val="center"/>
        </w:trPr>
        <w:tc>
          <w:tcPr>
            <w:tcW w:w="445" w:type="pct"/>
            <w:vMerge w:val="restart"/>
            <w:tcBorders>
              <w:top w:val="nil"/>
              <w:left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赋分</w:t>
            </w:r>
          </w:p>
        </w:tc>
        <w:tc>
          <w:tcPr>
            <w:tcW w:w="1043" w:type="pct"/>
            <w:tcBorders>
              <w:top w:val="nil"/>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有洄游鱼类需求的河流（河段）</w:t>
            </w:r>
          </w:p>
        </w:tc>
        <w:tc>
          <w:tcPr>
            <w:tcW w:w="307" w:type="pct"/>
            <w:tcBorders>
              <w:top w:val="nil"/>
              <w:left w:val="nil"/>
              <w:bottom w:val="single" w:color="auto" w:sz="4" w:space="0"/>
              <w:right w:val="nil"/>
            </w:tcBorders>
            <w:noWrap w:val="0"/>
            <w:vAlign w:val="top"/>
          </w:tcPr>
          <w:p>
            <w:pPr>
              <w:adjustRightInd w:val="0"/>
              <w:snapToGrid w:val="0"/>
              <w:jc w:val="center"/>
              <w:rPr>
                <w:rFonts w:hint="default" w:ascii="Times New Roman" w:hAnsi="Times New Roman" w:cs="Times New Roman"/>
                <w:sz w:val="18"/>
                <w:szCs w:val="18"/>
              </w:rPr>
            </w:pPr>
          </w:p>
        </w:tc>
        <w:tc>
          <w:tcPr>
            <w:tcW w:w="39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w:t>
            </w:r>
          </w:p>
        </w:tc>
        <w:tc>
          <w:tcPr>
            <w:tcW w:w="518"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449"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813"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516"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15"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r>
        <w:tblPrEx>
          <w:tblCellMar>
            <w:top w:w="0" w:type="dxa"/>
            <w:left w:w="108" w:type="dxa"/>
            <w:bottom w:w="0" w:type="dxa"/>
            <w:right w:w="108" w:type="dxa"/>
          </w:tblCellMar>
        </w:tblPrEx>
        <w:trPr>
          <w:trHeight w:val="338" w:hRule="atLeast"/>
          <w:jc w:val="center"/>
        </w:trPr>
        <w:tc>
          <w:tcPr>
            <w:tcW w:w="445" w:type="pct"/>
            <w:vMerge w:val="continue"/>
            <w:tcBorders>
              <w:left w:val="single" w:color="auto" w:sz="4" w:space="0"/>
              <w:bottom w:val="single" w:color="auto" w:sz="4" w:space="0"/>
              <w:right w:val="single" w:color="auto" w:sz="4" w:space="0"/>
            </w:tcBorders>
            <w:noWrap w:val="0"/>
            <w:vAlign w:val="center"/>
          </w:tcPr>
          <w:p>
            <w:pPr>
              <w:adjustRightInd w:val="0"/>
              <w:snapToGrid w:val="0"/>
              <w:ind w:firstLine="480"/>
              <w:jc w:val="center"/>
              <w:rPr>
                <w:rFonts w:hint="default" w:ascii="Times New Roman" w:hAnsi="Times New Roman" w:cs="Times New Roman"/>
                <w:sz w:val="18"/>
                <w:szCs w:val="18"/>
              </w:rPr>
            </w:pPr>
          </w:p>
        </w:tc>
        <w:tc>
          <w:tcPr>
            <w:tcW w:w="104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无洄游鱼类需求的河流（河段）</w:t>
            </w:r>
          </w:p>
        </w:tc>
        <w:tc>
          <w:tcPr>
            <w:tcW w:w="307" w:type="pct"/>
            <w:tcBorders>
              <w:top w:val="single" w:color="auto" w:sz="4" w:space="0"/>
              <w:left w:val="nil"/>
              <w:bottom w:val="single" w:color="auto" w:sz="4" w:space="0"/>
              <w:right w:val="nil"/>
            </w:tcBorders>
            <w:noWrap w:val="0"/>
            <w:vAlign w:val="top"/>
          </w:tcPr>
          <w:p>
            <w:pPr>
              <w:adjustRightInd w:val="0"/>
              <w:snapToGrid w:val="0"/>
              <w:ind w:firstLine="480"/>
              <w:jc w:val="center"/>
              <w:rPr>
                <w:rFonts w:hint="default" w:ascii="Times New Roman" w:hAnsi="Times New Roman" w:cs="Times New Roman"/>
                <w:sz w:val="18"/>
                <w:szCs w:val="18"/>
              </w:rPr>
            </w:pPr>
          </w:p>
        </w:tc>
        <w:tc>
          <w:tcPr>
            <w:tcW w:w="39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518"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70</w:t>
            </w:r>
          </w:p>
        </w:tc>
        <w:tc>
          <w:tcPr>
            <w:tcW w:w="449"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81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90</w:t>
            </w:r>
          </w:p>
        </w:tc>
        <w:tc>
          <w:tcPr>
            <w:tcW w:w="516"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95</w:t>
            </w:r>
          </w:p>
        </w:tc>
        <w:tc>
          <w:tcPr>
            <w:tcW w:w="515"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6</w:t>
      </w:r>
      <w:r>
        <w:rPr>
          <w:rFonts w:hint="eastAsia" w:ascii="Times New Roman" w:hAnsi="Times New Roman" w:cs="Times New Roman"/>
          <w:b/>
          <w:bCs/>
          <w:color w:val="auto"/>
          <w:kern w:val="2"/>
          <w:sz w:val="24"/>
          <w:szCs w:val="24"/>
          <w:lang w:val="en-US" w:eastAsia="zh-CN"/>
        </w:rPr>
        <w:t xml:space="preserve"> 水体整洁程度</w:t>
      </w:r>
    </w:p>
    <w:p>
      <w:pPr>
        <w:bidi w:val="0"/>
        <w:rPr>
          <w:rFonts w:hint="eastAsia"/>
          <w:b w:val="0"/>
          <w:bCs w:val="0"/>
        </w:rPr>
      </w:pPr>
      <w:r>
        <w:rPr>
          <w:rFonts w:hint="eastAsia"/>
          <w:b w:val="0"/>
          <w:bCs w:val="0"/>
        </w:rPr>
        <w:t>水体整洁程度根据河湖水域感官状况评估。</w:t>
      </w:r>
    </w:p>
    <w:p>
      <w:pPr>
        <w:bidi w:val="0"/>
        <w:rPr>
          <w:rFonts w:hint="eastAsia"/>
          <w:b w:val="0"/>
          <w:bCs w:val="0"/>
        </w:rPr>
      </w:pPr>
      <w:r>
        <w:rPr>
          <w:rFonts w:hint="eastAsia"/>
          <w:b w:val="0"/>
          <w:bCs w:val="0"/>
        </w:rPr>
        <w:t>水体整洁程度赋分标准见表</w:t>
      </w:r>
      <w:r>
        <w:rPr>
          <w:rFonts w:hint="eastAsia"/>
          <w:b w:val="0"/>
          <w:bCs w:val="0"/>
          <w:lang w:val="en-US" w:eastAsia="zh-CN"/>
        </w:rPr>
        <w:t>3.1-10</w:t>
      </w:r>
      <w:r>
        <w:rPr>
          <w:rFonts w:hint="eastAsia"/>
          <w:b w:val="0"/>
          <w:bCs w:val="0"/>
        </w:rPr>
        <w:t>，根据嗅和味、漂浮废弃物中最差状况确定最终得分。</w:t>
      </w:r>
    </w:p>
    <w:p>
      <w:pPr>
        <w:pStyle w:val="43"/>
        <w:jc w:val="both"/>
        <w:outlineLvl w:val="8"/>
        <w:rPr>
          <w:sz w:val="24"/>
          <w:szCs w:val="24"/>
        </w:rPr>
      </w:pPr>
      <w:r>
        <w:rPr>
          <w:sz w:val="24"/>
          <w:szCs w:val="24"/>
        </w:rPr>
        <w:t>表</w:t>
      </w:r>
      <w:r>
        <w:rPr>
          <w:rFonts w:hint="eastAsia"/>
          <w:sz w:val="24"/>
          <w:szCs w:val="24"/>
          <w:lang w:val="en-US" w:eastAsia="zh-CN"/>
        </w:rPr>
        <w:t xml:space="preserve">3.1-10      </w:t>
      </w:r>
      <w:r>
        <w:rPr>
          <w:sz w:val="24"/>
          <w:szCs w:val="24"/>
        </w:rPr>
        <w:t>水体整洁程度评估赋分标准表</w:t>
      </w:r>
    </w:p>
    <w:tbl>
      <w:tblPr>
        <w:tblStyle w:val="28"/>
        <w:tblW w:w="5000" w:type="pct"/>
        <w:tblInd w:w="0" w:type="dxa"/>
        <w:tblLayout w:type="autofit"/>
        <w:tblCellMar>
          <w:top w:w="0" w:type="dxa"/>
          <w:left w:w="28" w:type="dxa"/>
          <w:bottom w:w="0" w:type="dxa"/>
          <w:right w:w="28" w:type="dxa"/>
        </w:tblCellMar>
      </w:tblPr>
      <w:tblGrid>
        <w:gridCol w:w="1084"/>
        <w:gridCol w:w="1239"/>
        <w:gridCol w:w="1734"/>
        <w:gridCol w:w="1741"/>
        <w:gridCol w:w="1173"/>
        <w:gridCol w:w="1391"/>
      </w:tblGrid>
      <w:tr>
        <w:tblPrEx>
          <w:tblCellMar>
            <w:top w:w="0" w:type="dxa"/>
            <w:left w:w="28" w:type="dxa"/>
            <w:bottom w:w="0" w:type="dxa"/>
            <w:right w:w="28" w:type="dxa"/>
          </w:tblCellMar>
        </w:tblPrEx>
        <w:trPr>
          <w:trHeight w:val="397" w:hRule="atLeast"/>
        </w:trPr>
        <w:tc>
          <w:tcPr>
            <w:tcW w:w="648"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感官指标</w:t>
            </w:r>
          </w:p>
        </w:tc>
        <w:tc>
          <w:tcPr>
            <w:tcW w:w="74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优</w:t>
            </w:r>
          </w:p>
        </w:tc>
        <w:tc>
          <w:tcPr>
            <w:tcW w:w="103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良</w:t>
            </w:r>
          </w:p>
        </w:tc>
        <w:tc>
          <w:tcPr>
            <w:tcW w:w="104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中</w:t>
            </w:r>
          </w:p>
        </w:tc>
        <w:tc>
          <w:tcPr>
            <w:tcW w:w="70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差</w:t>
            </w:r>
          </w:p>
        </w:tc>
        <w:tc>
          <w:tcPr>
            <w:tcW w:w="83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劣</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嗅和味</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无任何异味</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仅敏感者可以感觉</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多数人可以轻微感觉</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已能明显感觉</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有很显著的异味</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漂浮废弃物</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无漂浮废弃物</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有极少量漂浮废弃物</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有少量漂浮废弃物</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有较多漂浮废弃物</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有大量成片漂浮废弃物</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7</w:t>
      </w:r>
      <w:r>
        <w:rPr>
          <w:rFonts w:hint="eastAsia" w:ascii="Times New Roman" w:hAnsi="Times New Roman" w:cs="Times New Roman"/>
          <w:b/>
          <w:bCs/>
          <w:color w:val="auto"/>
          <w:kern w:val="2"/>
          <w:sz w:val="24"/>
          <w:szCs w:val="24"/>
          <w:lang w:val="en-US" w:eastAsia="zh-CN"/>
        </w:rPr>
        <w:t xml:space="preserve"> 水体优劣程度</w:t>
      </w:r>
    </w:p>
    <w:p>
      <w:pPr>
        <w:bidi w:val="0"/>
        <w:rPr>
          <w:rFonts w:hint="eastAsia"/>
          <w:b w:val="0"/>
          <w:bCs w:val="0"/>
        </w:rPr>
      </w:pPr>
      <w:r>
        <w:rPr>
          <w:rFonts w:hint="eastAsia"/>
          <w:b w:val="0"/>
          <w:bCs w:val="0"/>
        </w:rPr>
        <w:t>按照河湖水质类别比例赋分。水质类别比例根据《地表水资源质量评价技术规程》（SL395-2007）进行评估，河流按照河长统计，湖泊按照湖泊水面面积统计，水库按照水质监测点位数统计。</w:t>
      </w:r>
    </w:p>
    <w:p>
      <w:pPr>
        <w:pStyle w:val="43"/>
        <w:jc w:val="both"/>
        <w:outlineLvl w:val="8"/>
        <w:rPr>
          <w:sz w:val="24"/>
          <w:szCs w:val="24"/>
        </w:rPr>
      </w:pPr>
      <w:r>
        <w:rPr>
          <w:sz w:val="24"/>
          <w:szCs w:val="24"/>
        </w:rPr>
        <w:t>表</w:t>
      </w:r>
      <w:r>
        <w:rPr>
          <w:rFonts w:hint="eastAsia"/>
          <w:sz w:val="24"/>
          <w:szCs w:val="24"/>
          <w:lang w:val="en-US" w:eastAsia="zh-CN"/>
        </w:rPr>
        <w:t xml:space="preserve">3.1-11      </w:t>
      </w:r>
      <w:r>
        <w:rPr>
          <w:sz w:val="24"/>
          <w:szCs w:val="24"/>
        </w:rPr>
        <w:t>水质优劣程度评估赋分标准表</w:t>
      </w:r>
    </w:p>
    <w:tbl>
      <w:tblPr>
        <w:tblStyle w:val="28"/>
        <w:tblW w:w="5000" w:type="pct"/>
        <w:tblInd w:w="0" w:type="dxa"/>
        <w:tblLayout w:type="autofit"/>
        <w:tblCellMar>
          <w:top w:w="0" w:type="dxa"/>
          <w:left w:w="108" w:type="dxa"/>
          <w:bottom w:w="0" w:type="dxa"/>
          <w:right w:w="108" w:type="dxa"/>
        </w:tblCellMar>
      </w:tblPr>
      <w:tblGrid>
        <w:gridCol w:w="1161"/>
        <w:gridCol w:w="972"/>
        <w:gridCol w:w="1082"/>
        <w:gridCol w:w="1439"/>
        <w:gridCol w:w="1548"/>
        <w:gridCol w:w="1176"/>
        <w:gridCol w:w="1144"/>
      </w:tblGrid>
      <w:tr>
        <w:tblPrEx>
          <w:tblCellMar>
            <w:top w:w="0" w:type="dxa"/>
            <w:left w:w="108" w:type="dxa"/>
            <w:bottom w:w="0" w:type="dxa"/>
            <w:right w:w="108" w:type="dxa"/>
          </w:tblCellMar>
        </w:tblPrEx>
        <w:tc>
          <w:tcPr>
            <w:tcW w:w="682"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水质优劣程度</w:t>
            </w:r>
          </w:p>
        </w:tc>
        <w:tc>
          <w:tcPr>
            <w:tcW w:w="57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Ⅰ～Ⅲ类水质比例≥90%</w:t>
            </w:r>
          </w:p>
        </w:tc>
        <w:tc>
          <w:tcPr>
            <w:tcW w:w="635"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75％≤Ⅰ～Ⅲ类水质比例＜90％</w:t>
            </w:r>
          </w:p>
        </w:tc>
        <w:tc>
          <w:tcPr>
            <w:tcW w:w="844"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Ⅰ～Ⅲ类水质比例＜75％，且劣Ⅴ类比例＜20％</w:t>
            </w:r>
          </w:p>
        </w:tc>
        <w:tc>
          <w:tcPr>
            <w:tcW w:w="908"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Ⅰ～Ⅲ类水质比例＜75％，且20％≤劣Ⅴ类比例＜30％</w:t>
            </w:r>
          </w:p>
        </w:tc>
        <w:tc>
          <w:tcPr>
            <w:tcW w:w="69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Ⅰ～Ⅲ类水质比例＜50％</w:t>
            </w:r>
          </w:p>
        </w:tc>
        <w:tc>
          <w:tcPr>
            <w:tcW w:w="67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bCs/>
                <w:sz w:val="18"/>
                <w:szCs w:val="18"/>
                <w:lang w:val="en-US" w:eastAsia="zh-CN"/>
              </w:rPr>
              <w:t>Ⅴ～劣Ⅴ类水质比例＞50％</w:t>
            </w:r>
          </w:p>
        </w:tc>
      </w:tr>
      <w:tr>
        <w:tblPrEx>
          <w:tblCellMar>
            <w:top w:w="0" w:type="dxa"/>
            <w:left w:w="108" w:type="dxa"/>
            <w:bottom w:w="0" w:type="dxa"/>
            <w:right w:w="108" w:type="dxa"/>
          </w:tblCellMar>
        </w:tblPrEx>
        <w:tc>
          <w:tcPr>
            <w:tcW w:w="682"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57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5"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844"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908"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69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672"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8</w:t>
      </w:r>
      <w:r>
        <w:rPr>
          <w:rFonts w:hint="eastAsia" w:ascii="Times New Roman" w:hAnsi="Times New Roman" w:cs="Times New Roman"/>
          <w:b/>
          <w:bCs/>
          <w:color w:val="auto"/>
          <w:kern w:val="2"/>
          <w:sz w:val="24"/>
          <w:szCs w:val="24"/>
          <w:lang w:val="en-US" w:eastAsia="zh-CN"/>
        </w:rPr>
        <w:t xml:space="preserve"> 水质变化趋势</w:t>
      </w:r>
    </w:p>
    <w:p>
      <w:pPr>
        <w:bidi w:val="0"/>
        <w:rPr>
          <w:rFonts w:hint="eastAsia"/>
          <w:b w:val="0"/>
          <w:bCs w:val="0"/>
        </w:rPr>
      </w:pPr>
      <w:r>
        <w:rPr>
          <w:rFonts w:hint="eastAsia"/>
          <w:b w:val="0"/>
          <w:bCs w:val="0"/>
        </w:rPr>
        <w:t>收集近3年或上一年度水质监测资料并开展评价，按照水质变化趋势赋分。</w:t>
      </w:r>
    </w:p>
    <w:p>
      <w:pPr>
        <w:pStyle w:val="43"/>
        <w:jc w:val="both"/>
        <w:outlineLvl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3.1-</w:t>
      </w:r>
      <w:r>
        <w:rPr>
          <w:rFonts w:hint="eastAsia" w:ascii="宋体" w:hAnsi="宋体" w:cs="宋体"/>
          <w:sz w:val="24"/>
          <w:szCs w:val="24"/>
          <w:lang w:val="en-US" w:eastAsia="zh-CN"/>
        </w:rPr>
        <w:t>12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水质变化趋势赋分标准表</w:t>
      </w:r>
    </w:p>
    <w:tbl>
      <w:tblPr>
        <w:tblStyle w:val="28"/>
        <w:tblW w:w="5000" w:type="pct"/>
        <w:tblInd w:w="0" w:type="dxa"/>
        <w:tblLayout w:type="autofit"/>
        <w:tblCellMar>
          <w:top w:w="0" w:type="dxa"/>
          <w:left w:w="108" w:type="dxa"/>
          <w:bottom w:w="0" w:type="dxa"/>
          <w:right w:w="108" w:type="dxa"/>
        </w:tblCellMar>
      </w:tblPr>
      <w:tblGrid>
        <w:gridCol w:w="1166"/>
        <w:gridCol w:w="1212"/>
        <w:gridCol w:w="1277"/>
        <w:gridCol w:w="1842"/>
        <w:gridCol w:w="1268"/>
        <w:gridCol w:w="941"/>
        <w:gridCol w:w="816"/>
      </w:tblGrid>
      <w:tr>
        <w:tblPrEx>
          <w:tblCellMar>
            <w:top w:w="0" w:type="dxa"/>
            <w:left w:w="108" w:type="dxa"/>
            <w:bottom w:w="0" w:type="dxa"/>
            <w:right w:w="108" w:type="dxa"/>
          </w:tblCellMar>
        </w:tblPrEx>
        <w:tc>
          <w:tcPr>
            <w:tcW w:w="684"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水质变化趋势</w:t>
            </w:r>
          </w:p>
        </w:tc>
        <w:tc>
          <w:tcPr>
            <w:tcW w:w="71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水质提升2个类别或稳定在Ⅱ类水质（主要水质指标总体向好）</w:t>
            </w:r>
          </w:p>
        </w:tc>
        <w:tc>
          <w:tcPr>
            <w:tcW w:w="749"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水质提升1个类别或稳定在Ⅱ类水质（主要水质指标总体稳定）</w:t>
            </w:r>
          </w:p>
        </w:tc>
        <w:tc>
          <w:tcPr>
            <w:tcW w:w="108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水质类别稳定在Ⅲ类，且主要水质指标总体稳定</w:t>
            </w:r>
          </w:p>
        </w:tc>
        <w:tc>
          <w:tcPr>
            <w:tcW w:w="744"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水质类别稳定，但主要水质指标总体下降</w:t>
            </w:r>
          </w:p>
        </w:tc>
        <w:tc>
          <w:tcPr>
            <w:tcW w:w="55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水质下降1个类别</w:t>
            </w:r>
          </w:p>
        </w:tc>
        <w:tc>
          <w:tcPr>
            <w:tcW w:w="48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水质下降2个类别</w:t>
            </w:r>
          </w:p>
        </w:tc>
      </w:tr>
      <w:tr>
        <w:tblPrEx>
          <w:tblCellMar>
            <w:top w:w="0" w:type="dxa"/>
            <w:left w:w="108" w:type="dxa"/>
            <w:bottom w:w="0" w:type="dxa"/>
            <w:right w:w="108" w:type="dxa"/>
          </w:tblCellMar>
        </w:tblPrEx>
        <w:tc>
          <w:tcPr>
            <w:tcW w:w="684"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71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749"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w:t>
            </w:r>
          </w:p>
        </w:tc>
        <w:tc>
          <w:tcPr>
            <w:tcW w:w="108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70</w:t>
            </w:r>
          </w:p>
        </w:tc>
        <w:tc>
          <w:tcPr>
            <w:tcW w:w="744"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552"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48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9</w:t>
      </w:r>
      <w:r>
        <w:rPr>
          <w:rFonts w:hint="eastAsia" w:ascii="Times New Roman" w:hAnsi="Times New Roman" w:cs="Times New Roman"/>
          <w:b/>
          <w:bCs/>
          <w:color w:val="auto"/>
          <w:kern w:val="2"/>
          <w:sz w:val="24"/>
          <w:szCs w:val="24"/>
          <w:lang w:val="en-US" w:eastAsia="zh-CN"/>
        </w:rPr>
        <w:t xml:space="preserve"> 鱼类保有指数</w:t>
      </w:r>
    </w:p>
    <w:p>
      <w:pPr>
        <w:bidi w:val="0"/>
        <w:rPr>
          <w:rFonts w:hint="eastAsia"/>
          <w:b w:val="0"/>
          <w:bCs w:val="0"/>
        </w:rPr>
      </w:pPr>
      <w:r>
        <w:rPr>
          <w:rFonts w:hint="eastAsia"/>
          <w:b w:val="0"/>
          <w:bCs w:val="0"/>
        </w:rPr>
        <w:t>评价现有鱼类种类与历史参考点鱼类种类的差异状况，按照公式计算，赋分标准见表</w:t>
      </w:r>
      <w:r>
        <w:rPr>
          <w:rFonts w:hint="eastAsia"/>
          <w:b w:val="0"/>
          <w:bCs w:val="0"/>
          <w:lang w:val="en-US" w:eastAsia="zh-CN"/>
        </w:rPr>
        <w:t>3.1-13</w:t>
      </w:r>
      <w:r>
        <w:rPr>
          <w:rFonts w:hint="eastAsia"/>
          <w:b w:val="0"/>
          <w:bCs w:val="0"/>
        </w:rPr>
        <w:t>。对于无法获取历史鱼类监测数据的评价区域，可采用专家咨询的方式确定。调查鱼类种类不包括外来鱼种。鱼类调查采取监测可按《水库渔业资源调查规范》(SL167-2014)等鱼类调查技术标准确定。</w:t>
      </w:r>
    </w:p>
    <w:p>
      <w:pPr>
        <w:bidi w:val="0"/>
        <w:rPr>
          <w:rFonts w:hint="eastAsia"/>
          <w:b w:val="0"/>
          <w:bCs w:val="0"/>
        </w:rPr>
      </w:pPr>
      <w:r>
        <w:rPr>
          <w:rFonts w:hint="eastAsia"/>
          <w:b w:val="0"/>
          <w:bCs w:val="0"/>
        </w:rPr>
        <w:t>FOEI=FO/FE×100</w:t>
      </w:r>
    </w:p>
    <w:p>
      <w:pPr>
        <w:bidi w:val="0"/>
        <w:rPr>
          <w:rFonts w:hint="eastAsia"/>
          <w:b w:val="0"/>
          <w:bCs w:val="0"/>
        </w:rPr>
      </w:pPr>
      <w:r>
        <w:rPr>
          <w:rFonts w:hint="eastAsia"/>
          <w:b w:val="0"/>
          <w:bCs w:val="0"/>
        </w:rPr>
        <w:t>式中：FOEI——鱼类保有指数（%）；</w:t>
      </w:r>
    </w:p>
    <w:p>
      <w:pPr>
        <w:bidi w:val="0"/>
        <w:rPr>
          <w:rFonts w:hint="eastAsia"/>
          <w:b w:val="0"/>
          <w:bCs w:val="0"/>
        </w:rPr>
      </w:pPr>
      <w:r>
        <w:rPr>
          <w:rFonts w:hint="eastAsia"/>
          <w:b w:val="0"/>
          <w:bCs w:val="0"/>
        </w:rPr>
        <w:t xml:space="preserve">      FO——评价河湖调查获得的鱼类种类数据（剔除外来物种）（种）；</w:t>
      </w:r>
    </w:p>
    <w:p>
      <w:pPr>
        <w:bidi w:val="0"/>
        <w:rPr>
          <w:rFonts w:hint="eastAsia"/>
          <w:b w:val="0"/>
          <w:bCs w:val="0"/>
        </w:rPr>
      </w:pPr>
      <w:r>
        <w:rPr>
          <w:rFonts w:hint="eastAsia"/>
          <w:b w:val="0"/>
          <w:bCs w:val="0"/>
        </w:rPr>
        <w:t xml:space="preserve">      FE——2000年以前评价河湖的鱼类种类数量（种）。</w:t>
      </w:r>
    </w:p>
    <w:p>
      <w:pPr>
        <w:pStyle w:val="43"/>
      </w:pPr>
    </w:p>
    <w:p>
      <w:pPr>
        <w:pStyle w:val="43"/>
        <w:jc w:val="both"/>
        <w:outlineLvl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3.1-</w:t>
      </w:r>
      <w:r>
        <w:rPr>
          <w:rFonts w:hint="eastAsia" w:ascii="宋体" w:hAnsi="宋体" w:cs="宋体"/>
          <w:sz w:val="24"/>
          <w:szCs w:val="24"/>
          <w:lang w:val="en-US" w:eastAsia="zh-CN"/>
        </w:rPr>
        <w:t>13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鱼类保有指数赋分标准表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1164"/>
        <w:gridCol w:w="874"/>
        <w:gridCol w:w="873"/>
        <w:gridCol w:w="874"/>
        <w:gridCol w:w="874"/>
        <w:gridCol w:w="728"/>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pct"/>
            <w:noWrap w:val="0"/>
            <w:vAlign w:val="top"/>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鱼类保有指数(%)</w:t>
            </w:r>
          </w:p>
        </w:tc>
        <w:tc>
          <w:tcPr>
            <w:tcW w:w="68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85</w:t>
            </w:r>
          </w:p>
        </w:tc>
        <w:tc>
          <w:tcPr>
            <w:tcW w:w="512"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70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55</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40</w:t>
            </w:r>
          </w:p>
        </w:tc>
        <w:tc>
          <w:tcPr>
            <w:tcW w:w="427"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25</w:t>
            </w:r>
          </w:p>
        </w:tc>
        <w:tc>
          <w:tcPr>
            <w:tcW w:w="475"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pct"/>
            <w:noWrap w:val="0"/>
            <w:vAlign w:val="top"/>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赋分</w:t>
            </w:r>
          </w:p>
        </w:tc>
        <w:tc>
          <w:tcPr>
            <w:tcW w:w="68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80</w:t>
            </w:r>
          </w:p>
        </w:tc>
        <w:tc>
          <w:tcPr>
            <w:tcW w:w="512"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60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40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30</w:t>
            </w:r>
          </w:p>
        </w:tc>
        <w:tc>
          <w:tcPr>
            <w:tcW w:w="427"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w:t>
            </w:r>
          </w:p>
        </w:tc>
        <w:tc>
          <w:tcPr>
            <w:tcW w:w="475"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Times New Roman" w:hAnsi="Times New Roman" w:cs="Times New Roman"/>
          <w:b/>
          <w:bCs/>
          <w:color w:val="auto"/>
          <w:kern w:val="2"/>
          <w:sz w:val="24"/>
          <w:szCs w:val="24"/>
          <w:lang w:val="en-US" w:eastAsia="zh-CN"/>
        </w:rPr>
        <w:t>3.1.</w:t>
      </w:r>
      <w:r>
        <w:rPr>
          <w:rFonts w:hint="eastAsia" w:cs="Times New Roman"/>
          <w:b/>
          <w:bCs/>
          <w:color w:val="auto"/>
          <w:kern w:val="2"/>
          <w:sz w:val="24"/>
          <w:szCs w:val="24"/>
          <w:lang w:val="en-US" w:eastAsia="zh-CN"/>
        </w:rPr>
        <w:t>10</w:t>
      </w:r>
      <w:r>
        <w:rPr>
          <w:rFonts w:hint="eastAsia" w:ascii="Times New Roman" w:hAnsi="Times New Roman" w:cs="Times New Roman"/>
          <w:b/>
          <w:bCs/>
          <w:color w:val="auto"/>
          <w:kern w:val="2"/>
          <w:sz w:val="24"/>
          <w:szCs w:val="24"/>
          <w:lang w:val="en-US" w:eastAsia="zh-CN"/>
        </w:rPr>
        <w:t xml:space="preserve"> 外来水生动植物</w:t>
      </w:r>
    </w:p>
    <w:p>
      <w:pPr>
        <w:bidi w:val="0"/>
        <w:rPr>
          <w:rFonts w:hint="eastAsia"/>
          <w:b w:val="0"/>
          <w:bCs w:val="0"/>
        </w:rPr>
      </w:pPr>
      <w:r>
        <w:rPr>
          <w:rFonts w:hint="eastAsia"/>
          <w:b w:val="0"/>
          <w:bCs w:val="0"/>
        </w:rPr>
        <w:t>以中华人民共和国政府发布的《中国外来入侵物种名单》为认定依据。</w:t>
      </w:r>
    </w:p>
    <w:p>
      <w:pPr>
        <w:bidi w:val="0"/>
        <w:rPr>
          <w:rFonts w:hint="eastAsia"/>
          <w:b w:val="0"/>
          <w:bCs w:val="0"/>
        </w:rPr>
      </w:pPr>
      <w:r>
        <w:rPr>
          <w:rFonts w:hint="eastAsia"/>
          <w:b w:val="0"/>
          <w:bCs w:val="0"/>
        </w:rPr>
        <w:t>收集或调查历史及现状涉水外来入侵物种情况，按照表</w:t>
      </w:r>
      <w:r>
        <w:rPr>
          <w:rFonts w:hint="eastAsia"/>
          <w:b w:val="0"/>
          <w:bCs w:val="0"/>
          <w:lang w:val="en-US" w:eastAsia="zh-CN"/>
        </w:rPr>
        <w:t>3.1-14</w:t>
      </w:r>
      <w:r>
        <w:rPr>
          <w:rFonts w:hint="eastAsia"/>
          <w:b w:val="0"/>
          <w:bCs w:val="0"/>
        </w:rPr>
        <w:t>赋分。</w:t>
      </w:r>
    </w:p>
    <w:p>
      <w:pPr>
        <w:snapToGrid w:val="0"/>
        <w:spacing w:line="276" w:lineRule="auto"/>
        <w:jc w:val="both"/>
        <w:outlineLvl w:val="8"/>
        <w:rPr>
          <w:rFonts w:hint="eastAsia" w:ascii="宋体" w:hAnsi="宋体" w:eastAsia="宋体" w:cs="宋体"/>
          <w:b/>
          <w:bCs/>
          <w:sz w:val="24"/>
          <w:szCs w:val="24"/>
        </w:rPr>
      </w:pPr>
      <w:r>
        <w:rPr>
          <w:rFonts w:hint="eastAsia" w:ascii="宋体" w:hAnsi="宋体" w:eastAsia="宋体" w:cs="宋体"/>
          <w:b/>
          <w:bCs/>
          <w:sz w:val="24"/>
          <w:szCs w:val="24"/>
        </w:rPr>
        <w:t>表</w:t>
      </w:r>
      <w:r>
        <w:rPr>
          <w:rFonts w:hint="eastAsia" w:ascii="宋体" w:hAnsi="宋体" w:cs="宋体"/>
          <w:b/>
          <w:bCs/>
          <w:sz w:val="24"/>
          <w:szCs w:val="24"/>
          <w:lang w:val="en-US" w:eastAsia="zh-CN"/>
        </w:rPr>
        <w:t>3.1-14</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外来入侵物种指数赋分标准表</w:t>
      </w:r>
    </w:p>
    <w:tbl>
      <w:tblPr>
        <w:tblStyle w:val="28"/>
        <w:tblW w:w="4945" w:type="pct"/>
        <w:tblInd w:w="0" w:type="dxa"/>
        <w:tblLayout w:type="autofit"/>
        <w:tblCellMar>
          <w:top w:w="0" w:type="dxa"/>
          <w:left w:w="108" w:type="dxa"/>
          <w:bottom w:w="0" w:type="dxa"/>
          <w:right w:w="108" w:type="dxa"/>
        </w:tblCellMar>
      </w:tblPr>
      <w:tblGrid>
        <w:gridCol w:w="1168"/>
        <w:gridCol w:w="1212"/>
        <w:gridCol w:w="949"/>
        <w:gridCol w:w="934"/>
        <w:gridCol w:w="1136"/>
        <w:gridCol w:w="809"/>
        <w:gridCol w:w="855"/>
        <w:gridCol w:w="1365"/>
      </w:tblGrid>
      <w:tr>
        <w:tblPrEx>
          <w:tblCellMar>
            <w:top w:w="0" w:type="dxa"/>
            <w:left w:w="108" w:type="dxa"/>
            <w:bottom w:w="0" w:type="dxa"/>
            <w:right w:w="108" w:type="dxa"/>
          </w:tblCellMar>
        </w:tblPrEx>
        <w:trPr>
          <w:trHeight w:val="255" w:hRule="atLeast"/>
        </w:trPr>
        <w:tc>
          <w:tcPr>
            <w:tcW w:w="693" w:type="pct"/>
            <w:vMerge w:val="restart"/>
            <w:tcBorders>
              <w:top w:val="single" w:color="auto" w:sz="4" w:space="0"/>
              <w:left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外来入侵物种</w:t>
            </w:r>
          </w:p>
        </w:tc>
        <w:tc>
          <w:tcPr>
            <w:tcW w:w="719" w:type="pct"/>
            <w:vMerge w:val="restart"/>
            <w:tcBorders>
              <w:top w:val="single" w:color="auto" w:sz="4" w:space="0"/>
              <w:left w:val="nil"/>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无外来入侵物种</w:t>
            </w:r>
          </w:p>
        </w:tc>
        <w:tc>
          <w:tcPr>
            <w:tcW w:w="1791" w:type="pct"/>
            <w:gridSpan w:val="3"/>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有1~2种入侵物种</w:t>
            </w:r>
          </w:p>
        </w:tc>
        <w:tc>
          <w:tcPr>
            <w:tcW w:w="1797" w:type="pct"/>
            <w:gridSpan w:val="3"/>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有3种及以上入侵物种</w:t>
            </w:r>
          </w:p>
        </w:tc>
      </w:tr>
      <w:tr>
        <w:tblPrEx>
          <w:tblCellMar>
            <w:top w:w="0" w:type="dxa"/>
            <w:left w:w="108" w:type="dxa"/>
            <w:bottom w:w="0" w:type="dxa"/>
            <w:right w:w="108" w:type="dxa"/>
          </w:tblCellMar>
        </w:tblPrEx>
        <w:trPr>
          <w:trHeight w:val="293" w:hRule="atLeast"/>
        </w:trPr>
        <w:tc>
          <w:tcPr>
            <w:tcW w:w="693" w:type="pct"/>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sz w:val="18"/>
                <w:szCs w:val="18"/>
              </w:rPr>
            </w:pPr>
          </w:p>
        </w:tc>
        <w:tc>
          <w:tcPr>
            <w:tcW w:w="719" w:type="pct"/>
            <w:vMerge w:val="continue"/>
            <w:tcBorders>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sz w:val="18"/>
                <w:szCs w:val="18"/>
              </w:rPr>
            </w:pPr>
          </w:p>
        </w:tc>
        <w:tc>
          <w:tcPr>
            <w:tcW w:w="56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偶见</w:t>
            </w:r>
          </w:p>
        </w:tc>
        <w:tc>
          <w:tcPr>
            <w:tcW w:w="554"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常见</w:t>
            </w:r>
          </w:p>
        </w:tc>
        <w:tc>
          <w:tcPr>
            <w:tcW w:w="674"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已泛滥并成为优势物种</w:t>
            </w:r>
          </w:p>
        </w:tc>
        <w:tc>
          <w:tcPr>
            <w:tcW w:w="48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偶见</w:t>
            </w:r>
          </w:p>
        </w:tc>
        <w:tc>
          <w:tcPr>
            <w:tcW w:w="507"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常见</w:t>
            </w:r>
          </w:p>
        </w:tc>
        <w:tc>
          <w:tcPr>
            <w:tcW w:w="81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已泛滥并成为优势物种</w:t>
            </w:r>
          </w:p>
        </w:tc>
      </w:tr>
      <w:tr>
        <w:tblPrEx>
          <w:tblCellMar>
            <w:top w:w="0" w:type="dxa"/>
            <w:left w:w="108" w:type="dxa"/>
            <w:bottom w:w="0" w:type="dxa"/>
            <w:right w:w="108" w:type="dxa"/>
          </w:tblCellMar>
        </w:tblPrEx>
        <w:tc>
          <w:tcPr>
            <w:tcW w:w="693" w:type="pct"/>
            <w:tcBorders>
              <w:top w:val="nil"/>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赋分</w:t>
            </w:r>
          </w:p>
        </w:tc>
        <w:tc>
          <w:tcPr>
            <w:tcW w:w="719"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100</w:t>
            </w:r>
          </w:p>
        </w:tc>
        <w:tc>
          <w:tcPr>
            <w:tcW w:w="563"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w:t>
            </w:r>
          </w:p>
        </w:tc>
        <w:tc>
          <w:tcPr>
            <w:tcW w:w="554"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w:t>
            </w:r>
          </w:p>
        </w:tc>
        <w:tc>
          <w:tcPr>
            <w:tcW w:w="674"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w:t>
            </w:r>
          </w:p>
        </w:tc>
        <w:tc>
          <w:tcPr>
            <w:tcW w:w="48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w:t>
            </w:r>
          </w:p>
        </w:tc>
        <w:tc>
          <w:tcPr>
            <w:tcW w:w="507"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81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3.1.11 公众满意度</w:t>
      </w:r>
    </w:p>
    <w:p>
      <w:pPr>
        <w:bidi w:val="0"/>
        <w:rPr>
          <w:rFonts w:hint="eastAsia"/>
          <w:b w:val="0"/>
          <w:bCs w:val="0"/>
        </w:rPr>
      </w:pPr>
      <w:r>
        <w:rPr>
          <w:rFonts w:hint="eastAsia"/>
          <w:b w:val="0"/>
          <w:bCs w:val="0"/>
        </w:rPr>
        <w:t>（1）调查评估内容</w:t>
      </w:r>
    </w:p>
    <w:p>
      <w:pPr>
        <w:bidi w:val="0"/>
        <w:rPr>
          <w:rFonts w:hint="eastAsia"/>
          <w:b w:val="0"/>
          <w:bCs w:val="0"/>
        </w:rPr>
      </w:pPr>
      <w:r>
        <w:rPr>
          <w:rFonts w:hint="eastAsia"/>
          <w:b w:val="0"/>
          <w:bCs w:val="0"/>
        </w:rPr>
        <w:t>调查评估公众对河湖环境、水质水量、涉水景观、舒适性、美学价值的满意程度。</w:t>
      </w:r>
    </w:p>
    <w:p>
      <w:pPr>
        <w:bidi w:val="0"/>
        <w:rPr>
          <w:rFonts w:hint="eastAsia"/>
          <w:b w:val="0"/>
          <w:bCs w:val="0"/>
        </w:rPr>
      </w:pPr>
      <w:r>
        <w:rPr>
          <w:rFonts w:hint="eastAsia"/>
          <w:b w:val="0"/>
          <w:bCs w:val="0"/>
        </w:rPr>
        <w:t>（2）调查范围</w:t>
      </w:r>
    </w:p>
    <w:p>
      <w:pPr>
        <w:bidi w:val="0"/>
        <w:rPr>
          <w:rFonts w:hint="eastAsia"/>
          <w:b w:val="0"/>
          <w:bCs w:val="0"/>
        </w:rPr>
      </w:pPr>
      <w:r>
        <w:rPr>
          <w:rFonts w:hint="eastAsia"/>
          <w:b w:val="0"/>
          <w:bCs w:val="0"/>
        </w:rPr>
        <w:t>调查范围应包括河湖全部水域及正常水位线以上50米陆域。</w:t>
      </w:r>
    </w:p>
    <w:p>
      <w:pPr>
        <w:bidi w:val="0"/>
        <w:rPr>
          <w:rFonts w:hint="eastAsia"/>
          <w:b w:val="0"/>
          <w:bCs w:val="0"/>
        </w:rPr>
      </w:pPr>
      <w:r>
        <w:rPr>
          <w:rFonts w:hint="eastAsia"/>
          <w:b w:val="0"/>
          <w:bCs w:val="0"/>
        </w:rPr>
        <w:t>（3）调查数量</w:t>
      </w:r>
    </w:p>
    <w:p>
      <w:pPr>
        <w:bidi w:val="0"/>
        <w:rPr>
          <w:rFonts w:hint="eastAsia"/>
          <w:b w:val="0"/>
          <w:bCs w:val="0"/>
        </w:rPr>
      </w:pPr>
      <w:r>
        <w:rPr>
          <w:rFonts w:hint="eastAsia"/>
          <w:b w:val="0"/>
          <w:bCs w:val="0"/>
        </w:rPr>
        <w:t>每个评估河段调查人数应不少于50人；低于10公里的河流（河段），调查人数应不少于30人。参与调查人员应涵盖当地河湖管理人员、居（村）民、村组（社区）基层干部，涉及自然保护区、风景名胜区、国家湿地、国家森林公园等河流（湖泊）的，还应包括以上区域管理单位及游客，参与调查的各类人员占比应尽量均衡。</w:t>
      </w:r>
    </w:p>
    <w:p>
      <w:pPr>
        <w:bidi w:val="0"/>
        <w:rPr>
          <w:rFonts w:hint="eastAsia"/>
          <w:b w:val="0"/>
          <w:bCs w:val="0"/>
        </w:rPr>
      </w:pPr>
      <w:r>
        <w:rPr>
          <w:rFonts w:hint="eastAsia"/>
          <w:b w:val="0"/>
          <w:bCs w:val="0"/>
        </w:rPr>
        <w:t>公众满意度赋分取所有公众赋分的平均值。</w:t>
      </w:r>
    </w:p>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3.1.12 防洪指标</w:t>
      </w:r>
    </w:p>
    <w:p>
      <w:pPr>
        <w:bidi w:val="0"/>
        <w:rPr>
          <w:rFonts w:hint="eastAsia"/>
          <w:b w:val="0"/>
          <w:bCs w:val="0"/>
        </w:rPr>
      </w:pPr>
      <w:r>
        <w:rPr>
          <w:rFonts w:hint="eastAsia"/>
          <w:b w:val="0"/>
          <w:bCs w:val="0"/>
        </w:rPr>
        <w:t>河流及湖泊评估采用河湖堤防及沿河（环湖）口门建筑物防洪达标情况：河流按照公式计算已达到防洪标准的堤防长度占堤防总长度的比例，湖泊同时还需要评估环湖口门建筑物满足设计标准的比例。无相关规划对防洪达标标准进行规定时，参照《防洪标准》（GB50201-2014）确定。河流及湖泊防洪指标赋分见表</w:t>
      </w:r>
      <w:r>
        <w:rPr>
          <w:rFonts w:hint="eastAsia"/>
          <w:b w:val="0"/>
          <w:bCs w:val="0"/>
          <w:lang w:val="en-US" w:eastAsia="zh-CN"/>
        </w:rPr>
        <w:t>3.1-15</w:t>
      </w:r>
      <w:r>
        <w:rPr>
          <w:rFonts w:hint="eastAsia"/>
          <w:b w:val="0"/>
          <w:bCs w:val="0"/>
        </w:rPr>
        <w:t>。</w:t>
      </w:r>
    </w:p>
    <w:p>
      <w:pPr>
        <w:rPr>
          <w:rFonts w:ascii="Times New Roman" w:hAnsi="Times New Roman"/>
        </w:rPr>
      </w:pPr>
    </w:p>
    <w:p>
      <w:pPr>
        <w:bidi w:val="0"/>
        <w:rPr>
          <w:rFonts w:hint="eastAsia"/>
          <w:b w:val="0"/>
          <w:bCs w:val="0"/>
        </w:rPr>
      </w:pPr>
      <w:r>
        <w:rPr>
          <w:rFonts w:hint="eastAsia"/>
          <w:b w:val="0"/>
          <w:bCs w:val="0"/>
        </w:rPr>
        <w:object>
          <v:shape id="_x0000_i1061" o:spt="75" type="#_x0000_t75" style="height:36pt;width:129.75pt;" o:ole="t" filled="f" o:preferrelative="t" stroked="f" coordsize="21600,21600">
            <v:path/>
            <v:fill on="f" focussize="0,0"/>
            <v:stroke on="f"/>
            <v:imagedata r:id="rId97" o:title=""/>
            <o:lock v:ext="edit" aspectratio="t"/>
            <w10:wrap type="none"/>
            <w10:anchorlock/>
          </v:shape>
          <o:OLEObject Type="Embed" ProgID="Equation.DSMT4" ShapeID="_x0000_i1061" DrawAspect="Content" ObjectID="_1468075761" r:id="rId96">
            <o:LockedField>false</o:LockedField>
          </o:OLEObject>
        </w:object>
      </w:r>
    </w:p>
    <w:p>
      <w:pPr>
        <w:bidi w:val="0"/>
        <w:rPr>
          <w:rFonts w:hint="eastAsia"/>
          <w:b w:val="0"/>
          <w:bCs w:val="0"/>
        </w:rPr>
      </w:pPr>
      <w:r>
        <w:rPr>
          <w:rFonts w:hint="eastAsia"/>
          <w:b w:val="0"/>
          <w:bCs w:val="0"/>
        </w:rPr>
        <w:object>
          <v:shape id="_x0000_i1062" o:spt="75" type="#_x0000_t75" style="height:43.5pt;width:208.5pt;" o:ole="t" filled="f" o:preferrelative="t" stroked="f" coordsize="21600,21600">
            <v:path/>
            <v:fill on="f" focussize="0,0"/>
            <v:stroke on="f"/>
            <v:imagedata r:id="rId99" o:title=""/>
            <o:lock v:ext="edit" aspectratio="t"/>
            <w10:wrap type="none"/>
            <w10:anchorlock/>
          </v:shape>
          <o:OLEObject Type="Embed" ProgID="Equation.DSMT4" ShapeID="_x0000_i1062" DrawAspect="Content" ObjectID="_1468075762" r:id="rId98">
            <o:LockedField>false</o:LockedField>
          </o:OLEObject>
        </w:object>
      </w:r>
    </w:p>
    <w:p>
      <w:pPr>
        <w:bidi w:val="0"/>
        <w:rPr>
          <w:rFonts w:hint="eastAsia"/>
          <w:b w:val="0"/>
          <w:bCs w:val="0"/>
        </w:rPr>
      </w:pPr>
      <w:r>
        <w:rPr>
          <w:rFonts w:hint="eastAsia"/>
          <w:b w:val="0"/>
          <w:bCs w:val="0"/>
        </w:rPr>
        <w:t>式中：</w:t>
      </w:r>
      <w:r>
        <w:rPr>
          <w:rFonts w:hint="eastAsia"/>
          <w:b w:val="0"/>
          <w:bCs w:val="0"/>
        </w:rPr>
        <w:tab/>
      </w:r>
    </w:p>
    <w:p>
      <w:pPr>
        <w:bidi w:val="0"/>
        <w:rPr>
          <w:rFonts w:hint="eastAsia"/>
          <w:b w:val="0"/>
          <w:bCs w:val="0"/>
        </w:rPr>
      </w:pPr>
      <w:r>
        <w:rPr>
          <w:rFonts w:hint="eastAsia"/>
          <w:b w:val="0"/>
          <w:bCs w:val="0"/>
        </w:rPr>
        <w:t>FDRI──河流防洪工程达标率，%；</w:t>
      </w:r>
    </w:p>
    <w:p>
      <w:pPr>
        <w:bidi w:val="0"/>
        <w:rPr>
          <w:rFonts w:hint="eastAsia"/>
          <w:b w:val="0"/>
          <w:bCs w:val="0"/>
        </w:rPr>
      </w:pPr>
      <w:r>
        <w:rPr>
          <w:rFonts w:hint="eastAsia"/>
          <w:b w:val="0"/>
          <w:bCs w:val="0"/>
        </w:rPr>
        <w:t>RDA──河流达到防洪标准的堤防长度，m；</w:t>
      </w:r>
    </w:p>
    <w:p>
      <w:pPr>
        <w:bidi w:val="0"/>
        <w:rPr>
          <w:rFonts w:hint="eastAsia"/>
          <w:b w:val="0"/>
          <w:bCs w:val="0"/>
        </w:rPr>
      </w:pPr>
      <w:r>
        <w:rPr>
          <w:rFonts w:hint="eastAsia"/>
          <w:b w:val="0"/>
          <w:bCs w:val="0"/>
        </w:rPr>
        <w:t>RD──河流堤防总长度，m；</w:t>
      </w:r>
    </w:p>
    <w:p>
      <w:pPr>
        <w:bidi w:val="0"/>
        <w:rPr>
          <w:rFonts w:hint="eastAsia"/>
          <w:b w:val="0"/>
          <w:bCs w:val="0"/>
        </w:rPr>
      </w:pPr>
      <w:r>
        <w:rPr>
          <w:rFonts w:hint="eastAsia"/>
          <w:b w:val="0"/>
          <w:bCs w:val="0"/>
        </w:rPr>
        <w:t>FDLI──湖泊防洪工程达标率，%；</w:t>
      </w:r>
    </w:p>
    <w:p>
      <w:pPr>
        <w:bidi w:val="0"/>
        <w:rPr>
          <w:rFonts w:hint="eastAsia"/>
          <w:b w:val="0"/>
          <w:bCs w:val="0"/>
        </w:rPr>
      </w:pPr>
      <w:r>
        <w:rPr>
          <w:rFonts w:hint="eastAsia"/>
          <w:b w:val="0"/>
          <w:bCs w:val="0"/>
        </w:rPr>
        <w:t>LDA──湖泊达到防洪标准的堤防长度，m；</w:t>
      </w:r>
    </w:p>
    <w:p>
      <w:pPr>
        <w:bidi w:val="0"/>
        <w:rPr>
          <w:rFonts w:hint="eastAsia"/>
          <w:b w:val="0"/>
          <w:bCs w:val="0"/>
        </w:rPr>
      </w:pPr>
      <w:r>
        <w:rPr>
          <w:rFonts w:hint="eastAsia"/>
          <w:b w:val="0"/>
          <w:bCs w:val="0"/>
        </w:rPr>
        <w:t>LD──湖泊堤防总长度，m；</w:t>
      </w:r>
    </w:p>
    <w:p>
      <w:pPr>
        <w:bidi w:val="0"/>
        <w:rPr>
          <w:rFonts w:hint="eastAsia"/>
          <w:b w:val="0"/>
          <w:bCs w:val="0"/>
        </w:rPr>
      </w:pPr>
      <w:r>
        <w:rPr>
          <w:rFonts w:hint="eastAsia"/>
          <w:b w:val="0"/>
          <w:bCs w:val="0"/>
        </w:rPr>
        <w:t>GWA──环湖达标口门宽度，m；</w:t>
      </w:r>
    </w:p>
    <w:p>
      <w:pPr>
        <w:bidi w:val="0"/>
        <w:rPr>
          <w:rFonts w:hint="eastAsia"/>
          <w:b w:val="0"/>
          <w:bCs w:val="0"/>
        </w:rPr>
      </w:pPr>
      <w:r>
        <w:rPr>
          <w:rFonts w:hint="eastAsia"/>
          <w:b w:val="0"/>
          <w:bCs w:val="0"/>
        </w:rPr>
        <w:t>DW──环湖口门总宽度，m。</w:t>
      </w:r>
    </w:p>
    <w:p>
      <w:pPr>
        <w:pStyle w:val="8"/>
        <w:rPr>
          <w:sz w:val="24"/>
          <w:szCs w:val="24"/>
        </w:rPr>
      </w:pPr>
    </w:p>
    <w:p>
      <w:pPr>
        <w:pStyle w:val="43"/>
        <w:jc w:val="both"/>
        <w:outlineLvl w:val="8"/>
        <w:rPr>
          <w:sz w:val="24"/>
          <w:szCs w:val="24"/>
        </w:rPr>
      </w:pPr>
      <w:r>
        <w:rPr>
          <w:sz w:val="24"/>
          <w:szCs w:val="24"/>
        </w:rPr>
        <w:t>表</w:t>
      </w:r>
      <w:r>
        <w:rPr>
          <w:rFonts w:hint="eastAsia"/>
          <w:sz w:val="24"/>
          <w:szCs w:val="24"/>
          <w:lang w:val="en-US" w:eastAsia="zh-CN"/>
        </w:rPr>
        <w:t xml:space="preserve">3.1-15             </w:t>
      </w:r>
      <w:r>
        <w:rPr>
          <w:sz w:val="24"/>
          <w:szCs w:val="24"/>
        </w:rPr>
        <w:t>防洪指标评估赋分标准表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6"/>
        <w:gridCol w:w="1135"/>
        <w:gridCol w:w="994"/>
        <w:gridCol w:w="1306"/>
        <w:gridCol w:w="1306"/>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达标率（%）</w:t>
            </w:r>
          </w:p>
        </w:tc>
        <w:tc>
          <w:tcPr>
            <w:tcW w:w="666"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kern w:val="0"/>
                <w:sz w:val="18"/>
                <w:szCs w:val="18"/>
                <w:lang w:val="en-US" w:eastAsia="zh-CN"/>
              </w:rPr>
              <w:t>≥</w:t>
            </w:r>
            <w:r>
              <w:rPr>
                <w:rFonts w:hint="default" w:ascii="Times New Roman" w:hAnsi="Times New Roman" w:cs="Times New Roman"/>
                <w:sz w:val="18"/>
                <w:szCs w:val="18"/>
                <w:lang w:val="en-US" w:eastAsia="zh-CN"/>
              </w:rPr>
              <w:t>95</w:t>
            </w:r>
          </w:p>
        </w:tc>
        <w:tc>
          <w:tcPr>
            <w:tcW w:w="583" w:type="pct"/>
            <w:tcBorders>
              <w:lef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90-95</w:t>
            </w:r>
          </w:p>
        </w:tc>
        <w:tc>
          <w:tcPr>
            <w:tcW w:w="76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85%-90</w:t>
            </w:r>
          </w:p>
        </w:tc>
        <w:tc>
          <w:tcPr>
            <w:tcW w:w="76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70%-85</w:t>
            </w:r>
          </w:p>
        </w:tc>
        <w:tc>
          <w:tcPr>
            <w:tcW w:w="67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kern w:val="0"/>
                <w:sz w:val="18"/>
                <w:szCs w:val="18"/>
                <w:lang w:val="en-US" w:eastAsia="zh-CN"/>
              </w:rPr>
              <w:t>≤</w:t>
            </w:r>
            <w:r>
              <w:rPr>
                <w:rFonts w:hint="default" w:ascii="Times New Roman" w:hAnsi="Times New Roman" w:cs="Times New Roman"/>
                <w:sz w:val="18"/>
                <w:szCs w:val="1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66"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583" w:type="pct"/>
            <w:tcBorders>
              <w:lef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75</w:t>
            </w:r>
          </w:p>
        </w:tc>
        <w:tc>
          <w:tcPr>
            <w:tcW w:w="76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c>
          <w:tcPr>
            <w:tcW w:w="76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67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9"/>
      </w:pPr>
    </w:p>
    <w:p>
      <w:pPr>
        <w:bidi w:val="0"/>
        <w:rPr>
          <w:rFonts w:hint="eastAsia"/>
          <w:b w:val="0"/>
          <w:bCs w:val="0"/>
        </w:rPr>
      </w:pPr>
      <w:r>
        <w:rPr>
          <w:rFonts w:hint="eastAsia"/>
          <w:b w:val="0"/>
          <w:bCs w:val="0"/>
        </w:rPr>
        <w:t>水库选用大坝安全、防洪运行调度、监控设施作为防洪评估指标，采用专家评估方法对上述3方面的达标状况进行评估赋分，选用3类指标的最低赋分作为水库防洪指标赋分。</w:t>
      </w:r>
    </w:p>
    <w:p>
      <w:pPr>
        <w:pStyle w:val="43"/>
        <w:jc w:val="both"/>
        <w:outlineLvl w:val="8"/>
        <w:rPr>
          <w:sz w:val="24"/>
          <w:szCs w:val="24"/>
        </w:rPr>
      </w:pPr>
      <w:r>
        <w:rPr>
          <w:sz w:val="24"/>
          <w:szCs w:val="24"/>
        </w:rPr>
        <w:t>表</w:t>
      </w:r>
      <w:r>
        <w:rPr>
          <w:rFonts w:hint="eastAsia"/>
          <w:sz w:val="24"/>
          <w:szCs w:val="24"/>
          <w:lang w:val="en-US" w:eastAsia="zh-CN"/>
        </w:rPr>
        <w:t xml:space="preserve">3.1-16            </w:t>
      </w:r>
      <w:r>
        <w:rPr>
          <w:sz w:val="24"/>
          <w:szCs w:val="24"/>
        </w:rPr>
        <w:t>水库防洪指标赋分标准表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3157"/>
        <w:gridCol w:w="3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指标</w:t>
            </w:r>
          </w:p>
        </w:tc>
        <w:tc>
          <w:tcPr>
            <w:tcW w:w="18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指标说明</w:t>
            </w:r>
          </w:p>
        </w:tc>
        <w:tc>
          <w:tcPr>
            <w:tcW w:w="2277"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防洪运行调度</w:t>
            </w:r>
          </w:p>
        </w:tc>
        <w:tc>
          <w:tcPr>
            <w:tcW w:w="18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实际调度方式是否符合设计要求或省、市防指调度命令</w:t>
            </w:r>
          </w:p>
        </w:tc>
        <w:tc>
          <w:tcPr>
            <w:tcW w:w="2277"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符合100，基本符合50，不符合0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大坝安全</w:t>
            </w:r>
          </w:p>
        </w:tc>
        <w:tc>
          <w:tcPr>
            <w:tcW w:w="1852" w:type="pct"/>
            <w:noWrap w:val="0"/>
            <w:vAlign w:val="center"/>
          </w:tcPr>
          <w:p>
            <w:pPr>
              <w:pStyle w:val="46"/>
              <w:adjustRightInd w:val="0"/>
              <w:snapToGrid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安评结果是否符合要求</w:t>
            </w:r>
          </w:p>
        </w:tc>
        <w:tc>
          <w:tcPr>
            <w:tcW w:w="2277"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按照安评结果，一类坝100、二类坝或鉴定为三类坝但正及时组织开展除险加固50、超期未安全鉴定或鉴定为三类坝一年以上未组织开展除险加固0。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监控设施</w:t>
            </w:r>
          </w:p>
        </w:tc>
        <w:tc>
          <w:tcPr>
            <w:tcW w:w="18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监控设施是否完备</w:t>
            </w:r>
          </w:p>
        </w:tc>
        <w:tc>
          <w:tcPr>
            <w:tcW w:w="2277"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完备100，具备50，不具备0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3.1.13 供水指标</w:t>
      </w:r>
    </w:p>
    <w:p>
      <w:pPr>
        <w:bidi w:val="0"/>
        <w:rPr>
          <w:rFonts w:hint="eastAsia"/>
          <w:b w:val="0"/>
          <w:bCs w:val="0"/>
        </w:rPr>
      </w:pPr>
      <w:r>
        <w:rPr>
          <w:rFonts w:hint="eastAsia"/>
          <w:b w:val="0"/>
          <w:bCs w:val="0"/>
        </w:rPr>
        <w:t>供水指标的取水范围为评价河段的干流、湖库的库区。</w:t>
      </w:r>
    </w:p>
    <w:p>
      <w:pPr>
        <w:bidi w:val="0"/>
        <w:rPr>
          <w:rFonts w:hint="eastAsia"/>
          <w:b w:val="0"/>
          <w:bCs w:val="0"/>
        </w:rPr>
      </w:pPr>
      <w:r>
        <w:rPr>
          <w:rFonts w:hint="eastAsia"/>
          <w:b w:val="0"/>
          <w:bCs w:val="0"/>
        </w:rPr>
        <w:t>供水水量保证程度等于一年内河湖逐日水位或流量达到供水保证水位或流量的天数占年内总天数的百分比，按照以下公式计算。指标数值结果对照的评分见表</w:t>
      </w:r>
      <w:r>
        <w:rPr>
          <w:rFonts w:hint="eastAsia"/>
          <w:b w:val="0"/>
          <w:bCs w:val="0"/>
          <w:lang w:val="en-US" w:eastAsia="zh-CN"/>
        </w:rPr>
        <w:t>3.1-17</w:t>
      </w:r>
      <w:r>
        <w:rPr>
          <w:rFonts w:hint="eastAsia"/>
          <w:b w:val="0"/>
          <w:bCs w:val="0"/>
        </w:rPr>
        <w:t>。</w:t>
      </w:r>
    </w:p>
    <w:p>
      <w:pPr>
        <w:bidi w:val="0"/>
        <w:rPr>
          <w:rFonts w:hint="eastAsia"/>
          <w:b w:val="0"/>
          <w:bCs w:val="0"/>
        </w:rPr>
      </w:pPr>
      <w:r>
        <w:rPr>
          <w:rFonts w:hint="eastAsia"/>
          <w:b w:val="0"/>
          <w:bCs w:val="0"/>
        </w:rPr>
        <w:tab/>
      </w:r>
      <w:r>
        <w:rPr>
          <w:rFonts w:hint="eastAsia"/>
          <w:b w:val="0"/>
          <w:bCs w:val="0"/>
        </w:rPr>
        <w:tab/>
      </w:r>
      <w:r>
        <w:rPr>
          <w:rFonts w:hint="eastAsia"/>
          <w:b w:val="0"/>
          <w:bCs w:val="0"/>
        </w:rPr>
        <w:tab/>
      </w:r>
      <w:r>
        <w:rPr>
          <w:rFonts w:hint="eastAsia"/>
          <w:b w:val="0"/>
          <w:bCs w:val="0"/>
        </w:rPr>
        <w:tab/>
      </w:r>
      <w:r>
        <w:rPr>
          <w:rFonts w:hint="eastAsia"/>
          <w:b w:val="0"/>
          <w:bCs w:val="0"/>
        </w:rPr>
        <w:tab/>
      </w:r>
      <w:r>
        <w:rPr>
          <w:rFonts w:hint="eastAsia"/>
          <w:b w:val="0"/>
          <w:bCs w:val="0"/>
        </w:rPr>
        <w:tab/>
      </w:r>
      <m:oMath>
        <m:r>
          <m:rPr>
            <m:sty m:val="p"/>
          </m:rPr>
          <w:rPr>
            <w:rFonts w:hint="eastAsia" w:ascii="Cambria Math" w:hAnsi="Cambria Math"/>
          </w:rPr>
          <m:t>Rgs=</m:t>
        </m:r>
        <m:f>
          <m:fPr>
            <m:ctrlPr>
              <w:rPr>
                <w:rFonts w:hint="default" w:ascii="Cambria Math" w:hAnsi="Cambria Math"/>
                <w:b w:val="0"/>
                <w:bCs w:val="0"/>
              </w:rPr>
            </m:ctrlPr>
          </m:fPr>
          <m:num>
            <m:sSub>
              <m:sSubPr>
                <m:ctrlPr>
                  <w:rPr>
                    <w:rFonts w:hint="default" w:ascii="Cambria Math" w:hAnsi="Cambria Math"/>
                    <w:b w:val="0"/>
                    <w:bCs w:val="0"/>
                  </w:rPr>
                </m:ctrlPr>
              </m:sSubPr>
              <m:e>
                <m:r>
                  <m:rPr>
                    <m:sty m:val="p"/>
                  </m:rPr>
                  <w:rPr>
                    <w:rFonts w:hint="eastAsia" w:ascii="Cambria Math" w:hAnsi="Cambria Math"/>
                  </w:rPr>
                  <m:t>D</m:t>
                </m:r>
                <m:ctrlPr>
                  <w:rPr>
                    <w:rFonts w:hint="default" w:ascii="Cambria Math" w:hAnsi="Cambria Math"/>
                    <w:b w:val="0"/>
                    <w:bCs w:val="0"/>
                  </w:rPr>
                </m:ctrlPr>
              </m:e>
              <m:sub>
                <m:r>
                  <m:rPr>
                    <m:sty m:val="p"/>
                  </m:rPr>
                  <w:rPr>
                    <w:rFonts w:hint="default" w:ascii="Cambria Math" w:hAnsi="Cambria Math"/>
                  </w:rPr>
                  <m:t>0</m:t>
                </m:r>
                <m:ctrlPr>
                  <w:rPr>
                    <w:rFonts w:hint="default" w:ascii="Cambria Math" w:hAnsi="Cambria Math"/>
                    <w:b w:val="0"/>
                    <w:bCs w:val="0"/>
                  </w:rPr>
                </m:ctrlPr>
              </m:sub>
            </m:sSub>
            <m:ctrlPr>
              <w:rPr>
                <w:rFonts w:hint="default" w:ascii="Cambria Math" w:hAnsi="Cambria Math"/>
                <w:b w:val="0"/>
                <w:bCs w:val="0"/>
              </w:rPr>
            </m:ctrlPr>
          </m:num>
          <m:den>
            <m:sSub>
              <m:sSubPr>
                <m:ctrlPr>
                  <w:rPr>
                    <w:rFonts w:hint="default" w:ascii="Cambria Math" w:hAnsi="Cambria Math"/>
                    <w:b w:val="0"/>
                    <w:bCs w:val="0"/>
                  </w:rPr>
                </m:ctrlPr>
              </m:sSubPr>
              <m:e>
                <m:r>
                  <m:rPr>
                    <m:sty m:val="p"/>
                  </m:rPr>
                  <w:rPr>
                    <w:rFonts w:hint="eastAsia" w:ascii="Cambria Math" w:hAnsi="Cambria Math"/>
                  </w:rPr>
                  <m:t>D</m:t>
                </m:r>
                <m:ctrlPr>
                  <w:rPr>
                    <w:rFonts w:hint="default" w:ascii="Cambria Math" w:hAnsi="Cambria Math"/>
                    <w:b w:val="0"/>
                    <w:bCs w:val="0"/>
                  </w:rPr>
                </m:ctrlPr>
              </m:e>
              <m:sub>
                <m:r>
                  <m:rPr>
                    <m:sty m:val="p"/>
                  </m:rPr>
                  <w:rPr>
                    <w:rFonts w:hint="default" w:ascii="Cambria Math" w:hAnsi="Cambria Math"/>
                  </w:rPr>
                  <m:t>N</m:t>
                </m:r>
                <m:ctrlPr>
                  <w:rPr>
                    <w:rFonts w:hint="default" w:ascii="Cambria Math" w:hAnsi="Cambria Math"/>
                    <w:b w:val="0"/>
                    <w:bCs w:val="0"/>
                  </w:rPr>
                </m:ctrlPr>
              </m:sub>
            </m:sSub>
            <m:ctrlPr>
              <w:rPr>
                <w:rFonts w:hint="default" w:ascii="Cambria Math" w:hAnsi="Cambria Math"/>
                <w:b w:val="0"/>
                <w:bCs w:val="0"/>
              </w:rPr>
            </m:ctrlPr>
          </m:den>
        </m:f>
        <m:r>
          <m:rPr>
            <m:sty m:val="p"/>
          </m:rPr>
          <w:rPr>
            <w:rFonts w:hint="default" w:ascii="Cambria Math" w:hAnsi="Cambria Math"/>
          </w:rPr>
          <m:t>×100%</m:t>
        </m:r>
      </m:oMath>
    </w:p>
    <w:p>
      <w:pPr>
        <w:bidi w:val="0"/>
        <w:rPr>
          <w:rFonts w:hint="eastAsia"/>
          <w:b w:val="0"/>
          <w:bCs w:val="0"/>
        </w:rPr>
      </w:pPr>
      <w:r>
        <w:rPr>
          <w:rFonts w:hint="eastAsia"/>
          <w:b w:val="0"/>
          <w:bCs w:val="0"/>
        </w:rPr>
        <w:t>式中：</w:t>
      </w:r>
    </w:p>
    <w:p>
      <w:pPr>
        <w:bidi w:val="0"/>
        <w:rPr>
          <w:rFonts w:hint="eastAsia"/>
          <w:b w:val="0"/>
          <w:bCs w:val="0"/>
        </w:rPr>
      </w:pPr>
      <w:r>
        <w:rPr>
          <w:rFonts w:hint="eastAsia"/>
          <w:b w:val="0"/>
          <w:bCs w:val="0"/>
        </w:rPr>
        <w:t>Rgs──供水水量保证程度；</w:t>
      </w:r>
    </w:p>
    <w:p>
      <w:pPr>
        <w:bidi w:val="0"/>
        <w:rPr>
          <w:rFonts w:hint="eastAsia"/>
          <w:b w:val="0"/>
          <w:bCs w:val="0"/>
        </w:rPr>
      </w:pPr>
      <w:r>
        <w:rPr>
          <w:rFonts w:hint="eastAsia"/>
          <w:b w:val="0"/>
          <w:bCs w:val="0"/>
        </w:rPr>
        <w:t>D0──水位或流量达到供水保证水位或流量的天数（天）；</w:t>
      </w:r>
    </w:p>
    <w:p>
      <w:pPr>
        <w:bidi w:val="0"/>
        <w:rPr>
          <w:rFonts w:hint="eastAsia"/>
          <w:b w:val="0"/>
          <w:bCs w:val="0"/>
        </w:rPr>
      </w:pPr>
      <w:r>
        <w:rPr>
          <w:rFonts w:hint="eastAsia"/>
          <w:b w:val="0"/>
          <w:bCs w:val="0"/>
        </w:rPr>
        <w:t>DN──一年内总天数（天）。</w:t>
      </w:r>
    </w:p>
    <w:p>
      <w:pPr>
        <w:pStyle w:val="43"/>
      </w:pPr>
    </w:p>
    <w:p>
      <w:pPr>
        <w:pStyle w:val="43"/>
        <w:jc w:val="both"/>
        <w:outlineLvl w:val="8"/>
        <w:rPr>
          <w:rFonts w:hint="eastAsia" w:ascii="宋体" w:hAnsi="宋体" w:eastAsia="宋体" w:cs="宋体"/>
          <w:sz w:val="21"/>
          <w:szCs w:val="21"/>
        </w:rPr>
      </w:pPr>
      <w:r>
        <w:rPr>
          <w:rFonts w:hint="eastAsia" w:ascii="宋体" w:hAnsi="宋体" w:eastAsia="宋体" w:cs="宋体"/>
          <w:sz w:val="21"/>
          <w:szCs w:val="21"/>
        </w:rPr>
        <w:t>表</w:t>
      </w:r>
      <w:r>
        <w:rPr>
          <w:rFonts w:hint="eastAsia" w:ascii="宋体" w:hAnsi="宋体" w:cs="宋体"/>
          <w:sz w:val="21"/>
          <w:szCs w:val="21"/>
          <w:lang w:val="en-US" w:eastAsia="zh-CN"/>
        </w:rPr>
        <w:t>3.1-17</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供水水量保证程度赋分标准表</w:t>
      </w:r>
    </w:p>
    <w:tbl>
      <w:tblPr>
        <w:tblStyle w:val="28"/>
        <w:tblW w:w="5000" w:type="pct"/>
        <w:tblInd w:w="0" w:type="dxa"/>
        <w:tblLayout w:type="autofit"/>
        <w:tblCellMar>
          <w:top w:w="0" w:type="dxa"/>
          <w:left w:w="108" w:type="dxa"/>
          <w:bottom w:w="0" w:type="dxa"/>
          <w:right w:w="108" w:type="dxa"/>
        </w:tblCellMar>
      </w:tblPr>
      <w:tblGrid>
        <w:gridCol w:w="2078"/>
        <w:gridCol w:w="1290"/>
        <w:gridCol w:w="1289"/>
        <w:gridCol w:w="1289"/>
        <w:gridCol w:w="1289"/>
        <w:gridCol w:w="1287"/>
      </w:tblGrid>
      <w:tr>
        <w:tblPrEx>
          <w:tblCellMar>
            <w:top w:w="0" w:type="dxa"/>
            <w:left w:w="108" w:type="dxa"/>
            <w:bottom w:w="0" w:type="dxa"/>
            <w:right w:w="108" w:type="dxa"/>
          </w:tblCellMar>
        </w:tblPrEx>
        <w:tc>
          <w:tcPr>
            <w:tcW w:w="1220"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供水水量保证程度（%）</w:t>
            </w:r>
          </w:p>
        </w:tc>
        <w:tc>
          <w:tcPr>
            <w:tcW w:w="757"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[95,100]</w:t>
            </w:r>
          </w:p>
        </w:tc>
        <w:tc>
          <w:tcPr>
            <w:tcW w:w="75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[85,95]</w:t>
            </w:r>
          </w:p>
        </w:tc>
        <w:tc>
          <w:tcPr>
            <w:tcW w:w="75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[60,85]</w:t>
            </w:r>
          </w:p>
        </w:tc>
        <w:tc>
          <w:tcPr>
            <w:tcW w:w="75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[20,60]</w:t>
            </w:r>
          </w:p>
        </w:tc>
        <w:tc>
          <w:tcPr>
            <w:tcW w:w="755"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[0,20]</w:t>
            </w:r>
          </w:p>
        </w:tc>
      </w:tr>
      <w:tr>
        <w:tblPrEx>
          <w:tblCellMar>
            <w:top w:w="0" w:type="dxa"/>
            <w:left w:w="108" w:type="dxa"/>
            <w:bottom w:w="0" w:type="dxa"/>
            <w:right w:w="108" w:type="dxa"/>
          </w:tblCellMar>
        </w:tblPrEx>
        <w:tc>
          <w:tcPr>
            <w:tcW w:w="1220"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赋分</w:t>
            </w:r>
          </w:p>
        </w:tc>
        <w:tc>
          <w:tcPr>
            <w:tcW w:w="757"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100</w:t>
            </w:r>
          </w:p>
        </w:tc>
        <w:tc>
          <w:tcPr>
            <w:tcW w:w="75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80</w:t>
            </w:r>
          </w:p>
        </w:tc>
        <w:tc>
          <w:tcPr>
            <w:tcW w:w="75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w:t>
            </w:r>
          </w:p>
        </w:tc>
        <w:tc>
          <w:tcPr>
            <w:tcW w:w="75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w:t>
            </w:r>
          </w:p>
        </w:tc>
        <w:tc>
          <w:tcPr>
            <w:tcW w:w="755"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3.1.14 开发利用现状与规划的符合性</w:t>
      </w:r>
    </w:p>
    <w:p>
      <w:pPr>
        <w:bidi w:val="0"/>
        <w:rPr>
          <w:rFonts w:hint="eastAsia"/>
          <w:b w:val="0"/>
          <w:bCs w:val="0"/>
        </w:rPr>
      </w:pPr>
      <w:r>
        <w:rPr>
          <w:rFonts w:hint="eastAsia"/>
          <w:b w:val="0"/>
          <w:bCs w:val="0"/>
        </w:rPr>
        <w:t>河流的开发利用状况应符合河流规划，水利项目重点复核内容如下：</w:t>
      </w:r>
    </w:p>
    <w:p>
      <w:pPr>
        <w:bidi w:val="0"/>
        <w:rPr>
          <w:rFonts w:hint="eastAsia"/>
          <w:b w:val="0"/>
          <w:bCs w:val="0"/>
        </w:rPr>
      </w:pPr>
      <w:r>
        <w:rPr>
          <w:rFonts w:hint="eastAsia"/>
          <w:b w:val="0"/>
          <w:bCs w:val="0"/>
        </w:rPr>
        <w:t>（1）水电站主要复核开发利用任务、工程规模、开发方式、调度运行方式、生态流量等内容与规划的符合性；</w:t>
      </w:r>
    </w:p>
    <w:p>
      <w:pPr>
        <w:bidi w:val="0"/>
        <w:rPr>
          <w:rFonts w:hint="eastAsia"/>
          <w:b w:val="0"/>
          <w:bCs w:val="0"/>
        </w:rPr>
      </w:pPr>
      <w:r>
        <w:rPr>
          <w:rFonts w:hint="eastAsia"/>
          <w:b w:val="0"/>
          <w:bCs w:val="0"/>
        </w:rPr>
        <w:t>（2）堤防主要复核工程规模、防洪标准等内容与规划的符合性；</w:t>
      </w:r>
    </w:p>
    <w:p>
      <w:pPr>
        <w:bidi w:val="0"/>
        <w:rPr>
          <w:rFonts w:hint="eastAsia"/>
          <w:b w:val="0"/>
          <w:bCs w:val="0"/>
        </w:rPr>
      </w:pPr>
      <w:r>
        <w:rPr>
          <w:rFonts w:hint="eastAsia"/>
          <w:b w:val="0"/>
          <w:bCs w:val="0"/>
        </w:rPr>
        <w:t>（3）囤蓄水库主要复核开发利用任务、运行方式、供水量、供水保证率等内容与规划的符合性；</w:t>
      </w:r>
    </w:p>
    <w:p>
      <w:pPr>
        <w:bidi w:val="0"/>
        <w:rPr>
          <w:rFonts w:hint="eastAsia"/>
          <w:b w:val="0"/>
          <w:bCs w:val="0"/>
        </w:rPr>
      </w:pPr>
      <w:r>
        <w:rPr>
          <w:rFonts w:hint="eastAsia"/>
          <w:b w:val="0"/>
          <w:bCs w:val="0"/>
        </w:rPr>
        <w:t>（4）航道主要复核通航水深、航道宽度等内容与规划的符合性；</w:t>
      </w:r>
    </w:p>
    <w:p>
      <w:pPr>
        <w:bidi w:val="0"/>
        <w:rPr>
          <w:rFonts w:hint="eastAsia"/>
          <w:b w:val="0"/>
          <w:bCs w:val="0"/>
        </w:rPr>
      </w:pPr>
      <w:r>
        <w:rPr>
          <w:rFonts w:hint="eastAsia"/>
          <w:b w:val="0"/>
          <w:bCs w:val="0"/>
        </w:rPr>
        <w:t>（5）其他有关涉水工程项目，应重点复核其开发利用任务、工程规模等内容与规划的符合性。</w:t>
      </w:r>
    </w:p>
    <w:p>
      <w:pPr>
        <w:bidi w:val="0"/>
        <w:rPr>
          <w:rFonts w:hint="eastAsia"/>
          <w:b w:val="0"/>
          <w:bCs w:val="0"/>
        </w:rPr>
      </w:pPr>
      <w:r>
        <w:rPr>
          <w:rFonts w:hint="eastAsia"/>
          <w:b w:val="0"/>
          <w:bCs w:val="0"/>
        </w:rPr>
        <w:t>收集河湖库主要开发利用现状（发电、采砂、航运、供水）及相关规划，按照符合性赋分。</w:t>
      </w:r>
    </w:p>
    <w:p>
      <w:pPr>
        <w:pStyle w:val="43"/>
        <w:jc w:val="both"/>
        <w:outlineLvl w:val="8"/>
        <w:rPr>
          <w:rFonts w:hint="eastAsia"/>
        </w:rPr>
      </w:pPr>
      <w:bookmarkStart w:id="44" w:name="_Toc10631"/>
      <w:r>
        <w:rPr>
          <w:rFonts w:hint="eastAsia"/>
        </w:rPr>
        <w:t>表</w:t>
      </w:r>
      <w:r>
        <w:rPr>
          <w:rFonts w:hint="eastAsia"/>
          <w:lang w:val="en-US" w:eastAsia="zh-CN"/>
        </w:rPr>
        <w:t xml:space="preserve">3.1-18      </w:t>
      </w:r>
      <w:r>
        <w:rPr>
          <w:rFonts w:hint="eastAsia"/>
        </w:rPr>
        <w:t>开发利用状况与规划的符合性赋分标准表</w:t>
      </w:r>
      <w:bookmarkEnd w:id="44"/>
    </w:p>
    <w:tbl>
      <w:tblPr>
        <w:tblStyle w:val="28"/>
        <w:tblW w:w="4710" w:type="pct"/>
        <w:jc w:val="center"/>
        <w:tblLayout w:type="autofit"/>
        <w:tblCellMar>
          <w:top w:w="0" w:type="dxa"/>
          <w:left w:w="28" w:type="dxa"/>
          <w:bottom w:w="0" w:type="dxa"/>
          <w:right w:w="28" w:type="dxa"/>
        </w:tblCellMar>
      </w:tblPr>
      <w:tblGrid>
        <w:gridCol w:w="784"/>
        <w:gridCol w:w="1951"/>
        <w:gridCol w:w="1664"/>
        <w:gridCol w:w="1445"/>
        <w:gridCol w:w="974"/>
        <w:gridCol w:w="1059"/>
      </w:tblGrid>
      <w:tr>
        <w:tblPrEx>
          <w:tblCellMar>
            <w:top w:w="0" w:type="dxa"/>
            <w:left w:w="28" w:type="dxa"/>
            <w:bottom w:w="0" w:type="dxa"/>
            <w:right w:w="28" w:type="dxa"/>
          </w:tblCellMar>
        </w:tblPrEx>
        <w:trPr>
          <w:trHeight w:val="238"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符合性</w:t>
            </w:r>
          </w:p>
        </w:tc>
        <w:tc>
          <w:tcPr>
            <w:tcW w:w="1239"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开发利用活动有规划支撑，且规划现行有效</w:t>
            </w:r>
          </w:p>
        </w:tc>
        <w:tc>
          <w:tcPr>
            <w:tcW w:w="105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开发利用活动有规划支撑，但规划需修编</w:t>
            </w:r>
          </w:p>
        </w:tc>
        <w:tc>
          <w:tcPr>
            <w:tcW w:w="917"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开发利用活动有规划但不完全相符</w:t>
            </w:r>
          </w:p>
        </w:tc>
        <w:tc>
          <w:tcPr>
            <w:tcW w:w="618"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开发利用活动无规划支撑</w:t>
            </w:r>
          </w:p>
        </w:tc>
        <w:tc>
          <w:tcPr>
            <w:tcW w:w="67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开发利用活动违反规划</w:t>
            </w:r>
          </w:p>
        </w:tc>
      </w:tr>
      <w:tr>
        <w:tblPrEx>
          <w:tblCellMar>
            <w:top w:w="0" w:type="dxa"/>
            <w:left w:w="28" w:type="dxa"/>
            <w:bottom w:w="0" w:type="dxa"/>
            <w:right w:w="28" w:type="dxa"/>
          </w:tblCellMar>
        </w:tblPrEx>
        <w:trPr>
          <w:trHeight w:val="280" w:hRule="atLeast"/>
          <w:jc w:val="center"/>
        </w:trPr>
        <w:tc>
          <w:tcPr>
            <w:tcW w:w="49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1239"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105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917"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618"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672"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pStyle w:val="2"/>
        <w:rPr>
          <w:rFonts w:hint="eastAsia"/>
          <w:lang w:val="en-US" w:eastAsia="zh-CN"/>
        </w:rPr>
      </w:pPr>
    </w:p>
    <w:p>
      <w:pPr>
        <w:wordWrap/>
        <w:autoSpaceDE/>
        <w:autoSpaceDN/>
        <w:adjustRightInd w:val="0"/>
        <w:snapToGrid w:val="0"/>
        <w:spacing w:before="166" w:beforeLines="50" w:after="166" w:afterLines="50" w:line="360" w:lineRule="auto"/>
        <w:ind w:firstLine="0" w:firstLineChars="0"/>
        <w:outlineLvl w:val="1"/>
        <w:rPr>
          <w:rFonts w:hint="eastAsia" w:ascii="宋体" w:hAnsi="宋体" w:cs="宋体"/>
          <w:b/>
          <w:bCs/>
          <w:color w:val="auto"/>
          <w:kern w:val="2"/>
          <w:sz w:val="24"/>
          <w:szCs w:val="24"/>
          <w:lang w:val="en-US" w:eastAsia="zh-CN"/>
        </w:rPr>
      </w:pPr>
      <w:bookmarkStart w:id="45" w:name="_Toc1559"/>
      <w:r>
        <w:rPr>
          <w:rFonts w:hint="eastAsia" w:ascii="宋体" w:hAnsi="宋体" w:cs="宋体"/>
          <w:b/>
          <w:bCs/>
          <w:color w:val="auto"/>
          <w:kern w:val="2"/>
          <w:sz w:val="24"/>
          <w:szCs w:val="24"/>
          <w:lang w:val="en-US" w:eastAsia="zh-CN"/>
        </w:rPr>
        <w:t>3.2 代表点位或断面的选择</w:t>
      </w:r>
      <w:bookmarkEnd w:id="45"/>
    </w:p>
    <w:p>
      <w:pPr>
        <w:bidi w:val="0"/>
        <w:rPr>
          <w:rFonts w:hint="eastAsia"/>
          <w:b w:val="0"/>
          <w:bCs w:val="0"/>
          <w:lang w:val="en-US" w:eastAsia="zh-CN"/>
        </w:rPr>
      </w:pPr>
      <w:r>
        <w:rPr>
          <w:rFonts w:hint="eastAsia"/>
          <w:b w:val="0"/>
          <w:bCs w:val="0"/>
          <w:lang w:val="zh-CN" w:eastAsia="zh-CN"/>
        </w:rPr>
        <w:t>对水库、水电站下泄流量的监测，可在泄水口设立监测点，安装监测设备；也可以在下游附近河道断面作为监测断面，安装监测设备，监测</w:t>
      </w:r>
      <w:r>
        <w:rPr>
          <w:rFonts w:hint="eastAsia"/>
          <w:b w:val="0"/>
          <w:bCs w:val="0"/>
          <w:lang w:val="en-US" w:eastAsia="zh-CN"/>
        </w:rPr>
        <w:t>生态用水（生态基流）</w:t>
      </w:r>
      <w:r>
        <w:rPr>
          <w:rFonts w:hint="eastAsia"/>
          <w:b w:val="0"/>
          <w:bCs w:val="0"/>
          <w:lang w:val="zh-CN" w:eastAsia="zh-CN"/>
        </w:rPr>
        <w:t>。</w:t>
      </w:r>
      <w:r>
        <w:rPr>
          <w:rFonts w:hint="eastAsia"/>
          <w:b w:val="0"/>
          <w:bCs w:val="0"/>
          <w:lang w:val="en-US" w:eastAsia="zh-CN"/>
        </w:rPr>
        <w:t>评价生态用水（生态基流）参照水利局、林业局以及相关单位监测方法和监测布置情况，以其他有关部门的监测数据作为评价河段的数据支撑。本次</w:t>
      </w:r>
      <w:r>
        <w:rPr>
          <w:rFonts w:hint="eastAsia"/>
          <w:b w:val="0"/>
          <w:bCs w:val="0"/>
          <w:lang w:val="zh-CN" w:eastAsia="zh-CN"/>
        </w:rPr>
        <w:t>各评价河段暂定监测点位置布控点见下表</w:t>
      </w:r>
      <w:r>
        <w:rPr>
          <w:rFonts w:hint="eastAsia"/>
          <w:b w:val="0"/>
          <w:bCs w:val="0"/>
          <w:lang w:val="en-US" w:eastAsia="zh-CN"/>
        </w:rPr>
        <w:t>3.2-1。</w:t>
      </w:r>
    </w:p>
    <w:tbl>
      <w:tblPr>
        <w:tblStyle w:val="29"/>
        <w:tblpPr w:leftFromText="180" w:rightFromText="180" w:vertAnchor="text" w:horzAnchor="page" w:tblpX="1800" w:tblpY="4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2"/>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评价河段</w:t>
            </w:r>
          </w:p>
        </w:tc>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lang w:val="en-US" w:eastAsia="zh-CN"/>
              </w:rPr>
              <w:t>经纬度（东经、北纬）</w:t>
            </w:r>
          </w:p>
        </w:tc>
        <w:tc>
          <w:tcPr>
            <w:tcW w:w="2840" w:type="dxa"/>
            <w:vAlign w:val="center"/>
          </w:tcPr>
          <w:p>
            <w:pPr>
              <w:pStyle w:val="2"/>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断面名称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沙溪浩天然河流上游至碾子沟水库下游段</w:t>
            </w:r>
          </w:p>
        </w:tc>
        <w:tc>
          <w:tcPr>
            <w:tcW w:w="2840" w:type="dxa"/>
            <w:vAlign w:val="center"/>
          </w:tcPr>
          <w:p>
            <w:pPr>
              <w:keepNext w:val="0"/>
              <w:keepLines w:val="0"/>
              <w:widowControl/>
              <w:suppressLineNumbers w:val="0"/>
              <w:ind w:left="0" w:leftChars="0" w:firstLine="0" w:firstLineChars="0"/>
              <w:jc w:val="center"/>
              <w:rPr>
                <w:rFonts w:hint="default" w:ascii="Times New Roman" w:hAnsi="Times New Roman" w:cs="Times New Roman"/>
                <w:sz w:val="18"/>
                <w:szCs w:val="18"/>
              </w:rPr>
            </w:pPr>
            <w:r>
              <w:rPr>
                <w:rFonts w:hint="default" w:ascii="Times New Roman" w:hAnsi="Times New Roman" w:eastAsia="宋体" w:cs="Times New Roman"/>
                <w:color w:val="000000"/>
                <w:kern w:val="0"/>
                <w:sz w:val="18"/>
                <w:szCs w:val="18"/>
                <w:lang w:val="en-US" w:eastAsia="zh-CN" w:bidi="ar"/>
              </w:rPr>
              <w:t>东经 105°93'54.73"</w:t>
            </w:r>
          </w:p>
          <w:p>
            <w:pPr>
              <w:keepNext w:val="0"/>
              <w:keepLines w:val="0"/>
              <w:widowControl/>
              <w:suppressLineNumbers w:val="0"/>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bidi="ar"/>
              </w:rPr>
              <w:t>北纬 31°92'69.19"</w:t>
            </w:r>
          </w:p>
        </w:tc>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SXH-02 -- SXH-04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碾子沟水库下游段至大洋沟水库上游段</w:t>
            </w:r>
          </w:p>
        </w:tc>
        <w:tc>
          <w:tcPr>
            <w:tcW w:w="2840" w:type="dxa"/>
            <w:vAlign w:val="center"/>
          </w:tcPr>
          <w:p>
            <w:pPr>
              <w:keepNext w:val="0"/>
              <w:keepLines w:val="0"/>
              <w:widowControl/>
              <w:suppressLineNumbers w:val="0"/>
              <w:ind w:left="0" w:leftChars="0" w:firstLine="0" w:firstLineChars="0"/>
              <w:jc w:val="center"/>
              <w:rPr>
                <w:rFonts w:hint="default" w:ascii="Times New Roman" w:hAnsi="Times New Roman" w:cs="Times New Roman"/>
                <w:sz w:val="18"/>
                <w:szCs w:val="18"/>
              </w:rPr>
            </w:pPr>
            <w:r>
              <w:rPr>
                <w:rFonts w:hint="default" w:ascii="Times New Roman" w:hAnsi="Times New Roman" w:eastAsia="宋体" w:cs="Times New Roman"/>
                <w:color w:val="000000"/>
                <w:kern w:val="0"/>
                <w:sz w:val="18"/>
                <w:szCs w:val="18"/>
                <w:lang w:val="en-US" w:eastAsia="zh-CN" w:bidi="ar"/>
              </w:rPr>
              <w:t>东经 105°9</w:t>
            </w:r>
            <w:r>
              <w:rPr>
                <w:rFonts w:hint="default" w:ascii="Times New Roman" w:hAnsi="Times New Roman" w:cs="Times New Roman"/>
                <w:color w:val="000000"/>
                <w:kern w:val="0"/>
                <w:sz w:val="18"/>
                <w:szCs w:val="18"/>
                <w:lang w:val="en-US" w:eastAsia="zh-CN" w:bidi="ar"/>
              </w:rPr>
              <w:t>2</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76</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84</w:t>
            </w:r>
            <w:r>
              <w:rPr>
                <w:rFonts w:hint="default" w:ascii="Times New Roman" w:hAnsi="Times New Roman" w:eastAsia="宋体" w:cs="Times New Roman"/>
                <w:color w:val="000000"/>
                <w:kern w:val="0"/>
                <w:sz w:val="18"/>
                <w:szCs w:val="18"/>
                <w:lang w:val="en-US" w:eastAsia="zh-CN" w:bidi="ar"/>
              </w:rPr>
              <w:t>"</w:t>
            </w: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bidi="ar"/>
              </w:rPr>
              <w:t>北纬 31°</w:t>
            </w:r>
            <w:r>
              <w:rPr>
                <w:rFonts w:hint="default" w:ascii="Times New Roman" w:hAnsi="Times New Roman" w:cs="Times New Roman"/>
                <w:color w:val="000000"/>
                <w:kern w:val="0"/>
                <w:sz w:val="18"/>
                <w:szCs w:val="18"/>
                <w:lang w:val="en-US" w:eastAsia="zh-CN" w:bidi="ar"/>
              </w:rPr>
              <w:t>89</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59</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34</w:t>
            </w:r>
            <w:r>
              <w:rPr>
                <w:rFonts w:hint="default" w:ascii="Times New Roman" w:hAnsi="Times New Roman" w:eastAsia="宋体" w:cs="Times New Roman"/>
                <w:color w:val="000000"/>
                <w:kern w:val="0"/>
                <w:sz w:val="18"/>
                <w:szCs w:val="18"/>
                <w:lang w:val="en-US" w:eastAsia="zh-CN" w:bidi="ar"/>
              </w:rPr>
              <w:t>"</w:t>
            </w:r>
          </w:p>
        </w:tc>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SXH-04 -- SXH-15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大洋沟水库段</w:t>
            </w:r>
          </w:p>
        </w:tc>
        <w:tc>
          <w:tcPr>
            <w:tcW w:w="2840" w:type="dxa"/>
            <w:vAlign w:val="center"/>
          </w:tcPr>
          <w:p>
            <w:pPr>
              <w:keepNext w:val="0"/>
              <w:keepLines w:val="0"/>
              <w:widowControl/>
              <w:suppressLineNumbers w:val="0"/>
              <w:ind w:left="0" w:leftChars="0" w:firstLine="0" w:firstLineChars="0"/>
              <w:jc w:val="center"/>
              <w:rPr>
                <w:rFonts w:hint="default" w:ascii="Times New Roman" w:hAnsi="Times New Roman" w:cs="Times New Roman"/>
                <w:sz w:val="18"/>
                <w:szCs w:val="18"/>
              </w:rPr>
            </w:pPr>
            <w:r>
              <w:rPr>
                <w:rFonts w:hint="default" w:ascii="Times New Roman" w:hAnsi="Times New Roman" w:eastAsia="宋体" w:cs="Times New Roman"/>
                <w:color w:val="000000"/>
                <w:kern w:val="0"/>
                <w:sz w:val="18"/>
                <w:szCs w:val="18"/>
                <w:lang w:val="en-US" w:eastAsia="zh-CN" w:bidi="ar"/>
              </w:rPr>
              <w:t>东经 105°9</w:t>
            </w:r>
            <w:r>
              <w:rPr>
                <w:rFonts w:hint="default" w:ascii="Times New Roman" w:hAnsi="Times New Roman" w:cs="Times New Roman"/>
                <w:color w:val="000000"/>
                <w:kern w:val="0"/>
                <w:sz w:val="18"/>
                <w:szCs w:val="18"/>
                <w:lang w:val="en-US" w:eastAsia="zh-CN" w:bidi="ar"/>
              </w:rPr>
              <w:t>4</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29</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62</w:t>
            </w:r>
            <w:r>
              <w:rPr>
                <w:rFonts w:hint="default" w:ascii="Times New Roman" w:hAnsi="Times New Roman" w:eastAsia="宋体" w:cs="Times New Roman"/>
                <w:color w:val="000000"/>
                <w:kern w:val="0"/>
                <w:sz w:val="18"/>
                <w:szCs w:val="18"/>
                <w:lang w:val="en-US" w:eastAsia="zh-CN" w:bidi="ar"/>
              </w:rPr>
              <w:t>"</w:t>
            </w: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bidi="ar"/>
              </w:rPr>
              <w:t>北纬 31°</w:t>
            </w:r>
            <w:r>
              <w:rPr>
                <w:rFonts w:hint="default" w:ascii="Times New Roman" w:hAnsi="Times New Roman" w:cs="Times New Roman"/>
                <w:color w:val="000000"/>
                <w:kern w:val="0"/>
                <w:sz w:val="18"/>
                <w:szCs w:val="18"/>
                <w:lang w:val="en-US" w:eastAsia="zh-CN" w:bidi="ar"/>
              </w:rPr>
              <w:t>86</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57</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21</w:t>
            </w:r>
            <w:r>
              <w:rPr>
                <w:rFonts w:hint="default" w:ascii="Times New Roman" w:hAnsi="Times New Roman" w:eastAsia="宋体" w:cs="Times New Roman"/>
                <w:color w:val="000000"/>
                <w:kern w:val="0"/>
                <w:sz w:val="18"/>
                <w:szCs w:val="18"/>
                <w:lang w:val="en-US" w:eastAsia="zh-CN" w:bidi="ar"/>
              </w:rPr>
              <w:t>"</w:t>
            </w:r>
          </w:p>
        </w:tc>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SXH-15 -- SXH-23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大洋沟水库下游至沙溪浩天然河流下游段</w:t>
            </w:r>
          </w:p>
        </w:tc>
        <w:tc>
          <w:tcPr>
            <w:tcW w:w="2840" w:type="dxa"/>
            <w:vAlign w:val="center"/>
          </w:tcPr>
          <w:p>
            <w:pPr>
              <w:keepNext w:val="0"/>
              <w:keepLines w:val="0"/>
              <w:widowControl/>
              <w:suppressLineNumbers w:val="0"/>
              <w:ind w:left="0" w:leftChars="0" w:firstLine="0" w:firstLineChars="0"/>
              <w:jc w:val="center"/>
              <w:rPr>
                <w:rFonts w:hint="default" w:ascii="Times New Roman" w:hAnsi="Times New Roman" w:cs="Times New Roman"/>
                <w:sz w:val="18"/>
                <w:szCs w:val="18"/>
              </w:rPr>
            </w:pPr>
            <w:r>
              <w:rPr>
                <w:rFonts w:hint="default" w:ascii="Times New Roman" w:hAnsi="Times New Roman" w:eastAsia="宋体" w:cs="Times New Roman"/>
                <w:color w:val="000000"/>
                <w:kern w:val="0"/>
                <w:sz w:val="18"/>
                <w:szCs w:val="18"/>
                <w:lang w:val="en-US" w:eastAsia="zh-CN" w:bidi="ar"/>
              </w:rPr>
              <w:t>东经 105°9</w:t>
            </w:r>
            <w:r>
              <w:rPr>
                <w:rFonts w:hint="default" w:ascii="Times New Roman" w:hAnsi="Times New Roman" w:cs="Times New Roman"/>
                <w:color w:val="000000"/>
                <w:kern w:val="0"/>
                <w:sz w:val="18"/>
                <w:szCs w:val="18"/>
                <w:lang w:val="en-US" w:eastAsia="zh-CN" w:bidi="ar"/>
              </w:rPr>
              <w:t>0</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34</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80</w:t>
            </w:r>
            <w:r>
              <w:rPr>
                <w:rFonts w:hint="default" w:ascii="Times New Roman" w:hAnsi="Times New Roman" w:eastAsia="宋体" w:cs="Times New Roman"/>
                <w:color w:val="000000"/>
                <w:kern w:val="0"/>
                <w:sz w:val="18"/>
                <w:szCs w:val="18"/>
                <w:lang w:val="en-US" w:eastAsia="zh-CN" w:bidi="ar"/>
              </w:rPr>
              <w:t>"</w:t>
            </w: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bidi="ar"/>
              </w:rPr>
              <w:t>北纬 31°</w:t>
            </w:r>
            <w:r>
              <w:rPr>
                <w:rFonts w:hint="default" w:ascii="Times New Roman" w:hAnsi="Times New Roman" w:cs="Times New Roman"/>
                <w:color w:val="000000"/>
                <w:kern w:val="0"/>
                <w:sz w:val="18"/>
                <w:szCs w:val="18"/>
                <w:lang w:val="en-US" w:eastAsia="zh-CN" w:bidi="ar"/>
              </w:rPr>
              <w:t>83</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02</w:t>
            </w:r>
            <w:r>
              <w:rPr>
                <w:rFonts w:hint="default" w:ascii="Times New Roman" w:hAnsi="Times New Roman" w:eastAsia="宋体" w:cs="Times New Roman"/>
                <w:color w:val="000000"/>
                <w:kern w:val="0"/>
                <w:sz w:val="18"/>
                <w:szCs w:val="18"/>
                <w:lang w:val="en-US" w:eastAsia="zh-CN" w:bidi="ar"/>
              </w:rPr>
              <w:t>.</w:t>
            </w:r>
            <w:r>
              <w:rPr>
                <w:rFonts w:hint="default" w:ascii="Times New Roman" w:hAnsi="Times New Roman" w:cs="Times New Roman"/>
                <w:color w:val="000000"/>
                <w:kern w:val="0"/>
                <w:sz w:val="18"/>
                <w:szCs w:val="18"/>
                <w:lang w:val="en-US" w:eastAsia="zh-CN" w:bidi="ar"/>
              </w:rPr>
              <w:t>73</w:t>
            </w:r>
            <w:r>
              <w:rPr>
                <w:rFonts w:hint="default" w:ascii="Times New Roman" w:hAnsi="Times New Roman" w:eastAsia="宋体" w:cs="Times New Roman"/>
                <w:color w:val="000000"/>
                <w:kern w:val="0"/>
                <w:sz w:val="18"/>
                <w:szCs w:val="18"/>
                <w:lang w:val="en-US" w:eastAsia="zh-CN" w:bidi="ar"/>
              </w:rPr>
              <w:t>"</w:t>
            </w:r>
          </w:p>
        </w:tc>
        <w:tc>
          <w:tcPr>
            <w:tcW w:w="2840" w:type="dxa"/>
            <w:vAlign w:val="center"/>
          </w:tcPr>
          <w:p>
            <w:pPr>
              <w:pStyle w:val="2"/>
              <w:ind w:left="0" w:leftChars="0" w:firstLine="0" w:firstLineChars="0"/>
              <w:jc w:val="center"/>
              <w:rPr>
                <w:rFonts w:hint="default" w:ascii="Times New Roman" w:hAnsi="Times New Roman" w:cs="Times New Roman"/>
                <w:sz w:val="18"/>
                <w:szCs w:val="18"/>
                <w:vertAlign w:val="baseline"/>
                <w:lang w:val="en-US" w:eastAsia="zh-CN"/>
              </w:rPr>
            </w:pPr>
          </w:p>
          <w:p>
            <w:pPr>
              <w:pStyle w:val="2"/>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SXH-23 -- SXH-45</w:t>
            </w:r>
          </w:p>
        </w:tc>
      </w:tr>
    </w:tbl>
    <w:p>
      <w:pPr>
        <w:pStyle w:val="15"/>
        <w:numPr>
          <w:ilvl w:val="8"/>
          <w:numId w:val="0"/>
        </w:numPr>
        <w:bidi w:val="0"/>
        <w:ind w:leftChars="0" w:firstLine="211" w:firstLineChars="100"/>
        <w:outlineLvl w:val="8"/>
        <w:rPr>
          <w:rFonts w:hint="eastAsia" w:ascii="宋体" w:hAnsi="宋体" w:eastAsia="宋体" w:cs="宋体"/>
          <w:b/>
          <w:bCs w:val="0"/>
          <w:lang w:val="zh-CN" w:eastAsia="zh-CN"/>
        </w:rPr>
      </w:pPr>
      <w:r>
        <w:rPr>
          <w:rFonts w:hint="eastAsia" w:ascii="宋体" w:hAnsi="宋体" w:eastAsia="宋体" w:cs="宋体"/>
          <w:b/>
          <w:bCs w:val="0"/>
          <w:lang w:val="en-US" w:eastAsia="zh-CN"/>
        </w:rPr>
        <w:t>表3.2-1             生态用水</w:t>
      </w:r>
      <w:r>
        <w:rPr>
          <w:rFonts w:hint="eastAsia" w:ascii="宋体" w:hAnsi="宋体" w:eastAsia="宋体" w:cs="宋体"/>
          <w:b/>
          <w:bCs w:val="0"/>
          <w:lang w:val="zh-CN" w:eastAsia="zh-CN"/>
        </w:rPr>
        <w:t>暂定</w:t>
      </w:r>
      <w:r>
        <w:rPr>
          <w:rFonts w:hint="eastAsia" w:ascii="宋体" w:hAnsi="宋体" w:eastAsia="宋体" w:cs="宋体"/>
          <w:b/>
          <w:bCs w:val="0"/>
          <w:lang w:val="en-US" w:eastAsia="zh-CN"/>
        </w:rPr>
        <w:t>监测点布控位置分布</w:t>
      </w:r>
      <w:r>
        <w:rPr>
          <w:rFonts w:hint="eastAsia" w:ascii="宋体" w:hAnsi="宋体" w:eastAsia="宋体" w:cs="宋体"/>
          <w:b/>
          <w:bCs w:val="0"/>
          <w:lang w:val="zh-CN" w:eastAsia="zh-CN"/>
        </w:rPr>
        <w:t>表</w:t>
      </w:r>
    </w:p>
    <w:p>
      <w:pPr>
        <w:pStyle w:val="2"/>
        <w:rPr>
          <w:rFonts w:hint="eastAsia"/>
          <w:lang w:val="en-US" w:eastAsia="zh-CN"/>
        </w:rPr>
      </w:pPr>
    </w:p>
    <w:p>
      <w:pPr>
        <w:pStyle w:val="2"/>
        <w:ind w:left="0" w:leftChars="0" w:firstLine="0" w:firstLineChars="0"/>
        <w:rPr>
          <w:rFonts w:hint="eastAsia"/>
          <w:lang w:val="en-US" w:eastAsia="zh-CN"/>
        </w:rPr>
      </w:pPr>
      <w:r>
        <w:rPr>
          <w:rFonts w:hint="eastAsia"/>
          <w:lang w:val="en-US" w:eastAsia="zh-CN"/>
        </w:rPr>
        <w:drawing>
          <wp:inline distT="0" distB="0" distL="114300" distR="114300">
            <wp:extent cx="5265420" cy="2689860"/>
            <wp:effectExtent l="0" t="0" r="11430" b="15240"/>
            <wp:docPr id="5" name="图片 5" descr="f37e806c3e525d6f806f039f78fd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37e806c3e525d6f806f039f78fd345"/>
                    <pic:cNvPicPr>
                      <a:picLocks noChangeAspect="1"/>
                    </pic:cNvPicPr>
                  </pic:nvPicPr>
                  <pic:blipFill>
                    <a:blip r:embed="rId100"/>
                    <a:stretch>
                      <a:fillRect/>
                    </a:stretch>
                  </pic:blipFill>
                  <pic:spPr>
                    <a:xfrm>
                      <a:off x="0" y="0"/>
                      <a:ext cx="5265420" cy="2689860"/>
                    </a:xfrm>
                    <a:prstGeom prst="rect">
                      <a:avLst/>
                    </a:prstGeom>
                  </pic:spPr>
                </pic:pic>
              </a:graphicData>
            </a:graphic>
          </wp:inline>
        </w:drawing>
      </w:r>
    </w:p>
    <w:p>
      <w:pPr>
        <w:pStyle w:val="2"/>
        <w:ind w:left="0" w:leftChars="0" w:firstLine="0" w:firstLineChars="0"/>
        <w:jc w:val="center"/>
        <w:outlineLvl w:val="8"/>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图3.2-1 </w:t>
      </w:r>
      <w:r>
        <w:rPr>
          <w:rFonts w:hint="eastAsia" w:ascii="宋体" w:hAnsi="宋体" w:eastAsia="宋体" w:cs="宋体"/>
          <w:b/>
          <w:bCs/>
          <w:sz w:val="24"/>
          <w:szCs w:val="24"/>
          <w:vertAlign w:val="baseline"/>
          <w:lang w:val="en-US" w:eastAsia="zh-CN"/>
        </w:rPr>
        <w:t>沙溪浩天然河流上游至碾子沟水库下游段</w:t>
      </w:r>
      <w:r>
        <w:rPr>
          <w:rFonts w:hint="eastAsia" w:ascii="宋体" w:hAnsi="宋体" w:eastAsia="宋体" w:cs="宋体"/>
          <w:b/>
          <w:bCs/>
          <w:sz w:val="24"/>
          <w:szCs w:val="24"/>
          <w:lang w:val="en-US" w:eastAsia="zh-CN"/>
        </w:rPr>
        <w:t>生态用水</w:t>
      </w:r>
      <w:r>
        <w:rPr>
          <w:rFonts w:hint="eastAsia" w:ascii="宋体" w:hAnsi="宋体" w:eastAsia="宋体" w:cs="宋体"/>
          <w:b/>
          <w:bCs/>
          <w:sz w:val="24"/>
          <w:szCs w:val="24"/>
          <w:lang w:val="zh-CN" w:eastAsia="zh-CN"/>
        </w:rPr>
        <w:t>暂定</w:t>
      </w:r>
      <w:r>
        <w:rPr>
          <w:rFonts w:hint="eastAsia" w:ascii="宋体" w:hAnsi="宋体" w:eastAsia="宋体" w:cs="宋体"/>
          <w:b/>
          <w:bCs/>
          <w:sz w:val="24"/>
          <w:szCs w:val="24"/>
          <w:lang w:val="en-US" w:eastAsia="zh-CN"/>
        </w:rPr>
        <w:t>监测点布控位置图</w:t>
      </w:r>
    </w:p>
    <w:p>
      <w:pPr>
        <w:pStyle w:val="2"/>
        <w:ind w:left="0" w:leftChars="0" w:firstLine="0" w:firstLineChars="0"/>
        <w:jc w:val="center"/>
        <w:outlineLvl w:val="9"/>
        <w:rPr>
          <w:rFonts w:hint="eastAsia" w:ascii="宋体" w:hAnsi="宋体" w:eastAsia="宋体" w:cs="宋体"/>
          <w:b/>
          <w:bCs/>
          <w:sz w:val="24"/>
          <w:szCs w:val="24"/>
          <w:lang w:val="en-US" w:eastAsia="zh-CN"/>
        </w:rPr>
      </w:pPr>
    </w:p>
    <w:p>
      <w:pPr>
        <w:pStyle w:val="2"/>
        <w:ind w:left="0" w:leftChars="0" w:firstLine="0" w:firstLineChars="0"/>
        <w:jc w:val="center"/>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drawing>
          <wp:inline distT="0" distB="0" distL="114300" distR="114300">
            <wp:extent cx="4286250" cy="5800725"/>
            <wp:effectExtent l="0" t="0" r="0" b="9525"/>
            <wp:docPr id="20" name="图片 20" descr="d6d553479ff1564ab97dd569f1167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6d553479ff1564ab97dd569f1167d2"/>
                    <pic:cNvPicPr>
                      <a:picLocks noChangeAspect="1"/>
                    </pic:cNvPicPr>
                  </pic:nvPicPr>
                  <pic:blipFill>
                    <a:blip r:embed="rId101"/>
                    <a:stretch>
                      <a:fillRect/>
                    </a:stretch>
                  </pic:blipFill>
                  <pic:spPr>
                    <a:xfrm>
                      <a:off x="0" y="0"/>
                      <a:ext cx="4286250" cy="5800725"/>
                    </a:xfrm>
                    <a:prstGeom prst="rect">
                      <a:avLst/>
                    </a:prstGeom>
                  </pic:spPr>
                </pic:pic>
              </a:graphicData>
            </a:graphic>
          </wp:inline>
        </w:drawing>
      </w:r>
    </w:p>
    <w:p>
      <w:pPr>
        <w:pStyle w:val="2"/>
        <w:ind w:left="0" w:leftChars="0" w:firstLine="0" w:firstLineChars="0"/>
        <w:jc w:val="center"/>
        <w:outlineLvl w:val="8"/>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图3.2-2 </w:t>
      </w:r>
      <w:r>
        <w:rPr>
          <w:rFonts w:hint="eastAsia" w:ascii="宋体" w:hAnsi="宋体" w:eastAsia="宋体" w:cs="宋体"/>
          <w:b/>
          <w:bCs/>
          <w:sz w:val="24"/>
          <w:szCs w:val="24"/>
          <w:vertAlign w:val="baseline"/>
          <w:lang w:val="en-US" w:eastAsia="zh-CN"/>
        </w:rPr>
        <w:t>碾子沟水库下游段至大洋沟水库上游段</w:t>
      </w:r>
      <w:r>
        <w:rPr>
          <w:rFonts w:hint="eastAsia" w:ascii="宋体" w:hAnsi="宋体" w:eastAsia="宋体" w:cs="宋体"/>
          <w:b/>
          <w:bCs/>
          <w:sz w:val="24"/>
          <w:szCs w:val="24"/>
          <w:lang w:val="en-US" w:eastAsia="zh-CN"/>
        </w:rPr>
        <w:t>生态用水</w:t>
      </w:r>
      <w:r>
        <w:rPr>
          <w:rFonts w:hint="eastAsia" w:ascii="宋体" w:hAnsi="宋体" w:eastAsia="宋体" w:cs="宋体"/>
          <w:b/>
          <w:bCs/>
          <w:sz w:val="24"/>
          <w:szCs w:val="24"/>
          <w:lang w:val="zh-CN" w:eastAsia="zh-CN"/>
        </w:rPr>
        <w:t>暂定</w:t>
      </w:r>
      <w:r>
        <w:rPr>
          <w:rFonts w:hint="eastAsia" w:ascii="宋体" w:hAnsi="宋体" w:eastAsia="宋体" w:cs="宋体"/>
          <w:b/>
          <w:bCs/>
          <w:sz w:val="24"/>
          <w:szCs w:val="24"/>
          <w:lang w:val="en-US" w:eastAsia="zh-CN"/>
        </w:rPr>
        <w:t>监测点布控位置图</w:t>
      </w:r>
    </w:p>
    <w:p>
      <w:pPr>
        <w:pStyle w:val="2"/>
        <w:ind w:left="0" w:leftChars="0" w:firstLine="0" w:firstLineChars="0"/>
        <w:jc w:val="center"/>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drawing>
          <wp:inline distT="0" distB="0" distL="114300" distR="114300">
            <wp:extent cx="5265420" cy="2689860"/>
            <wp:effectExtent l="0" t="0" r="11430" b="15240"/>
            <wp:docPr id="21" name="图片 21" descr="cfa1f14f1f0d024ed5d2c34c07f5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fa1f14f1f0d024ed5d2c34c07f5bb8"/>
                    <pic:cNvPicPr>
                      <a:picLocks noChangeAspect="1"/>
                    </pic:cNvPicPr>
                  </pic:nvPicPr>
                  <pic:blipFill>
                    <a:blip r:embed="rId102"/>
                    <a:stretch>
                      <a:fillRect/>
                    </a:stretch>
                  </pic:blipFill>
                  <pic:spPr>
                    <a:xfrm>
                      <a:off x="0" y="0"/>
                      <a:ext cx="5265420" cy="2689860"/>
                    </a:xfrm>
                    <a:prstGeom prst="rect">
                      <a:avLst/>
                    </a:prstGeom>
                  </pic:spPr>
                </pic:pic>
              </a:graphicData>
            </a:graphic>
          </wp:inline>
        </w:drawing>
      </w:r>
    </w:p>
    <w:p>
      <w:pPr>
        <w:pStyle w:val="2"/>
        <w:ind w:left="0" w:leftChars="0" w:firstLine="0" w:firstLineChars="0"/>
        <w:jc w:val="center"/>
        <w:outlineLvl w:val="8"/>
        <w:rPr>
          <w:rFonts w:hint="eastAsia" w:ascii="宋体" w:hAnsi="宋体" w:eastAsia="宋体" w:cs="宋体"/>
          <w:b/>
          <w:bCs/>
          <w:sz w:val="24"/>
          <w:szCs w:val="24"/>
          <w:lang w:val="en-US" w:eastAsia="zh-CN"/>
        </w:rPr>
      </w:pPr>
      <w:r>
        <w:rPr>
          <w:rFonts w:hint="eastAsia" w:ascii="宋体" w:hAnsi="宋体" w:eastAsia="宋体" w:cs="宋体"/>
          <w:b/>
          <w:bCs/>
          <w:sz w:val="24"/>
          <w:szCs w:val="24"/>
          <w:vertAlign w:val="baseline"/>
          <w:lang w:val="en-US" w:eastAsia="zh-CN"/>
        </w:rPr>
        <w:t>图3.2-3 大洋沟水库段</w:t>
      </w:r>
      <w:r>
        <w:rPr>
          <w:rFonts w:hint="eastAsia" w:ascii="宋体" w:hAnsi="宋体" w:eastAsia="宋体" w:cs="宋体"/>
          <w:b/>
          <w:bCs/>
          <w:sz w:val="24"/>
          <w:szCs w:val="24"/>
          <w:lang w:val="en-US" w:eastAsia="zh-CN"/>
        </w:rPr>
        <w:t>生态用水</w:t>
      </w:r>
      <w:r>
        <w:rPr>
          <w:rFonts w:hint="eastAsia" w:ascii="宋体" w:hAnsi="宋体" w:eastAsia="宋体" w:cs="宋体"/>
          <w:b/>
          <w:bCs/>
          <w:sz w:val="24"/>
          <w:szCs w:val="24"/>
          <w:lang w:val="zh-CN" w:eastAsia="zh-CN"/>
        </w:rPr>
        <w:t>暂定</w:t>
      </w:r>
      <w:r>
        <w:rPr>
          <w:rFonts w:hint="eastAsia" w:ascii="宋体" w:hAnsi="宋体" w:eastAsia="宋体" w:cs="宋体"/>
          <w:b/>
          <w:bCs/>
          <w:sz w:val="24"/>
          <w:szCs w:val="24"/>
          <w:lang w:val="en-US" w:eastAsia="zh-CN"/>
        </w:rPr>
        <w:t>监测点布控位置图</w:t>
      </w:r>
    </w:p>
    <w:p>
      <w:pPr>
        <w:pStyle w:val="2"/>
        <w:ind w:left="0" w:leftChars="0" w:firstLine="0" w:firstLineChars="0"/>
        <w:jc w:val="center"/>
        <w:outlineLvl w:val="9"/>
        <w:rPr>
          <w:rFonts w:hint="eastAsia" w:ascii="宋体" w:hAnsi="宋体" w:eastAsia="宋体" w:cs="宋体"/>
          <w:b/>
          <w:bCs/>
          <w:sz w:val="24"/>
          <w:szCs w:val="24"/>
          <w:lang w:val="en-US" w:eastAsia="zh-CN"/>
        </w:rPr>
      </w:pPr>
    </w:p>
    <w:p>
      <w:pPr>
        <w:pStyle w:val="2"/>
        <w:ind w:left="0" w:leftChars="0" w:firstLine="0" w:firstLineChars="0"/>
        <w:jc w:val="center"/>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drawing>
          <wp:inline distT="0" distB="0" distL="114300" distR="114300">
            <wp:extent cx="5265420" cy="2689860"/>
            <wp:effectExtent l="0" t="0" r="11430" b="15240"/>
            <wp:docPr id="24" name="图片 24" descr="69181b54be9fdd619ced5b96016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9181b54be9fdd619ced5b960162426"/>
                    <pic:cNvPicPr>
                      <a:picLocks noChangeAspect="1"/>
                    </pic:cNvPicPr>
                  </pic:nvPicPr>
                  <pic:blipFill>
                    <a:blip r:embed="rId103"/>
                    <a:stretch>
                      <a:fillRect/>
                    </a:stretch>
                  </pic:blipFill>
                  <pic:spPr>
                    <a:xfrm>
                      <a:off x="0" y="0"/>
                      <a:ext cx="5265420" cy="2689860"/>
                    </a:xfrm>
                    <a:prstGeom prst="rect">
                      <a:avLst/>
                    </a:prstGeom>
                  </pic:spPr>
                </pic:pic>
              </a:graphicData>
            </a:graphic>
          </wp:inline>
        </w:drawing>
      </w:r>
    </w:p>
    <w:p>
      <w:pPr>
        <w:pStyle w:val="2"/>
        <w:ind w:left="0" w:leftChars="0" w:firstLine="0" w:firstLineChars="0"/>
        <w:jc w:val="center"/>
        <w:outlineLvl w:val="8"/>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图3.2-4 </w:t>
      </w:r>
      <w:r>
        <w:rPr>
          <w:rFonts w:hint="eastAsia" w:ascii="宋体" w:hAnsi="宋体" w:eastAsia="宋体" w:cs="宋体"/>
          <w:b/>
          <w:bCs/>
          <w:sz w:val="24"/>
          <w:szCs w:val="24"/>
          <w:vertAlign w:val="baseline"/>
          <w:lang w:val="en-US" w:eastAsia="zh-CN"/>
        </w:rPr>
        <w:t>大洋沟水库下游至沙溪浩天然河流下游段</w:t>
      </w:r>
      <w:r>
        <w:rPr>
          <w:rFonts w:hint="eastAsia" w:ascii="宋体" w:hAnsi="宋体" w:eastAsia="宋体" w:cs="宋体"/>
          <w:b/>
          <w:bCs/>
          <w:sz w:val="24"/>
          <w:szCs w:val="24"/>
          <w:lang w:val="en-US" w:eastAsia="zh-CN"/>
        </w:rPr>
        <w:t>生态用水</w:t>
      </w:r>
      <w:r>
        <w:rPr>
          <w:rFonts w:hint="eastAsia" w:ascii="宋体" w:hAnsi="宋体" w:eastAsia="宋体" w:cs="宋体"/>
          <w:b/>
          <w:bCs/>
          <w:sz w:val="24"/>
          <w:szCs w:val="24"/>
          <w:lang w:val="zh-CN" w:eastAsia="zh-CN"/>
        </w:rPr>
        <w:t>暂定</w:t>
      </w:r>
      <w:r>
        <w:rPr>
          <w:rFonts w:hint="eastAsia" w:ascii="宋体" w:hAnsi="宋体" w:eastAsia="宋体" w:cs="宋体"/>
          <w:b/>
          <w:bCs/>
          <w:sz w:val="24"/>
          <w:szCs w:val="24"/>
          <w:lang w:val="en-US" w:eastAsia="zh-CN"/>
        </w:rPr>
        <w:t>监测点布控位置图</w:t>
      </w:r>
    </w:p>
    <w:p>
      <w:pPr>
        <w:wordWrap/>
        <w:autoSpaceDE/>
        <w:autoSpaceDN/>
        <w:adjustRightInd w:val="0"/>
        <w:snapToGrid w:val="0"/>
        <w:spacing w:before="166" w:beforeLines="50" w:after="166" w:afterLines="50" w:line="360" w:lineRule="auto"/>
        <w:ind w:firstLine="0" w:firstLineChars="0"/>
        <w:outlineLvl w:val="1"/>
        <w:rPr>
          <w:rFonts w:hint="eastAsia" w:ascii="宋体" w:hAnsi="宋体" w:cs="宋体"/>
          <w:b/>
          <w:bCs/>
          <w:color w:val="auto"/>
          <w:kern w:val="2"/>
          <w:sz w:val="24"/>
          <w:szCs w:val="24"/>
          <w:lang w:val="en-US" w:eastAsia="zh-CN"/>
        </w:rPr>
      </w:pPr>
      <w:bookmarkStart w:id="46" w:name="_Toc11999"/>
      <w:r>
        <w:rPr>
          <w:rFonts w:hint="eastAsia" w:ascii="宋体" w:hAnsi="宋体" w:cs="宋体"/>
          <w:b/>
          <w:bCs/>
          <w:color w:val="auto"/>
          <w:kern w:val="2"/>
          <w:sz w:val="24"/>
          <w:szCs w:val="24"/>
          <w:lang w:val="en-US" w:eastAsia="zh-CN"/>
        </w:rPr>
        <w:t>3.3 监测方法</w:t>
      </w:r>
      <w:bookmarkEnd w:id="46"/>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b/>
          <w:bCs/>
          <w:lang w:val="en-US" w:eastAsia="zh-CN"/>
        </w:rPr>
      </w:pPr>
      <w:r>
        <w:rPr>
          <w:rFonts w:hint="eastAsia"/>
          <w:b/>
          <w:bCs/>
          <w:lang w:val="en-US" w:eastAsia="zh-CN"/>
        </w:rPr>
        <w:t>（1）水质与水质变化趋势监测方法</w:t>
      </w:r>
    </w:p>
    <w:p>
      <w:pPr>
        <w:pStyle w:val="24"/>
        <w:numPr>
          <w:ilvl w:val="0"/>
          <w:numId w:val="0"/>
        </w:numPr>
        <w:rPr>
          <w:rFonts w:hint="default" w:ascii="Times New Roman" w:hAnsi="Times New Roman" w:eastAsia="宋体" w:cs="Times New Roman"/>
          <w:i w:val="0"/>
          <w:i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4"/>
          <w:szCs w:val="24"/>
          <w:highlight w:val="none"/>
          <w:lang w:val="en-US" w:eastAsia="zh-CN"/>
          <w14:textFill>
            <w14:solidFill>
              <w14:schemeClr w14:val="tx1"/>
            </w14:solidFill>
          </w14:textFill>
        </w:rPr>
        <w:t>测项目及频次见表</w:t>
      </w:r>
      <w:r>
        <w:rPr>
          <w:rFonts w:hint="eastAsia" w:cs="Times New Roman"/>
          <w:i w:val="0"/>
          <w:iCs w:val="0"/>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Times New Roman"/>
          <w:i w:val="0"/>
          <w:iCs w:val="0"/>
          <w:color w:val="000000" w:themeColor="text1"/>
          <w:sz w:val="24"/>
          <w:szCs w:val="24"/>
          <w:highlight w:val="none"/>
          <w:lang w:val="en-US" w:eastAsia="zh-CN"/>
          <w14:textFill>
            <w14:solidFill>
              <w14:schemeClr w14:val="tx1"/>
            </w14:solidFill>
          </w14:textFill>
        </w:rPr>
        <w:t>.3</w:t>
      </w:r>
      <w:r>
        <w:rPr>
          <w:rFonts w:hint="eastAsia" w:cs="Times New Roman"/>
          <w:i w:val="0"/>
          <w:i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i w:val="0"/>
          <w:iCs w:val="0"/>
          <w:color w:val="000000" w:themeColor="text1"/>
          <w:sz w:val="24"/>
          <w:szCs w:val="24"/>
          <w:highlight w:val="none"/>
          <w:lang w:val="en-US" w:eastAsia="zh-CN"/>
          <w14:textFill>
            <w14:solidFill>
              <w14:schemeClr w14:val="tx1"/>
            </w14:solidFill>
          </w14:textFill>
        </w:rPr>
        <w:t>1</w:t>
      </w:r>
    </w:p>
    <w:p>
      <w:pPr>
        <w:pStyle w:val="15"/>
        <w:numPr>
          <w:ilvl w:val="8"/>
          <w:numId w:val="0"/>
        </w:numPr>
        <w:bidi w:val="0"/>
        <w:ind w:leftChars="0" w:firstLine="482" w:firstLineChars="200"/>
        <w:outlineLvl w:val="8"/>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表3.3-1                检测点位、项目及频次表</w:t>
      </w:r>
    </w:p>
    <w:tbl>
      <w:tblPr>
        <w:tblStyle w:val="28"/>
        <w:tblW w:w="832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902"/>
        <w:gridCol w:w="987"/>
        <w:gridCol w:w="4974"/>
        <w:gridCol w:w="636"/>
        <w:gridCol w:w="82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0" w:hRule="atLeast"/>
          <w:jc w:val="center"/>
        </w:trPr>
        <w:tc>
          <w:tcPr>
            <w:tcW w:w="902"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检测类别</w:t>
            </w:r>
          </w:p>
        </w:tc>
        <w:tc>
          <w:tcPr>
            <w:tcW w:w="987"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检测点位</w:t>
            </w:r>
          </w:p>
        </w:tc>
        <w:tc>
          <w:tcPr>
            <w:tcW w:w="4974"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检测项目</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样品表观</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检测频次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1" w:hRule="atLeast"/>
          <w:jc w:val="center"/>
        </w:trPr>
        <w:tc>
          <w:tcPr>
            <w:tcW w:w="902"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地表水（库区）</w:t>
            </w:r>
          </w:p>
        </w:tc>
        <w:tc>
          <w:tcPr>
            <w:tcW w:w="987"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大洋沟水库段</w:t>
            </w:r>
          </w:p>
        </w:tc>
        <w:tc>
          <w:tcPr>
            <w:tcW w:w="4974" w:type="dxa"/>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温、pH值、溶解氧、电导率、高锰酸盐指数、化学需氧量、五日生化需氧量、氨氮、总氮、总磷、铜、锌、氟化物、硒、砷、汞、镉、铬（六价）、铅、氰化物、挥发酚、石油类、阴离子表面活性剂、硫化物、浊度</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清澈，无浮油</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检测一次，采样一次</w:t>
            </w:r>
          </w:p>
        </w:tc>
      </w:tr>
    </w:tbl>
    <w:p>
      <w:pPr>
        <w:bidi w:val="0"/>
        <w:rPr>
          <w:rFonts w:hint="eastAsia"/>
          <w:b w:val="0"/>
          <w:bCs w:val="0"/>
          <w:lang w:val="en-US" w:eastAsia="zh-CN"/>
        </w:rPr>
      </w:pPr>
      <w:r>
        <w:rPr>
          <w:rFonts w:hint="eastAsia"/>
          <w:b w:val="0"/>
          <w:bCs w:val="0"/>
          <w:lang w:val="en-US" w:eastAsia="zh-CN"/>
        </w:rPr>
        <w:t>检测分析方法及方法来源采样技术规范见表3.3-2，检测分析方法、方法来源及检测设备见表3.3-3。</w:t>
      </w:r>
    </w:p>
    <w:p>
      <w:pPr>
        <w:pStyle w:val="15"/>
        <w:numPr>
          <w:ilvl w:val="8"/>
          <w:numId w:val="0"/>
        </w:numPr>
        <w:bidi w:val="0"/>
        <w:ind w:leftChars="0" w:firstLine="482" w:firstLineChars="200"/>
        <w:outlineLvl w:val="8"/>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表</w:t>
      </w:r>
      <w:r>
        <w:rPr>
          <w:rFonts w:hint="eastAsia" w:ascii="宋体" w:hAnsi="宋体" w:eastAsia="宋体" w:cs="宋体"/>
          <w:b/>
          <w:bCs/>
          <w:color w:val="000000" w:themeColor="text1"/>
          <w:sz w:val="24"/>
          <w:szCs w:val="24"/>
          <w:lang w:val="en-US" w:eastAsia="zh-CN"/>
          <w14:textFill>
            <w14:solidFill>
              <w14:schemeClr w14:val="tx1"/>
            </w14:solidFill>
          </w14:textFill>
        </w:rPr>
        <w:t>4.3.2                    采样技术规范</w:t>
      </w:r>
    </w:p>
    <w:tbl>
      <w:tblPr>
        <w:tblStyle w:val="28"/>
        <w:tblW w:w="507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528"/>
        <w:gridCol w:w="4562"/>
        <w:gridCol w:w="235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524"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检测类别</w:t>
            </w:r>
          </w:p>
        </w:tc>
        <w:tc>
          <w:tcPr>
            <w:tcW w:w="4552"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规范名称</w:t>
            </w:r>
          </w:p>
        </w:tc>
        <w:tc>
          <w:tcPr>
            <w:tcW w:w="2348"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方法来源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24" w:type="dxa"/>
            <w:vMerge w:val="restart"/>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地表水</w:t>
            </w:r>
          </w:p>
        </w:tc>
        <w:tc>
          <w:tcPr>
            <w:tcW w:w="4552"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《地表水和污水监测技术规范》</w:t>
            </w:r>
          </w:p>
        </w:tc>
        <w:tc>
          <w:tcPr>
            <w:tcW w:w="2348"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HJ/T 91-2002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524" w:type="dxa"/>
            <w:vMerge w:val="continue"/>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p>
        </w:tc>
        <w:tc>
          <w:tcPr>
            <w:tcW w:w="4552"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《水质采样样品的保存和管理技术规定》</w:t>
            </w:r>
          </w:p>
        </w:tc>
        <w:tc>
          <w:tcPr>
            <w:tcW w:w="2348"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HJ 493-2009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524" w:type="dxa"/>
            <w:vMerge w:val="continue"/>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p>
        </w:tc>
        <w:tc>
          <w:tcPr>
            <w:tcW w:w="4552"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《水质采样技术指导》</w:t>
            </w:r>
          </w:p>
        </w:tc>
        <w:tc>
          <w:tcPr>
            <w:tcW w:w="2348" w:type="dxa"/>
            <w:tcBorders>
              <w:top w:val="single" w:color="auto" w:sz="8" w:space="0"/>
              <w:left w:val="single" w:color="auto" w:sz="8" w:space="0"/>
              <w:bottom w:val="single" w:color="auto" w:sz="8" w:space="0"/>
              <w:right w:val="single" w:color="auto" w:sz="8" w:space="0"/>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HJ 494-2009</w:t>
            </w:r>
          </w:p>
        </w:tc>
      </w:tr>
    </w:tbl>
    <w:p>
      <w:pPr>
        <w:pStyle w:val="15"/>
        <w:numPr>
          <w:ilvl w:val="8"/>
          <w:numId w:val="0"/>
        </w:numPr>
        <w:bidi w:val="0"/>
        <w:ind w:leftChars="0" w:firstLine="482" w:firstLineChars="200"/>
        <w:outlineLvl w:val="8"/>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表4.3.3               检测方法、方法来源及检测设备</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399"/>
        <w:gridCol w:w="977"/>
        <w:gridCol w:w="1593"/>
        <w:gridCol w:w="2412"/>
        <w:gridCol w:w="1725"/>
        <w:gridCol w:w="740"/>
        <w:gridCol w:w="4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142" w:hRule="atLeast"/>
          <w:tblHeader/>
          <w:jc w:val="center"/>
        </w:trPr>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w:t>
            </w:r>
          </w:p>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类别</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检测项目</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检测方法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方法来源</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检测设备及编号</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检出限或</w:t>
            </w:r>
          </w:p>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检测范围</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地表水</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水温</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温度计法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13195-91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温度计TP-YQ-197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-6~+40</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pH值</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便携式pH计法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《水和废水监测分析方法》（第四版增补版）</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便携式pH计TP-YQ-057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0-14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无量纲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溶解氧</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电化学探头法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506-2009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便携式溶解氧仪TP-YQ-044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0-19.99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地表水</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电导率</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电导率仪法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《水和废水监测分析方法》（第四版增补版）</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电导率仪TP-YQ-018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0~199900</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μS/cm</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高锰酸盐指数</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高锰酸盐指数的测定</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11892-89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数显恒温水浴锅TP-YQ-023</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化学需氧量</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重铬酸盐法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828-2017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COD消解器TP-YQ-096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五日生化需氧量</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稀释与接种法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505-2009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生化培养箱TP-YQ-002</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氨氮</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纳氏试剂分光光度法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535-2009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0.025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总氮</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碱性过硫酸钾消解紫外分光光度法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636-2012</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紫外可见分光光度计TP-YQ-036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总磷</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钼酸铵分光光度法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GB11893-89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铜</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火焰原子吸收分光光度法</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GB7475-87</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原子吸收分光光度计TP-YQ-009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锌</w:t>
            </w: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氟化物</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离子色谱法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84-2016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离子色谱仪TP-YQ-012</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硒</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原子荧光法</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694-2014</w:t>
            </w:r>
          </w:p>
        </w:tc>
        <w:tc>
          <w:tcPr>
            <w:tcW w:w="0" w:type="auto"/>
            <w:vMerge w:val="restart"/>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原子荧光光度计TP-YQ-008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0.0004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砷</w:t>
            </w: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0.0003</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汞</w:t>
            </w: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0.00004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镉</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火焰原子吸收分光光度法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7475-87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原子吸收分光光度计TP-YQ-009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铬（六价）</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二苯碳酰二肼分光光度法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7467-87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铅</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火焰原子吸收分光光度法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7475-87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原子吸收分光光度计TP-YQ-009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氰化物</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异烟酸-吡唑啉酮分光光度法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484-2009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0.004</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挥发酚</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4-氨基安替比林分光光度法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503-2009</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0.0003</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64"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石油类</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紫外可见分光光度法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HJ 970-2018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紫外可见分光光度计TP-YQ-036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89"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阴离子表面活性剂</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亚甲蓝分光光度法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GB7494-87</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紫外可见分光光度计TP-YQ-036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2"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硫化物</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亚甲基蓝分光光度法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GB/T 16489-1996</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可见分光光度计TP-YQ-038</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0.005</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mg/L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47" w:hRule="atLeast"/>
          <w:jc w:val="center"/>
        </w:trPr>
        <w:tc>
          <w:tcPr>
            <w:tcW w:w="0" w:type="auto"/>
            <w:vMerge w:val="continue"/>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浊度</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目视比浊法</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GB 13200-91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0" w:type="auto"/>
            <w:tcBorders>
              <w:tl2br w:val="nil"/>
              <w:tr2bl w:val="nil"/>
            </w:tcBorders>
            <w:noWrap w:val="0"/>
            <w:vAlign w:val="center"/>
          </w:tcPr>
          <w:p>
            <w:pPr>
              <w:pStyle w:val="53"/>
              <w:bidi w:val="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NTU</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80" w:firstLineChars="200"/>
        <w:jc w:val="left"/>
        <w:textAlignment w:val="auto"/>
        <w:rPr>
          <w:rFonts w:hint="eastAsia" w:ascii="Times New Roman" w:hAnsi="Times New Roman" w:eastAsia="宋体" w:cs="Times New Roman"/>
          <w:i w:val="0"/>
          <w:iCs w:val="0"/>
          <w:color w:val="auto"/>
          <w:sz w:val="24"/>
          <w:szCs w:val="24"/>
          <w:highlight w:val="none"/>
          <w:lang w:val="en-US" w:eastAsia="zh-CN"/>
        </w:rPr>
      </w:pPr>
      <w:r>
        <w:rPr>
          <w:rFonts w:hint="eastAsia" w:ascii="Times New Roman" w:hAnsi="Times New Roman" w:eastAsia="宋体" w:cs="Times New Roman"/>
          <w:i w:val="0"/>
          <w:iCs w:val="0"/>
          <w:color w:val="auto"/>
          <w:sz w:val="24"/>
          <w:szCs w:val="24"/>
          <w:highlight w:val="none"/>
          <w:lang w:val="en-US" w:eastAsia="zh-CN"/>
        </w:rPr>
        <w:t>评价标准见表4.3</w:t>
      </w:r>
      <w:r>
        <w:rPr>
          <w:rFonts w:hint="eastAsia" w:cs="Times New Roman"/>
          <w:i w:val="0"/>
          <w:iCs w:val="0"/>
          <w:color w:val="auto"/>
          <w:sz w:val="24"/>
          <w:szCs w:val="24"/>
          <w:highlight w:val="none"/>
          <w:lang w:val="en-US" w:eastAsia="zh-CN"/>
        </w:rPr>
        <w:t>.</w:t>
      </w:r>
      <w:r>
        <w:rPr>
          <w:rFonts w:hint="eastAsia" w:ascii="Times New Roman" w:hAnsi="Times New Roman" w:eastAsia="宋体" w:cs="Times New Roman"/>
          <w:i w:val="0"/>
          <w:iCs w:val="0"/>
          <w:color w:val="auto"/>
          <w:sz w:val="24"/>
          <w:szCs w:val="24"/>
          <w:highlight w:val="none"/>
          <w:lang w:val="en-US" w:eastAsia="zh-CN"/>
        </w:rPr>
        <w:t>4。</w:t>
      </w:r>
    </w:p>
    <w:p>
      <w:pPr>
        <w:pStyle w:val="15"/>
        <w:numPr>
          <w:ilvl w:val="8"/>
          <w:numId w:val="0"/>
        </w:numPr>
        <w:bidi w:val="0"/>
        <w:ind w:leftChars="0" w:firstLine="482" w:firstLineChars="200"/>
        <w:outlineLvl w:val="8"/>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表4.3.4                     地表水评价标准</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333"/>
        <w:gridCol w:w="982"/>
        <w:gridCol w:w="982"/>
        <w:gridCol w:w="929"/>
        <w:gridCol w:w="912"/>
        <w:gridCol w:w="912"/>
        <w:gridCol w:w="606"/>
        <w:gridCol w:w="17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vMerge w:val="restart"/>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检测项目</w:t>
            </w:r>
          </w:p>
        </w:tc>
        <w:tc>
          <w:tcPr>
            <w:tcW w:w="0" w:type="auto"/>
            <w:gridSpan w:val="5"/>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标准限值</w:t>
            </w:r>
          </w:p>
        </w:tc>
        <w:tc>
          <w:tcPr>
            <w:tcW w:w="0" w:type="auto"/>
            <w:vMerge w:val="restart"/>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单位</w:t>
            </w:r>
          </w:p>
        </w:tc>
        <w:tc>
          <w:tcPr>
            <w:tcW w:w="0" w:type="auto"/>
            <w:vMerge w:val="restart"/>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标准名称及编号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vMerge w:val="continue"/>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Ⅰ类</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Ⅱ类</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Ⅲ类</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Ⅳ类</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Ⅴ类</w:t>
            </w:r>
          </w:p>
        </w:tc>
        <w:tc>
          <w:tcPr>
            <w:tcW w:w="0" w:type="auto"/>
            <w:vMerge w:val="continue"/>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pH值</w:t>
            </w:r>
          </w:p>
        </w:tc>
        <w:tc>
          <w:tcPr>
            <w:tcW w:w="0" w:type="auto"/>
            <w:gridSpan w:val="5"/>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6~9</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无量纲</w:t>
            </w:r>
          </w:p>
        </w:tc>
        <w:tc>
          <w:tcPr>
            <w:tcW w:w="0" w:type="auto"/>
            <w:vMerge w:val="restart"/>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eastAsia="zh-CN"/>
              </w:rPr>
              <w:t>《地表水环境质量标准》</w:t>
            </w:r>
            <w:r>
              <w:rPr>
                <w:rFonts w:hint="default" w:ascii="Times New Roman" w:hAnsi="Times New Roman" w:eastAsia="宋体" w:cs="Times New Roman"/>
                <w:sz w:val="18"/>
                <w:szCs w:val="18"/>
                <w:lang w:val="en-US" w:eastAsia="zh-CN"/>
              </w:rPr>
              <w:t>（GB 3838-2002）表1标准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溶解氧≥</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7.5</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0" w:type="auto"/>
            <w:tcBorders>
              <w:tl2br w:val="nil"/>
              <w:tr2bl w:val="nil"/>
            </w:tcBorders>
            <w:noWrap w:val="0"/>
            <w:tcMar>
              <w:left w:w="0" w:type="dxa"/>
              <w:right w:w="0" w:type="dxa"/>
            </w:tcMar>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高锰酸盐指数≤</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化学需氧量≤</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五日生化需氧量≤</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氨氮（NH3-H）≤</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总磷≤</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0.02（湖、库0.01）</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0.1（湖、库0.025）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0.2（湖、库0.05）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0.3（湖、库0.1）</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0.4（湖、库0.2）</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总氮（湖、库，以N计）≤</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w:t>
            </w:r>
          </w:p>
        </w:tc>
        <w:tc>
          <w:tcPr>
            <w:tcW w:w="0" w:type="auto"/>
            <w:tcBorders>
              <w:tl2br w:val="nil"/>
              <w:tr2bl w:val="nil"/>
            </w:tcBorders>
            <w:noWrap w:val="0"/>
            <w:vAlign w:val="center"/>
          </w:tcPr>
          <w:p>
            <w:pPr>
              <w:pStyle w:val="53"/>
              <w:bidi w:val="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ascii="Times New Roman" w:hAnsi="Times New Roman" w:eastAsia="宋体" w:cs="Times New Roman"/>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铜≤</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锌≤</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氟化物≤</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硒≤</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砷≤</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汞≤</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镉≤</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铬（六价）≤</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铅≤</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氰化物≤</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挥发酚≤</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石油类≤</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阴离子表面活性剂≤</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0.3</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0.3</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tblHeader/>
          <w:jc w:val="center"/>
        </w:trPr>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硫化物≤</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0.2</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0.5</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w:t>
            </w:r>
          </w:p>
        </w:tc>
        <w:tc>
          <w:tcPr>
            <w:tcW w:w="0" w:type="auto"/>
            <w:tcBorders>
              <w:tl2br w:val="nil"/>
              <w:tr2bl w:val="nil"/>
            </w:tcBorders>
            <w:noWrap w:val="0"/>
            <w:vAlign w:val="center"/>
          </w:tcPr>
          <w:p>
            <w:pPr>
              <w:pStyle w:val="53"/>
              <w:bidi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mg/L</w:t>
            </w:r>
          </w:p>
        </w:tc>
        <w:tc>
          <w:tcPr>
            <w:tcW w:w="0" w:type="auto"/>
            <w:vMerge w:val="continue"/>
            <w:tcBorders>
              <w:tl2br w:val="nil"/>
              <w:tr2bl w:val="nil"/>
            </w:tcBorders>
            <w:noWrap w:val="0"/>
            <w:vAlign w:val="center"/>
          </w:tcPr>
          <w:p>
            <w:pPr>
              <w:pStyle w:val="53"/>
              <w:bidi w:val="0"/>
              <w:jc w:val="center"/>
              <w:rPr>
                <w:rFonts w:hint="default"/>
              </w:rPr>
            </w:pPr>
          </w:p>
        </w:tc>
      </w:tr>
    </w:tbl>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lang w:val="en-US" w:eastAsia="zh-CN"/>
        </w:rPr>
      </w:pPr>
      <w:r>
        <w:rPr>
          <w:rFonts w:hint="eastAsia"/>
          <w:b/>
          <w:bCs/>
          <w:lang w:val="en-US" w:eastAsia="zh-CN"/>
        </w:rPr>
        <w:t>（2）生物监测</w:t>
      </w:r>
    </w:p>
    <w:p>
      <w:pPr>
        <w:bidi w:val="0"/>
        <w:rPr>
          <w:rFonts w:hint="eastAsia"/>
          <w:b w:val="0"/>
          <w:bCs w:val="0"/>
          <w:lang w:val="en-US" w:eastAsia="zh-CN"/>
        </w:rPr>
      </w:pPr>
      <w:r>
        <w:rPr>
          <w:rFonts w:hint="eastAsia"/>
          <w:b w:val="0"/>
          <w:bCs w:val="0"/>
          <w:lang w:val="en-US" w:eastAsia="zh-CN"/>
        </w:rPr>
        <w:t>评价生物监测参照农业农村局、林业局以及相关单位监测方法和监测布置情况，以其他有关部门的监测数据作为评价河段的数据支撑。</w:t>
      </w:r>
    </w:p>
    <w:p>
      <w:pPr>
        <w:bidi w:val="0"/>
        <w:rPr>
          <w:rFonts w:hint="default"/>
          <w:b w:val="0"/>
          <w:bCs w:val="0"/>
          <w:lang w:val="zh-CN" w:eastAsia="zh-CN"/>
        </w:rPr>
      </w:pPr>
      <w:r>
        <w:rPr>
          <w:rFonts w:hint="eastAsia"/>
          <w:b w:val="0"/>
          <w:bCs w:val="0"/>
          <w:lang w:val="zh-CN" w:eastAsia="zh-CN"/>
        </w:rPr>
        <w:t>监测方法</w:t>
      </w:r>
      <w:r>
        <w:rPr>
          <w:rFonts w:hint="default"/>
          <w:b w:val="0"/>
          <w:bCs w:val="0"/>
          <w:lang w:val="zh-CN" w:eastAsia="zh-CN"/>
        </w:rPr>
        <w:t>主要依照《生物多样性观测技术导则内陆水域食类）（H710</w:t>
      </w:r>
      <w:r>
        <w:rPr>
          <w:rFonts w:hint="eastAsia"/>
          <w:b w:val="0"/>
          <w:bCs w:val="0"/>
          <w:lang w:val="en-US" w:eastAsia="zh-CN"/>
        </w:rPr>
        <w:t>.</w:t>
      </w:r>
      <w:r>
        <w:rPr>
          <w:rFonts w:hint="default"/>
          <w:b w:val="0"/>
          <w:bCs w:val="0"/>
          <w:lang w:val="zh-CN" w:eastAsia="zh-CN"/>
        </w:rPr>
        <w:t>7</w:t>
      </w:r>
      <w:r>
        <w:rPr>
          <w:rFonts w:hint="eastAsia"/>
          <w:b w:val="0"/>
          <w:bCs w:val="0"/>
          <w:lang w:val="en-US" w:eastAsia="zh-CN"/>
        </w:rPr>
        <w:t>-</w:t>
      </w:r>
      <w:r>
        <w:rPr>
          <w:rFonts w:hint="default"/>
          <w:b w:val="0"/>
          <w:bCs w:val="0"/>
          <w:lang w:val="zh-CN" w:eastAsia="zh-CN"/>
        </w:rPr>
        <w:t>201</w:t>
      </w:r>
      <w:r>
        <w:rPr>
          <w:rFonts w:hint="eastAsia"/>
          <w:b w:val="0"/>
          <w:bCs w:val="0"/>
          <w:lang w:val="en-US" w:eastAsia="zh-CN"/>
        </w:rPr>
        <w:t>4</w:t>
      </w:r>
      <w:r>
        <w:rPr>
          <w:rFonts w:hint="default"/>
          <w:b w:val="0"/>
          <w:bCs w:val="0"/>
          <w:lang w:val="zh-CN" w:eastAsia="zh-CN"/>
        </w:rPr>
        <w:t>）</w:t>
      </w:r>
      <w:r>
        <w:rPr>
          <w:rFonts w:hint="eastAsia"/>
          <w:b w:val="0"/>
          <w:bCs w:val="0"/>
          <w:lang w:val="zh-CN" w:eastAsia="zh-CN"/>
        </w:rPr>
        <w:t>和《内陆</w:t>
      </w:r>
      <w:r>
        <w:rPr>
          <w:rFonts w:hint="default"/>
          <w:b w:val="0"/>
          <w:bCs w:val="0"/>
          <w:lang w:val="zh-CN" w:eastAsia="zh-CN"/>
        </w:rPr>
        <w:t>水</w:t>
      </w:r>
      <w:r>
        <w:rPr>
          <w:rFonts w:hint="eastAsia"/>
          <w:b w:val="0"/>
          <w:bCs w:val="0"/>
          <w:lang w:val="zh-CN" w:eastAsia="zh-CN"/>
        </w:rPr>
        <w:t>域渔</w:t>
      </w:r>
      <w:r>
        <w:rPr>
          <w:rFonts w:hint="default"/>
          <w:b w:val="0"/>
          <w:bCs w:val="0"/>
          <w:lang w:val="zh-CN" w:eastAsia="zh-CN"/>
        </w:rPr>
        <w:t>业自然资源调查手册</w:t>
      </w:r>
      <w:r>
        <w:rPr>
          <w:rFonts w:hint="eastAsia"/>
          <w:b w:val="0"/>
          <w:bCs w:val="0"/>
          <w:lang w:val="zh-CN" w:eastAsia="zh-CN"/>
        </w:rPr>
        <w:t>》</w:t>
      </w:r>
      <w:r>
        <w:rPr>
          <w:rFonts w:hint="default"/>
          <w:b w:val="0"/>
          <w:bCs w:val="0"/>
          <w:lang w:val="zh-CN" w:eastAsia="zh-CN"/>
        </w:rPr>
        <w:t>，全面收集</w:t>
      </w:r>
      <w:r>
        <w:rPr>
          <w:rFonts w:hint="eastAsia"/>
          <w:b w:val="0"/>
          <w:bCs w:val="0"/>
          <w:lang w:val="zh-CN" w:eastAsia="zh-CN"/>
        </w:rPr>
        <w:t>鱼类样本，</w:t>
      </w:r>
      <w:r>
        <w:rPr>
          <w:rFonts w:hint="default"/>
          <w:b w:val="0"/>
          <w:bCs w:val="0"/>
          <w:lang w:val="zh-CN" w:eastAsia="zh-CN"/>
        </w:rPr>
        <w:t>利用自拉网渔具、鱼面网等网具采集鱼类，依据水流条件，或流动或或定置。每一河段雇请渔民采集标本2</w:t>
      </w:r>
      <w:r>
        <w:rPr>
          <w:rFonts w:hint="eastAsia"/>
          <w:b w:val="0"/>
          <w:bCs w:val="0"/>
          <w:lang w:val="en-US" w:eastAsia="zh-CN"/>
        </w:rPr>
        <w:t>~</w:t>
      </w:r>
      <w:r>
        <w:rPr>
          <w:rFonts w:hint="default"/>
          <w:b w:val="0"/>
          <w:bCs w:val="0"/>
          <w:lang w:val="zh-CN" w:eastAsia="zh-CN"/>
        </w:rPr>
        <w:t>3次，同时收集</w:t>
      </w:r>
      <w:r>
        <w:rPr>
          <w:rFonts w:hint="eastAsia"/>
          <w:b w:val="0"/>
          <w:bCs w:val="0"/>
          <w:lang w:val="zh-CN" w:eastAsia="zh-CN"/>
        </w:rPr>
        <w:t>渔</w:t>
      </w:r>
      <w:r>
        <w:rPr>
          <w:rFonts w:hint="default"/>
          <w:b w:val="0"/>
          <w:bCs w:val="0"/>
          <w:lang w:val="zh-CN" w:eastAsia="zh-CN"/>
        </w:rPr>
        <w:t>民</w:t>
      </w:r>
      <w:r>
        <w:rPr>
          <w:rFonts w:hint="eastAsia"/>
          <w:b w:val="0"/>
          <w:bCs w:val="0"/>
          <w:lang w:val="zh-CN" w:eastAsia="zh-CN"/>
        </w:rPr>
        <w:t>渔</w:t>
      </w:r>
      <w:r>
        <w:rPr>
          <w:rFonts w:hint="default"/>
          <w:b w:val="0"/>
          <w:bCs w:val="0"/>
          <w:lang w:val="zh-CN" w:eastAsia="zh-CN"/>
        </w:rPr>
        <w:t>获物以补充</w:t>
      </w:r>
      <w:r>
        <w:rPr>
          <w:rFonts w:hint="eastAsia"/>
          <w:b w:val="0"/>
          <w:bCs w:val="0"/>
          <w:lang w:val="zh-CN" w:eastAsia="zh-CN"/>
        </w:rPr>
        <w:t>鱼</w:t>
      </w:r>
      <w:r>
        <w:rPr>
          <w:rFonts w:hint="default"/>
          <w:b w:val="0"/>
          <w:bCs w:val="0"/>
          <w:lang w:val="zh-CN" w:eastAsia="zh-CN"/>
        </w:rPr>
        <w:t>类物种对所有</w:t>
      </w:r>
      <w:r>
        <w:rPr>
          <w:rFonts w:hint="eastAsia"/>
          <w:b w:val="0"/>
          <w:bCs w:val="0"/>
          <w:lang w:val="zh-CN" w:eastAsia="zh-CN"/>
        </w:rPr>
        <w:t>渔</w:t>
      </w:r>
      <w:r>
        <w:rPr>
          <w:rFonts w:hint="default"/>
          <w:b w:val="0"/>
          <w:bCs w:val="0"/>
          <w:lang w:val="zh-CN" w:eastAsia="zh-CN"/>
        </w:rPr>
        <w:t>获</w:t>
      </w:r>
      <w:r>
        <w:rPr>
          <w:rFonts w:hint="eastAsia"/>
          <w:b w:val="0"/>
          <w:bCs w:val="0"/>
          <w:lang w:val="zh-CN" w:eastAsia="zh-CN"/>
        </w:rPr>
        <w:t>物</w:t>
      </w:r>
      <w:r>
        <w:rPr>
          <w:rFonts w:hint="default"/>
          <w:b w:val="0"/>
          <w:bCs w:val="0"/>
          <w:lang w:val="zh-CN" w:eastAsia="zh-CN"/>
        </w:rPr>
        <w:t>制都进行</w:t>
      </w:r>
      <w:r>
        <w:rPr>
          <w:rFonts w:hint="eastAsia"/>
          <w:b w:val="0"/>
          <w:bCs w:val="0"/>
          <w:lang w:val="zh-CN" w:eastAsia="zh-CN"/>
        </w:rPr>
        <w:t>种类鉴定</w:t>
      </w:r>
      <w:r>
        <w:rPr>
          <w:rFonts w:hint="default"/>
          <w:b w:val="0"/>
          <w:bCs w:val="0"/>
          <w:lang w:val="zh-CN" w:eastAsia="zh-CN"/>
        </w:rPr>
        <w:t>和主要生物学测量。此外还对相关鱼市场（码头）进行定点采样调查。并在水产渔政人员的陪同下，雇请当地渔民作向导沿河对鱼类的产卵场、索</w:t>
      </w:r>
      <w:r>
        <w:rPr>
          <w:rFonts w:hint="eastAsia"/>
          <w:b w:val="0"/>
          <w:bCs w:val="0"/>
          <w:lang w:val="zh-CN" w:eastAsia="zh-CN"/>
        </w:rPr>
        <w:t>饵</w:t>
      </w:r>
      <w:r>
        <w:rPr>
          <w:rFonts w:hint="default"/>
          <w:b w:val="0"/>
          <w:bCs w:val="0"/>
          <w:lang w:val="zh-CN" w:eastAsia="zh-CN"/>
        </w:rPr>
        <w:t>场和越冬场进行实地考察；同时调查期间对收集到的标本及调查路线等拍摄。</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lang w:val="en-US" w:eastAsia="zh-CN"/>
        </w:rPr>
      </w:pPr>
      <w:r>
        <w:rPr>
          <w:rFonts w:hint="eastAsia"/>
          <w:b/>
          <w:bCs/>
          <w:lang w:val="en-US" w:eastAsia="zh-CN"/>
        </w:rPr>
        <w:t>（3）生态用水（生态基流）监测</w:t>
      </w:r>
    </w:p>
    <w:p>
      <w:pPr>
        <w:bidi w:val="0"/>
        <w:rPr>
          <w:rFonts w:hint="eastAsia"/>
          <w:b w:val="0"/>
          <w:bCs w:val="0"/>
          <w:lang w:val="en-US" w:eastAsia="zh-CN"/>
        </w:rPr>
      </w:pPr>
      <w:r>
        <w:rPr>
          <w:rFonts w:hint="eastAsia"/>
          <w:b w:val="0"/>
          <w:bCs w:val="0"/>
          <w:lang w:val="zh-CN" w:eastAsia="zh-CN"/>
        </w:rPr>
        <w:t>在泄水口设立监测点，安装监测设备；也可以在下游附近河道断面作为监测断面，安装监测设备，监测</w:t>
      </w:r>
      <w:r>
        <w:rPr>
          <w:rFonts w:hint="eastAsia"/>
          <w:b w:val="0"/>
          <w:bCs w:val="0"/>
          <w:lang w:val="en-US" w:eastAsia="zh-CN"/>
        </w:rPr>
        <w:t>生态用水（生态基流）</w:t>
      </w:r>
      <w:r>
        <w:rPr>
          <w:rFonts w:hint="eastAsia"/>
          <w:b w:val="0"/>
          <w:bCs w:val="0"/>
          <w:lang w:val="zh-CN" w:eastAsia="zh-CN"/>
        </w:rPr>
        <w:t>。</w:t>
      </w:r>
    </w:p>
    <w:p>
      <w:pPr>
        <w:wordWrap/>
        <w:autoSpaceDE/>
        <w:autoSpaceDN/>
        <w:adjustRightInd w:val="0"/>
        <w:snapToGrid w:val="0"/>
        <w:spacing w:before="166" w:beforeLines="50" w:after="166" w:afterLines="50" w:line="360" w:lineRule="auto"/>
        <w:ind w:firstLine="0" w:firstLineChars="0"/>
        <w:outlineLvl w:val="1"/>
        <w:rPr>
          <w:rFonts w:hint="eastAsia" w:ascii="宋体" w:hAnsi="宋体" w:cs="宋体"/>
          <w:b/>
          <w:bCs/>
          <w:color w:val="auto"/>
          <w:kern w:val="2"/>
          <w:sz w:val="24"/>
          <w:szCs w:val="24"/>
          <w:lang w:val="en-US" w:eastAsia="zh-CN"/>
        </w:rPr>
      </w:pPr>
      <w:bookmarkStart w:id="47" w:name="_Toc27566"/>
      <w:r>
        <w:rPr>
          <w:rFonts w:hint="eastAsia" w:ascii="宋体" w:hAnsi="宋体" w:cs="宋体"/>
          <w:b/>
          <w:bCs/>
          <w:color w:val="auto"/>
          <w:kern w:val="2"/>
          <w:sz w:val="24"/>
          <w:szCs w:val="24"/>
          <w:lang w:val="en-US" w:eastAsia="zh-CN"/>
        </w:rPr>
        <w:t>3.4 监测成果评价</w:t>
      </w:r>
      <w:bookmarkEnd w:id="47"/>
    </w:p>
    <w:p>
      <w:pPr>
        <w:bidi w:val="0"/>
        <w:rPr>
          <w:rFonts w:hint="eastAsia"/>
          <w:b w:val="0"/>
          <w:bCs w:val="0"/>
        </w:rPr>
        <w:sectPr>
          <w:headerReference r:id="rId12" w:type="default"/>
          <w:pgSz w:w="11906" w:h="16838"/>
          <w:pgMar w:top="1440" w:right="1800" w:bottom="1440" w:left="1800" w:header="851" w:footer="992" w:gutter="0"/>
          <w:pgNumType w:fmt="decimal"/>
          <w:cols w:space="425" w:num="1"/>
          <w:docGrid w:type="lines" w:linePitch="312" w:charSpace="0"/>
        </w:sectPr>
      </w:pPr>
      <w:r>
        <w:rPr>
          <w:rFonts w:hint="eastAsia"/>
          <w:b w:val="0"/>
          <w:bCs w:val="0"/>
        </w:rPr>
        <w:t>评价河段各项指标数据来源均为现场调查、参照以前统计资料以及实测资料。水质监测资料为近几年监测数据，数据来源真实可靠；鱼类统计资料为查阅《广元市渔业资源调查及保护措施研究项目鉴定材料》（广元市水产站2006年）以及现场调查，数据较为可靠。物理结构、河湖管理与社会服务功能为实测资料和现场调查。各项指标数据来源基本可靠，可作为本次河湖健康评价指标基础数据资料。</w:t>
      </w:r>
    </w:p>
    <w:p>
      <w:pPr>
        <w:pStyle w:val="42"/>
        <w:numPr>
          <w:ilvl w:val="0"/>
          <w:numId w:val="3"/>
        </w:numPr>
        <w:adjustRightInd/>
        <w:spacing w:line="520" w:lineRule="exact"/>
        <w:ind w:leftChars="0"/>
        <w:jc w:val="center"/>
        <w:outlineLvl w:val="0"/>
        <w:rPr>
          <w:rFonts w:hint="eastAsia" w:ascii="宋体" w:hAnsi="宋体" w:eastAsia="宋体" w:cs="宋体"/>
          <w:b/>
          <w:bCs w:val="0"/>
          <w:color w:val="auto"/>
          <w:sz w:val="36"/>
          <w:szCs w:val="36"/>
          <w:lang w:eastAsia="zh-CN"/>
        </w:rPr>
      </w:pPr>
      <w:bookmarkStart w:id="48" w:name="_Toc18236"/>
      <w:r>
        <w:rPr>
          <w:rFonts w:hint="eastAsia" w:ascii="宋体" w:hAnsi="宋体" w:eastAsia="宋体" w:cs="宋体"/>
          <w:b/>
          <w:bCs w:val="0"/>
          <w:color w:val="auto"/>
          <w:sz w:val="36"/>
          <w:szCs w:val="36"/>
          <w:lang w:eastAsia="zh-CN"/>
        </w:rPr>
        <w:t>河湖健康评价结果</w:t>
      </w:r>
      <w:bookmarkEnd w:id="48"/>
    </w:p>
    <w:p>
      <w:pPr>
        <w:pStyle w:val="42"/>
        <w:numPr>
          <w:ilvl w:val="0"/>
          <w:numId w:val="0"/>
        </w:numPr>
        <w:adjustRightInd/>
        <w:spacing w:line="520" w:lineRule="exact"/>
        <w:ind w:leftChars="200"/>
        <w:jc w:val="both"/>
        <w:outlineLvl w:val="9"/>
        <w:rPr>
          <w:rFonts w:hint="eastAsia" w:ascii="宋体" w:hAnsi="宋体" w:eastAsia="宋体" w:cs="宋体"/>
          <w:b/>
          <w:bCs w:val="0"/>
          <w:color w:val="auto"/>
          <w:sz w:val="36"/>
          <w:szCs w:val="36"/>
          <w:lang w:eastAsia="zh-CN"/>
        </w:rPr>
      </w:pPr>
    </w:p>
    <w:p>
      <w:pPr>
        <w:wordWrap/>
        <w:autoSpaceDE/>
        <w:autoSpaceDN/>
        <w:adjustRightInd w:val="0"/>
        <w:snapToGrid w:val="0"/>
        <w:spacing w:before="166" w:beforeLines="50" w:after="166" w:afterLines="50" w:line="360" w:lineRule="auto"/>
        <w:ind w:firstLine="0" w:firstLineChars="0"/>
        <w:outlineLvl w:val="1"/>
        <w:rPr>
          <w:rFonts w:hint="eastAsia" w:ascii="宋体" w:hAnsi="宋体" w:cs="宋体"/>
          <w:b/>
          <w:bCs/>
          <w:color w:val="auto"/>
          <w:kern w:val="2"/>
          <w:sz w:val="24"/>
          <w:szCs w:val="24"/>
          <w:lang w:val="en-US" w:eastAsia="zh-CN"/>
        </w:rPr>
      </w:pPr>
      <w:bookmarkStart w:id="49" w:name="_Toc6227"/>
      <w:r>
        <w:rPr>
          <w:rFonts w:hint="eastAsia" w:ascii="宋体" w:hAnsi="宋体" w:cs="宋体"/>
          <w:b/>
          <w:bCs/>
          <w:color w:val="auto"/>
          <w:kern w:val="2"/>
          <w:sz w:val="24"/>
          <w:szCs w:val="24"/>
          <w:lang w:val="en-US" w:eastAsia="zh-CN"/>
        </w:rPr>
        <w:t>4.1 沙溪浩自然河道评价方法与结果</w:t>
      </w:r>
      <w:bookmarkEnd w:id="49"/>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4.1.1 水资源开发利用率评估</w:t>
      </w:r>
    </w:p>
    <w:p>
      <w:pPr>
        <w:pStyle w:val="43"/>
        <w:jc w:val="both"/>
        <w:outlineLvl w:val="8"/>
        <w:rPr>
          <w:sz w:val="24"/>
          <w:szCs w:val="24"/>
        </w:rPr>
      </w:pPr>
      <w:r>
        <w:rPr>
          <w:sz w:val="24"/>
          <w:szCs w:val="24"/>
        </w:rPr>
        <w:t>表</w:t>
      </w:r>
      <w:r>
        <w:rPr>
          <w:rFonts w:hint="eastAsia"/>
          <w:sz w:val="24"/>
          <w:szCs w:val="24"/>
          <w:lang w:val="en-US" w:eastAsia="zh-CN"/>
        </w:rPr>
        <w:t xml:space="preserve">3.1-1       </w:t>
      </w:r>
      <w:r>
        <w:rPr>
          <w:sz w:val="24"/>
          <w:szCs w:val="24"/>
        </w:rPr>
        <w:t>水资源开发利用率评估赋分标准表</w:t>
      </w:r>
    </w:p>
    <w:tbl>
      <w:tblPr>
        <w:tblStyle w:val="28"/>
        <w:tblW w:w="5000" w:type="pct"/>
        <w:jc w:val="center"/>
        <w:tblLayout w:type="autofit"/>
        <w:tblCellMar>
          <w:top w:w="0" w:type="dxa"/>
          <w:left w:w="28" w:type="dxa"/>
          <w:bottom w:w="0" w:type="dxa"/>
          <w:right w:w="28" w:type="dxa"/>
        </w:tblCellMar>
      </w:tblPr>
      <w:tblGrid>
        <w:gridCol w:w="2390"/>
        <w:gridCol w:w="1194"/>
        <w:gridCol w:w="1194"/>
        <w:gridCol w:w="1194"/>
        <w:gridCol w:w="1195"/>
        <w:gridCol w:w="1195"/>
      </w:tblGrid>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水资源开发利用率</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hint="eastAsia" w:ascii="Times New Roman" w:hAnsi="Times New Roman"/>
                <w:bCs/>
                <w:sz w:val="18"/>
                <w:szCs w:val="18"/>
                <w:lang w:val="en-US" w:eastAsia="zh-CN"/>
              </w:rPr>
              <w:t>20%～</w:t>
            </w:r>
            <w:r>
              <w:rPr>
                <w:rFonts w:ascii="Times New Roman" w:hAnsi="Times New Roman"/>
                <w:bCs/>
                <w:sz w:val="18"/>
                <w:szCs w:val="18"/>
                <w:lang w:val="en-US" w:eastAsia="zh-CN"/>
              </w:rPr>
              <w:t>30%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30%</w:t>
            </w:r>
            <w:r>
              <w:rPr>
                <w:rFonts w:hint="eastAsia" w:ascii="Times New Roman" w:hAnsi="Times New Roman"/>
                <w:bCs/>
                <w:sz w:val="18"/>
                <w:szCs w:val="18"/>
                <w:lang w:val="en-US" w:eastAsia="zh-CN"/>
              </w:rPr>
              <w:t>～</w:t>
            </w:r>
            <w:r>
              <w:rPr>
                <w:rFonts w:ascii="Times New Roman" w:hAnsi="Times New Roman"/>
                <w:bCs/>
                <w:sz w:val="18"/>
                <w:szCs w:val="18"/>
                <w:lang w:val="en-US" w:eastAsia="zh-CN"/>
              </w:rPr>
              <w:t>40%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40%</w:t>
            </w:r>
            <w:r>
              <w:rPr>
                <w:rFonts w:hint="eastAsia" w:ascii="Times New Roman" w:hAnsi="Times New Roman"/>
                <w:bCs/>
                <w:sz w:val="18"/>
                <w:szCs w:val="18"/>
                <w:lang w:val="en-US" w:eastAsia="zh-CN"/>
              </w:rPr>
              <w:t>～60</w:t>
            </w:r>
            <w:r>
              <w:rPr>
                <w:rFonts w:ascii="Times New Roman" w:hAnsi="Times New Roman"/>
                <w:bCs/>
                <w:sz w:val="18"/>
                <w:szCs w:val="18"/>
                <w:lang w:val="en-US" w:eastAsia="zh-CN"/>
              </w:rPr>
              <w:t>%</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≥60%</w:t>
            </w:r>
          </w:p>
        </w:tc>
      </w:tr>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000000" w:sz="4" w:space="0"/>
            </w:tcBorders>
            <w:noWrap w:val="0"/>
            <w:vAlign w:val="center"/>
          </w:tcPr>
          <w:p>
            <w:pPr>
              <w:pStyle w:val="46"/>
              <w:snapToGrid w:val="0"/>
              <w:jc w:val="center"/>
              <w:rPr>
                <w:rFonts w:ascii="Times New Roman" w:hAnsi="Times New Roman"/>
                <w:bCs/>
                <w:sz w:val="18"/>
                <w:szCs w:val="18"/>
                <w:lang w:val="en-US" w:eastAsia="zh-CN"/>
              </w:rPr>
            </w:pPr>
            <w:r>
              <w:rPr>
                <w:rFonts w:ascii="Times New Roman" w:hAnsi="Times New Roman"/>
                <w:bCs/>
                <w:sz w:val="18"/>
                <w:szCs w:val="18"/>
                <w:lang w:val="en-US" w:eastAsia="zh-CN"/>
              </w:rPr>
              <w:t>赋分</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100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80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50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0</w:t>
            </w:r>
          </w:p>
        </w:tc>
      </w:tr>
    </w:tbl>
    <w:p>
      <w:pPr>
        <w:bidi w:val="0"/>
        <w:rPr>
          <w:rFonts w:hint="eastAsia"/>
          <w:b w:val="0"/>
          <w:bCs w:val="0"/>
          <w:lang w:val="en-US" w:eastAsia="zh-CN"/>
        </w:rPr>
      </w:pPr>
      <w:r>
        <w:rPr>
          <w:rFonts w:hint="eastAsia"/>
          <w:b w:val="0"/>
          <w:bCs w:val="0"/>
          <w:lang w:val="en-US" w:eastAsia="zh-CN"/>
        </w:rPr>
        <w:t>河湖河道外用水量及跨流域调水量占评价河湖下断面上游地表水资源量的百分比，按公式计算。</w:t>
      </w:r>
    </w:p>
    <w:p>
      <w:pPr>
        <w:pStyle w:val="22"/>
        <w:keepNext w:val="0"/>
        <w:keepLines w:val="0"/>
        <w:pageBreakBefore w:val="0"/>
        <w:kinsoku/>
        <w:wordWrap/>
        <w:overflowPunct/>
        <w:topLinePunct w:val="0"/>
        <w:autoSpaceDE/>
        <w:autoSpaceDN/>
        <w:bidi w:val="0"/>
        <w:adjustRightInd/>
        <w:snapToGrid/>
        <w:ind w:firstLine="0" w:firstLineChars="0"/>
        <w:jc w:val="center"/>
        <w:textAlignment w:val="auto"/>
      </w:pPr>
      <w:r>
        <w:drawing>
          <wp:inline distT="0" distB="0" distL="114300" distR="114300">
            <wp:extent cx="3651885" cy="2803525"/>
            <wp:effectExtent l="0" t="0" r="5715" b="15875"/>
            <wp:docPr id="6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3"/>
                    <pic:cNvPicPr>
                      <a:picLocks noChangeAspect="1"/>
                    </pic:cNvPicPr>
                  </pic:nvPicPr>
                  <pic:blipFill>
                    <a:blip r:embed="rId104"/>
                    <a:stretch>
                      <a:fillRect/>
                    </a:stretch>
                  </pic:blipFill>
                  <pic:spPr>
                    <a:xfrm>
                      <a:off x="0" y="0"/>
                      <a:ext cx="3651885" cy="2803525"/>
                    </a:xfrm>
                    <a:prstGeom prst="rect">
                      <a:avLst/>
                    </a:prstGeom>
                    <a:noFill/>
                    <a:ln>
                      <a:noFill/>
                    </a:ln>
                  </pic:spPr>
                </pic:pic>
              </a:graphicData>
            </a:graphic>
          </wp:inline>
        </w:drawing>
      </w:r>
    </w:p>
    <w:p>
      <w:pPr>
        <w:pStyle w:val="52"/>
        <w:keepNext w:val="0"/>
        <w:keepLines w:val="0"/>
        <w:pageBreakBefore w:val="0"/>
        <w:kinsoku/>
        <w:wordWrap/>
        <w:overflowPunct/>
        <w:topLinePunct w:val="0"/>
        <w:autoSpaceDE/>
        <w:autoSpaceDN/>
        <w:bidi w:val="0"/>
        <w:adjustRightInd/>
        <w:snapToGrid/>
        <w:ind w:firstLine="0" w:firstLineChars="0"/>
        <w:textAlignment w:val="auto"/>
        <w:rPr>
          <w:rFonts w:hint="eastAsia"/>
          <w:lang w:eastAsia="zh-CN"/>
        </w:rPr>
      </w:pPr>
      <w:r>
        <w:rPr>
          <w:rFonts w:hint="eastAsia"/>
          <w:lang w:eastAsia="zh-CN"/>
        </w:rPr>
        <w:t>图</w:t>
      </w:r>
      <w:r>
        <w:rPr>
          <w:rFonts w:hint="eastAsia"/>
          <w:lang w:val="en-US" w:eastAsia="zh-CN"/>
        </w:rPr>
        <w:t>5.1.1</w:t>
      </w:r>
      <w:r>
        <w:rPr>
          <w:rFonts w:hint="eastAsia"/>
          <w:lang w:eastAsia="zh-CN"/>
        </w:rPr>
        <w:t>广元市各县区水资源总量</w:t>
      </w:r>
    </w:p>
    <w:p>
      <w:pPr>
        <w:pStyle w:val="22"/>
        <w:keepNext w:val="0"/>
        <w:keepLines w:val="0"/>
        <w:pageBreakBefore w:val="0"/>
        <w:kinsoku/>
        <w:wordWrap/>
        <w:overflowPunct/>
        <w:topLinePunct w:val="0"/>
        <w:autoSpaceDE/>
        <w:autoSpaceDN/>
        <w:bidi w:val="0"/>
        <w:adjustRightInd/>
        <w:snapToGrid/>
        <w:ind w:firstLine="0" w:firstLineChars="0"/>
        <w:jc w:val="center"/>
        <w:textAlignment w:val="auto"/>
      </w:pPr>
      <w:r>
        <w:drawing>
          <wp:inline distT="0" distB="0" distL="114300" distR="114300">
            <wp:extent cx="3682365" cy="2412365"/>
            <wp:effectExtent l="0" t="0" r="13335" b="6985"/>
            <wp:docPr id="6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4"/>
                    <pic:cNvPicPr>
                      <a:picLocks noChangeAspect="1"/>
                    </pic:cNvPicPr>
                  </pic:nvPicPr>
                  <pic:blipFill>
                    <a:blip r:embed="rId105"/>
                    <a:stretch>
                      <a:fillRect/>
                    </a:stretch>
                  </pic:blipFill>
                  <pic:spPr>
                    <a:xfrm>
                      <a:off x="0" y="0"/>
                      <a:ext cx="3682365" cy="2412365"/>
                    </a:xfrm>
                    <a:prstGeom prst="rect">
                      <a:avLst/>
                    </a:prstGeom>
                    <a:noFill/>
                    <a:ln>
                      <a:noFill/>
                    </a:ln>
                  </pic:spPr>
                </pic:pic>
              </a:graphicData>
            </a:graphic>
          </wp:inline>
        </w:drawing>
      </w:r>
    </w:p>
    <w:p>
      <w:pPr>
        <w:pStyle w:val="52"/>
        <w:keepNext w:val="0"/>
        <w:keepLines w:val="0"/>
        <w:pageBreakBefore w:val="0"/>
        <w:kinsoku/>
        <w:wordWrap/>
        <w:overflowPunct/>
        <w:topLinePunct w:val="0"/>
        <w:autoSpaceDE/>
        <w:autoSpaceDN/>
        <w:bidi w:val="0"/>
        <w:adjustRightInd/>
        <w:snapToGrid/>
        <w:ind w:firstLine="0" w:firstLineChars="0"/>
        <w:textAlignment w:val="auto"/>
        <w:rPr>
          <w:rFonts w:hint="eastAsia"/>
          <w:lang w:eastAsia="zh-CN"/>
        </w:rPr>
      </w:pPr>
      <w:r>
        <w:rPr>
          <w:rFonts w:hint="eastAsia"/>
          <w:lang w:eastAsia="zh-CN"/>
        </w:rPr>
        <w:t>图</w:t>
      </w:r>
      <w:r>
        <w:rPr>
          <w:rFonts w:hint="eastAsia"/>
          <w:lang w:val="en-US" w:eastAsia="zh-CN"/>
        </w:rPr>
        <w:t>5.1.2</w:t>
      </w:r>
      <w:r>
        <w:rPr>
          <w:rFonts w:hint="eastAsia"/>
          <w:lang w:eastAsia="zh-CN"/>
        </w:rPr>
        <w:t>广元市个县区的供水用量</w:t>
      </w:r>
    </w:p>
    <w:p>
      <w:pPr>
        <w:pStyle w:val="22"/>
        <w:jc w:val="center"/>
      </w:pPr>
    </w:p>
    <w:p>
      <w:pPr>
        <w:pStyle w:val="43"/>
        <w:ind w:left="0" w:leftChars="0" w:firstLine="0" w:firstLineChars="0"/>
        <w:jc w:val="both"/>
        <w:outlineLvl w:val="8"/>
        <w:rPr>
          <w:sz w:val="24"/>
          <w:szCs w:val="24"/>
        </w:rPr>
      </w:pPr>
      <w:r>
        <w:rPr>
          <w:rFonts w:hint="eastAsia"/>
          <w:sz w:val="24"/>
          <w:szCs w:val="24"/>
          <w:lang w:val="en-US" w:eastAsia="zh-CN"/>
        </w:rPr>
        <w:t xml:space="preserve"> </w:t>
      </w:r>
      <w:r>
        <w:rPr>
          <w:sz w:val="24"/>
          <w:szCs w:val="24"/>
        </w:rPr>
        <w:t>水资源开发利用率评估赋分标准表</w:t>
      </w:r>
    </w:p>
    <w:tbl>
      <w:tblPr>
        <w:tblStyle w:val="28"/>
        <w:tblW w:w="5000" w:type="pct"/>
        <w:jc w:val="center"/>
        <w:tblLayout w:type="autofit"/>
        <w:tblCellMar>
          <w:top w:w="0" w:type="dxa"/>
          <w:left w:w="28" w:type="dxa"/>
          <w:bottom w:w="0" w:type="dxa"/>
          <w:right w:w="28" w:type="dxa"/>
        </w:tblCellMar>
      </w:tblPr>
      <w:tblGrid>
        <w:gridCol w:w="2390"/>
        <w:gridCol w:w="1194"/>
        <w:gridCol w:w="1194"/>
        <w:gridCol w:w="1194"/>
        <w:gridCol w:w="1195"/>
        <w:gridCol w:w="1195"/>
      </w:tblGrid>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水资源开发利用率</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hint="eastAsia" w:ascii="Times New Roman" w:hAnsi="Times New Roman"/>
                <w:bCs/>
                <w:sz w:val="18"/>
                <w:szCs w:val="18"/>
                <w:lang w:val="en-US" w:eastAsia="zh-CN"/>
              </w:rPr>
              <w:t>20%～</w:t>
            </w:r>
            <w:r>
              <w:rPr>
                <w:rFonts w:ascii="Times New Roman" w:hAnsi="Times New Roman"/>
                <w:bCs/>
                <w:sz w:val="18"/>
                <w:szCs w:val="18"/>
                <w:lang w:val="en-US" w:eastAsia="zh-CN"/>
              </w:rPr>
              <w:t>30%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30%</w:t>
            </w:r>
            <w:r>
              <w:rPr>
                <w:rFonts w:hint="eastAsia" w:ascii="Times New Roman" w:hAnsi="Times New Roman"/>
                <w:bCs/>
                <w:sz w:val="18"/>
                <w:szCs w:val="18"/>
                <w:lang w:val="en-US" w:eastAsia="zh-CN"/>
              </w:rPr>
              <w:t>～</w:t>
            </w:r>
            <w:r>
              <w:rPr>
                <w:rFonts w:ascii="Times New Roman" w:hAnsi="Times New Roman"/>
                <w:bCs/>
                <w:sz w:val="18"/>
                <w:szCs w:val="18"/>
                <w:lang w:val="en-US" w:eastAsia="zh-CN"/>
              </w:rPr>
              <w:t>40%</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40%</w:t>
            </w:r>
            <w:r>
              <w:rPr>
                <w:rFonts w:hint="eastAsia" w:ascii="Times New Roman" w:hAnsi="Times New Roman"/>
                <w:bCs/>
                <w:sz w:val="18"/>
                <w:szCs w:val="18"/>
                <w:lang w:val="en-US" w:eastAsia="zh-CN"/>
              </w:rPr>
              <w:t>～60</w:t>
            </w:r>
            <w:r>
              <w:rPr>
                <w:rFonts w:ascii="Times New Roman" w:hAnsi="Times New Roman"/>
                <w:bCs/>
                <w:sz w:val="18"/>
                <w:szCs w:val="18"/>
                <w:lang w:val="en-US" w:eastAsia="zh-CN"/>
              </w:rPr>
              <w:t>%</w:t>
            </w:r>
          </w:p>
        </w:tc>
        <w:tc>
          <w:tcPr>
            <w:tcW w:w="714" w:type="pct"/>
            <w:tcBorders>
              <w:top w:val="single" w:color="auto" w:sz="4" w:space="0"/>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≥60%</w:t>
            </w:r>
          </w:p>
        </w:tc>
      </w:tr>
      <w:tr>
        <w:tblPrEx>
          <w:tblCellMar>
            <w:top w:w="0" w:type="dxa"/>
            <w:left w:w="28" w:type="dxa"/>
            <w:bottom w:w="0" w:type="dxa"/>
            <w:right w:w="28" w:type="dxa"/>
          </w:tblCellMar>
        </w:tblPrEx>
        <w:trPr>
          <w:trHeight w:val="454" w:hRule="atLeast"/>
          <w:jc w:val="center"/>
        </w:trPr>
        <w:tc>
          <w:tcPr>
            <w:tcW w:w="1429" w:type="pct"/>
            <w:tcBorders>
              <w:top w:val="single" w:color="auto" w:sz="4" w:space="0"/>
              <w:left w:val="single" w:color="auto" w:sz="4" w:space="0"/>
              <w:bottom w:val="single" w:color="auto" w:sz="4" w:space="0"/>
              <w:right w:val="single" w:color="000000" w:sz="4" w:space="0"/>
            </w:tcBorders>
            <w:noWrap w:val="0"/>
            <w:vAlign w:val="center"/>
          </w:tcPr>
          <w:p>
            <w:pPr>
              <w:pStyle w:val="46"/>
              <w:snapToGrid w:val="0"/>
              <w:jc w:val="center"/>
              <w:rPr>
                <w:rFonts w:ascii="Times New Roman" w:hAnsi="Times New Roman"/>
                <w:bCs/>
                <w:sz w:val="18"/>
                <w:szCs w:val="18"/>
                <w:lang w:val="en-US" w:eastAsia="zh-CN"/>
              </w:rPr>
            </w:pPr>
            <w:r>
              <w:rPr>
                <w:rFonts w:ascii="Times New Roman" w:hAnsi="Times New Roman"/>
                <w:bCs/>
                <w:sz w:val="18"/>
                <w:szCs w:val="18"/>
                <w:lang w:val="en-US" w:eastAsia="zh-CN"/>
              </w:rPr>
              <w:t>赋分</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100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80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50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20</w:t>
            </w:r>
          </w:p>
        </w:tc>
        <w:tc>
          <w:tcPr>
            <w:tcW w:w="714" w:type="pct"/>
            <w:tcBorders>
              <w:top w:val="nil"/>
              <w:left w:val="nil"/>
              <w:bottom w:val="single" w:color="auto" w:sz="4" w:space="0"/>
              <w:right w:val="single" w:color="auto" w:sz="4" w:space="0"/>
            </w:tcBorders>
            <w:noWrap w:val="0"/>
            <w:vAlign w:val="center"/>
          </w:tcPr>
          <w:p>
            <w:pPr>
              <w:pStyle w:val="46"/>
              <w:snapToGrid w:val="0"/>
              <w:ind w:left="0" w:leftChars="0" w:firstLine="0" w:firstLineChars="0"/>
              <w:jc w:val="center"/>
              <w:rPr>
                <w:rFonts w:ascii="Times New Roman" w:hAnsi="Times New Roman"/>
                <w:bCs/>
                <w:sz w:val="18"/>
                <w:szCs w:val="18"/>
                <w:lang w:val="en-US" w:eastAsia="zh-CN"/>
              </w:rPr>
            </w:pPr>
            <w:r>
              <w:rPr>
                <w:rFonts w:ascii="Times New Roman" w:hAnsi="Times New Roman"/>
                <w:bCs/>
                <w:sz w:val="18"/>
                <w:szCs w:val="18"/>
                <w:lang w:val="en-US" w:eastAsia="zh-CN"/>
              </w:rPr>
              <w:t>0</w:t>
            </w:r>
          </w:p>
        </w:tc>
      </w:tr>
    </w:tbl>
    <w:p>
      <w:pPr>
        <w:pStyle w:val="22"/>
        <w:jc w:val="center"/>
      </w:pPr>
    </w:p>
    <w:p>
      <w:pPr>
        <w:bidi w:val="0"/>
        <w:rPr>
          <w:rFonts w:hint="eastAsia"/>
          <w:b w:val="0"/>
          <w:bCs w:val="0"/>
          <w:lang w:val="en-US" w:eastAsia="zh-CN"/>
        </w:rPr>
      </w:pPr>
      <w:r>
        <w:rPr>
          <w:rFonts w:hint="eastAsia"/>
          <w:b w:val="0"/>
          <w:bCs w:val="0"/>
          <w:lang w:val="en-US" w:eastAsia="zh-CN"/>
        </w:rPr>
        <w:t>2020年苍溪</w:t>
      </w:r>
      <w:r>
        <w:rPr>
          <w:rFonts w:hint="eastAsia"/>
          <w:b w:val="0"/>
          <w:bCs w:val="0"/>
          <w:lang w:eastAsia="zh-CN"/>
        </w:rPr>
        <w:t>县水资源总量为</w:t>
      </w:r>
      <w:r>
        <w:rPr>
          <w:rFonts w:hint="eastAsia"/>
          <w:b w:val="0"/>
          <w:bCs w:val="0"/>
          <w:lang w:val="en-US" w:eastAsia="zh-CN"/>
        </w:rPr>
        <w:t>15.58亿立方米。</w:t>
      </w:r>
    </w:p>
    <w:p>
      <w:pPr>
        <w:bidi w:val="0"/>
        <w:rPr>
          <w:rFonts w:hint="eastAsia"/>
          <w:b w:val="0"/>
          <w:bCs w:val="0"/>
          <w:lang w:val="en-US" w:eastAsia="zh-CN"/>
        </w:rPr>
      </w:pPr>
      <w:r>
        <w:rPr>
          <w:rFonts w:hint="eastAsia"/>
          <w:b w:val="0"/>
          <w:bCs w:val="0"/>
          <w:lang w:val="en-US" w:eastAsia="zh-CN"/>
        </w:rPr>
        <w:t>2020年苍溪县总用水量1.2489亿立方米。</w:t>
      </w:r>
    </w:p>
    <w:p>
      <w:pPr>
        <w:bidi w:val="0"/>
        <w:rPr>
          <w:rFonts w:hint="default"/>
          <w:b w:val="0"/>
          <w:bCs w:val="0"/>
          <w:lang w:val="en-US"/>
        </w:rPr>
      </w:pPr>
      <w:r>
        <w:rPr>
          <w:rFonts w:hint="default"/>
          <w:b w:val="0"/>
          <w:bCs w:val="0"/>
          <w:lang w:val="en-US" w:eastAsia="zh-CN"/>
        </w:rPr>
        <w:t>WRU= WU / WR=1.2489/15.58=0.0801</w:t>
      </w:r>
      <w:r>
        <w:rPr>
          <w:rFonts w:hint="default"/>
          <w:b w:val="0"/>
          <w:bCs w:val="0"/>
        </w:rPr>
        <w:t>≤20%</w:t>
      </w:r>
    </w:p>
    <w:p>
      <w:pPr>
        <w:bidi w:val="0"/>
        <w:rPr>
          <w:rFonts w:hint="eastAsia"/>
          <w:b w:val="0"/>
          <w:bCs w:val="0"/>
          <w:lang w:val="en-US" w:eastAsia="zh-CN"/>
        </w:rPr>
      </w:pPr>
      <w:r>
        <w:rPr>
          <w:rFonts w:hint="eastAsia"/>
          <w:b w:val="0"/>
          <w:bCs w:val="0"/>
          <w:lang w:val="en-US" w:eastAsia="zh-CN"/>
        </w:rPr>
        <w:t>赋分指标为100分。</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4.1.2 河流生态用水满足程度</w:t>
      </w:r>
    </w:p>
    <w:p>
      <w:pPr>
        <w:pStyle w:val="43"/>
        <w:ind w:left="0" w:leftChars="0" w:firstLine="0" w:firstLineChars="0"/>
        <w:jc w:val="both"/>
        <w:outlineLvl w:val="8"/>
        <w:rPr>
          <w:rFonts w:hint="eastAsia"/>
          <w:sz w:val="24"/>
          <w:szCs w:val="24"/>
          <w:lang w:val="en-US" w:eastAsia="zh-CN"/>
        </w:rPr>
      </w:pPr>
      <w:r>
        <w:rPr>
          <w:rFonts w:hint="eastAsia"/>
          <w:sz w:val="24"/>
          <w:szCs w:val="24"/>
          <w:lang w:val="en-US" w:eastAsia="zh-CN"/>
        </w:rPr>
        <w:t xml:space="preserve"> 河流生态流量满足程度评估赋分标准表</w:t>
      </w:r>
    </w:p>
    <w:tbl>
      <w:tblPr>
        <w:tblStyle w:val="28"/>
        <w:tblW w:w="57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1238"/>
        <w:gridCol w:w="1238"/>
        <w:gridCol w:w="1082"/>
        <w:gridCol w:w="1056"/>
        <w:gridCol w:w="1162"/>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（10-3月）最小日均流量占比</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15%-20%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10%-15%</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5%-10%</w:t>
            </w:r>
          </w:p>
        </w:tc>
        <w:tc>
          <w:tcPr>
            <w:tcW w:w="59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&lt;5%（无）</w:t>
            </w:r>
          </w:p>
        </w:tc>
        <w:tc>
          <w:tcPr>
            <w:tcW w:w="616"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人为断流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59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616" w:type="pct"/>
            <w:noWrap w:val="0"/>
            <w:vAlign w:val="center"/>
          </w:tcPr>
          <w:p>
            <w:pPr>
              <w:pStyle w:val="46"/>
              <w:adjustRightInd w:val="0"/>
              <w:snapToGrid w:val="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（4-9月）最小日均流量占比</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40%-50%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30%-40%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10%-30%</w:t>
            </w:r>
          </w:p>
        </w:tc>
        <w:tc>
          <w:tcPr>
            <w:tcW w:w="1209"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552"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53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1209"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bidi w:val="0"/>
        <w:rPr>
          <w:rFonts w:hint="eastAsia" w:ascii="宋体" w:hAnsi="宋体" w:eastAsia="宋体" w:cs="宋体"/>
          <w:b w:val="0"/>
          <w:bCs w:val="0"/>
        </w:rPr>
      </w:pPr>
    </w:p>
    <w:p>
      <w:pPr>
        <w:bidi w:val="0"/>
        <w:rPr>
          <w:rFonts w:hint="eastAsia"/>
          <w:b w:val="0"/>
          <w:bCs w:val="0"/>
          <w:lang w:val="en-US" w:eastAsia="zh-CN"/>
        </w:rPr>
      </w:pPr>
      <w:r>
        <w:rPr>
          <w:rFonts w:hint="eastAsia"/>
          <w:b w:val="0"/>
          <w:bCs w:val="0"/>
        </w:rPr>
        <w:t>10-3 月最小日均流量占比</w:t>
      </w:r>
      <w:r>
        <w:rPr>
          <w:rFonts w:hint="eastAsia"/>
          <w:b w:val="0"/>
          <w:bCs w:val="0"/>
          <w:lang w:val="en-US" w:eastAsia="zh-CN"/>
        </w:rPr>
        <w:t>25.6m3/s，</w:t>
      </w:r>
      <w:r>
        <w:rPr>
          <w:rFonts w:hint="eastAsia"/>
          <w:b w:val="0"/>
          <w:bCs w:val="0"/>
        </w:rPr>
        <w:t>最小日均流量</w:t>
      </w:r>
      <w:r>
        <w:rPr>
          <w:rFonts w:hint="eastAsia"/>
          <w:b w:val="0"/>
          <w:bCs w:val="0"/>
          <w:lang w:val="en-US" w:eastAsia="zh-CN"/>
        </w:rPr>
        <w:t>4m3/s。</w:t>
      </w:r>
      <w:r>
        <w:rPr>
          <w:rFonts w:hint="eastAsia"/>
          <w:b w:val="0"/>
          <w:bCs w:val="0"/>
        </w:rPr>
        <w:t>4-9 月</w:t>
      </w:r>
      <w:r>
        <w:rPr>
          <w:rFonts w:hint="eastAsia"/>
          <w:b w:val="0"/>
          <w:bCs w:val="0"/>
          <w:lang w:eastAsia="zh-CN"/>
        </w:rPr>
        <w:t>沙溪浩平均流量</w:t>
      </w:r>
      <w:r>
        <w:rPr>
          <w:rFonts w:hint="eastAsia"/>
          <w:b w:val="0"/>
          <w:bCs w:val="0"/>
          <w:lang w:val="en-US" w:eastAsia="zh-CN"/>
        </w:rPr>
        <w:t>273.2m3/s</w:t>
      </w:r>
      <w:r>
        <w:rPr>
          <w:rFonts w:hint="eastAsia"/>
          <w:b w:val="0"/>
          <w:bCs w:val="0"/>
        </w:rPr>
        <w:t>最小日均流量</w:t>
      </w:r>
      <w:r>
        <w:rPr>
          <w:rFonts w:hint="eastAsia"/>
          <w:b w:val="0"/>
          <w:bCs w:val="0"/>
          <w:lang w:val="en-US" w:eastAsia="zh-CN"/>
        </w:rPr>
        <w:t xml:space="preserve">123m3/s </w:t>
      </w:r>
    </w:p>
    <w:p>
      <w:pPr>
        <w:bidi w:val="0"/>
        <w:rPr>
          <w:rFonts w:hint="eastAsia"/>
          <w:b w:val="0"/>
          <w:bCs w:val="0"/>
          <w:lang w:val="en-US" w:eastAsia="zh-CN"/>
        </w:rPr>
      </w:pPr>
      <w:r>
        <w:rPr>
          <w:rFonts w:hint="eastAsia"/>
          <w:b w:val="0"/>
          <w:bCs w:val="0"/>
          <w:lang w:val="en-US" w:eastAsia="zh-CN"/>
        </w:rPr>
        <w:t>根据表分别计算赋分值，取二者的最低赋分为河流生态用水满足程度赋分。</w:t>
      </w:r>
    </w:p>
    <w:p>
      <w:pPr>
        <w:bidi w:val="0"/>
        <w:rPr>
          <w:rFonts w:hint="eastAsia"/>
          <w:b w:val="0"/>
          <w:bCs w:val="0"/>
          <w:lang w:val="en-US" w:eastAsia="zh-CN"/>
        </w:rPr>
      </w:pPr>
      <w:r>
        <w:rPr>
          <w:rFonts w:hint="eastAsia"/>
          <w:b w:val="0"/>
          <w:bCs w:val="0"/>
        </w:rPr>
        <w:t>10-3 月最小日均流量占比</w:t>
      </w:r>
      <w:r>
        <w:rPr>
          <w:rFonts w:hint="eastAsia"/>
          <w:b w:val="0"/>
          <w:bCs w:val="0"/>
          <w:lang w:val="en-US" w:eastAsia="zh-CN"/>
        </w:rPr>
        <w:t>25.6m3/s，</w:t>
      </w:r>
      <w:r>
        <w:rPr>
          <w:rFonts w:hint="eastAsia"/>
          <w:b w:val="0"/>
          <w:bCs w:val="0"/>
        </w:rPr>
        <w:t>最小日均流量</w:t>
      </w:r>
      <w:r>
        <w:rPr>
          <w:rFonts w:hint="eastAsia"/>
          <w:b w:val="0"/>
          <w:bCs w:val="0"/>
          <w:lang w:val="en-US" w:eastAsia="zh-CN"/>
        </w:rPr>
        <w:t>4m3/s</w:t>
      </w:r>
      <w:r>
        <w:rPr>
          <w:rFonts w:hint="eastAsia"/>
          <w:b w:val="0"/>
          <w:bCs w:val="0"/>
        </w:rPr>
        <w:t>占</w:t>
      </w:r>
      <w:r>
        <w:rPr>
          <w:rFonts w:hint="eastAsia"/>
          <w:b w:val="0"/>
          <w:bCs w:val="0"/>
          <w:lang w:eastAsia="zh-CN"/>
        </w:rPr>
        <w:t>比</w:t>
      </w:r>
      <m:oMath>
        <m:f>
          <m:fPr>
            <m:ctrlPr>
              <w:rPr>
                <w:rFonts w:hint="eastAsia" w:ascii="Cambria Math" w:hAnsi="Cambria Math"/>
                <w:b w:val="0"/>
                <w:bCs w:val="0"/>
              </w:rPr>
            </m:ctrlPr>
          </m:fPr>
          <m:num>
            <m:r>
              <m:rPr>
                <m:sty m:val="p"/>
              </m:rPr>
              <w:rPr>
                <w:rFonts w:hint="eastAsia" w:ascii="Cambria Math" w:hAnsi="Cambria Math"/>
                <w:lang w:val="en-US" w:eastAsia="zh-CN"/>
              </w:rPr>
              <m:t>4</m:t>
            </m:r>
            <m:ctrlPr>
              <w:rPr>
                <w:rFonts w:hint="eastAsia" w:ascii="Cambria Math" w:hAnsi="Cambria Math"/>
                <w:b w:val="0"/>
                <w:bCs w:val="0"/>
              </w:rPr>
            </m:ctrlPr>
          </m:num>
          <m:den>
            <m:r>
              <m:rPr>
                <m:sty m:val="p"/>
              </m:rPr>
              <w:rPr>
                <w:rFonts w:hint="eastAsia" w:ascii="Cambria Math" w:hAnsi="Cambria Math"/>
                <w:lang w:val="en-US" w:eastAsia="zh-CN"/>
              </w:rPr>
              <m:t>.25.6</m:t>
            </m:r>
            <m:ctrlPr>
              <w:rPr>
                <w:rFonts w:hint="eastAsia" w:ascii="Cambria Math" w:hAnsi="Cambria Math"/>
                <w:b w:val="0"/>
                <w:bCs w:val="0"/>
              </w:rPr>
            </m:ctrlPr>
          </m:den>
        </m:f>
      </m:oMath>
      <w:r>
        <w:rPr>
          <w:rFonts w:hint="eastAsia"/>
          <w:b w:val="0"/>
          <w:bCs w:val="0"/>
          <w:lang w:val="en-US" w:eastAsia="zh-CN"/>
        </w:rPr>
        <w:t>=0.15赋分80分。</w:t>
      </w:r>
    </w:p>
    <w:p>
      <w:pPr>
        <w:bidi w:val="0"/>
        <w:rPr>
          <w:rFonts w:hint="eastAsia"/>
          <w:b w:val="0"/>
          <w:bCs w:val="0"/>
          <w:lang w:val="en-US" w:eastAsia="zh-CN"/>
        </w:rPr>
      </w:pPr>
      <w:r>
        <w:rPr>
          <w:rFonts w:hint="eastAsia"/>
          <w:b w:val="0"/>
          <w:bCs w:val="0"/>
        </w:rPr>
        <w:t>4-9 月</w:t>
      </w:r>
      <w:r>
        <w:rPr>
          <w:rFonts w:hint="eastAsia"/>
          <w:b w:val="0"/>
          <w:bCs w:val="0"/>
          <w:lang w:eastAsia="zh-CN"/>
        </w:rPr>
        <w:t>沙溪浩平均流量</w:t>
      </w:r>
      <w:r>
        <w:rPr>
          <w:rFonts w:hint="eastAsia"/>
          <w:b w:val="0"/>
          <w:bCs w:val="0"/>
          <w:lang w:val="en-US" w:eastAsia="zh-CN"/>
        </w:rPr>
        <w:t>273.2m3/s</w:t>
      </w:r>
      <w:r>
        <w:rPr>
          <w:rFonts w:hint="eastAsia"/>
          <w:b w:val="0"/>
          <w:bCs w:val="0"/>
        </w:rPr>
        <w:t>最小日均流量</w:t>
      </w:r>
      <w:r>
        <w:rPr>
          <w:rFonts w:hint="eastAsia"/>
          <w:b w:val="0"/>
          <w:bCs w:val="0"/>
          <w:lang w:val="en-US" w:eastAsia="zh-CN"/>
        </w:rPr>
        <w:t xml:space="preserve">123m3/s </w:t>
      </w:r>
      <w:r>
        <w:rPr>
          <w:rFonts w:hint="eastAsia"/>
          <w:b w:val="0"/>
          <w:bCs w:val="0"/>
        </w:rPr>
        <w:t>占</w:t>
      </w:r>
      <m:oMath>
        <m:f>
          <m:fPr>
            <m:ctrlPr>
              <w:rPr>
                <w:rFonts w:hint="eastAsia" w:ascii="Cambria Math" w:hAnsi="Cambria Math"/>
                <w:b w:val="0"/>
                <w:bCs w:val="0"/>
              </w:rPr>
            </m:ctrlPr>
          </m:fPr>
          <m:num>
            <m:r>
              <m:rPr>
                <m:sty m:val="p"/>
              </m:rPr>
              <w:rPr>
                <w:rFonts w:hint="eastAsia" w:ascii="Cambria Math" w:hAnsi="Cambria Math"/>
                <w:lang w:val="en-US" w:eastAsia="zh-CN"/>
              </w:rPr>
              <m:t>123</m:t>
            </m:r>
            <m:ctrlPr>
              <w:rPr>
                <w:rFonts w:hint="eastAsia" w:ascii="Cambria Math" w:hAnsi="Cambria Math"/>
                <w:b w:val="0"/>
                <w:bCs w:val="0"/>
              </w:rPr>
            </m:ctrlPr>
          </m:num>
          <m:den>
            <m:r>
              <m:rPr>
                <m:sty m:val="p"/>
              </m:rPr>
              <w:rPr>
                <w:rFonts w:hint="eastAsia" w:ascii="Cambria Math" w:hAnsi="Cambria Math"/>
                <w:lang w:val="en-US" w:eastAsia="zh-CN"/>
              </w:rPr>
              <m:t>273.2</m:t>
            </m:r>
            <m:ctrlPr>
              <w:rPr>
                <w:rFonts w:hint="eastAsia" w:ascii="Cambria Math" w:hAnsi="Cambria Math"/>
                <w:b w:val="0"/>
                <w:bCs w:val="0"/>
              </w:rPr>
            </m:ctrlPr>
          </m:den>
        </m:f>
      </m:oMath>
      <w:r>
        <w:rPr>
          <w:rFonts w:hint="eastAsia"/>
          <w:b w:val="0"/>
          <w:bCs w:val="0"/>
          <w:lang w:val="en-US" w:eastAsia="zh-CN"/>
        </w:rPr>
        <w:t>=0.45属于</w:t>
      </w:r>
      <w:r>
        <w:rPr>
          <w:rFonts w:hint="eastAsia"/>
          <w:b w:val="0"/>
          <w:bCs w:val="0"/>
        </w:rPr>
        <w:t>40%-50%</w:t>
      </w:r>
      <w:r>
        <w:rPr>
          <w:rFonts w:hint="eastAsia"/>
          <w:b w:val="0"/>
          <w:bCs w:val="0"/>
          <w:lang w:eastAsia="zh-CN"/>
        </w:rPr>
        <w:t>赋分</w:t>
      </w:r>
      <w:r>
        <w:rPr>
          <w:rFonts w:hint="eastAsia"/>
          <w:b w:val="0"/>
          <w:bCs w:val="0"/>
          <w:lang w:val="en-US" w:eastAsia="zh-CN"/>
        </w:rPr>
        <w:t>80分。</w:t>
      </w:r>
    </w:p>
    <w:p>
      <w:pPr>
        <w:bidi w:val="0"/>
        <w:rPr>
          <w:rFonts w:hint="eastAsia" w:ascii="宋体" w:hAnsi="宋体" w:eastAsia="宋体" w:cs="宋体"/>
          <w:b w:val="0"/>
          <w:bCs w:val="0"/>
          <w:sz w:val="24"/>
          <w:szCs w:val="24"/>
          <w:lang w:val="en-US" w:eastAsia="zh-CN"/>
        </w:rPr>
      </w:pPr>
      <w:r>
        <w:rPr>
          <w:rFonts w:hint="eastAsia"/>
          <w:b w:val="0"/>
          <w:bCs w:val="0"/>
          <w:lang w:val="en-US" w:eastAsia="zh-CN"/>
        </w:rPr>
        <w:t>河流生态用水满足程度赋分80分。</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4.1.3 稳定性指标</w:t>
      </w:r>
    </w:p>
    <w:p>
      <w:pPr>
        <w:pStyle w:val="8"/>
        <w:ind w:firstLine="0" w:firstLineChars="0"/>
        <w:jc w:val="left"/>
      </w:pPr>
      <w:r>
        <w:drawing>
          <wp:inline distT="0" distB="0" distL="114300" distR="114300">
            <wp:extent cx="5787390" cy="2559685"/>
            <wp:effectExtent l="0" t="0" r="3810" b="12065"/>
            <wp:docPr id="5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6"/>
                    <pic:cNvPicPr>
                      <a:picLocks noChangeAspect="1"/>
                    </pic:cNvPicPr>
                  </pic:nvPicPr>
                  <pic:blipFill>
                    <a:blip r:embed="rId95"/>
                    <a:stretch>
                      <a:fillRect/>
                    </a:stretch>
                  </pic:blipFill>
                  <pic:spPr>
                    <a:xfrm>
                      <a:off x="0" y="0"/>
                      <a:ext cx="5787390" cy="2559685"/>
                    </a:xfrm>
                    <a:prstGeom prst="rect">
                      <a:avLst/>
                    </a:prstGeom>
                    <a:noFill/>
                    <a:ln>
                      <a:noFill/>
                    </a:ln>
                  </pic:spPr>
                </pic:pic>
              </a:graphicData>
            </a:graphic>
          </wp:inline>
        </w:drawing>
      </w:r>
    </w:p>
    <w:p>
      <w:pPr>
        <w:ind w:firstLine="482" w:firstLineChars="200"/>
        <w:jc w:val="center"/>
        <w:outlineLvl w:val="8"/>
        <w:rPr>
          <w:rFonts w:hint="eastAsia" w:ascii="Times New Roman" w:hAnsi="Times New Roman" w:cs="Times New Roman"/>
          <w:b/>
          <w:bCs/>
          <w:sz w:val="24"/>
          <w:szCs w:val="24"/>
        </w:rPr>
      </w:pPr>
      <w:r>
        <w:rPr>
          <w:rFonts w:hint="default" w:ascii="Times New Roman" w:hAnsi="Times New Roman" w:cs="Times New Roman"/>
          <w:b/>
          <w:bCs/>
          <w:sz w:val="24"/>
          <w:szCs w:val="24"/>
        </w:rPr>
        <w:t>河（湖）岸稳定性指标示意图</w:t>
      </w:r>
    </w:p>
    <w:p>
      <w:pPr>
        <w:pStyle w:val="43"/>
        <w:ind w:left="0" w:leftChars="0" w:firstLine="0" w:firstLineChars="0"/>
        <w:jc w:val="both"/>
        <w:outlineLvl w:val="8"/>
      </w:pPr>
      <w:r>
        <w:t>河（湖、库）岸线自然状况评估分指标评估赋分标准表</w:t>
      </w:r>
    </w:p>
    <w:tbl>
      <w:tblPr>
        <w:tblStyle w:val="28"/>
        <w:tblW w:w="53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1650"/>
        <w:gridCol w:w="1917"/>
        <w:gridCol w:w="1840"/>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岸坡特征</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稳定</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基本稳定</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次不稳定</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不稳定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分值</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100≥BKSr＞75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75≥ BKSr＞25</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25≥BKSr＞0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BKSr＝0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斜坡倾角（度）</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&lt;15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15-30</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30-45</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植被覆盖率（%）</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&gt;75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50-75</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25-50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斜坡高度（米）</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&lt;5</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5-10</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10-30</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基质（类别）</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岩质河岸</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岩质或土质河岸</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岩土混合河岸</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土质河岸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河岸冲刷状况</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无冲刷现象</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轻度冲刷</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中度冲刷</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重度冲刷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pct"/>
            <w:noWrap w:val="0"/>
            <w:vAlign w:val="center"/>
          </w:tcPr>
          <w:p>
            <w:pPr>
              <w:spacing w:line="240" w:lineRule="atLeast"/>
              <w:ind w:left="0" w:leftChars="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总体特征描述</w:t>
            </w:r>
          </w:p>
        </w:tc>
        <w:tc>
          <w:tcPr>
            <w:tcW w:w="900"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近期内河（湖、库）岸不会发生变形破坏，无水土流失现象</w:t>
            </w:r>
          </w:p>
        </w:tc>
        <w:tc>
          <w:tcPr>
            <w:tcW w:w="1046"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河（湖、库）岸结构有松动发育迹象，有水土流失迹象，但近期不会发生变形和破坏</w:t>
            </w:r>
          </w:p>
        </w:tc>
        <w:tc>
          <w:tcPr>
            <w:tcW w:w="1004"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河（湖、库）岸松动裂痕发育趋势明显，一定条件下可导致河岸变形和破坏，中度水土流失</w:t>
            </w:r>
          </w:p>
        </w:tc>
        <w:tc>
          <w:tcPr>
            <w:tcW w:w="986" w:type="pct"/>
            <w:noWrap w:val="0"/>
            <w:vAlign w:val="center"/>
          </w:tcPr>
          <w:p>
            <w:pPr>
              <w:spacing w:line="240" w:lineRule="atLeast"/>
              <w:ind w:left="0" w:leftChars="0" w:right="-120" w:rightChars="-50" w:firstLine="0" w:firstLineChars="0"/>
              <w:jc w:val="center"/>
              <w:rPr>
                <w:rFonts w:hint="default" w:ascii="Times New Roman" w:hAnsi="Times New Roman" w:cs="Times New Roman"/>
                <w:spacing w:val="-6"/>
                <w:sz w:val="18"/>
                <w:szCs w:val="18"/>
              </w:rPr>
            </w:pPr>
            <w:r>
              <w:rPr>
                <w:rFonts w:hint="default" w:ascii="Times New Roman" w:hAnsi="Times New Roman" w:cs="Times New Roman"/>
                <w:spacing w:val="-6"/>
                <w:sz w:val="18"/>
                <w:szCs w:val="18"/>
              </w:rPr>
              <w:t>河（湖、库）岸水土流失严重，随时可能发生大的变形和破坏，或已经发生破坏</w:t>
            </w:r>
          </w:p>
        </w:tc>
      </w:tr>
    </w:tbl>
    <w:p>
      <w:pPr>
        <w:ind w:firstLine="480"/>
        <w:rPr>
          <w:rFonts w:hint="eastAsia"/>
        </w:rPr>
      </w:pPr>
    </w:p>
    <w:p>
      <w:pPr>
        <w:bidi w:val="0"/>
        <w:rPr>
          <w:rFonts w:hint="eastAsia"/>
          <w:b w:val="0"/>
          <w:bCs w:val="0"/>
        </w:rPr>
      </w:pPr>
      <w:r>
        <w:rPr>
          <w:rFonts w:hint="eastAsia"/>
          <w:b w:val="0"/>
          <w:bCs w:val="0"/>
        </w:rPr>
        <w:t>根据河（湖、库）岸坡侵蚀现状（包括已经发生的或潜在发生的河岸侵蚀）进行评估，评估要素包括：岸坡倾角、河岸高度、基质特征、岸坡植被覆盖度和坡脚冲刷强度，采用公式计算。</w:t>
      </w:r>
    </w:p>
    <w:p>
      <w:pPr>
        <w:bidi w:val="0"/>
        <w:rPr>
          <w:rFonts w:hint="eastAsia"/>
          <w:b w:val="0"/>
          <w:bCs w:val="0"/>
        </w:rPr>
      </w:pPr>
      <w:r>
        <w:rPr>
          <w:rFonts w:hint="eastAsia"/>
          <w:b w:val="0"/>
          <w:bCs w:val="0"/>
        </w:rPr>
        <w:object>
          <v:shape id="_x0000_i1063" o:spt="75" type="#_x0000_t75" style="height:15.75pt;width:201.75pt;" o:ole="t" filled="f" o:preferrelative="t" stroked="f" coordsize="21600,21600">
            <v:path/>
            <v:fill on="f" focussize="0,0"/>
            <v:stroke on="f" joinstyle="miter"/>
            <v:imagedata r:id="rId90" o:title=""/>
            <o:lock v:ext="edit" aspectratio="t"/>
            <w10:wrap type="none"/>
            <w10:anchorlock/>
          </v:shape>
          <o:OLEObject Type="Embed" ProgID="Equation.3" ShapeID="_x0000_i1063" DrawAspect="Content" ObjectID="_1468075763" r:id="rId106">
            <o:LockedField>false</o:LockedField>
          </o:OLEObject>
        </w:object>
      </w:r>
    </w:p>
    <w:p>
      <w:pPr>
        <w:bidi w:val="0"/>
        <w:rPr>
          <w:rFonts w:hint="eastAsia"/>
          <w:b w:val="0"/>
          <w:bCs w:val="0"/>
        </w:rPr>
      </w:pPr>
      <w:r>
        <w:rPr>
          <w:rFonts w:hint="eastAsia"/>
          <w:b w:val="0"/>
          <w:bCs w:val="0"/>
        </w:rPr>
        <w:t>式中：</w:t>
      </w:r>
    </w:p>
    <w:p>
      <w:pPr>
        <w:bidi w:val="0"/>
        <w:rPr>
          <w:rFonts w:hint="eastAsia"/>
          <w:b w:val="0"/>
          <w:bCs w:val="0"/>
        </w:rPr>
      </w:pPr>
      <w:r>
        <w:rPr>
          <w:rFonts w:hint="eastAsia"/>
          <w:b w:val="0"/>
          <w:bCs w:val="0"/>
        </w:rPr>
        <w:t>BKSr──岸坡稳定性指标赋分；</w:t>
      </w:r>
    </w:p>
    <w:p>
      <w:pPr>
        <w:bidi w:val="0"/>
        <w:rPr>
          <w:rFonts w:hint="eastAsia"/>
          <w:b w:val="0"/>
          <w:bCs w:val="0"/>
        </w:rPr>
      </w:pPr>
      <w:r>
        <w:rPr>
          <w:rFonts w:hint="eastAsia"/>
          <w:b w:val="0"/>
          <w:bCs w:val="0"/>
        </w:rPr>
        <w:t>SAr──岸坡倾角分值；</w:t>
      </w:r>
    </w:p>
    <w:p>
      <w:pPr>
        <w:bidi w:val="0"/>
        <w:rPr>
          <w:rFonts w:hint="eastAsia"/>
          <w:b w:val="0"/>
          <w:bCs w:val="0"/>
        </w:rPr>
      </w:pPr>
      <w:r>
        <w:rPr>
          <w:rFonts w:hint="eastAsia"/>
          <w:b w:val="0"/>
          <w:bCs w:val="0"/>
        </w:rPr>
        <w:t>SCr──岸坡植被覆盖度分值；</w:t>
      </w:r>
    </w:p>
    <w:p>
      <w:pPr>
        <w:bidi w:val="0"/>
        <w:rPr>
          <w:rFonts w:hint="eastAsia"/>
          <w:b w:val="0"/>
          <w:bCs w:val="0"/>
        </w:rPr>
      </w:pPr>
      <w:r>
        <w:rPr>
          <w:rFonts w:hint="eastAsia"/>
          <w:b w:val="0"/>
          <w:bCs w:val="0"/>
        </w:rPr>
        <w:t>SHr──岸坡高度分值；</w:t>
      </w:r>
    </w:p>
    <w:p>
      <w:pPr>
        <w:bidi w:val="0"/>
        <w:rPr>
          <w:rFonts w:hint="eastAsia"/>
          <w:b w:val="0"/>
          <w:bCs w:val="0"/>
        </w:rPr>
      </w:pPr>
      <w:r>
        <w:rPr>
          <w:rFonts w:hint="eastAsia"/>
          <w:b w:val="0"/>
          <w:bCs w:val="0"/>
        </w:rPr>
        <w:t>SMr──河岸基质分值；</w:t>
      </w:r>
    </w:p>
    <w:p>
      <w:pPr>
        <w:bidi w:val="0"/>
        <w:rPr>
          <w:rFonts w:hint="eastAsia"/>
          <w:b w:val="0"/>
          <w:bCs w:val="0"/>
        </w:rPr>
      </w:pPr>
      <w:r>
        <w:rPr>
          <w:rFonts w:hint="eastAsia"/>
          <w:b w:val="0"/>
          <w:bCs w:val="0"/>
        </w:rPr>
        <w:t>STr──坡脚冲刷强度分值。</w:t>
      </w:r>
    </w:p>
    <w:p>
      <w:pPr>
        <w:bidi w:val="0"/>
        <w:rPr>
          <w:rFonts w:hint="eastAsia"/>
          <w:b w:val="0"/>
          <w:bCs w:val="0"/>
          <w:lang w:val="en-US" w:eastAsia="zh-CN"/>
        </w:rPr>
      </w:pPr>
      <w:r>
        <w:rPr>
          <w:rFonts w:hint="eastAsia"/>
          <w:b w:val="0"/>
          <w:bCs w:val="0"/>
          <w:lang w:val="en-US" w:eastAsia="zh-CN"/>
        </w:rPr>
        <w:t>岸坡稳定性指标：</w:t>
      </w:r>
    </w:p>
    <w:p>
      <w:pPr>
        <w:bidi w:val="0"/>
        <w:rPr>
          <w:rFonts w:hint="default"/>
          <w:b w:val="0"/>
          <w:bCs w:val="0"/>
          <w:lang w:val="en-US" w:eastAsia="zh-CN"/>
        </w:rPr>
      </w:pPr>
      <w:r>
        <w:rPr>
          <w:rFonts w:hint="eastAsia"/>
          <w:b w:val="0"/>
          <w:bCs w:val="0"/>
          <w:lang w:val="en-US" w:eastAsia="zh-CN"/>
        </w:rPr>
        <w:t>河道主要特征平缓岸坡左岸：21.622° 右岸：18.022°。赋分50。</w:t>
      </w:r>
    </w:p>
    <w:p>
      <w:pPr>
        <w:bidi w:val="0"/>
        <w:rPr>
          <w:rFonts w:hint="eastAsia"/>
          <w:b w:val="0"/>
          <w:bCs w:val="0"/>
          <w:lang w:val="en-US" w:eastAsia="zh-CN"/>
        </w:rPr>
      </w:pPr>
      <w:r>
        <w:rPr>
          <w:rFonts w:hint="eastAsia"/>
          <w:b w:val="0"/>
          <w:bCs w:val="0"/>
          <w:lang w:val="en-US" w:eastAsia="zh-CN"/>
        </w:rPr>
        <w:t>参考苍溪县森林覆盖率50.3%，沙溪浩流域内五龙镇森林覆盖率48%，河岸覆盖面积可取赋分为70分。</w:t>
      </w:r>
    </w:p>
    <w:p>
      <w:pPr>
        <w:bidi w:val="0"/>
        <w:rPr>
          <w:rFonts w:hint="default"/>
          <w:b w:val="0"/>
          <w:bCs w:val="0"/>
          <w:lang w:val="en-US" w:eastAsia="zh-CN"/>
        </w:rPr>
      </w:pPr>
      <w:r>
        <w:rPr>
          <w:rFonts w:hint="eastAsia"/>
          <w:b w:val="0"/>
          <w:bCs w:val="0"/>
          <w:lang w:val="en-US" w:eastAsia="zh-CN"/>
        </w:rPr>
        <w:t>岸坡高度：</w:t>
      </w:r>
      <w:r>
        <w:rPr>
          <w:rFonts w:hint="eastAsia"/>
          <w:b w:val="0"/>
          <w:bCs w:val="0"/>
        </w:rPr>
        <w:t>斜坡高度</w:t>
      </w:r>
      <w:r>
        <w:rPr>
          <w:rFonts w:hint="eastAsia"/>
          <w:b w:val="0"/>
          <w:bCs w:val="0"/>
          <w:lang w:val="en-US" w:eastAsia="zh-CN"/>
        </w:rPr>
        <w:t>稳定在5-10米之间。赋分60。</w:t>
      </w:r>
    </w:p>
    <w:p>
      <w:pPr>
        <w:bidi w:val="0"/>
        <w:rPr>
          <w:rFonts w:hint="eastAsia"/>
          <w:b w:val="0"/>
          <w:bCs w:val="0"/>
          <w:lang w:eastAsia="zh-CN"/>
        </w:rPr>
      </w:pPr>
      <w:r>
        <w:rPr>
          <w:rFonts w:hint="eastAsia"/>
          <w:b w:val="0"/>
          <w:bCs w:val="0"/>
        </w:rPr>
        <w:t>河岸冲刷状况</w:t>
      </w:r>
      <w:r>
        <w:rPr>
          <w:rFonts w:hint="eastAsia"/>
          <w:b w:val="0"/>
          <w:bCs w:val="0"/>
          <w:lang w:val="en-US" w:eastAsia="zh-CN"/>
        </w:rPr>
        <w:t>：</w:t>
      </w:r>
      <w:r>
        <w:rPr>
          <w:rFonts w:hint="eastAsia"/>
          <w:b w:val="0"/>
          <w:bCs w:val="0"/>
        </w:rPr>
        <w:t>轻度冲刷</w:t>
      </w:r>
      <w:r>
        <w:rPr>
          <w:rFonts w:hint="eastAsia"/>
          <w:b w:val="0"/>
          <w:bCs w:val="0"/>
          <w:lang w:eastAsia="zh-CN"/>
        </w:rPr>
        <w:t>。</w:t>
      </w:r>
      <w:r>
        <w:rPr>
          <w:rFonts w:hint="eastAsia"/>
          <w:b w:val="0"/>
          <w:bCs w:val="0"/>
        </w:rPr>
        <w:t>河岸冲刷状况轻度冲刷</w:t>
      </w:r>
      <w:r>
        <w:rPr>
          <w:rFonts w:hint="eastAsia"/>
          <w:b w:val="0"/>
          <w:bCs w:val="0"/>
          <w:lang w:eastAsia="zh-CN"/>
        </w:rPr>
        <w:t>分值</w:t>
      </w:r>
      <w:r>
        <w:rPr>
          <w:rFonts w:hint="eastAsia"/>
          <w:b w:val="0"/>
          <w:bCs w:val="0"/>
          <w:lang w:val="en-US" w:eastAsia="zh-CN"/>
        </w:rPr>
        <w:t>75分</w:t>
      </w:r>
      <w:r>
        <w:rPr>
          <w:rFonts w:hint="eastAsia"/>
          <w:b w:val="0"/>
          <w:bCs w:val="0"/>
          <w:lang w:eastAsia="zh-CN"/>
        </w:rPr>
        <w:t>。</w:t>
      </w:r>
    </w:p>
    <w:p>
      <w:pPr>
        <w:bidi w:val="0"/>
        <w:rPr>
          <w:rFonts w:hint="eastAsia"/>
          <w:b w:val="0"/>
          <w:bCs w:val="0"/>
          <w:lang w:val="en-US" w:eastAsia="zh-CN"/>
        </w:rPr>
      </w:pPr>
      <w:r>
        <w:rPr>
          <w:rFonts w:hint="eastAsia"/>
          <w:b w:val="0"/>
          <w:bCs w:val="0"/>
        </w:rPr>
        <w:t>总体特征描述</w:t>
      </w:r>
      <w:r>
        <w:rPr>
          <w:rFonts w:hint="eastAsia"/>
          <w:b w:val="0"/>
          <w:bCs w:val="0"/>
          <w:lang w:eastAsia="zh-CN"/>
        </w:rPr>
        <w:t>：</w:t>
      </w:r>
      <w:r>
        <w:rPr>
          <w:rFonts w:hint="eastAsia"/>
          <w:b w:val="0"/>
          <w:bCs w:val="0"/>
        </w:rPr>
        <w:t>河（湖、库）岸结构有松动发育迹象，有水土流失迹象，但近期不会发生变形和破坏</w:t>
      </w:r>
      <w:r>
        <w:rPr>
          <w:rFonts w:hint="eastAsia"/>
          <w:b w:val="0"/>
          <w:bCs w:val="0"/>
          <w:lang w:eastAsia="zh-CN"/>
        </w:rPr>
        <w:t>。</w:t>
      </w:r>
    </w:p>
    <w:p>
      <w:pPr>
        <w:bidi w:val="0"/>
        <w:rPr>
          <w:rFonts w:hint="default"/>
          <w:b w:val="0"/>
          <w:bCs w:val="0"/>
          <w:lang w:val="en-US" w:eastAsia="zh-CN"/>
        </w:rPr>
      </w:pPr>
      <w:r>
        <w:rPr>
          <w:rFonts w:hint="default"/>
          <w:b w:val="0"/>
          <w:bCs w:val="0"/>
        </w:rPr>
        <w:t>BKSr=（</w:t>
      </w:r>
      <w:r>
        <w:rPr>
          <w:rFonts w:hint="eastAsia"/>
          <w:b w:val="0"/>
          <w:bCs w:val="0"/>
          <w:lang w:val="en-US" w:eastAsia="zh-CN"/>
        </w:rPr>
        <w:t>50</w:t>
      </w:r>
      <w:r>
        <w:rPr>
          <w:rFonts w:hint="default"/>
          <w:b w:val="0"/>
          <w:bCs w:val="0"/>
        </w:rPr>
        <w:t>+</w:t>
      </w:r>
      <w:r>
        <w:rPr>
          <w:rFonts w:hint="eastAsia"/>
          <w:b w:val="0"/>
          <w:bCs w:val="0"/>
          <w:lang w:val="en-US" w:eastAsia="zh-CN"/>
        </w:rPr>
        <w:t>70</w:t>
      </w:r>
      <w:r>
        <w:rPr>
          <w:rFonts w:hint="default"/>
          <w:b w:val="0"/>
          <w:bCs w:val="0"/>
        </w:rPr>
        <w:t>+</w:t>
      </w:r>
      <w:r>
        <w:rPr>
          <w:rFonts w:hint="eastAsia"/>
          <w:b w:val="0"/>
          <w:bCs w:val="0"/>
          <w:lang w:val="en-US" w:eastAsia="zh-CN"/>
        </w:rPr>
        <w:t>60</w:t>
      </w:r>
      <w:r>
        <w:rPr>
          <w:rFonts w:hint="default"/>
          <w:b w:val="0"/>
          <w:bCs w:val="0"/>
        </w:rPr>
        <w:t>+75+75）/5=</w:t>
      </w:r>
      <w:r>
        <w:rPr>
          <w:rFonts w:hint="eastAsia"/>
          <w:b w:val="0"/>
          <w:bCs w:val="0"/>
          <w:lang w:val="en-US" w:eastAsia="zh-CN"/>
        </w:rPr>
        <w:t>66</w:t>
      </w:r>
    </w:p>
    <w:p>
      <w:pPr>
        <w:bidi w:val="0"/>
      </w:pPr>
      <w:r>
        <w:rPr>
          <w:rFonts w:hint="eastAsia"/>
          <w:b w:val="0"/>
          <w:bCs w:val="0"/>
          <w:lang w:eastAsia="zh-CN"/>
        </w:rPr>
        <w:t>根据</w:t>
      </w:r>
      <w:r>
        <w:rPr>
          <w:rFonts w:hint="eastAsia"/>
          <w:b w:val="0"/>
          <w:bCs w:val="0"/>
        </w:rPr>
        <w:t>表</w:t>
      </w:r>
      <w:r>
        <w:rPr>
          <w:rFonts w:hint="eastAsia"/>
          <w:b w:val="0"/>
          <w:bCs w:val="0"/>
          <w:lang w:val="en-US" w:eastAsia="zh-CN"/>
        </w:rPr>
        <w:t>3.1-5</w:t>
      </w:r>
      <w:r>
        <w:rPr>
          <w:rFonts w:hint="eastAsia"/>
          <w:b w:val="0"/>
          <w:bCs w:val="0"/>
        </w:rPr>
        <w:t>河（湖、库）岸线自然状况评估分指标评估赋分标准表</w:t>
      </w:r>
      <w:r>
        <w:rPr>
          <w:rFonts w:hint="eastAsia"/>
          <w:b w:val="0"/>
          <w:bCs w:val="0"/>
          <w:lang w:eastAsia="zh-CN"/>
        </w:rPr>
        <w:t>赋分</w:t>
      </w:r>
      <w:r>
        <w:rPr>
          <w:rFonts w:hint="eastAsia"/>
          <w:b w:val="0"/>
          <w:bCs w:val="0"/>
          <w:lang w:val="en-US" w:eastAsia="zh-CN"/>
        </w:rPr>
        <w:t>66。</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4.1.4 违规开发水域岸线程度</w:t>
      </w:r>
    </w:p>
    <w:p>
      <w:pPr>
        <w:bidi w:val="0"/>
        <w:rPr>
          <w:rFonts w:hint="eastAsia"/>
          <w:b w:val="0"/>
          <w:bCs w:val="0"/>
        </w:rPr>
      </w:pPr>
      <w:r>
        <w:rPr>
          <w:rFonts w:hint="eastAsia"/>
          <w:b w:val="0"/>
          <w:bCs w:val="0"/>
        </w:rPr>
        <w:t>违规开发利用水域岸线程度综合考虑河湖“四乱”状况和入河排污口设置违反河道管理要求程度，采用各指标的加权平均值，各指标权重可参考表</w:t>
      </w:r>
      <w:r>
        <w:rPr>
          <w:rFonts w:hint="eastAsia"/>
          <w:b w:val="0"/>
          <w:bCs w:val="0"/>
          <w:lang w:val="en-US" w:eastAsia="zh-CN"/>
        </w:rPr>
        <w:t>3.1-6</w:t>
      </w:r>
      <w:r>
        <w:rPr>
          <w:rFonts w:hint="eastAsia"/>
          <w:b w:val="0"/>
          <w:bCs w:val="0"/>
        </w:rPr>
        <w:t xml:space="preserve">。 </w:t>
      </w:r>
    </w:p>
    <w:p>
      <w:pPr>
        <w:pStyle w:val="43"/>
        <w:jc w:val="both"/>
        <w:outlineLvl w:val="8"/>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 xml:space="preserve">3.1-6      </w:t>
      </w:r>
      <w:r>
        <w:rPr>
          <w:rFonts w:hint="eastAsia" w:ascii="宋体" w:hAnsi="宋体" w:eastAsia="宋体" w:cs="宋体"/>
          <w:sz w:val="24"/>
          <w:szCs w:val="24"/>
        </w:rPr>
        <w:t>违规开发利用水域岸线程度指标权重表</w:t>
      </w:r>
    </w:p>
    <w:tbl>
      <w:tblPr>
        <w:tblStyle w:val="28"/>
        <w:tblW w:w="43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5"/>
        <w:gridCol w:w="4332"/>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序号</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名称</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河湖“四乱”状况</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w:t>
            </w:r>
          </w:p>
        </w:tc>
        <w:tc>
          <w:tcPr>
            <w:tcW w:w="2913"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入河排污口设置违反河道管理要求程度</w:t>
            </w:r>
          </w:p>
        </w:tc>
        <w:tc>
          <w:tcPr>
            <w:tcW w:w="824"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0.3</w:t>
            </w:r>
          </w:p>
        </w:tc>
      </w:tr>
    </w:tbl>
    <w:p>
      <w:pPr>
        <w:bidi w:val="0"/>
        <w:rPr>
          <w:rFonts w:hint="eastAsia"/>
          <w:b w:val="0"/>
          <w:bCs w:val="0"/>
        </w:rPr>
      </w:pPr>
      <w:r>
        <w:rPr>
          <w:rFonts w:hint="eastAsia"/>
          <w:b w:val="0"/>
          <w:bCs w:val="0"/>
        </w:rPr>
        <w:t xml:space="preserve">（1）河湖“四乱”状况 </w:t>
      </w:r>
    </w:p>
    <w:p>
      <w:pPr>
        <w:bidi w:val="0"/>
        <w:rPr>
          <w:rFonts w:hint="eastAsia"/>
          <w:b w:val="0"/>
          <w:bCs w:val="0"/>
        </w:rPr>
      </w:pPr>
      <w:r>
        <w:rPr>
          <w:rFonts w:hint="eastAsia"/>
          <w:b w:val="0"/>
          <w:bCs w:val="0"/>
        </w:rPr>
        <w:t>无“四乱”状况的河段/湖库区赋分为 100 分，“四乱”扣分时应考虑其严重程度，扣完为止，赋分标准见表</w:t>
      </w:r>
      <w:r>
        <w:rPr>
          <w:rFonts w:hint="eastAsia"/>
          <w:b w:val="0"/>
          <w:bCs w:val="0"/>
          <w:lang w:val="en-US" w:eastAsia="zh-CN"/>
        </w:rPr>
        <w:t>3.1-7</w:t>
      </w:r>
    </w:p>
    <w:p>
      <w:pPr>
        <w:pStyle w:val="43"/>
        <w:jc w:val="both"/>
        <w:outlineLvl w:val="8"/>
        <w:rPr>
          <w:sz w:val="24"/>
          <w:szCs w:val="24"/>
        </w:rPr>
      </w:pPr>
      <w:r>
        <w:rPr>
          <w:rFonts w:hint="eastAsia"/>
          <w:sz w:val="24"/>
          <w:szCs w:val="24"/>
          <w:lang w:val="en-US" w:eastAsia="zh-CN"/>
        </w:rPr>
        <w:t xml:space="preserve">        </w:t>
      </w:r>
      <w:r>
        <w:rPr>
          <w:sz w:val="24"/>
          <w:szCs w:val="24"/>
        </w:rPr>
        <w:t>河湖“四乱”状况赋分标准表</w:t>
      </w:r>
    </w:p>
    <w:tbl>
      <w:tblPr>
        <w:tblStyle w:val="28"/>
        <w:tblW w:w="4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1771"/>
        <w:gridCol w:w="1893"/>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285" w:type="pct"/>
            <w:vMerge w:val="restar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类型</w:t>
            </w:r>
          </w:p>
        </w:tc>
        <w:tc>
          <w:tcPr>
            <w:tcW w:w="3715" w:type="pct"/>
            <w:gridSpan w:val="3"/>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“四乱”问题扣分标准（每发现 1 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285" w:type="pct"/>
            <w:vMerge w:val="continue"/>
            <w:noWrap w:val="0"/>
            <w:vAlign w:val="center"/>
          </w:tcPr>
          <w:p>
            <w:pPr>
              <w:pStyle w:val="46"/>
              <w:adjustRightInd w:val="0"/>
              <w:snapToGrid w:val="0"/>
              <w:jc w:val="center"/>
              <w:rPr>
                <w:rFonts w:hint="default" w:ascii="Times New Roman" w:hAnsi="Times New Roman" w:cs="Times New Roman"/>
                <w:sz w:val="18"/>
                <w:szCs w:val="18"/>
                <w:lang w:val="en-US" w:eastAsia="zh-CN"/>
              </w:rPr>
            </w:pP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一般问题</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较严重问题</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重大问题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乱采</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乱占</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乱堆</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乱建</w:t>
            </w:r>
          </w:p>
        </w:tc>
        <w:tc>
          <w:tcPr>
            <w:tcW w:w="1215"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w:t>
            </w:r>
          </w:p>
        </w:tc>
        <w:tc>
          <w:tcPr>
            <w:tcW w:w="1299"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-25</w:t>
            </w:r>
          </w:p>
        </w:tc>
        <w:tc>
          <w:tcPr>
            <w:tcW w:w="1201" w:type="pct"/>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-50</w:t>
            </w:r>
          </w:p>
        </w:tc>
      </w:tr>
    </w:tbl>
    <w:p/>
    <w:p>
      <w:pPr>
        <w:bidi w:val="0"/>
        <w:rPr>
          <w:rFonts w:hint="eastAsia"/>
          <w:b w:val="0"/>
          <w:bCs w:val="0"/>
        </w:rPr>
      </w:pPr>
      <w:r>
        <w:rPr>
          <w:rFonts w:hint="eastAsia"/>
          <w:b w:val="0"/>
          <w:bCs w:val="0"/>
        </w:rPr>
        <w:t xml:space="preserve">（2）入河排污口设置违反河道管理要求程度 </w:t>
      </w:r>
    </w:p>
    <w:p>
      <w:pPr>
        <w:bidi w:val="0"/>
        <w:rPr>
          <w:rFonts w:hint="eastAsia"/>
          <w:b w:val="0"/>
          <w:bCs w:val="0"/>
        </w:rPr>
      </w:pPr>
      <w:r>
        <w:rPr>
          <w:rFonts w:hint="eastAsia"/>
          <w:b w:val="0"/>
          <w:bCs w:val="0"/>
        </w:rPr>
        <w:t>入河湖（库）排污口设置违反河道管理要求程度是指入河排污口涉河构筑物建设未取得水行主管部门同意的比例。</w:t>
      </w:r>
    </w:p>
    <w:p>
      <w:pPr>
        <w:bidi w:val="0"/>
        <w:rPr>
          <w:rFonts w:hint="eastAsia"/>
          <w:b w:val="0"/>
          <w:bCs w:val="0"/>
        </w:rPr>
      </w:pPr>
      <w:r>
        <w:rPr>
          <w:rFonts w:hint="eastAsia"/>
          <w:b w:val="0"/>
          <w:bCs w:val="0"/>
        </w:rPr>
        <w:t xml:space="preserve">指标赋分值按照以下公式： R </w:t>
      </w:r>
      <w:r>
        <w:rPr>
          <w:rFonts w:hint="eastAsia"/>
          <w:b w:val="0"/>
          <w:bCs w:val="0"/>
        </w:rPr>
        <w:sym w:font="Symbol" w:char="F03D"/>
      </w:r>
      <w:r>
        <w:rPr>
          <w:rFonts w:hint="eastAsia"/>
          <w:b w:val="0"/>
          <w:bCs w:val="0"/>
        </w:rPr>
        <w:t xml:space="preserve"> Ni / N </w:t>
      </w:r>
      <w:r>
        <w:rPr>
          <w:rFonts w:hint="eastAsia"/>
          <w:b w:val="0"/>
          <w:bCs w:val="0"/>
        </w:rPr>
        <w:sym w:font="Symbol" w:char="F0B4"/>
      </w:r>
      <w:r>
        <w:rPr>
          <w:rFonts w:hint="eastAsia"/>
          <w:b w:val="0"/>
          <w:bCs w:val="0"/>
        </w:rPr>
        <w:t xml:space="preserve">100  </w:t>
      </w:r>
    </w:p>
    <w:p>
      <w:pPr>
        <w:bidi w:val="0"/>
        <w:rPr>
          <w:rFonts w:hint="eastAsia"/>
          <w:b w:val="0"/>
          <w:bCs w:val="0"/>
        </w:rPr>
      </w:pPr>
      <w:r>
        <w:rPr>
          <w:rFonts w:hint="eastAsia"/>
          <w:b w:val="0"/>
          <w:bCs w:val="0"/>
        </w:rPr>
        <w:t>式中：R——入河排污口涉河构筑物建设未取得水行主管部门同意的比例； Ni——未取得水行主管部门同意设置的入河排污口数量（个）； N——入河湖排污口总数（个），赋分标准见表</w:t>
      </w:r>
      <w:r>
        <w:rPr>
          <w:rFonts w:hint="eastAsia"/>
          <w:b w:val="0"/>
          <w:bCs w:val="0"/>
          <w:lang w:val="en-US" w:eastAsia="zh-CN"/>
        </w:rPr>
        <w:t>3.1-8</w:t>
      </w:r>
      <w:r>
        <w:rPr>
          <w:rFonts w:hint="eastAsia"/>
          <w:b w:val="0"/>
          <w:bCs w:val="0"/>
        </w:rPr>
        <w:t>。</w:t>
      </w:r>
    </w:p>
    <w:p>
      <w:pPr>
        <w:pStyle w:val="43"/>
        <w:jc w:val="both"/>
        <w:outlineLvl w:val="8"/>
        <w:rPr>
          <w:sz w:val="24"/>
          <w:szCs w:val="24"/>
        </w:rPr>
      </w:pPr>
      <w:r>
        <w:rPr>
          <w:rFonts w:hint="eastAsia"/>
          <w:sz w:val="24"/>
          <w:szCs w:val="24"/>
          <w:lang w:val="en-US" w:eastAsia="zh-CN"/>
        </w:rPr>
        <w:t xml:space="preserve">  </w:t>
      </w:r>
      <w:r>
        <w:rPr>
          <w:sz w:val="24"/>
          <w:szCs w:val="24"/>
        </w:rPr>
        <w:t>入河排污口</w:t>
      </w:r>
      <w:r>
        <w:rPr>
          <w:rFonts w:hint="eastAsia"/>
          <w:sz w:val="24"/>
          <w:szCs w:val="24"/>
        </w:rPr>
        <w:t>设置违反河道管理要求</w:t>
      </w:r>
      <w:r>
        <w:rPr>
          <w:sz w:val="24"/>
          <w:szCs w:val="24"/>
        </w:rPr>
        <w:t>赋分标准表</w:t>
      </w:r>
    </w:p>
    <w:tbl>
      <w:tblPr>
        <w:tblStyle w:val="28"/>
        <w:tblW w:w="46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761"/>
        <w:gridCol w:w="959"/>
        <w:gridCol w:w="959"/>
        <w:gridCol w:w="959"/>
        <w:gridCol w:w="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入河排污口涉河构筑物建设未取得水行主管部门同意的比例</w:t>
            </w:r>
          </w:p>
        </w:tc>
        <w:tc>
          <w:tcPr>
            <w:tcW w:w="479"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20-40-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40-60</w:t>
            </w:r>
          </w:p>
        </w:tc>
        <w:tc>
          <w:tcPr>
            <w:tcW w:w="6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赋分</w:t>
            </w:r>
          </w:p>
        </w:tc>
        <w:tc>
          <w:tcPr>
            <w:tcW w:w="479"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80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60-</w:t>
            </w:r>
          </w:p>
        </w:tc>
        <w:tc>
          <w:tcPr>
            <w:tcW w:w="604"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40</w:t>
            </w:r>
          </w:p>
        </w:tc>
        <w:tc>
          <w:tcPr>
            <w:tcW w:w="603" w:type="pct"/>
            <w:noWrap w:val="0"/>
            <w:vAlign w:val="center"/>
          </w:tcPr>
          <w:p>
            <w:pPr>
              <w:pStyle w:val="46"/>
              <w:adjustRightInd w:val="0"/>
              <w:snapToGrid w:val="0"/>
              <w:ind w:left="0" w:leftChars="0"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r>
    </w:tbl>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2021年《苍溪县沙溪浩一河（湖）一策管理保护方案（2021-2025）》中</w:t>
      </w:r>
      <w:r>
        <w:rPr>
          <w:rFonts w:hint="default" w:ascii="Times New Roman" w:hAnsi="Times New Roman" w:eastAsia="宋体" w:cs="Times New Roman"/>
          <w:color w:val="000000"/>
          <w:kern w:val="0"/>
          <w:sz w:val="24"/>
          <w:szCs w:val="24"/>
          <w:lang w:val="en-US" w:eastAsia="zh-CN" w:bidi="ar"/>
        </w:rPr>
        <w:t>水域岸线管理方面</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完成了</w:t>
      </w:r>
      <w:r>
        <w:rPr>
          <w:rFonts w:hint="eastAsia" w:ascii="Times New Roman" w:hAnsi="Times New Roman" w:eastAsia="宋体"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河流划界工作，常态化开展河湖“清四乱”专项行动，整治四乱问题并全部完成整改。</w:t>
      </w:r>
    </w:p>
    <w:p>
      <w:pPr>
        <w:bidi w:val="0"/>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水污染防治方面</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沿江乡镇污水处理率达到</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0%，沿江畜禽养殖及农业农村面源污染得到有效遏制，畜禽养殖粪污综合利用率达到了75%，农药化肥施用增加率≤0%</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生活垃圾无害化处理（乡镇）</w:t>
      </w:r>
      <w:r>
        <w:rPr>
          <w:rFonts w:hint="eastAsia" w:ascii="Times New Roman" w:hAnsi="Times New Roman" w:eastAsia="宋体" w:cs="Times New Roman"/>
          <w:color w:val="000000"/>
          <w:kern w:val="0"/>
          <w:sz w:val="24"/>
          <w:szCs w:val="24"/>
          <w:lang w:val="en-US" w:eastAsia="zh-CN" w:bidi="ar"/>
        </w:rPr>
        <w:t>率</w:t>
      </w:r>
      <w:r>
        <w:rPr>
          <w:rFonts w:hint="default" w:ascii="Times New Roman" w:hAnsi="Times New Roman" w:eastAsia="宋体" w:cs="Times New Roman"/>
          <w:color w:val="000000"/>
          <w:kern w:val="0"/>
          <w:sz w:val="24"/>
          <w:szCs w:val="24"/>
          <w:lang w:val="en-US" w:eastAsia="zh-CN" w:bidi="ar"/>
        </w:rPr>
        <w:t>≥70%</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无“四乱”状况赋分为</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100分</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沿江乡镇污水处理率达到</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val="en-US" w:eastAsia="zh-CN" w:bidi="ar"/>
        </w:rPr>
        <w:t>，赋分：100分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违规开发水域岸线程度赋分：100*0.7+100*0.3=100分</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4.1.5 河流纵向连通性指数</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河流纵向连通性指数。根据单位河长内影响河流连通性的人工建筑物或设施数量进行评估，有过鱼设施且能正常运行的不在统计范围之列。</w:t>
      </w:r>
    </w:p>
    <w:p>
      <w:pPr>
        <w:snapToGrid w:val="0"/>
        <w:spacing w:line="276" w:lineRule="auto"/>
        <w:ind w:left="0" w:leftChars="0" w:firstLine="0" w:firstLineChars="0"/>
        <w:jc w:val="both"/>
        <w:outlineLvl w:val="8"/>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河流纵向连通性指数评估赋分标准表</w:t>
      </w:r>
    </w:p>
    <w:tbl>
      <w:tblPr>
        <w:tblStyle w:val="28"/>
        <w:tblW w:w="5000" w:type="pct"/>
        <w:jc w:val="center"/>
        <w:tblLayout w:type="fixed"/>
        <w:tblCellMar>
          <w:top w:w="0" w:type="dxa"/>
          <w:left w:w="108" w:type="dxa"/>
          <w:bottom w:w="0" w:type="dxa"/>
          <w:right w:w="108" w:type="dxa"/>
        </w:tblCellMar>
      </w:tblPr>
      <w:tblGrid>
        <w:gridCol w:w="759"/>
        <w:gridCol w:w="1778"/>
        <w:gridCol w:w="524"/>
        <w:gridCol w:w="666"/>
        <w:gridCol w:w="884"/>
        <w:gridCol w:w="766"/>
        <w:gridCol w:w="1386"/>
        <w:gridCol w:w="881"/>
        <w:gridCol w:w="878"/>
      </w:tblGrid>
      <w:tr>
        <w:tblPrEx>
          <w:tblCellMar>
            <w:top w:w="0" w:type="dxa"/>
            <w:left w:w="108" w:type="dxa"/>
            <w:bottom w:w="0" w:type="dxa"/>
            <w:right w:w="108" w:type="dxa"/>
          </w:tblCellMar>
        </w:tblPrEx>
        <w:trPr>
          <w:trHeight w:val="623" w:hRule="atLeast"/>
          <w:jc w:val="center"/>
        </w:trPr>
        <w:tc>
          <w:tcPr>
            <w:tcW w:w="1488" w:type="pct"/>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河流纵向连通性指数</w:t>
            </w:r>
          </w:p>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（单位：≥个/100km）</w:t>
            </w:r>
          </w:p>
        </w:tc>
        <w:tc>
          <w:tcPr>
            <w:tcW w:w="307" w:type="pct"/>
            <w:tcBorders>
              <w:top w:val="single" w:color="auto" w:sz="4" w:space="0"/>
              <w:left w:val="nil"/>
              <w:bottom w:val="single" w:color="auto" w:sz="4" w:space="0"/>
              <w:right w:val="nil"/>
            </w:tcBorders>
            <w:noWrap w:val="0"/>
            <w:vAlign w:val="top"/>
          </w:tcPr>
          <w:p>
            <w:pPr>
              <w:adjustRightInd w:val="0"/>
              <w:snapToGrid w:val="0"/>
              <w:ind w:left="0" w:leftChars="0" w:firstLine="0" w:firstLineChars="0"/>
              <w:jc w:val="center"/>
              <w:rPr>
                <w:rFonts w:hint="default" w:ascii="Times New Roman" w:hAnsi="Times New Roman" w:cs="Times New Roman"/>
                <w:sz w:val="18"/>
                <w:szCs w:val="18"/>
              </w:rPr>
            </w:pPr>
          </w:p>
        </w:tc>
        <w:tc>
          <w:tcPr>
            <w:tcW w:w="39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1.2</w:t>
            </w:r>
          </w:p>
        </w:tc>
        <w:tc>
          <w:tcPr>
            <w:tcW w:w="518"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1-1.2</w:t>
            </w:r>
          </w:p>
        </w:tc>
        <w:tc>
          <w:tcPr>
            <w:tcW w:w="449"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0.5-1</w:t>
            </w:r>
          </w:p>
        </w:tc>
        <w:tc>
          <w:tcPr>
            <w:tcW w:w="81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0.25-0.5</w:t>
            </w:r>
          </w:p>
        </w:tc>
        <w:tc>
          <w:tcPr>
            <w:tcW w:w="516"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≤0.25</w:t>
            </w:r>
          </w:p>
        </w:tc>
        <w:tc>
          <w:tcPr>
            <w:tcW w:w="515" w:type="pct"/>
            <w:tcBorders>
              <w:top w:val="single" w:color="auto" w:sz="4" w:space="0"/>
              <w:left w:val="nil"/>
              <w:bottom w:val="single" w:color="auto" w:sz="4" w:space="0"/>
              <w:right w:val="single" w:color="auto" w:sz="4" w:space="0"/>
            </w:tcBorders>
            <w:noWrap w:val="0"/>
            <w:vAlign w:val="center"/>
          </w:tcPr>
          <w:p>
            <w:pPr>
              <w:adjustRightInd w:val="0"/>
              <w:snapToGrid w:val="0"/>
              <w:ind w:firstLine="180" w:firstLineChars="100"/>
              <w:jc w:val="center"/>
              <w:rPr>
                <w:rFonts w:hint="default" w:ascii="Times New Roman" w:hAnsi="Times New Roman" w:cs="Times New Roman"/>
                <w:sz w:val="18"/>
                <w:szCs w:val="18"/>
              </w:rPr>
            </w:pPr>
            <w:r>
              <w:rPr>
                <w:rFonts w:hint="default" w:ascii="Times New Roman" w:hAnsi="Times New Roman" w:cs="Times New Roman"/>
                <w:sz w:val="18"/>
                <w:szCs w:val="18"/>
              </w:rPr>
              <w:t>0</w:t>
            </w:r>
          </w:p>
        </w:tc>
      </w:tr>
      <w:tr>
        <w:tblPrEx>
          <w:tblCellMar>
            <w:top w:w="0" w:type="dxa"/>
            <w:left w:w="108" w:type="dxa"/>
            <w:bottom w:w="0" w:type="dxa"/>
            <w:right w:w="108" w:type="dxa"/>
          </w:tblCellMar>
        </w:tblPrEx>
        <w:trPr>
          <w:trHeight w:val="285" w:hRule="atLeast"/>
          <w:jc w:val="center"/>
        </w:trPr>
        <w:tc>
          <w:tcPr>
            <w:tcW w:w="445" w:type="pct"/>
            <w:vMerge w:val="restart"/>
            <w:tcBorders>
              <w:top w:val="nil"/>
              <w:left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赋分</w:t>
            </w:r>
          </w:p>
        </w:tc>
        <w:tc>
          <w:tcPr>
            <w:tcW w:w="1043" w:type="pct"/>
            <w:tcBorders>
              <w:top w:val="nil"/>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有洄游鱼类需求的河流（河段）</w:t>
            </w:r>
          </w:p>
        </w:tc>
        <w:tc>
          <w:tcPr>
            <w:tcW w:w="307" w:type="pct"/>
            <w:tcBorders>
              <w:top w:val="nil"/>
              <w:left w:val="nil"/>
              <w:bottom w:val="single" w:color="auto" w:sz="4" w:space="0"/>
              <w:right w:val="nil"/>
            </w:tcBorders>
            <w:noWrap w:val="0"/>
            <w:vAlign w:val="top"/>
          </w:tcPr>
          <w:p>
            <w:pPr>
              <w:adjustRightInd w:val="0"/>
              <w:snapToGrid w:val="0"/>
              <w:jc w:val="center"/>
              <w:rPr>
                <w:rFonts w:hint="default" w:ascii="Times New Roman" w:hAnsi="Times New Roman" w:cs="Times New Roman"/>
                <w:sz w:val="18"/>
                <w:szCs w:val="18"/>
              </w:rPr>
            </w:pPr>
          </w:p>
        </w:tc>
        <w:tc>
          <w:tcPr>
            <w:tcW w:w="39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w:t>
            </w:r>
          </w:p>
        </w:tc>
        <w:tc>
          <w:tcPr>
            <w:tcW w:w="518"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449"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813"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516"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15"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r>
        <w:tblPrEx>
          <w:tblCellMar>
            <w:top w:w="0" w:type="dxa"/>
            <w:left w:w="108" w:type="dxa"/>
            <w:bottom w:w="0" w:type="dxa"/>
            <w:right w:w="108" w:type="dxa"/>
          </w:tblCellMar>
        </w:tblPrEx>
        <w:trPr>
          <w:trHeight w:val="338" w:hRule="atLeast"/>
          <w:jc w:val="center"/>
        </w:trPr>
        <w:tc>
          <w:tcPr>
            <w:tcW w:w="445" w:type="pct"/>
            <w:vMerge w:val="continue"/>
            <w:tcBorders>
              <w:left w:val="single" w:color="auto" w:sz="4" w:space="0"/>
              <w:bottom w:val="single" w:color="auto" w:sz="4" w:space="0"/>
              <w:right w:val="single" w:color="auto" w:sz="4" w:space="0"/>
            </w:tcBorders>
            <w:noWrap w:val="0"/>
            <w:vAlign w:val="center"/>
          </w:tcPr>
          <w:p>
            <w:pPr>
              <w:adjustRightInd w:val="0"/>
              <w:snapToGrid w:val="0"/>
              <w:ind w:firstLine="480"/>
              <w:jc w:val="center"/>
              <w:rPr>
                <w:rFonts w:hint="default" w:ascii="Times New Roman" w:hAnsi="Times New Roman" w:cs="Times New Roman"/>
                <w:sz w:val="18"/>
                <w:szCs w:val="18"/>
              </w:rPr>
            </w:pPr>
          </w:p>
        </w:tc>
        <w:tc>
          <w:tcPr>
            <w:tcW w:w="1043"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无洄游鱼类需求的河流（河段）</w:t>
            </w:r>
          </w:p>
        </w:tc>
        <w:tc>
          <w:tcPr>
            <w:tcW w:w="307" w:type="pct"/>
            <w:tcBorders>
              <w:top w:val="single" w:color="auto" w:sz="4" w:space="0"/>
              <w:left w:val="nil"/>
              <w:bottom w:val="single" w:color="auto" w:sz="4" w:space="0"/>
              <w:right w:val="nil"/>
            </w:tcBorders>
            <w:noWrap w:val="0"/>
            <w:vAlign w:val="top"/>
          </w:tcPr>
          <w:p>
            <w:pPr>
              <w:adjustRightInd w:val="0"/>
              <w:snapToGrid w:val="0"/>
              <w:ind w:firstLine="480"/>
              <w:jc w:val="center"/>
              <w:rPr>
                <w:rFonts w:hint="default" w:ascii="Times New Roman" w:hAnsi="Times New Roman" w:cs="Times New Roman"/>
                <w:sz w:val="18"/>
                <w:szCs w:val="18"/>
              </w:rPr>
            </w:pPr>
          </w:p>
        </w:tc>
        <w:tc>
          <w:tcPr>
            <w:tcW w:w="39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518"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70</w:t>
            </w:r>
          </w:p>
        </w:tc>
        <w:tc>
          <w:tcPr>
            <w:tcW w:w="449"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81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90</w:t>
            </w:r>
          </w:p>
        </w:tc>
        <w:tc>
          <w:tcPr>
            <w:tcW w:w="516"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95</w:t>
            </w:r>
          </w:p>
        </w:tc>
        <w:tc>
          <w:tcPr>
            <w:tcW w:w="515"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bl>
    <w:p>
      <w:pPr>
        <w:pStyle w:val="42"/>
        <w:numPr>
          <w:ilvl w:val="0"/>
          <w:numId w:val="0"/>
        </w:numPr>
        <w:adjustRightInd/>
        <w:spacing w:line="520" w:lineRule="exact"/>
        <w:ind w:leftChars="200"/>
        <w:jc w:val="both"/>
        <w:outlineLvl w:val="9"/>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沙溪浩河段长21.689km,无洄游鱼类需求。</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沙溪浩干流上有一座小（</w:t>
      </w:r>
      <w:r>
        <w:rPr>
          <w:rFonts w:hint="eastAsia" w:cs="Times New Roman"/>
          <w:color w:val="000000"/>
          <w:kern w:val="0"/>
          <w:sz w:val="24"/>
          <w:szCs w:val="24"/>
          <w:lang w:val="en-US" w:eastAsia="zh-CN" w:bidi="ar"/>
        </w:rPr>
        <w:t>1</w:t>
      </w:r>
      <w:r>
        <w:rPr>
          <w:rFonts w:hint="eastAsia" w:ascii="Times New Roman" w:hAnsi="Times New Roman" w:eastAsia="宋体" w:cs="Times New Roman"/>
          <w:color w:val="000000"/>
          <w:kern w:val="0"/>
          <w:sz w:val="24"/>
          <w:szCs w:val="24"/>
          <w:lang w:val="en-US" w:eastAsia="zh-CN" w:bidi="ar"/>
        </w:rPr>
        <w:t>）型水库，一座小（</w:t>
      </w:r>
      <w:r>
        <w:rPr>
          <w:rFonts w:hint="eastAsia"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）型水库。</w:t>
      </w:r>
    </w:p>
    <w:p>
      <w:pPr>
        <w:pStyle w:val="42"/>
        <w:numPr>
          <w:ilvl w:val="0"/>
          <w:numId w:val="0"/>
        </w:numPr>
        <w:adjustRightInd/>
        <w:spacing w:line="520" w:lineRule="exact"/>
        <w:ind w:leftChars="200"/>
        <w:jc w:val="both"/>
        <w:outlineLvl w:val="9"/>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（1）</w:t>
      </w:r>
      <w:r>
        <w:rPr>
          <w:rFonts w:hint="default" w:ascii="宋体" w:hAnsi="宋体" w:eastAsia="宋体" w:cs="宋体"/>
          <w:b w:val="0"/>
          <w:bCs w:val="0"/>
          <w:color w:val="auto"/>
          <w:kern w:val="2"/>
          <w:sz w:val="24"/>
          <w:szCs w:val="24"/>
          <w:lang w:val="en-US" w:eastAsia="zh-CN"/>
        </w:rPr>
        <w:t>大洋沟水库</w:t>
      </w:r>
      <w:r>
        <w:rPr>
          <w:rFonts w:hint="eastAsia" w:ascii="宋体" w:hAnsi="宋体" w:eastAsia="宋体" w:cs="宋体"/>
          <w:b w:val="0"/>
          <w:bCs w:val="0"/>
          <w:color w:val="auto"/>
          <w:kern w:val="2"/>
          <w:sz w:val="24"/>
          <w:szCs w:val="24"/>
          <w:lang w:val="en-US" w:eastAsia="zh-CN"/>
        </w:rPr>
        <w:t>，</w:t>
      </w:r>
      <w:r>
        <w:rPr>
          <w:rFonts w:hint="default" w:ascii="宋体" w:hAnsi="宋体" w:eastAsia="宋体" w:cs="宋体"/>
          <w:b w:val="0"/>
          <w:bCs w:val="0"/>
          <w:color w:val="auto"/>
          <w:kern w:val="2"/>
          <w:sz w:val="24"/>
          <w:szCs w:val="24"/>
          <w:lang w:val="en-US" w:eastAsia="zh-CN"/>
        </w:rPr>
        <w:t>地理坐标东经105°56´，北纬31°55´。</w:t>
      </w:r>
    </w:p>
    <w:p>
      <w:pPr>
        <w:pStyle w:val="42"/>
        <w:numPr>
          <w:ilvl w:val="0"/>
          <w:numId w:val="0"/>
        </w:numPr>
        <w:adjustRightInd/>
        <w:spacing w:line="520" w:lineRule="exact"/>
        <w:ind w:leftChars="200"/>
        <w:jc w:val="both"/>
        <w:outlineLvl w:val="9"/>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（2）</w:t>
      </w:r>
      <w:r>
        <w:rPr>
          <w:rFonts w:hint="default" w:ascii="宋体" w:hAnsi="宋体" w:eastAsia="宋体" w:cs="宋体"/>
          <w:b w:val="0"/>
          <w:bCs w:val="0"/>
          <w:color w:val="auto"/>
          <w:kern w:val="2"/>
          <w:sz w:val="24"/>
          <w:szCs w:val="24"/>
          <w:lang w:val="en-US" w:eastAsia="zh-CN"/>
        </w:rPr>
        <w:t>碾子沟水库，地理坐标为东经105°56´8.4´´，北纬31°57´57.1´´。</w:t>
      </w:r>
    </w:p>
    <w:p>
      <w:pPr>
        <w:pStyle w:val="42"/>
        <w:numPr>
          <w:ilvl w:val="0"/>
          <w:numId w:val="0"/>
        </w:numPr>
        <w:adjustRightInd/>
        <w:spacing w:line="520" w:lineRule="exact"/>
        <w:ind w:leftChars="200"/>
        <w:jc w:val="both"/>
        <w:outlineLvl w:val="9"/>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沙溪浩河道长</w:t>
      </w:r>
      <w:r>
        <w:rPr>
          <w:rFonts w:hint="default" w:ascii="宋体" w:hAnsi="宋体" w:eastAsia="宋体" w:cs="宋体"/>
          <w:b w:val="0"/>
          <w:bCs w:val="0"/>
          <w:color w:val="auto"/>
          <w:kern w:val="2"/>
          <w:sz w:val="24"/>
          <w:szCs w:val="24"/>
          <w:lang w:val="en-US" w:eastAsia="zh-CN"/>
        </w:rPr>
        <w:t>21.6</w:t>
      </w:r>
      <w:r>
        <w:rPr>
          <w:rFonts w:hint="eastAsia" w:ascii="宋体" w:hAnsi="宋体" w:eastAsia="宋体" w:cs="宋体"/>
          <w:b w:val="0"/>
          <w:bCs w:val="0"/>
          <w:color w:val="auto"/>
          <w:kern w:val="2"/>
          <w:sz w:val="24"/>
          <w:szCs w:val="24"/>
          <w:lang w:val="en-US" w:eastAsia="zh-CN"/>
        </w:rPr>
        <w:t>89</w:t>
      </w:r>
      <w:r>
        <w:rPr>
          <w:rFonts w:hint="default" w:ascii="宋体" w:hAnsi="宋体" w:eastAsia="宋体" w:cs="宋体"/>
          <w:b w:val="0"/>
          <w:bCs w:val="0"/>
          <w:color w:val="auto"/>
          <w:kern w:val="2"/>
          <w:sz w:val="24"/>
          <w:szCs w:val="24"/>
          <w:lang w:val="en-US" w:eastAsia="zh-CN"/>
        </w:rPr>
        <w:t>km</w:t>
      </w:r>
      <w:r>
        <w:rPr>
          <w:rFonts w:hint="eastAsia" w:ascii="宋体" w:hAnsi="宋体" w:eastAsia="宋体" w:cs="宋体"/>
          <w:b w:val="0"/>
          <w:bCs w:val="0"/>
          <w:color w:val="auto"/>
          <w:kern w:val="2"/>
          <w:sz w:val="24"/>
          <w:szCs w:val="24"/>
          <w:lang w:val="en-US" w:eastAsia="zh-CN"/>
        </w:rPr>
        <w:t>，有2个影响的建筑物。</w:t>
      </w:r>
    </w:p>
    <w:p>
      <w:pPr>
        <w:pStyle w:val="42"/>
        <w:numPr>
          <w:ilvl w:val="0"/>
          <w:numId w:val="0"/>
        </w:numPr>
        <w:adjustRightInd/>
        <w:spacing w:line="520" w:lineRule="exact"/>
        <w:ind w:leftChars="200"/>
        <w:jc w:val="both"/>
        <w:outlineLvl w:val="9"/>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指数=2/</w:t>
      </w:r>
      <w:r>
        <w:rPr>
          <w:rFonts w:hint="default" w:ascii="宋体" w:hAnsi="宋体" w:eastAsia="宋体" w:cs="宋体"/>
          <w:b w:val="0"/>
          <w:bCs w:val="0"/>
          <w:color w:val="auto"/>
          <w:kern w:val="2"/>
          <w:sz w:val="24"/>
          <w:szCs w:val="24"/>
          <w:lang w:val="en-US" w:eastAsia="zh-CN"/>
        </w:rPr>
        <w:t>21.6</w:t>
      </w:r>
      <w:r>
        <w:rPr>
          <w:rFonts w:hint="eastAsia" w:ascii="宋体" w:hAnsi="宋体" w:eastAsia="宋体" w:cs="宋体"/>
          <w:b w:val="0"/>
          <w:bCs w:val="0"/>
          <w:color w:val="auto"/>
          <w:kern w:val="2"/>
          <w:sz w:val="24"/>
          <w:szCs w:val="24"/>
          <w:lang w:val="en-US" w:eastAsia="zh-CN"/>
        </w:rPr>
        <w:t>89=0.092≤0.25</w:t>
      </w:r>
    </w:p>
    <w:p>
      <w:pPr>
        <w:pStyle w:val="42"/>
        <w:numPr>
          <w:ilvl w:val="0"/>
          <w:numId w:val="0"/>
        </w:numPr>
        <w:adjustRightInd/>
        <w:spacing w:line="520" w:lineRule="exact"/>
        <w:ind w:leftChars="200"/>
        <w:jc w:val="both"/>
        <w:outlineLvl w:val="9"/>
        <w:rPr>
          <w:rFonts w:hint="default" w:ascii="宋体" w:hAnsi="宋体" w:eastAsia="宋体" w:cs="宋体"/>
          <w:b w:val="0"/>
          <w:bCs w:val="0"/>
          <w:color w:val="auto"/>
          <w:kern w:val="2"/>
          <w:sz w:val="24"/>
          <w:szCs w:val="24"/>
          <w:lang w:val="en-US" w:eastAsia="zh-CN"/>
        </w:rPr>
      </w:pPr>
      <w:r>
        <w:rPr>
          <w:rFonts w:hint="eastAsia" w:ascii="宋体" w:hAnsi="宋体" w:eastAsia="宋体" w:cs="宋体"/>
          <w:b w:val="0"/>
          <w:bCs w:val="0"/>
          <w:color w:val="auto"/>
          <w:kern w:val="2"/>
          <w:sz w:val="24"/>
          <w:szCs w:val="24"/>
          <w:lang w:val="en-US" w:eastAsia="zh-CN"/>
        </w:rPr>
        <w:t>根据表3.1-9河流纵向连通性指数评估赋分标准表赋分80分。</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4.1.6 水体整洁程度</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水体整洁程度根据河湖水域感官状况评估。</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水体整洁程度赋分标准见表3.1-10，根据嗅和味、漂浮废弃物中最差状况确定最终得分。</w:t>
      </w:r>
    </w:p>
    <w:p>
      <w:pPr>
        <w:pStyle w:val="43"/>
        <w:ind w:left="0" w:leftChars="0" w:firstLine="0" w:firstLineChars="0"/>
        <w:jc w:val="both"/>
        <w:outlineLvl w:val="8"/>
        <w:rPr>
          <w:sz w:val="24"/>
          <w:szCs w:val="24"/>
        </w:rPr>
      </w:pPr>
      <w:r>
        <w:rPr>
          <w:rFonts w:hint="eastAsia"/>
          <w:sz w:val="24"/>
          <w:szCs w:val="24"/>
          <w:lang w:val="en-US" w:eastAsia="zh-CN"/>
        </w:rPr>
        <w:t xml:space="preserve">   </w:t>
      </w:r>
      <w:r>
        <w:rPr>
          <w:sz w:val="24"/>
          <w:szCs w:val="24"/>
        </w:rPr>
        <w:t>水体整洁程度评估赋分标准表</w:t>
      </w:r>
    </w:p>
    <w:tbl>
      <w:tblPr>
        <w:tblStyle w:val="28"/>
        <w:tblW w:w="5000" w:type="pct"/>
        <w:tblInd w:w="0" w:type="dxa"/>
        <w:tblLayout w:type="autofit"/>
        <w:tblCellMar>
          <w:top w:w="0" w:type="dxa"/>
          <w:left w:w="28" w:type="dxa"/>
          <w:bottom w:w="0" w:type="dxa"/>
          <w:right w:w="28" w:type="dxa"/>
        </w:tblCellMar>
      </w:tblPr>
      <w:tblGrid>
        <w:gridCol w:w="1084"/>
        <w:gridCol w:w="1239"/>
        <w:gridCol w:w="1734"/>
        <w:gridCol w:w="1741"/>
        <w:gridCol w:w="1173"/>
        <w:gridCol w:w="1391"/>
      </w:tblGrid>
      <w:tr>
        <w:tblPrEx>
          <w:tblCellMar>
            <w:top w:w="0" w:type="dxa"/>
            <w:left w:w="28" w:type="dxa"/>
            <w:bottom w:w="0" w:type="dxa"/>
            <w:right w:w="28" w:type="dxa"/>
          </w:tblCellMar>
        </w:tblPrEx>
        <w:trPr>
          <w:trHeight w:val="397" w:hRule="atLeast"/>
        </w:trPr>
        <w:tc>
          <w:tcPr>
            <w:tcW w:w="648"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感官指标</w:t>
            </w:r>
          </w:p>
        </w:tc>
        <w:tc>
          <w:tcPr>
            <w:tcW w:w="74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优</w:t>
            </w:r>
          </w:p>
        </w:tc>
        <w:tc>
          <w:tcPr>
            <w:tcW w:w="1036"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良</w:t>
            </w:r>
          </w:p>
        </w:tc>
        <w:tc>
          <w:tcPr>
            <w:tcW w:w="104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中</w:t>
            </w:r>
          </w:p>
        </w:tc>
        <w:tc>
          <w:tcPr>
            <w:tcW w:w="70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差</w:t>
            </w:r>
          </w:p>
        </w:tc>
        <w:tc>
          <w:tcPr>
            <w:tcW w:w="83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劣</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嗅和味</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无任何异味</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仅敏感者可以感觉</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多数人可以轻微感觉</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已能明显感觉</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有很显著的异味</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漂浮废弃物</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无漂浮废弃物</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有极少量漂浮废弃物</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有少量漂浮废弃物</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有较多漂浮废弃物</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有大量成片漂浮废弃物</w:t>
            </w:r>
          </w:p>
        </w:tc>
      </w:tr>
      <w:tr>
        <w:tblPrEx>
          <w:tblCellMar>
            <w:top w:w="0" w:type="dxa"/>
            <w:left w:w="28" w:type="dxa"/>
            <w:bottom w:w="0" w:type="dxa"/>
            <w:right w:w="28" w:type="dxa"/>
          </w:tblCellMar>
        </w:tblPrEx>
        <w:trPr>
          <w:trHeight w:val="397" w:hRule="atLeast"/>
        </w:trPr>
        <w:tc>
          <w:tcPr>
            <w:tcW w:w="648"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7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1036"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1040"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70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83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bidi w:val="0"/>
        <w:rPr>
          <w:rFonts w:hint="default" w:cs="Times New Roman"/>
          <w:color w:val="000000"/>
          <w:kern w:val="0"/>
          <w:sz w:val="24"/>
          <w:szCs w:val="24"/>
          <w:lang w:val="en-US" w:eastAsia="zh-CN" w:bidi="ar"/>
        </w:rPr>
      </w:pPr>
      <w:r>
        <w:rPr>
          <w:rFonts w:hint="eastAsia" w:cs="Times New Roman"/>
          <w:color w:val="000000"/>
          <w:kern w:val="0"/>
          <w:sz w:val="24"/>
          <w:szCs w:val="24"/>
          <w:lang w:val="en-US" w:eastAsia="zh-CN" w:bidi="ar"/>
        </w:rPr>
        <w:t>根据现场走访调查结果：</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依据</w:t>
      </w:r>
      <w:r>
        <w:rPr>
          <w:rFonts w:hint="eastAsia" w:ascii="Times New Roman" w:hAnsi="Times New Roman" w:eastAsia="宋体" w:cs="Times New Roman"/>
          <w:color w:val="000000"/>
          <w:kern w:val="0"/>
          <w:sz w:val="24"/>
          <w:szCs w:val="24"/>
          <w:lang w:val="zh-CN" w:eastAsia="zh-CN" w:bidi="ar"/>
        </w:rPr>
        <w:t>《四川省广元市苍溪县沙溪浩河河湖管理范围划定报告（</w:t>
      </w:r>
      <w:r>
        <w:rPr>
          <w:rFonts w:hint="eastAsia" w:ascii="Times New Roman" w:hAnsi="Times New Roman" w:eastAsia="宋体" w:cs="Times New Roman"/>
          <w:color w:val="000000"/>
          <w:kern w:val="0"/>
          <w:sz w:val="24"/>
          <w:szCs w:val="24"/>
          <w:lang w:val="en-US" w:eastAsia="zh-CN" w:bidi="ar"/>
        </w:rPr>
        <w:t>2020年</w:t>
      </w:r>
      <w:r>
        <w:rPr>
          <w:rFonts w:hint="eastAsia" w:ascii="Times New Roman" w:hAnsi="Times New Roman" w:eastAsia="宋体" w:cs="Times New Roman"/>
          <w:color w:val="000000"/>
          <w:kern w:val="0"/>
          <w:sz w:val="24"/>
          <w:szCs w:val="24"/>
          <w:lang w:val="zh-CN" w:eastAsia="zh-CN" w:bidi="ar"/>
        </w:rPr>
        <w:t>）》中描述：</w:t>
      </w:r>
      <w:r>
        <w:rPr>
          <w:rFonts w:hint="default" w:ascii="Times New Roman" w:hAnsi="Times New Roman" w:eastAsia="宋体" w:cs="Times New Roman"/>
          <w:color w:val="000000"/>
          <w:kern w:val="0"/>
          <w:sz w:val="24"/>
          <w:szCs w:val="24"/>
          <w:lang w:val="en-US" w:eastAsia="zh-CN" w:bidi="ar"/>
        </w:rPr>
        <w:t>沙溪浩流域苍溪县资料以及流域内污染源调查情况，沙溪浩苍溪段水环境总体良好；仅存在一定的农业面源污染及场镇段生活污水污染，少量垃圾污染，总体水质为Ⅲ类。</w:t>
      </w:r>
    </w:p>
    <w:p>
      <w:pPr>
        <w:pStyle w:val="22"/>
        <w:jc w:val="center"/>
        <w:rPr>
          <w:rFonts w:hint="default"/>
          <w:lang w:val="en-US" w:eastAsia="zh-CN"/>
        </w:rPr>
      </w:pPr>
      <w:r>
        <w:rPr>
          <w:rFonts w:hint="default"/>
          <w:lang w:val="en-US" w:eastAsia="zh-CN"/>
        </w:rPr>
        <w:drawing>
          <wp:inline distT="0" distB="0" distL="114300" distR="114300">
            <wp:extent cx="2972435" cy="3964305"/>
            <wp:effectExtent l="0" t="0" r="14605" b="13335"/>
            <wp:docPr id="17" name="图片 17" descr="f632783e8f6f393fb4e869c9d684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632783e8f6f393fb4e869c9d684f2d"/>
                    <pic:cNvPicPr>
                      <a:picLocks noChangeAspect="1"/>
                    </pic:cNvPicPr>
                  </pic:nvPicPr>
                  <pic:blipFill>
                    <a:blip r:embed="rId107"/>
                    <a:stretch>
                      <a:fillRect/>
                    </a:stretch>
                  </pic:blipFill>
                  <pic:spPr>
                    <a:xfrm>
                      <a:off x="0" y="0"/>
                      <a:ext cx="2972435" cy="3964305"/>
                    </a:xfrm>
                    <a:prstGeom prst="rect">
                      <a:avLst/>
                    </a:prstGeom>
                  </pic:spPr>
                </pic:pic>
              </a:graphicData>
            </a:graphic>
          </wp:inline>
        </w:drawing>
      </w:r>
    </w:p>
    <w:p>
      <w:pPr>
        <w:pStyle w:val="22"/>
        <w:jc w:val="center"/>
        <w:outlineLvl w:val="8"/>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图4.1 碾子沟水库内含有少量漂浮废弃物</w:t>
      </w:r>
    </w:p>
    <w:p>
      <w:pPr>
        <w:bidi w:val="0"/>
        <w:rPr>
          <w:rFonts w:hint="eastAsia"/>
          <w:lang w:val="en-US" w:eastAsia="zh-CN"/>
        </w:rPr>
      </w:pPr>
      <w:r>
        <w:rPr>
          <w:rFonts w:hint="eastAsia" w:ascii="Times New Roman" w:hAnsi="Times New Roman" w:eastAsia="宋体" w:cs="Times New Roman"/>
          <w:color w:val="000000"/>
          <w:kern w:val="0"/>
          <w:sz w:val="24"/>
          <w:szCs w:val="24"/>
          <w:lang w:val="en-US" w:eastAsia="zh-CN" w:bidi="ar"/>
        </w:rPr>
        <w:drawing>
          <wp:inline distT="0" distB="0" distL="114300" distR="114300">
            <wp:extent cx="5267960" cy="3950335"/>
            <wp:effectExtent l="0" t="0" r="5080" b="12065"/>
            <wp:docPr id="46" name="图片 46" descr="af4a34bc220e08cf8ba20090808f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af4a34bc220e08cf8ba20090808f0a1"/>
                    <pic:cNvPicPr>
                      <a:picLocks noChangeAspect="1"/>
                    </pic:cNvPicPr>
                  </pic:nvPicPr>
                  <pic:blipFill>
                    <a:blip r:embed="rId108"/>
                    <a:stretch>
                      <a:fillRect/>
                    </a:stretch>
                  </pic:blipFill>
                  <pic:spPr>
                    <a:xfrm>
                      <a:off x="0" y="0"/>
                      <a:ext cx="5267960" cy="3950335"/>
                    </a:xfrm>
                    <a:prstGeom prst="rect">
                      <a:avLst/>
                    </a:prstGeom>
                  </pic:spPr>
                </pic:pic>
              </a:graphicData>
            </a:graphic>
          </wp:inline>
        </w:drawing>
      </w:r>
    </w:p>
    <w:p>
      <w:pPr>
        <w:pStyle w:val="22"/>
        <w:jc w:val="center"/>
        <w:outlineLvl w:val="8"/>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图4.2 大洋沟水库现场图</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drawing>
          <wp:inline distT="0" distB="0" distL="114300" distR="114300">
            <wp:extent cx="5270500" cy="4701540"/>
            <wp:effectExtent l="0" t="0" r="2540" b="7620"/>
            <wp:docPr id="63" name="图片 63" descr="b1f12af37153218e740b1a17e0d3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b1f12af37153218e740b1a17e0d3ac4"/>
                    <pic:cNvPicPr>
                      <a:picLocks noChangeAspect="1"/>
                    </pic:cNvPicPr>
                  </pic:nvPicPr>
                  <pic:blipFill>
                    <a:blip r:embed="rId109"/>
                    <a:stretch>
                      <a:fillRect/>
                    </a:stretch>
                  </pic:blipFill>
                  <pic:spPr>
                    <a:xfrm>
                      <a:off x="0" y="0"/>
                      <a:ext cx="5270500" cy="4701540"/>
                    </a:xfrm>
                    <a:prstGeom prst="rect">
                      <a:avLst/>
                    </a:prstGeom>
                  </pic:spPr>
                </pic:pic>
              </a:graphicData>
            </a:graphic>
          </wp:inline>
        </w:drawing>
      </w:r>
    </w:p>
    <w:p>
      <w:pPr>
        <w:pStyle w:val="22"/>
        <w:jc w:val="center"/>
        <w:outlineLvl w:val="8"/>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图4.3  水库周边养殖场分布图</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drawing>
          <wp:inline distT="0" distB="0" distL="114300" distR="114300">
            <wp:extent cx="5264785" cy="2809240"/>
            <wp:effectExtent l="0" t="0" r="8255" b="10160"/>
            <wp:docPr id="69" name="图片 69" descr="5df6d5673da11ad9e633d59c8186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5df6d5673da11ad9e633d59c8186a1b"/>
                    <pic:cNvPicPr>
                      <a:picLocks noChangeAspect="1"/>
                    </pic:cNvPicPr>
                  </pic:nvPicPr>
                  <pic:blipFill>
                    <a:blip r:embed="rId110"/>
                    <a:stretch>
                      <a:fillRect/>
                    </a:stretch>
                  </pic:blipFill>
                  <pic:spPr>
                    <a:xfrm>
                      <a:off x="0" y="0"/>
                      <a:ext cx="5264785" cy="2809240"/>
                    </a:xfrm>
                    <a:prstGeom prst="rect">
                      <a:avLst/>
                    </a:prstGeom>
                  </pic:spPr>
                </pic:pic>
              </a:graphicData>
            </a:graphic>
          </wp:inline>
        </w:drawing>
      </w:r>
    </w:p>
    <w:p>
      <w:pPr>
        <w:pStyle w:val="22"/>
        <w:jc w:val="center"/>
        <w:outlineLvl w:val="8"/>
        <w:rPr>
          <w:rFonts w:hint="default"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图4.4 养殖场现场图</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通过对沙溪浩河段沿程进行调查和走访，沙溪浩水面漂浮物较少，水体较为整洁，根据居民的反馈，河道内无任何异味，整体感官良好，仅在河道两岸存在少量废弃物。</w:t>
      </w:r>
    </w:p>
    <w:p>
      <w:pPr>
        <w:bidi w:val="0"/>
        <w:rPr>
          <w:rFonts w:hint="eastAsia"/>
          <w:lang w:val="en-US" w:eastAsia="zh-CN"/>
        </w:rPr>
      </w:pPr>
      <w:r>
        <w:rPr>
          <w:rFonts w:hint="eastAsia" w:cs="Times New Roman"/>
          <w:color w:val="000000"/>
          <w:kern w:val="0"/>
          <w:sz w:val="24"/>
          <w:szCs w:val="24"/>
          <w:lang w:val="en-US" w:eastAsia="zh-CN" w:bidi="ar"/>
        </w:rPr>
        <w:t>河岸两边的农田多为高标准农田示范基地，农药使用情况符合标准，无乱排乱放现象。</w:t>
      </w:r>
    </w:p>
    <w:p>
      <w:pPr>
        <w:bidi w:val="0"/>
        <w:rPr>
          <w:rFonts w:hint="eastAsia" w:cs="Times New Roman"/>
          <w:color w:val="000000"/>
          <w:kern w:val="0"/>
          <w:sz w:val="24"/>
          <w:szCs w:val="24"/>
          <w:lang w:val="en-US" w:eastAsia="zh-CN" w:bidi="ar"/>
        </w:rPr>
      </w:pPr>
      <w:r>
        <w:rPr>
          <w:rFonts w:hint="eastAsia" w:cs="Times New Roman"/>
          <w:color w:val="000000"/>
          <w:kern w:val="0"/>
          <w:sz w:val="24"/>
          <w:szCs w:val="24"/>
          <w:lang w:val="en-US" w:eastAsia="zh-CN" w:bidi="ar"/>
        </w:rPr>
        <w:t>大洋沟水库周边建有2-3座中型养殖场，距河段直线距离约为500米，询问工作人员，养殖场内产出的废水均经过污水处理无直接排放现象。</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上述调查及走访结果，按照《指南》中水体整洁程度评估赋分标准表（表3.3-10），沙溪浩评价河段“感官指标”评价为“良”，赋分为80分，“嗅和味”评价为“无任何异味”，赋分为100分，“漂浮废弃物”评价为“有少量漂浮废弃物”，赋分为60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总体赋分为80分。</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4.1.7 水体优劣程度</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按照河湖水质类别比例赋分。水质类别比例根据《地表水资源质量评价技术规程》（SL395-2007）进行评估，河流按照河长统计，湖泊按照湖泊水面面积统计，水库按照水质监测点位数统计。</w:t>
      </w:r>
    </w:p>
    <w:p>
      <w:pPr>
        <w:pStyle w:val="43"/>
        <w:ind w:left="0" w:leftChars="0" w:firstLine="0" w:firstLineChars="0"/>
        <w:jc w:val="both"/>
        <w:outlineLvl w:val="8"/>
        <w:rPr>
          <w:sz w:val="24"/>
          <w:szCs w:val="24"/>
        </w:rPr>
      </w:pPr>
      <w:r>
        <w:rPr>
          <w:rFonts w:hint="eastAsia"/>
          <w:sz w:val="24"/>
          <w:szCs w:val="24"/>
          <w:lang w:val="en-US" w:eastAsia="zh-CN"/>
        </w:rPr>
        <w:t xml:space="preserve">    </w:t>
      </w:r>
      <w:r>
        <w:rPr>
          <w:sz w:val="24"/>
          <w:szCs w:val="24"/>
        </w:rPr>
        <w:t>水质优劣程度评估赋分标准表</w:t>
      </w:r>
    </w:p>
    <w:tbl>
      <w:tblPr>
        <w:tblStyle w:val="28"/>
        <w:tblW w:w="5000" w:type="pct"/>
        <w:tblInd w:w="0" w:type="dxa"/>
        <w:tblLayout w:type="autofit"/>
        <w:tblCellMar>
          <w:top w:w="0" w:type="dxa"/>
          <w:left w:w="108" w:type="dxa"/>
          <w:bottom w:w="0" w:type="dxa"/>
          <w:right w:w="108" w:type="dxa"/>
        </w:tblCellMar>
      </w:tblPr>
      <w:tblGrid>
        <w:gridCol w:w="1161"/>
        <w:gridCol w:w="972"/>
        <w:gridCol w:w="1082"/>
        <w:gridCol w:w="1439"/>
        <w:gridCol w:w="1548"/>
        <w:gridCol w:w="1176"/>
        <w:gridCol w:w="1144"/>
      </w:tblGrid>
      <w:tr>
        <w:tblPrEx>
          <w:tblCellMar>
            <w:top w:w="0" w:type="dxa"/>
            <w:left w:w="108" w:type="dxa"/>
            <w:bottom w:w="0" w:type="dxa"/>
            <w:right w:w="108" w:type="dxa"/>
          </w:tblCellMar>
        </w:tblPrEx>
        <w:tc>
          <w:tcPr>
            <w:tcW w:w="682"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水质优劣程度</w:t>
            </w:r>
          </w:p>
        </w:tc>
        <w:tc>
          <w:tcPr>
            <w:tcW w:w="57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Ⅰ～Ⅲ类水质比例≥90%</w:t>
            </w:r>
          </w:p>
        </w:tc>
        <w:tc>
          <w:tcPr>
            <w:tcW w:w="635"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75％≤Ⅰ～Ⅲ类水质比例＜90％</w:t>
            </w:r>
          </w:p>
        </w:tc>
        <w:tc>
          <w:tcPr>
            <w:tcW w:w="844"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Ⅰ～Ⅲ类水质比例＜75％，且劣Ⅴ类比例＜20％</w:t>
            </w:r>
          </w:p>
        </w:tc>
        <w:tc>
          <w:tcPr>
            <w:tcW w:w="908"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Ⅰ～Ⅲ类水质比例＜75％，且20％≤劣Ⅴ类比例＜30％</w:t>
            </w:r>
          </w:p>
        </w:tc>
        <w:tc>
          <w:tcPr>
            <w:tcW w:w="690"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Ⅰ～Ⅲ类水质比例＜50％</w:t>
            </w:r>
          </w:p>
        </w:tc>
        <w:tc>
          <w:tcPr>
            <w:tcW w:w="67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bCs/>
                <w:sz w:val="18"/>
                <w:szCs w:val="18"/>
                <w:lang w:val="en-US" w:eastAsia="zh-CN"/>
              </w:rPr>
              <w:t>Ⅴ～劣Ⅴ类水质比例＞50％</w:t>
            </w:r>
          </w:p>
        </w:tc>
      </w:tr>
      <w:tr>
        <w:tblPrEx>
          <w:tblCellMar>
            <w:top w:w="0" w:type="dxa"/>
            <w:left w:w="108" w:type="dxa"/>
            <w:bottom w:w="0" w:type="dxa"/>
            <w:right w:w="108" w:type="dxa"/>
          </w:tblCellMar>
        </w:tblPrEx>
        <w:tc>
          <w:tcPr>
            <w:tcW w:w="682" w:type="pct"/>
            <w:tcBorders>
              <w:top w:val="nil"/>
              <w:left w:val="single" w:color="auto" w:sz="4" w:space="0"/>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570"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635"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80</w:t>
            </w:r>
          </w:p>
        </w:tc>
        <w:tc>
          <w:tcPr>
            <w:tcW w:w="844"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w:t>
            </w:r>
          </w:p>
        </w:tc>
        <w:tc>
          <w:tcPr>
            <w:tcW w:w="908"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690"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672" w:type="pct"/>
            <w:tcBorders>
              <w:top w:val="nil"/>
              <w:left w:val="nil"/>
              <w:bottom w:val="single" w:color="auto" w:sz="4" w:space="0"/>
              <w:right w:val="single" w:color="auto" w:sz="4" w:space="0"/>
            </w:tcBorders>
            <w:noWrap w:val="0"/>
            <w:vAlign w:val="bottom"/>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r>
    </w:tbl>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2021年，苍溪县城区集中式饮用水水源地水质均符合规定水质类别，达标率为100%。大洋沟水库取水总量63.0万吨，达标取水量63.0万吨，无超标取水量。与2020年相比水质达标率均为100%，无变化。 </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2021年，苍溪县城区饮用水源地水质监测达标情况见表4.1-1。 </w:t>
      </w:r>
    </w:p>
    <w:p>
      <w:pPr>
        <w:pStyle w:val="15"/>
        <w:numPr>
          <w:ilvl w:val="8"/>
          <w:numId w:val="0"/>
        </w:numPr>
        <w:bidi w:val="0"/>
        <w:ind w:leftChars="0" w:firstLine="482" w:firstLineChars="200"/>
        <w:outlineLvl w:val="8"/>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表4.1-1  苍溪县城区饮用水源地水质监测达标情况</w:t>
      </w:r>
    </w:p>
    <w:tbl>
      <w:tblPr>
        <w:tblStyle w:val="29"/>
        <w:tblW w:w="8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1041"/>
        <w:gridCol w:w="1148"/>
        <w:gridCol w:w="1118"/>
        <w:gridCol w:w="1468"/>
        <w:gridCol w:w="594"/>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水源地名称</w:t>
            </w:r>
          </w:p>
        </w:tc>
        <w:tc>
          <w:tcPr>
            <w:tcW w:w="1041" w:type="dxa"/>
            <w:vAlign w:val="center"/>
          </w:tcPr>
          <w:p>
            <w:pPr>
              <w:pStyle w:val="27"/>
              <w:keepNext w:val="0"/>
              <w:keepLines w:val="0"/>
              <w:widowControl/>
              <w:suppressLineNumbers w:val="0"/>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rPr>
              <w:t>监测次数 （次）</w:t>
            </w:r>
          </w:p>
        </w:tc>
        <w:tc>
          <w:tcPr>
            <w:tcW w:w="114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达标次数（次）</w:t>
            </w:r>
          </w:p>
        </w:tc>
        <w:tc>
          <w:tcPr>
            <w:tcW w:w="111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达标率（%）</w:t>
            </w:r>
          </w:p>
        </w:tc>
        <w:tc>
          <w:tcPr>
            <w:tcW w:w="146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超标项目及超标倍数</w:t>
            </w:r>
          </w:p>
        </w:tc>
        <w:tc>
          <w:tcPr>
            <w:tcW w:w="594"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评价</w:t>
            </w:r>
          </w:p>
        </w:tc>
        <w:tc>
          <w:tcPr>
            <w:tcW w:w="2131"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137" w:type="dxa"/>
            <w:vAlign w:val="center"/>
          </w:tcPr>
          <w:p>
            <w:pPr>
              <w:numPr>
                <w:ilvl w:val="0"/>
                <w:numId w:val="0"/>
              </w:numPr>
              <w:jc w:val="center"/>
              <w:outlineLvl w:val="9"/>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大洋沟水库</w:t>
            </w:r>
          </w:p>
        </w:tc>
        <w:tc>
          <w:tcPr>
            <w:tcW w:w="1041"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w:t>
            </w:r>
          </w:p>
        </w:tc>
        <w:tc>
          <w:tcPr>
            <w:tcW w:w="114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w:t>
            </w:r>
          </w:p>
        </w:tc>
        <w:tc>
          <w:tcPr>
            <w:tcW w:w="111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100</w:t>
            </w:r>
          </w:p>
        </w:tc>
        <w:tc>
          <w:tcPr>
            <w:tcW w:w="1468"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无</w:t>
            </w:r>
          </w:p>
        </w:tc>
        <w:tc>
          <w:tcPr>
            <w:tcW w:w="594"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达标</w:t>
            </w:r>
          </w:p>
        </w:tc>
        <w:tc>
          <w:tcPr>
            <w:tcW w:w="2131" w:type="dxa"/>
            <w:vAlign w:val="center"/>
          </w:tcPr>
          <w:p>
            <w:pPr>
              <w:numPr>
                <w:ilvl w:val="0"/>
                <w:numId w:val="0"/>
              </w:numPr>
              <w:jc w:val="center"/>
              <w:outlineLvl w:val="9"/>
              <w:rPr>
                <w:rFonts w:hint="default" w:ascii="Times New Roman" w:hAnsi="Times New Roman" w:cs="Times New Roman"/>
                <w:sz w:val="18"/>
                <w:szCs w:val="18"/>
                <w:vertAlign w:val="baseline"/>
                <w:lang w:val="en-US" w:eastAsia="zh-CN"/>
              </w:rPr>
            </w:pPr>
            <w:r>
              <w:rPr>
                <w:rFonts w:hint="default" w:ascii="Times New Roman" w:hAnsi="Times New Roman" w:eastAsia="宋体" w:cs="Times New Roman"/>
                <w:sz w:val="18"/>
                <w:szCs w:val="18"/>
              </w:rPr>
              <w:t>《地表水环境质量标准》（GB3838-2002）</w:t>
            </w:r>
          </w:p>
        </w:tc>
      </w:tr>
    </w:tbl>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监测结果水质为Ⅲ类，根据表3.1-11水质优劣程度评估赋分标准表分析，水质优劣程度75％≤Ⅰ～Ⅲ 类水比例＜90％评估赋分为80。</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4.1.8水体自净能力</w:t>
      </w:r>
    </w:p>
    <w:p>
      <w:pPr>
        <w:bidi w:val="0"/>
      </w:pPr>
      <w:r>
        <w:t>选择水中溶解氧浓度衡量水体自净能力，赋分标准见表17。溶解氧（DO）对水生动植物十分重要，过高和过低的 DO 对水生生物均造成危害。</w:t>
      </w:r>
    </w:p>
    <w:p>
      <w:pPr>
        <w:bidi w:val="0"/>
        <w:rPr>
          <w:rFonts w:hint="eastAsia"/>
        </w:rPr>
      </w:pPr>
      <w:r>
        <w:t>饱和值与压强和温度有关，若溶解氧浓度超过当地大气压下饱和值的 110%（在饱和值无法测算时，建议饱和值是 14.4mg/L或饱和度 192%)，此项 0 分</w:t>
      </w:r>
      <w:r>
        <w:rPr>
          <w:rFonts w:hint="eastAsia"/>
        </w:rPr>
        <w:t>。</w:t>
      </w:r>
    </w:p>
    <w:p>
      <w:pPr>
        <w:pStyle w:val="43"/>
      </w:pPr>
    </w:p>
    <w:p>
      <w:pPr>
        <w:pStyle w:val="52"/>
        <w:bidi w:val="0"/>
      </w:pPr>
      <w:r>
        <w:t>表17</w:t>
      </w:r>
      <w:r>
        <w:rPr>
          <w:rFonts w:hint="eastAsia"/>
        </w:rPr>
        <w:t>水体自净能力</w:t>
      </w:r>
      <w:r>
        <w:t>赋分标准表</w:t>
      </w:r>
    </w:p>
    <w:tbl>
      <w:tblPr>
        <w:tblStyle w:val="28"/>
        <w:tblW w:w="5000" w:type="pct"/>
        <w:tblInd w:w="0" w:type="dxa"/>
        <w:tblLayout w:type="autofit"/>
        <w:tblCellMar>
          <w:top w:w="0" w:type="dxa"/>
          <w:left w:w="108" w:type="dxa"/>
          <w:bottom w:w="0" w:type="dxa"/>
          <w:right w:w="108" w:type="dxa"/>
        </w:tblCellMar>
      </w:tblPr>
      <w:tblGrid>
        <w:gridCol w:w="2078"/>
        <w:gridCol w:w="1290"/>
        <w:gridCol w:w="1289"/>
        <w:gridCol w:w="1289"/>
        <w:gridCol w:w="1289"/>
        <w:gridCol w:w="1287"/>
      </w:tblGrid>
      <w:tr>
        <w:tblPrEx>
          <w:tblCellMar>
            <w:top w:w="0" w:type="dxa"/>
            <w:left w:w="108" w:type="dxa"/>
            <w:bottom w:w="0" w:type="dxa"/>
            <w:right w:w="108" w:type="dxa"/>
          </w:tblCellMar>
        </w:tblPrEx>
        <w:tc>
          <w:tcPr>
            <w:tcW w:w="1220"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溶解氧浓度（</w:t>
            </w:r>
            <w:r>
              <w:rPr>
                <w:lang w:val="en-US" w:eastAsia="zh-CN"/>
              </w:rPr>
              <w:t>mg/L</w:t>
            </w:r>
            <w:r>
              <w:rPr>
                <w:rFonts w:hint="eastAsia"/>
                <w:lang w:val="en-US" w:eastAsia="zh-CN"/>
              </w:rPr>
              <w:t>）</w:t>
            </w:r>
          </w:p>
        </w:tc>
        <w:tc>
          <w:tcPr>
            <w:tcW w:w="757"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饱和度</w:t>
            </w:r>
            <w:r>
              <w:rPr>
                <w:lang w:val="en-US" w:eastAsia="zh-CN"/>
              </w:rPr>
              <w:t>≥90</w:t>
            </w:r>
            <w:r>
              <w:rPr>
                <w:rFonts w:hint="eastAsia"/>
                <w:lang w:val="en-US" w:eastAsia="zh-CN"/>
              </w:rPr>
              <w:t>（</w:t>
            </w:r>
            <w:r>
              <w:rPr>
                <w:lang w:val="en-US" w:eastAsia="zh-CN"/>
              </w:rPr>
              <w:t>≥7.5</w:t>
            </w:r>
            <w:r>
              <w:rPr>
                <w:rFonts w:hint="eastAsia"/>
                <w:lang w:val="en-US" w:eastAsia="zh-CN"/>
              </w:rPr>
              <w:t>）</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lang w:val="en-US" w:eastAsia="zh-CN"/>
              </w:rPr>
              <w:t>≥6</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lang w:val="en-US" w:eastAsia="zh-CN"/>
              </w:rPr>
              <w:t>≥3</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lang w:val="en-US" w:eastAsia="zh-CN"/>
              </w:rPr>
              <w:t>≥2</w:t>
            </w:r>
          </w:p>
        </w:tc>
        <w:tc>
          <w:tcPr>
            <w:tcW w:w="755"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lang w:val="en-US" w:eastAsia="zh-CN"/>
              </w:rPr>
              <w:t>0</w:t>
            </w:r>
          </w:p>
        </w:tc>
      </w:tr>
      <w:tr>
        <w:tblPrEx>
          <w:tblCellMar>
            <w:top w:w="0" w:type="dxa"/>
            <w:left w:w="108" w:type="dxa"/>
            <w:bottom w:w="0" w:type="dxa"/>
            <w:right w:w="108" w:type="dxa"/>
          </w:tblCellMar>
        </w:tblPrEx>
        <w:tc>
          <w:tcPr>
            <w:tcW w:w="1220" w:type="pct"/>
            <w:tcBorders>
              <w:top w:val="nil"/>
              <w:left w:val="single" w:color="auto" w:sz="4" w:space="0"/>
              <w:bottom w:val="single" w:color="auto" w:sz="4" w:space="0"/>
              <w:right w:val="single" w:color="auto" w:sz="4" w:space="0"/>
            </w:tcBorders>
            <w:noWrap w:val="0"/>
            <w:vAlign w:val="center"/>
          </w:tcPr>
          <w:p>
            <w:pPr>
              <w:pStyle w:val="51"/>
              <w:bidi w:val="0"/>
              <w:rPr>
                <w:lang w:val="en-US" w:eastAsia="zh-CN"/>
              </w:rPr>
            </w:pPr>
            <w:r>
              <w:rPr>
                <w:lang w:val="en-US" w:eastAsia="zh-CN"/>
              </w:rPr>
              <w:t>赋分</w:t>
            </w:r>
          </w:p>
        </w:tc>
        <w:tc>
          <w:tcPr>
            <w:tcW w:w="757"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100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80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3</w:t>
            </w:r>
            <w:r>
              <w:rPr>
                <w:lang w:val="en-US" w:eastAsia="zh-CN"/>
              </w:rPr>
              <w:t>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1</w:t>
            </w:r>
            <w:r>
              <w:rPr>
                <w:lang w:val="en-US" w:eastAsia="zh-CN"/>
              </w:rPr>
              <w:t>0</w:t>
            </w:r>
          </w:p>
        </w:tc>
        <w:tc>
          <w:tcPr>
            <w:tcW w:w="755" w:type="pct"/>
            <w:tcBorders>
              <w:top w:val="nil"/>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0</w:t>
            </w:r>
          </w:p>
        </w:tc>
      </w:tr>
    </w:tbl>
    <w:p>
      <w:pPr>
        <w:pStyle w:val="22"/>
        <w:rPr>
          <w:rFonts w:hint="default"/>
          <w:lang w:val="en-US" w:eastAsia="zh-CN"/>
        </w:rPr>
      </w:pPr>
      <w:r>
        <w:rPr>
          <w:rFonts w:hint="eastAsia"/>
          <w:lang w:eastAsia="zh-CN"/>
        </w:rPr>
        <w:t>沙溪浩为监测</w:t>
      </w:r>
      <w:r>
        <w:rPr>
          <w:rFonts w:hint="eastAsia"/>
          <w:lang w:val="en-US" w:eastAsia="zh-CN"/>
        </w:rPr>
        <w:t>溶解氧浓度，见监测结果浓度为9.0mg/L。赋分100。</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4.1.9 水质变化趋势</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收集近3年或上一年度水质监测资料并开展评价，按照水质变化趋势赋分。</w:t>
      </w:r>
    </w:p>
    <w:p>
      <w:pPr>
        <w:pStyle w:val="43"/>
        <w:ind w:left="0" w:leftChars="0" w:firstLine="0" w:firstLineChars="0"/>
        <w:jc w:val="both"/>
        <w:outlineLvl w:val="8"/>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水质变化趋势赋分标准表</w:t>
      </w:r>
    </w:p>
    <w:tbl>
      <w:tblPr>
        <w:tblStyle w:val="28"/>
        <w:tblW w:w="5000" w:type="pct"/>
        <w:tblInd w:w="0" w:type="dxa"/>
        <w:tblLayout w:type="autofit"/>
        <w:tblCellMar>
          <w:top w:w="0" w:type="dxa"/>
          <w:left w:w="108" w:type="dxa"/>
          <w:bottom w:w="0" w:type="dxa"/>
          <w:right w:w="108" w:type="dxa"/>
        </w:tblCellMar>
      </w:tblPr>
      <w:tblGrid>
        <w:gridCol w:w="1166"/>
        <w:gridCol w:w="1212"/>
        <w:gridCol w:w="1277"/>
        <w:gridCol w:w="1842"/>
        <w:gridCol w:w="1268"/>
        <w:gridCol w:w="941"/>
        <w:gridCol w:w="816"/>
      </w:tblGrid>
      <w:tr>
        <w:tblPrEx>
          <w:tblCellMar>
            <w:top w:w="0" w:type="dxa"/>
            <w:left w:w="108" w:type="dxa"/>
            <w:bottom w:w="0" w:type="dxa"/>
            <w:right w:w="108" w:type="dxa"/>
          </w:tblCellMar>
        </w:tblPrEx>
        <w:tc>
          <w:tcPr>
            <w:tcW w:w="684" w:type="pct"/>
            <w:tcBorders>
              <w:top w:val="single" w:color="auto" w:sz="4" w:space="0"/>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水质变化趋势</w:t>
            </w:r>
          </w:p>
        </w:tc>
        <w:tc>
          <w:tcPr>
            <w:tcW w:w="71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水质提升2个类别或稳定在Ⅱ类水质（主要水质指标总体向好）</w:t>
            </w:r>
          </w:p>
        </w:tc>
        <w:tc>
          <w:tcPr>
            <w:tcW w:w="749"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水质提升1个类别或稳定在Ⅱ类水质（主要水质指标总体稳定）</w:t>
            </w:r>
          </w:p>
        </w:tc>
        <w:tc>
          <w:tcPr>
            <w:tcW w:w="108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水质类别稳定在Ⅲ类，且主要水质指标总体稳定</w:t>
            </w:r>
          </w:p>
        </w:tc>
        <w:tc>
          <w:tcPr>
            <w:tcW w:w="744"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水质类别稳定，但主要水质指标总体下降</w:t>
            </w:r>
          </w:p>
        </w:tc>
        <w:tc>
          <w:tcPr>
            <w:tcW w:w="552"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水质下降1个类别</w:t>
            </w:r>
          </w:p>
        </w:tc>
        <w:tc>
          <w:tcPr>
            <w:tcW w:w="481" w:type="pct"/>
            <w:tcBorders>
              <w:top w:val="single" w:color="auto" w:sz="4" w:space="0"/>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水质下降2个类别</w:t>
            </w:r>
          </w:p>
        </w:tc>
      </w:tr>
      <w:tr>
        <w:tblPrEx>
          <w:tblCellMar>
            <w:top w:w="0" w:type="dxa"/>
            <w:left w:w="108" w:type="dxa"/>
            <w:bottom w:w="0" w:type="dxa"/>
            <w:right w:w="108" w:type="dxa"/>
          </w:tblCellMar>
        </w:tblPrEx>
        <w:tc>
          <w:tcPr>
            <w:tcW w:w="684" w:type="pct"/>
            <w:tcBorders>
              <w:top w:val="nil"/>
              <w:left w:val="single" w:color="auto" w:sz="4" w:space="0"/>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赋分</w:t>
            </w:r>
          </w:p>
        </w:tc>
        <w:tc>
          <w:tcPr>
            <w:tcW w:w="71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100</w:t>
            </w:r>
          </w:p>
        </w:tc>
        <w:tc>
          <w:tcPr>
            <w:tcW w:w="749"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90</w:t>
            </w:r>
          </w:p>
        </w:tc>
        <w:tc>
          <w:tcPr>
            <w:tcW w:w="108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70</w:t>
            </w:r>
          </w:p>
        </w:tc>
        <w:tc>
          <w:tcPr>
            <w:tcW w:w="744"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40</w:t>
            </w:r>
          </w:p>
        </w:tc>
        <w:tc>
          <w:tcPr>
            <w:tcW w:w="552"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20</w:t>
            </w:r>
          </w:p>
        </w:tc>
        <w:tc>
          <w:tcPr>
            <w:tcW w:w="481" w:type="pct"/>
            <w:tcBorders>
              <w:top w:val="nil"/>
              <w:left w:val="nil"/>
              <w:bottom w:val="single" w:color="auto" w:sz="4" w:space="0"/>
              <w:right w:val="single" w:color="auto" w:sz="4" w:space="0"/>
            </w:tcBorders>
            <w:noWrap w:val="0"/>
            <w:vAlign w:val="center"/>
          </w:tcPr>
          <w:p>
            <w:pPr>
              <w:pStyle w:val="46"/>
              <w:adjustRightInd w:val="0"/>
              <w:snapToGrid w:val="0"/>
              <w:ind w:left="0" w:lef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w:t>
            </w:r>
          </w:p>
        </w:tc>
      </w:tr>
    </w:tbl>
    <w:p>
      <w:pPr>
        <w:snapToGrid w:val="0"/>
        <w:ind w:firstLine="480"/>
        <w:rPr>
          <w:rFonts w:hint="eastAsia" w:cs="宋体"/>
          <w:b w:val="0"/>
          <w:bCs w:val="0"/>
          <w:color w:val="auto"/>
          <w:kern w:val="2"/>
          <w:sz w:val="24"/>
          <w:szCs w:val="24"/>
          <w:lang w:val="en-US" w:eastAsia="zh-CN"/>
        </w:rPr>
      </w:pP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依据</w:t>
      </w:r>
      <w:r>
        <w:rPr>
          <w:rFonts w:hint="eastAsia" w:ascii="Times New Roman" w:hAnsi="Times New Roman" w:eastAsia="宋体" w:cs="Times New Roman"/>
          <w:color w:val="000000"/>
          <w:kern w:val="0"/>
          <w:sz w:val="24"/>
          <w:szCs w:val="24"/>
          <w:lang w:val="zh-CN" w:eastAsia="zh-CN" w:bidi="ar"/>
        </w:rPr>
        <w:t>《苍溪县沙溪浩一河（湖）一策管理保护方案（2021年）》，</w:t>
      </w:r>
      <w:r>
        <w:rPr>
          <w:rFonts w:hint="eastAsia" w:ascii="Times New Roman" w:hAnsi="Times New Roman" w:eastAsia="宋体" w:cs="Times New Roman"/>
          <w:color w:val="000000"/>
          <w:kern w:val="0"/>
          <w:sz w:val="24"/>
          <w:szCs w:val="24"/>
          <w:lang w:val="en-US" w:eastAsia="zh-CN" w:bidi="ar"/>
        </w:rPr>
        <w:t xml:space="preserve">沙溪浩流域苍溪县资料以及流域内污染源调查情况，沙溪浩苍溪段水环境总体良好；仅存在一定的农业面源污染及场镇段生活污水污染，少量垃圾污染，总体水质为Ⅲ类。        </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根据表3.1-12水质变化趋势赋分标准表赋分70。</w:t>
      </w:r>
    </w:p>
    <w:p>
      <w:pPr>
        <w:wordWrap/>
        <w:autoSpaceDE/>
        <w:autoSpaceDN/>
        <w:adjustRightInd w:val="0"/>
        <w:snapToGrid w:val="0"/>
        <w:spacing w:before="166" w:beforeLines="50" w:after="166" w:afterLines="50" w:line="360" w:lineRule="auto"/>
        <w:ind w:firstLine="0" w:firstLineChars="0"/>
        <w:outlineLvl w:val="2"/>
        <w:rPr>
          <w:rFonts w:hint="eastAsia" w:ascii="Times New Roman" w:hAnsi="Times New Roman" w:cs="Times New Roman"/>
          <w:b/>
          <w:bCs/>
          <w:color w:val="auto"/>
          <w:kern w:val="2"/>
          <w:sz w:val="24"/>
          <w:szCs w:val="24"/>
          <w:lang w:val="en-US" w:eastAsia="zh-CN"/>
        </w:rPr>
      </w:pPr>
      <w:r>
        <w:rPr>
          <w:rFonts w:hint="eastAsia" w:ascii="宋体" w:hAnsi="宋体" w:cs="宋体"/>
          <w:b/>
          <w:bCs/>
          <w:color w:val="auto"/>
          <w:kern w:val="2"/>
          <w:sz w:val="24"/>
          <w:szCs w:val="24"/>
          <w:lang w:val="en-US" w:eastAsia="zh-CN"/>
        </w:rPr>
        <w:t xml:space="preserve">4.1.10 </w:t>
      </w:r>
      <w:r>
        <w:rPr>
          <w:rFonts w:hint="eastAsia" w:ascii="Times New Roman" w:hAnsi="Times New Roman" w:cs="Times New Roman"/>
          <w:b/>
          <w:bCs/>
          <w:color w:val="auto"/>
          <w:kern w:val="2"/>
          <w:sz w:val="24"/>
          <w:szCs w:val="24"/>
          <w:lang w:val="en-US" w:eastAsia="zh-CN"/>
        </w:rPr>
        <w:t>鱼类保有指数</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评价现有鱼类种类与历史参考点鱼类种类的差异状况，按照公式计算，赋分标准见表3.1-13。对于无法获取历史鱼类监测数据的评价区域，可采用专家咨询的方式确定。调查鱼类种类不包括外来鱼种。鱼类调查采取监测可按《水库渔业资源调查规范》(SL167-2014)等鱼类调查技术标准确定。</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FOEI=FO/FE×100</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式中：FOEI——鱼类保有指数（%）；</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FO——评价河湖调查获得的鱼类种类数据（剔除外来物种）（种）；</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      FE——2000年以前评价河湖的鱼类种类数量（种）。</w:t>
      </w:r>
    </w:p>
    <w:p>
      <w:pPr>
        <w:pStyle w:val="43"/>
      </w:pPr>
    </w:p>
    <w:p>
      <w:pPr>
        <w:pStyle w:val="43"/>
        <w:ind w:left="0" w:leftChars="0" w:firstLine="0" w:firstLineChars="0"/>
        <w:jc w:val="both"/>
        <w:outlineLvl w:val="8"/>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鱼类保有指数赋分标准表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5"/>
        <w:gridCol w:w="1164"/>
        <w:gridCol w:w="874"/>
        <w:gridCol w:w="873"/>
        <w:gridCol w:w="874"/>
        <w:gridCol w:w="874"/>
        <w:gridCol w:w="728"/>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pct"/>
            <w:noWrap w:val="0"/>
            <w:vAlign w:val="top"/>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鱼类保有指数(%)</w:t>
            </w:r>
          </w:p>
        </w:tc>
        <w:tc>
          <w:tcPr>
            <w:tcW w:w="68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85</w:t>
            </w:r>
          </w:p>
        </w:tc>
        <w:tc>
          <w:tcPr>
            <w:tcW w:w="512"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70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55</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40</w:t>
            </w:r>
          </w:p>
        </w:tc>
        <w:tc>
          <w:tcPr>
            <w:tcW w:w="427"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25</w:t>
            </w:r>
          </w:p>
        </w:tc>
        <w:tc>
          <w:tcPr>
            <w:tcW w:w="475"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4" w:type="pct"/>
            <w:noWrap w:val="0"/>
            <w:vAlign w:val="top"/>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赋分</w:t>
            </w:r>
          </w:p>
        </w:tc>
        <w:tc>
          <w:tcPr>
            <w:tcW w:w="68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80</w:t>
            </w:r>
          </w:p>
        </w:tc>
        <w:tc>
          <w:tcPr>
            <w:tcW w:w="512"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60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40</w:t>
            </w:r>
          </w:p>
        </w:tc>
        <w:tc>
          <w:tcPr>
            <w:tcW w:w="513"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30</w:t>
            </w:r>
          </w:p>
        </w:tc>
        <w:tc>
          <w:tcPr>
            <w:tcW w:w="427"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10</w:t>
            </w:r>
          </w:p>
        </w:tc>
        <w:tc>
          <w:tcPr>
            <w:tcW w:w="475" w:type="pct"/>
            <w:noWrap w:val="0"/>
            <w:vAlign w:val="center"/>
          </w:tcPr>
          <w:p>
            <w:pPr>
              <w:spacing w:line="360" w:lineRule="auto"/>
              <w:ind w:left="0" w:leftChars="0" w:firstLine="0" w:firstLineChars="0"/>
              <w:jc w:val="center"/>
              <w:rPr>
                <w:rFonts w:hint="default" w:ascii="Times New Roman" w:hAnsi="Times New Roman" w:eastAsia="黑体" w:cs="Times New Roman"/>
                <w:b/>
                <w:bCs/>
                <w:sz w:val="18"/>
                <w:szCs w:val="18"/>
              </w:rPr>
            </w:pPr>
            <w:r>
              <w:rPr>
                <w:rFonts w:hint="default" w:ascii="Times New Roman" w:hAnsi="Times New Roman" w:cs="Times New Roman"/>
                <w:sz w:val="18"/>
                <w:szCs w:val="18"/>
              </w:rPr>
              <w:t>0</w:t>
            </w:r>
          </w:p>
        </w:tc>
      </w:tr>
    </w:tbl>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本次实地调查结果，结合《嘉陵江水系鱼类资源调查报告》、《四川鱼类志》等文献资料记载分析，沙溪浩水域鲤形目鱼类为主要类群，有3科48属20种，又以鲤科鱼类为最多，有16种，占鱼类总种数的61.50%；鲇形目4科7属4种，占总种数的15.38%；鲈形目4科4属5种，占总种数的 19.23%；鳉形目和合鳃目均为1科1属1种，占总种数的3.89%。</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计算过程 </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按照计算公式FOEI=(FO/FE)×100其中FO数值为4，FE数值为4，则FOEI=（4/4）×100=100。</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 xml:space="preserve">根据表表3.1-13鱼类保有指数赋分标准表，当FOEI＞99 时，赋分100。 </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4.1.11 外来水生动植物</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以中华人民共和国政府发布的《中国外来入侵物种名单》为认定依据。</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收集或调查历史及现状涉水外来入侵物种情况，按照表3.1-14赋分。</w:t>
      </w:r>
    </w:p>
    <w:p>
      <w:pPr>
        <w:snapToGrid w:val="0"/>
        <w:spacing w:line="276" w:lineRule="auto"/>
        <w:ind w:left="0" w:leftChars="0" w:firstLine="0" w:firstLineChars="0"/>
        <w:jc w:val="both"/>
        <w:outlineLvl w:val="8"/>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外来入侵物种指数赋分标准表</w:t>
      </w:r>
    </w:p>
    <w:tbl>
      <w:tblPr>
        <w:tblStyle w:val="28"/>
        <w:tblW w:w="4945" w:type="pct"/>
        <w:tblInd w:w="0" w:type="dxa"/>
        <w:tblLayout w:type="autofit"/>
        <w:tblCellMar>
          <w:top w:w="0" w:type="dxa"/>
          <w:left w:w="108" w:type="dxa"/>
          <w:bottom w:w="0" w:type="dxa"/>
          <w:right w:w="108" w:type="dxa"/>
        </w:tblCellMar>
      </w:tblPr>
      <w:tblGrid>
        <w:gridCol w:w="1168"/>
        <w:gridCol w:w="1212"/>
        <w:gridCol w:w="949"/>
        <w:gridCol w:w="934"/>
        <w:gridCol w:w="1136"/>
        <w:gridCol w:w="809"/>
        <w:gridCol w:w="855"/>
        <w:gridCol w:w="1365"/>
      </w:tblGrid>
      <w:tr>
        <w:trPr>
          <w:trHeight w:val="255" w:hRule="atLeast"/>
        </w:trPr>
        <w:tc>
          <w:tcPr>
            <w:tcW w:w="693" w:type="pct"/>
            <w:vMerge w:val="restart"/>
            <w:tcBorders>
              <w:top w:val="single" w:color="auto" w:sz="4" w:space="0"/>
              <w:left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外来入侵物种</w:t>
            </w:r>
          </w:p>
        </w:tc>
        <w:tc>
          <w:tcPr>
            <w:tcW w:w="719" w:type="pct"/>
            <w:vMerge w:val="restart"/>
            <w:tcBorders>
              <w:top w:val="single" w:color="auto" w:sz="4" w:space="0"/>
              <w:left w:val="nil"/>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无外来入侵物种</w:t>
            </w:r>
          </w:p>
        </w:tc>
        <w:tc>
          <w:tcPr>
            <w:tcW w:w="1791" w:type="pct"/>
            <w:gridSpan w:val="3"/>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有1~2种入侵物种</w:t>
            </w:r>
          </w:p>
        </w:tc>
        <w:tc>
          <w:tcPr>
            <w:tcW w:w="1797" w:type="pct"/>
            <w:gridSpan w:val="3"/>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有3种及以上入侵物种</w:t>
            </w:r>
          </w:p>
        </w:tc>
      </w:tr>
      <w:tr>
        <w:tblPrEx>
          <w:tblCellMar>
            <w:top w:w="0" w:type="dxa"/>
            <w:left w:w="108" w:type="dxa"/>
            <w:bottom w:w="0" w:type="dxa"/>
            <w:right w:w="108" w:type="dxa"/>
          </w:tblCellMar>
        </w:tblPrEx>
        <w:trPr>
          <w:trHeight w:val="293" w:hRule="atLeast"/>
        </w:trPr>
        <w:tc>
          <w:tcPr>
            <w:tcW w:w="693" w:type="pct"/>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sz w:val="18"/>
                <w:szCs w:val="18"/>
              </w:rPr>
            </w:pPr>
          </w:p>
        </w:tc>
        <w:tc>
          <w:tcPr>
            <w:tcW w:w="719" w:type="pct"/>
            <w:vMerge w:val="continue"/>
            <w:tcBorders>
              <w:left w:val="nil"/>
              <w:bottom w:val="single" w:color="auto" w:sz="4" w:space="0"/>
              <w:right w:val="single" w:color="auto" w:sz="4" w:space="0"/>
            </w:tcBorders>
            <w:noWrap w:val="0"/>
            <w:vAlign w:val="center"/>
          </w:tcPr>
          <w:p>
            <w:pPr>
              <w:adjustRightInd w:val="0"/>
              <w:snapToGrid w:val="0"/>
              <w:jc w:val="center"/>
              <w:rPr>
                <w:rFonts w:hint="default" w:ascii="Times New Roman" w:hAnsi="Times New Roman" w:eastAsia="宋体" w:cs="Times New Roman"/>
                <w:sz w:val="18"/>
                <w:szCs w:val="18"/>
              </w:rPr>
            </w:pPr>
          </w:p>
        </w:tc>
        <w:tc>
          <w:tcPr>
            <w:tcW w:w="563"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偶见</w:t>
            </w:r>
          </w:p>
        </w:tc>
        <w:tc>
          <w:tcPr>
            <w:tcW w:w="554"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常见</w:t>
            </w:r>
          </w:p>
        </w:tc>
        <w:tc>
          <w:tcPr>
            <w:tcW w:w="674"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已泛滥并成为优势物种</w:t>
            </w:r>
          </w:p>
        </w:tc>
        <w:tc>
          <w:tcPr>
            <w:tcW w:w="48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偶见</w:t>
            </w:r>
          </w:p>
        </w:tc>
        <w:tc>
          <w:tcPr>
            <w:tcW w:w="507"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常见</w:t>
            </w:r>
          </w:p>
        </w:tc>
        <w:tc>
          <w:tcPr>
            <w:tcW w:w="810" w:type="pct"/>
            <w:tcBorders>
              <w:top w:val="single" w:color="auto" w:sz="4" w:space="0"/>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已泛滥并成为优势物种</w:t>
            </w:r>
          </w:p>
        </w:tc>
      </w:tr>
      <w:tr>
        <w:tblPrEx>
          <w:tblCellMar>
            <w:top w:w="0" w:type="dxa"/>
            <w:left w:w="108" w:type="dxa"/>
            <w:bottom w:w="0" w:type="dxa"/>
            <w:right w:w="108" w:type="dxa"/>
          </w:tblCellMar>
        </w:tblPrEx>
        <w:tc>
          <w:tcPr>
            <w:tcW w:w="693" w:type="pct"/>
            <w:tcBorders>
              <w:top w:val="nil"/>
              <w:left w:val="single" w:color="auto" w:sz="4" w:space="0"/>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赋分</w:t>
            </w:r>
          </w:p>
        </w:tc>
        <w:tc>
          <w:tcPr>
            <w:tcW w:w="719"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100</w:t>
            </w:r>
          </w:p>
        </w:tc>
        <w:tc>
          <w:tcPr>
            <w:tcW w:w="563"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90</w:t>
            </w:r>
          </w:p>
        </w:tc>
        <w:tc>
          <w:tcPr>
            <w:tcW w:w="554"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w:t>
            </w:r>
          </w:p>
        </w:tc>
        <w:tc>
          <w:tcPr>
            <w:tcW w:w="674"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w:t>
            </w:r>
          </w:p>
        </w:tc>
        <w:tc>
          <w:tcPr>
            <w:tcW w:w="48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80</w:t>
            </w:r>
          </w:p>
        </w:tc>
        <w:tc>
          <w:tcPr>
            <w:tcW w:w="507"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810" w:type="pct"/>
            <w:tcBorders>
              <w:top w:val="nil"/>
              <w:left w:val="nil"/>
              <w:bottom w:val="single" w:color="auto" w:sz="4" w:space="0"/>
              <w:right w:val="single" w:color="auto" w:sz="4" w:space="0"/>
            </w:tcBorders>
            <w:noWrap w:val="0"/>
            <w:vAlign w:val="center"/>
          </w:tcPr>
          <w:p>
            <w:pPr>
              <w:adjustRightInd w:val="0"/>
              <w:snapToGrid w:val="0"/>
              <w:ind w:left="0" w:leftChars="0"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w:t>
            </w:r>
          </w:p>
        </w:tc>
      </w:tr>
    </w:tbl>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根据查阅资料和咨询林业、农业方面的专家，沙溪浩流域内未发现有外来入侵物种。</w:t>
      </w:r>
    </w:p>
    <w:p>
      <w:pPr>
        <w:bidi w:val="0"/>
        <w:rPr>
          <w:rFonts w:hint="default" w:ascii="Times New Roman" w:hAnsi="Times New Roman" w:eastAsia="宋体" w:cs="Times New Roman"/>
          <w:color w:val="000000"/>
          <w:kern w:val="0"/>
          <w:sz w:val="24"/>
          <w:szCs w:val="24"/>
          <w:lang w:val="en-US" w:eastAsia="zh-CN" w:bidi="ar"/>
        </w:rPr>
      </w:pP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根据表3.1-14外来入侵物种指数赋分标准表，确定外来水生动植物指数赋分为100。</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4.1.12 公众满意度</w:t>
      </w:r>
    </w:p>
    <w:p>
      <w:pPr>
        <w:bidi w:val="0"/>
      </w:pPr>
      <w:r>
        <w:rPr>
          <w:rFonts w:hint="eastAsia" w:ascii="Times New Roman" w:hAnsi="Times New Roman" w:eastAsia="宋体" w:cs="Times New Roman"/>
          <w:color w:val="000000"/>
          <w:kern w:val="0"/>
          <w:sz w:val="24"/>
          <w:szCs w:val="24"/>
          <w:lang w:val="en-US" w:eastAsia="zh-CN" w:bidi="ar"/>
        </w:rPr>
        <w:t>公众满意度调查根据现场实际情况采用现场问卷调查法调查，根据现场实际调查，求得所有公众赋分平均分为87.2分。部分调查表如下：</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姓名</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性别</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与沙溪浩关系</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李朝太</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旅游偶尔来</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韩菊先</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女</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河湖居民</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韩洋</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旅游经常来</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韩家松</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旅游经常来</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梅盛海</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旅游偶尔来</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罗方友</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河湖居民</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徐平</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河湖居民</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徐德光</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河湖居民</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徐彦坤</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男</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河湖居民</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李春华</w:t>
            </w:r>
          </w:p>
        </w:tc>
        <w:tc>
          <w:tcPr>
            <w:tcW w:w="2130"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女</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河湖管理者</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1" w:type="dxa"/>
            <w:gridSpan w:val="3"/>
          </w:tcPr>
          <w:p>
            <w:pPr>
              <w:keepNext w:val="0"/>
              <w:keepLines w:val="0"/>
              <w:widowControl/>
              <w:suppressLineNumbers w:val="0"/>
              <w:ind w:left="0" w:leftChars="0" w:firstLine="0" w:firstLineChars="0"/>
              <w:jc w:val="center"/>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宋体" w:hAnsi="宋体" w:eastAsia="宋体" w:cs="宋体"/>
                <w:color w:val="000000"/>
                <w:kern w:val="0"/>
                <w:sz w:val="20"/>
                <w:szCs w:val="20"/>
                <w:lang w:val="en-US" w:eastAsia="zh-CN" w:bidi="ar"/>
              </w:rPr>
              <w:t>总体评估平均赋分</w:t>
            </w:r>
          </w:p>
        </w:tc>
        <w:tc>
          <w:tcPr>
            <w:tcW w:w="2131" w:type="dxa"/>
          </w:tcPr>
          <w:p>
            <w:pPr>
              <w:pStyle w:val="22"/>
              <w:ind w:left="0" w:leftChars="0" w:firstLine="0" w:firstLineChars="0"/>
              <w:jc w:val="center"/>
              <w:outlineLvl w:val="9"/>
              <w:rPr>
                <w:rFonts w:hint="default" w:ascii="Times New Roman" w:hAnsi="Times New Roman" w:eastAsia="宋体"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vertAlign w:val="baseline"/>
                <w:lang w:val="en-US" w:eastAsia="zh-CN"/>
                <w14:textFill>
                  <w14:solidFill>
                    <w14:schemeClr w14:val="tx1"/>
                  </w14:solidFill>
                </w14:textFill>
              </w:rPr>
              <w:t>87.2</w:t>
            </w:r>
          </w:p>
        </w:tc>
      </w:tr>
    </w:tbl>
    <w:p>
      <w:pPr>
        <w:pStyle w:val="22"/>
        <w:ind w:left="0" w:leftChars="0" w:firstLine="0" w:firstLineChars="0"/>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22"/>
        <w:ind w:left="0" w:leftChars="0" w:firstLine="0" w:firstLineChars="0"/>
        <w:outlineLvl w:val="2"/>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4.1.14 防洪指标</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河流及湖泊评估采用河湖堤防及沿河（环湖）口门建筑物防洪达标情况：河流按照公式计算已达到防洪标准的堤防长度占堤防总长度的比例，湖泊同时还需要评估环湖口门建筑物满足设计标准的比例。无相关规划对防洪达标标准进行规定时，参照《防洪标准》（GB50201-2014）确定。河流及湖泊防洪指标赋分见表3.1-15。</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沙溪浩不参与湖泊评估，本次只河流按照公式计算已达到防洪标准的堤防长度占堤防总长度的比例。</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object>
          <v:shape id="_x0000_i1064" o:spt="75" type="#_x0000_t75" style="height:36pt;width:129.75pt;" o:ole="t" filled="f" o:preferrelative="t" stroked="f" coordsize="21600,21600">
            <v:path/>
            <v:fill on="f" focussize="0,0"/>
            <v:stroke on="f"/>
            <v:imagedata r:id="rId97" o:title=""/>
            <o:lock v:ext="edit" aspectratio="t"/>
            <w10:wrap type="none"/>
            <w10:anchorlock/>
          </v:shape>
          <o:OLEObject Type="Embed" ProgID="Equation.DSMT4" ShapeID="_x0000_i1064" DrawAspect="Content" ObjectID="_1468075764" r:id="rId111">
            <o:LockedField>false</o:LockedField>
          </o:OLEObject>
        </w:objec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式中：</w:t>
      </w:r>
      <w:r>
        <w:rPr>
          <w:rFonts w:hint="eastAsia" w:ascii="Times New Roman" w:hAnsi="Times New Roman" w:eastAsia="宋体" w:cs="Times New Roman"/>
          <w:color w:val="000000"/>
          <w:kern w:val="0"/>
          <w:sz w:val="24"/>
          <w:szCs w:val="24"/>
          <w:lang w:val="en-US" w:eastAsia="zh-CN" w:bidi="ar"/>
        </w:rPr>
        <w:tab/>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FDRI──河流防洪工程达标率，%；</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RDA──河流达到防洪标准的堤防长度，m；</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RD──河流堤防总长度，m；</w:t>
      </w:r>
    </w:p>
    <w:p>
      <w:pPr>
        <w:pStyle w:val="52"/>
        <w:bidi w:val="0"/>
      </w:pPr>
      <w:r>
        <w:t>防洪指标评估赋分标准表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6"/>
        <w:gridCol w:w="1135"/>
        <w:gridCol w:w="994"/>
        <w:gridCol w:w="1306"/>
        <w:gridCol w:w="1306"/>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达标率（%）</w:t>
            </w:r>
          </w:p>
        </w:tc>
        <w:tc>
          <w:tcPr>
            <w:tcW w:w="666"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lang w:val="en-US" w:eastAsia="zh-CN"/>
              </w:rPr>
              <w:t>≥95</w:t>
            </w:r>
          </w:p>
        </w:tc>
        <w:tc>
          <w:tcPr>
            <w:tcW w:w="583" w:type="pct"/>
            <w:tcBorders>
              <w:left w:val="single" w:color="auto" w:sz="4" w:space="0"/>
            </w:tcBorders>
            <w:noWrap w:val="0"/>
            <w:vAlign w:val="center"/>
          </w:tcPr>
          <w:p>
            <w:pPr>
              <w:pStyle w:val="51"/>
              <w:bidi w:val="0"/>
              <w:rPr>
                <w:lang w:val="en-US" w:eastAsia="zh-CN"/>
              </w:rPr>
            </w:pPr>
            <w:r>
              <w:rPr>
                <w:lang w:val="en-US" w:eastAsia="zh-CN"/>
              </w:rPr>
              <w:t>90</w:t>
            </w:r>
            <w:r>
              <w:rPr>
                <w:rFonts w:hint="eastAsia"/>
                <w:lang w:val="en-US" w:eastAsia="zh-CN"/>
              </w:rPr>
              <w:t>-95</w:t>
            </w:r>
          </w:p>
        </w:tc>
        <w:tc>
          <w:tcPr>
            <w:tcW w:w="766" w:type="pct"/>
            <w:noWrap w:val="0"/>
            <w:vAlign w:val="center"/>
          </w:tcPr>
          <w:p>
            <w:pPr>
              <w:pStyle w:val="51"/>
              <w:bidi w:val="0"/>
              <w:rPr>
                <w:lang w:val="en-US" w:eastAsia="zh-CN"/>
              </w:rPr>
            </w:pPr>
            <w:r>
              <w:rPr>
                <w:lang w:val="en-US" w:eastAsia="zh-CN"/>
              </w:rPr>
              <w:t>85%</w:t>
            </w:r>
            <w:r>
              <w:rPr>
                <w:rFonts w:hint="eastAsia"/>
                <w:lang w:val="en-US" w:eastAsia="zh-CN"/>
              </w:rPr>
              <w:t>-90</w:t>
            </w:r>
          </w:p>
        </w:tc>
        <w:tc>
          <w:tcPr>
            <w:tcW w:w="766" w:type="pct"/>
            <w:noWrap w:val="0"/>
            <w:vAlign w:val="center"/>
          </w:tcPr>
          <w:p>
            <w:pPr>
              <w:pStyle w:val="51"/>
              <w:bidi w:val="0"/>
              <w:rPr>
                <w:lang w:val="en-US" w:eastAsia="zh-CN"/>
              </w:rPr>
            </w:pPr>
            <w:r>
              <w:rPr>
                <w:lang w:val="en-US" w:eastAsia="zh-CN"/>
              </w:rPr>
              <w:t>70%</w:t>
            </w:r>
            <w:r>
              <w:rPr>
                <w:rFonts w:hint="eastAsia"/>
                <w:lang w:val="en-US" w:eastAsia="zh-CN"/>
              </w:rPr>
              <w:t>-85</w:t>
            </w:r>
          </w:p>
        </w:tc>
        <w:tc>
          <w:tcPr>
            <w:tcW w:w="672" w:type="pct"/>
            <w:noWrap w:val="0"/>
            <w:vAlign w:val="center"/>
          </w:tcPr>
          <w:p>
            <w:pPr>
              <w:pStyle w:val="51"/>
              <w:bidi w:val="0"/>
              <w:rPr>
                <w:lang w:val="en-US" w:eastAsia="zh-CN"/>
              </w:rPr>
            </w:pPr>
            <w:r>
              <w:rPr>
                <w:rFonts w:hint="eastAsia"/>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7"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lang w:val="en-US" w:eastAsia="zh-CN"/>
              </w:rPr>
              <w:t>赋分</w:t>
            </w:r>
          </w:p>
        </w:tc>
        <w:tc>
          <w:tcPr>
            <w:tcW w:w="666"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lang w:val="en-US" w:eastAsia="zh-CN"/>
              </w:rPr>
              <w:t>100</w:t>
            </w:r>
          </w:p>
        </w:tc>
        <w:tc>
          <w:tcPr>
            <w:tcW w:w="583" w:type="pct"/>
            <w:tcBorders>
              <w:left w:val="single" w:color="auto" w:sz="4" w:space="0"/>
            </w:tcBorders>
            <w:noWrap w:val="0"/>
            <w:vAlign w:val="center"/>
          </w:tcPr>
          <w:p>
            <w:pPr>
              <w:pStyle w:val="51"/>
              <w:bidi w:val="0"/>
              <w:rPr>
                <w:lang w:val="en-US" w:eastAsia="zh-CN"/>
              </w:rPr>
            </w:pPr>
            <w:r>
              <w:rPr>
                <w:lang w:val="en-US" w:eastAsia="zh-CN"/>
              </w:rPr>
              <w:t>75</w:t>
            </w:r>
          </w:p>
        </w:tc>
        <w:tc>
          <w:tcPr>
            <w:tcW w:w="766" w:type="pct"/>
            <w:noWrap w:val="0"/>
            <w:vAlign w:val="center"/>
          </w:tcPr>
          <w:p>
            <w:pPr>
              <w:pStyle w:val="51"/>
              <w:bidi w:val="0"/>
              <w:rPr>
                <w:lang w:val="en-US" w:eastAsia="zh-CN"/>
              </w:rPr>
            </w:pPr>
            <w:r>
              <w:rPr>
                <w:lang w:val="en-US" w:eastAsia="zh-CN"/>
              </w:rPr>
              <w:t>50</w:t>
            </w:r>
          </w:p>
        </w:tc>
        <w:tc>
          <w:tcPr>
            <w:tcW w:w="766" w:type="pct"/>
            <w:noWrap w:val="0"/>
            <w:vAlign w:val="center"/>
          </w:tcPr>
          <w:p>
            <w:pPr>
              <w:pStyle w:val="51"/>
              <w:bidi w:val="0"/>
              <w:rPr>
                <w:lang w:val="en-US" w:eastAsia="zh-CN"/>
              </w:rPr>
            </w:pPr>
            <w:r>
              <w:rPr>
                <w:lang w:val="en-US" w:eastAsia="zh-CN"/>
              </w:rPr>
              <w:t>25</w:t>
            </w:r>
          </w:p>
        </w:tc>
        <w:tc>
          <w:tcPr>
            <w:tcW w:w="672" w:type="pct"/>
            <w:noWrap w:val="0"/>
            <w:vAlign w:val="center"/>
          </w:tcPr>
          <w:p>
            <w:pPr>
              <w:pStyle w:val="51"/>
              <w:bidi w:val="0"/>
              <w:rPr>
                <w:lang w:val="en-US" w:eastAsia="zh-CN"/>
              </w:rPr>
            </w:pPr>
            <w:r>
              <w:rPr>
                <w:lang w:val="en-US" w:eastAsia="zh-CN"/>
              </w:rPr>
              <w:t>0</w:t>
            </w:r>
          </w:p>
        </w:tc>
      </w:tr>
    </w:tbl>
    <w:p>
      <w:pPr>
        <w:bidi w:val="0"/>
        <w:rPr>
          <w:rFonts w:hint="eastAsia"/>
          <w:b w:val="0"/>
          <w:bCs w:val="0"/>
          <w:lang w:val="en-US" w:eastAsia="zh-CN"/>
        </w:rPr>
      </w:pP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依据</w:t>
      </w:r>
      <w:r>
        <w:rPr>
          <w:rFonts w:hint="eastAsia" w:ascii="Times New Roman" w:hAnsi="Times New Roman" w:eastAsia="宋体" w:cs="Times New Roman"/>
          <w:color w:val="000000"/>
          <w:kern w:val="0"/>
          <w:sz w:val="24"/>
          <w:szCs w:val="24"/>
          <w:lang w:val="zh-CN" w:eastAsia="zh-CN" w:bidi="ar"/>
        </w:rPr>
        <w:t>《四川省广元市苍溪县沙溪浩河河湖管理范围划定报告（</w:t>
      </w:r>
      <w:r>
        <w:rPr>
          <w:rFonts w:hint="eastAsia" w:ascii="Times New Roman" w:hAnsi="Times New Roman" w:eastAsia="宋体" w:cs="Times New Roman"/>
          <w:color w:val="000000"/>
          <w:kern w:val="0"/>
          <w:sz w:val="24"/>
          <w:szCs w:val="24"/>
          <w:lang w:val="en-US" w:eastAsia="zh-CN" w:bidi="ar"/>
        </w:rPr>
        <w:t>2020年</w:t>
      </w:r>
      <w:r>
        <w:rPr>
          <w:rFonts w:hint="eastAsia" w:ascii="Times New Roman" w:hAnsi="Times New Roman" w:eastAsia="宋体" w:cs="Times New Roman"/>
          <w:color w:val="000000"/>
          <w:kern w:val="0"/>
          <w:sz w:val="24"/>
          <w:szCs w:val="24"/>
          <w:lang w:val="zh-CN" w:eastAsia="zh-CN" w:bidi="ar"/>
        </w:rPr>
        <w:t>）》</w:t>
      </w:r>
      <w:r>
        <w:rPr>
          <w:rFonts w:hint="eastAsia" w:ascii="Times New Roman" w:hAnsi="Times New Roman" w:eastAsia="宋体" w:cs="Times New Roman"/>
          <w:color w:val="000000"/>
          <w:kern w:val="0"/>
          <w:sz w:val="24"/>
          <w:szCs w:val="24"/>
          <w:lang w:val="en-US" w:eastAsia="zh-CN" w:bidi="ar"/>
        </w:rPr>
        <w:t>防洪治涝工程措施现状，苍溪县沙溪浩除两座水库外不存在其他已建堤防。</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防洪指标赋分0。</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eastAsia="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4.1.13 供水指标</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供水指标的取水范围为评价河段的干流、湖库的库区。</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供水水量保证程度等于一年内河湖逐日水位或流量达到供水保证水位或流量的天数占年内总天数的百分比，按照以下公式计算。指标数值结果对照的评分见表3.1-17。</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w:r>
        <w:rPr>
          <w:rFonts w:hint="eastAsia" w:ascii="Times New Roman" w:hAnsi="Times New Roman" w:eastAsia="宋体" w:cs="Times New Roman"/>
          <w:color w:val="000000"/>
          <w:kern w:val="0"/>
          <w:sz w:val="24"/>
          <w:szCs w:val="24"/>
          <w:lang w:val="en-US" w:eastAsia="zh-CN" w:bidi="ar"/>
        </w:rPr>
        <w:tab/>
      </w:r>
      <m:oMath>
        <m:r>
          <m:rPr>
            <m:sty m:val="p"/>
          </m:rPr>
          <w:rPr>
            <w:rFonts w:hint="eastAsia" w:ascii="Cambria Math" w:hAnsi="Cambria Math" w:eastAsia="宋体" w:cs="Times New Roman"/>
            <w:color w:val="000000"/>
            <w:kern w:val="0"/>
            <w:sz w:val="24"/>
            <w:szCs w:val="24"/>
            <w:lang w:val="en-US" w:eastAsia="zh-CN" w:bidi="ar"/>
          </w:rPr>
          <m:t>Rgs=</m:t>
        </m:r>
        <m:f>
          <m:fPr>
            <m:ctrlPr>
              <w:rPr>
                <w:rFonts w:hint="default" w:ascii="Cambria Math" w:hAnsi="Cambria Math" w:eastAsia="宋体" w:cs="Times New Roman"/>
                <w:color w:val="000000"/>
                <w:kern w:val="0"/>
                <w:sz w:val="24"/>
                <w:szCs w:val="24"/>
                <w:lang w:val="en-US" w:eastAsia="zh-CN" w:bidi="ar"/>
              </w:rPr>
            </m:ctrlPr>
          </m:fPr>
          <m:num>
            <m:sSub>
              <m:sSubPr>
                <m:ctrlPr>
                  <w:rPr>
                    <w:rFonts w:hint="default" w:ascii="Cambria Math" w:hAnsi="Cambria Math" w:eastAsia="宋体" w:cs="Times New Roman"/>
                    <w:color w:val="000000"/>
                    <w:kern w:val="0"/>
                    <w:sz w:val="24"/>
                    <w:szCs w:val="24"/>
                    <w:lang w:val="en-US" w:eastAsia="zh-CN" w:bidi="ar"/>
                  </w:rPr>
                </m:ctrlPr>
              </m:sSubPr>
              <m:e>
                <m:r>
                  <m:rPr>
                    <m:sty m:val="p"/>
                  </m:rPr>
                  <w:rPr>
                    <w:rFonts w:hint="eastAsia" w:ascii="Cambria Math" w:hAnsi="Cambria Math" w:eastAsia="宋体" w:cs="Times New Roman"/>
                    <w:color w:val="000000"/>
                    <w:kern w:val="0"/>
                    <w:sz w:val="24"/>
                    <w:szCs w:val="24"/>
                    <w:lang w:val="en-US" w:eastAsia="zh-CN" w:bidi="ar"/>
                  </w:rPr>
                  <m:t>D</m:t>
                </m:r>
                <m:ctrlPr>
                  <w:rPr>
                    <w:rFonts w:hint="default" w:ascii="Cambria Math" w:hAnsi="Cambria Math" w:eastAsia="宋体" w:cs="Times New Roman"/>
                    <w:color w:val="000000"/>
                    <w:kern w:val="0"/>
                    <w:sz w:val="24"/>
                    <w:szCs w:val="24"/>
                    <w:lang w:val="en-US" w:eastAsia="zh-CN" w:bidi="ar"/>
                  </w:rPr>
                </m:ctrlPr>
              </m:e>
              <m:sub>
                <m:r>
                  <m:rPr>
                    <m:sty m:val="p"/>
                  </m:rPr>
                  <w:rPr>
                    <w:rFonts w:hint="default" w:ascii="Cambria Math" w:hAnsi="Cambria Math" w:eastAsia="宋体" w:cs="Times New Roman"/>
                    <w:color w:val="000000"/>
                    <w:kern w:val="0"/>
                    <w:sz w:val="24"/>
                    <w:szCs w:val="24"/>
                    <w:lang w:val="en-US" w:eastAsia="zh-CN" w:bidi="ar"/>
                  </w:rPr>
                  <m:t>0</m:t>
                </m:r>
                <m:ctrlPr>
                  <w:rPr>
                    <w:rFonts w:hint="default" w:ascii="Cambria Math" w:hAnsi="Cambria Math" w:eastAsia="宋体" w:cs="Times New Roman"/>
                    <w:color w:val="000000"/>
                    <w:kern w:val="0"/>
                    <w:sz w:val="24"/>
                    <w:szCs w:val="24"/>
                    <w:lang w:val="en-US" w:eastAsia="zh-CN" w:bidi="ar"/>
                  </w:rPr>
                </m:ctrlPr>
              </m:sub>
            </m:sSub>
            <m:ctrlPr>
              <w:rPr>
                <w:rFonts w:hint="default" w:ascii="Cambria Math" w:hAnsi="Cambria Math" w:eastAsia="宋体" w:cs="Times New Roman"/>
                <w:color w:val="000000"/>
                <w:kern w:val="0"/>
                <w:sz w:val="24"/>
                <w:szCs w:val="24"/>
                <w:lang w:val="en-US" w:eastAsia="zh-CN" w:bidi="ar"/>
              </w:rPr>
            </m:ctrlPr>
          </m:num>
          <m:den>
            <m:sSub>
              <m:sSubPr>
                <m:ctrlPr>
                  <w:rPr>
                    <w:rFonts w:hint="default" w:ascii="Cambria Math" w:hAnsi="Cambria Math" w:eastAsia="宋体" w:cs="Times New Roman"/>
                    <w:color w:val="000000"/>
                    <w:kern w:val="0"/>
                    <w:sz w:val="24"/>
                    <w:szCs w:val="24"/>
                    <w:lang w:val="en-US" w:eastAsia="zh-CN" w:bidi="ar"/>
                  </w:rPr>
                </m:ctrlPr>
              </m:sSubPr>
              <m:e>
                <m:r>
                  <m:rPr>
                    <m:sty m:val="p"/>
                  </m:rPr>
                  <w:rPr>
                    <w:rFonts w:hint="eastAsia" w:ascii="Cambria Math" w:hAnsi="Cambria Math" w:eastAsia="宋体" w:cs="Times New Roman"/>
                    <w:color w:val="000000"/>
                    <w:kern w:val="0"/>
                    <w:sz w:val="24"/>
                    <w:szCs w:val="24"/>
                    <w:lang w:val="en-US" w:eastAsia="zh-CN" w:bidi="ar"/>
                  </w:rPr>
                  <m:t>D</m:t>
                </m:r>
                <m:ctrlPr>
                  <w:rPr>
                    <w:rFonts w:hint="default" w:ascii="Cambria Math" w:hAnsi="Cambria Math" w:eastAsia="宋体" w:cs="Times New Roman"/>
                    <w:color w:val="000000"/>
                    <w:kern w:val="0"/>
                    <w:sz w:val="24"/>
                    <w:szCs w:val="24"/>
                    <w:lang w:val="en-US" w:eastAsia="zh-CN" w:bidi="ar"/>
                  </w:rPr>
                </m:ctrlPr>
              </m:e>
              <m:sub>
                <m:r>
                  <m:rPr>
                    <m:sty m:val="p"/>
                  </m:rPr>
                  <w:rPr>
                    <w:rFonts w:hint="default" w:ascii="Cambria Math" w:hAnsi="Cambria Math" w:eastAsia="宋体" w:cs="Times New Roman"/>
                    <w:color w:val="000000"/>
                    <w:kern w:val="0"/>
                    <w:sz w:val="24"/>
                    <w:szCs w:val="24"/>
                    <w:lang w:val="en-US" w:eastAsia="zh-CN" w:bidi="ar"/>
                  </w:rPr>
                  <m:t>N</m:t>
                </m:r>
                <m:ctrlPr>
                  <w:rPr>
                    <w:rFonts w:hint="default" w:ascii="Cambria Math" w:hAnsi="Cambria Math" w:eastAsia="宋体" w:cs="Times New Roman"/>
                    <w:color w:val="000000"/>
                    <w:kern w:val="0"/>
                    <w:sz w:val="24"/>
                    <w:szCs w:val="24"/>
                    <w:lang w:val="en-US" w:eastAsia="zh-CN" w:bidi="ar"/>
                  </w:rPr>
                </m:ctrlPr>
              </m:sub>
            </m:sSub>
            <m:ctrlPr>
              <w:rPr>
                <w:rFonts w:hint="default" w:ascii="Cambria Math" w:hAnsi="Cambria Math" w:eastAsia="宋体" w:cs="Times New Roman"/>
                <w:color w:val="000000"/>
                <w:kern w:val="0"/>
                <w:sz w:val="24"/>
                <w:szCs w:val="24"/>
                <w:lang w:val="en-US" w:eastAsia="zh-CN" w:bidi="ar"/>
              </w:rPr>
            </m:ctrlPr>
          </m:den>
        </m:f>
        <m:r>
          <m:rPr>
            <m:sty m:val="p"/>
          </m:rPr>
          <w:rPr>
            <w:rFonts w:hint="default" w:ascii="Cambria Math" w:hAnsi="Cambria Math" w:eastAsia="宋体" w:cs="Times New Roman"/>
            <w:color w:val="000000"/>
            <w:kern w:val="0"/>
            <w:sz w:val="24"/>
            <w:szCs w:val="24"/>
            <w:lang w:val="en-US" w:eastAsia="zh-CN" w:bidi="ar"/>
          </w:rPr>
          <m:t>×100%</m:t>
        </m:r>
      </m:oMath>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式中：</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Rgs──供水水量保证程度；</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D0──水位或流量达到供水保证水位或流量的天数（天）；</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DN──一年内总天数（天）。</w:t>
      </w:r>
    </w:p>
    <w:p>
      <w:pPr>
        <w:pStyle w:val="43"/>
      </w:pPr>
    </w:p>
    <w:p>
      <w:pPr>
        <w:pStyle w:val="52"/>
        <w:bidi w:val="0"/>
      </w:pPr>
      <w:r>
        <w:rPr>
          <w:rFonts w:hint="eastAsia"/>
        </w:rPr>
        <w:t>供水水量</w:t>
      </w:r>
      <w:r>
        <w:t>保证程度赋分标准表</w:t>
      </w:r>
    </w:p>
    <w:tbl>
      <w:tblPr>
        <w:tblStyle w:val="28"/>
        <w:tblW w:w="5000" w:type="pct"/>
        <w:tblInd w:w="0" w:type="dxa"/>
        <w:tblLayout w:type="autofit"/>
        <w:tblCellMar>
          <w:top w:w="0" w:type="dxa"/>
          <w:left w:w="108" w:type="dxa"/>
          <w:bottom w:w="0" w:type="dxa"/>
          <w:right w:w="108" w:type="dxa"/>
        </w:tblCellMar>
      </w:tblPr>
      <w:tblGrid>
        <w:gridCol w:w="2078"/>
        <w:gridCol w:w="1290"/>
        <w:gridCol w:w="1289"/>
        <w:gridCol w:w="1289"/>
        <w:gridCol w:w="1289"/>
        <w:gridCol w:w="1287"/>
      </w:tblGrid>
      <w:tr>
        <w:tblPrEx>
          <w:tblCellMar>
            <w:top w:w="0" w:type="dxa"/>
            <w:left w:w="108" w:type="dxa"/>
            <w:bottom w:w="0" w:type="dxa"/>
            <w:right w:w="108" w:type="dxa"/>
          </w:tblCellMar>
        </w:tblPrEx>
        <w:tc>
          <w:tcPr>
            <w:tcW w:w="1220" w:type="pct"/>
            <w:tcBorders>
              <w:top w:val="single" w:color="auto" w:sz="4" w:space="0"/>
              <w:left w:val="single" w:color="auto" w:sz="4" w:space="0"/>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供水水量</w:t>
            </w:r>
            <w:r>
              <w:rPr>
                <w:lang w:val="en-US" w:eastAsia="zh-CN"/>
              </w:rPr>
              <w:t>保证程度</w:t>
            </w:r>
            <w:r>
              <w:rPr>
                <w:rFonts w:hint="eastAsia"/>
                <w:lang w:val="en-US" w:eastAsia="zh-CN"/>
              </w:rPr>
              <w:t>（%）</w:t>
            </w:r>
          </w:p>
        </w:tc>
        <w:tc>
          <w:tcPr>
            <w:tcW w:w="757"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w:t>
            </w:r>
            <w:r>
              <w:rPr>
                <w:lang w:val="en-US" w:eastAsia="zh-CN"/>
              </w:rPr>
              <w:t>95,100</w:t>
            </w:r>
            <w:r>
              <w:rPr>
                <w:rFonts w:hint="eastAsia"/>
                <w:lang w:val="en-US" w:eastAsia="zh-CN"/>
              </w:rPr>
              <w:t>]</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w:t>
            </w:r>
            <w:r>
              <w:rPr>
                <w:lang w:val="en-US" w:eastAsia="zh-CN"/>
              </w:rPr>
              <w:t>85,95</w:t>
            </w:r>
            <w:r>
              <w:rPr>
                <w:rFonts w:hint="eastAsia"/>
                <w:lang w:val="en-US" w:eastAsia="zh-CN"/>
              </w:rPr>
              <w:t>]</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w:t>
            </w:r>
            <w:r>
              <w:rPr>
                <w:lang w:val="en-US" w:eastAsia="zh-CN"/>
              </w:rPr>
              <w:t>60,85</w:t>
            </w:r>
            <w:r>
              <w:rPr>
                <w:rFonts w:hint="eastAsia"/>
                <w:lang w:val="en-US" w:eastAsia="zh-CN"/>
              </w:rPr>
              <w:t>]</w:t>
            </w:r>
          </w:p>
        </w:tc>
        <w:tc>
          <w:tcPr>
            <w:tcW w:w="756"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w:t>
            </w:r>
            <w:r>
              <w:rPr>
                <w:lang w:val="en-US" w:eastAsia="zh-CN"/>
              </w:rPr>
              <w:t>20,60</w:t>
            </w:r>
            <w:r>
              <w:rPr>
                <w:rFonts w:hint="eastAsia"/>
                <w:lang w:val="en-US" w:eastAsia="zh-CN"/>
              </w:rPr>
              <w:t>]</w:t>
            </w:r>
          </w:p>
        </w:tc>
        <w:tc>
          <w:tcPr>
            <w:tcW w:w="755" w:type="pct"/>
            <w:tcBorders>
              <w:top w:val="single" w:color="auto" w:sz="4" w:space="0"/>
              <w:left w:val="nil"/>
              <w:bottom w:val="single" w:color="auto" w:sz="4" w:space="0"/>
              <w:right w:val="single" w:color="auto" w:sz="4" w:space="0"/>
            </w:tcBorders>
            <w:noWrap w:val="0"/>
            <w:vAlign w:val="center"/>
          </w:tcPr>
          <w:p>
            <w:pPr>
              <w:pStyle w:val="51"/>
              <w:bidi w:val="0"/>
              <w:rPr>
                <w:lang w:val="en-US" w:eastAsia="zh-CN"/>
              </w:rPr>
            </w:pPr>
            <w:r>
              <w:rPr>
                <w:rFonts w:hint="eastAsia"/>
                <w:lang w:val="en-US" w:eastAsia="zh-CN"/>
              </w:rPr>
              <w:t>[</w:t>
            </w:r>
            <w:r>
              <w:rPr>
                <w:lang w:val="en-US" w:eastAsia="zh-CN"/>
              </w:rPr>
              <w:t>0,20</w:t>
            </w:r>
            <w:r>
              <w:rPr>
                <w:rFonts w:hint="eastAsia"/>
                <w:lang w:val="en-US" w:eastAsia="zh-CN"/>
              </w:rPr>
              <w:t>]</w:t>
            </w:r>
          </w:p>
        </w:tc>
      </w:tr>
      <w:tr>
        <w:tblPrEx>
          <w:tblCellMar>
            <w:top w:w="0" w:type="dxa"/>
            <w:left w:w="108" w:type="dxa"/>
            <w:bottom w:w="0" w:type="dxa"/>
            <w:right w:w="108" w:type="dxa"/>
          </w:tblCellMar>
        </w:tblPrEx>
        <w:tc>
          <w:tcPr>
            <w:tcW w:w="1220" w:type="pct"/>
            <w:tcBorders>
              <w:top w:val="nil"/>
              <w:left w:val="single" w:color="auto" w:sz="4" w:space="0"/>
              <w:bottom w:val="single" w:color="auto" w:sz="4" w:space="0"/>
              <w:right w:val="single" w:color="auto" w:sz="4" w:space="0"/>
            </w:tcBorders>
            <w:noWrap w:val="0"/>
            <w:vAlign w:val="center"/>
          </w:tcPr>
          <w:p>
            <w:pPr>
              <w:pStyle w:val="51"/>
              <w:bidi w:val="0"/>
              <w:rPr>
                <w:lang w:val="en-US" w:eastAsia="zh-CN"/>
              </w:rPr>
            </w:pPr>
            <w:r>
              <w:rPr>
                <w:lang w:val="en-US" w:eastAsia="zh-CN"/>
              </w:rPr>
              <w:t>赋分</w:t>
            </w:r>
          </w:p>
        </w:tc>
        <w:tc>
          <w:tcPr>
            <w:tcW w:w="757"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100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80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60</w:t>
            </w:r>
          </w:p>
        </w:tc>
        <w:tc>
          <w:tcPr>
            <w:tcW w:w="756"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40</w:t>
            </w:r>
          </w:p>
        </w:tc>
        <w:tc>
          <w:tcPr>
            <w:tcW w:w="755" w:type="pct"/>
            <w:tcBorders>
              <w:top w:val="nil"/>
              <w:left w:val="nil"/>
              <w:bottom w:val="single" w:color="auto" w:sz="4" w:space="0"/>
              <w:right w:val="single" w:color="auto" w:sz="4" w:space="0"/>
            </w:tcBorders>
            <w:noWrap w:val="0"/>
            <w:vAlign w:val="center"/>
          </w:tcPr>
          <w:p>
            <w:pPr>
              <w:pStyle w:val="51"/>
              <w:bidi w:val="0"/>
              <w:rPr>
                <w:lang w:val="en-US" w:eastAsia="zh-CN"/>
              </w:rPr>
            </w:pPr>
            <w:r>
              <w:rPr>
                <w:lang w:val="en-US" w:eastAsia="zh-CN"/>
              </w:rPr>
              <w:t>20</w:t>
            </w:r>
          </w:p>
        </w:tc>
      </w:tr>
    </w:tbl>
    <w:p>
      <w:pPr>
        <w:bidi w:val="0"/>
        <w:rPr>
          <w:rFonts w:hint="eastAsia"/>
          <w:b w:val="0"/>
          <w:bCs w:val="0"/>
          <w:lang w:val="en-US" w:eastAsia="zh-CN"/>
        </w:rPr>
      </w:pP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沙溪浩暂无规模化供水工程，仅有两岸居民自取水工程，采用综 合供水保证率评估，根据公式计算河湖所有供水工程的供水保证率，确定赋分值。</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沙溪浩干流上大洋沟水库</w:t>
      </w:r>
      <w:r>
        <w:rPr>
          <w:rFonts w:hint="default" w:ascii="Times New Roman" w:hAnsi="Times New Roman" w:eastAsia="宋体" w:cs="Times New Roman"/>
          <w:color w:val="000000"/>
          <w:kern w:val="0"/>
          <w:sz w:val="24"/>
          <w:szCs w:val="24"/>
          <w:lang w:val="en-US" w:eastAsia="zh-CN" w:bidi="ar"/>
        </w:rPr>
        <w:t>灌溉面积4.56万亩，兼有城乡10万人畜饮水</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下游涉及5000人和2500亩耕地</w:t>
      </w:r>
      <w:r>
        <w:rPr>
          <w:rFonts w:hint="eastAsia" w:ascii="Times New Roman" w:hAnsi="Times New Roman" w:eastAsia="宋体" w:cs="Times New Roman"/>
          <w:color w:val="000000"/>
          <w:kern w:val="0"/>
          <w:sz w:val="24"/>
          <w:szCs w:val="24"/>
          <w:lang w:val="en-US" w:eastAsia="zh-CN" w:bidi="ar"/>
        </w:rPr>
        <w:t>。</w:t>
      </w:r>
    </w:p>
    <w:p>
      <w:pPr>
        <w:bidi w:val="0"/>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碾子沟水库主要任务以灌溉为主，兼有防洪、养鱼等综合功能</w:t>
      </w:r>
      <w:r>
        <w:rPr>
          <w:rFonts w:hint="eastAsia" w:ascii="Times New Roman" w:hAnsi="Times New Roman" w:eastAsia="宋体" w:cs="Times New Roman"/>
          <w:color w:val="000000"/>
          <w:kern w:val="0"/>
          <w:sz w:val="24"/>
          <w:szCs w:val="24"/>
          <w:lang w:val="en-US" w:eastAsia="zh-CN" w:bidi="ar"/>
        </w:rPr>
        <w:t>，灌溉面积450亩。</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供水指标赋分100</w:t>
      </w:r>
    </w:p>
    <w:p>
      <w:pPr>
        <w:wordWrap/>
        <w:autoSpaceDE/>
        <w:autoSpaceDN/>
        <w:adjustRightInd w:val="0"/>
        <w:snapToGrid w:val="0"/>
        <w:spacing w:before="166" w:beforeLines="50" w:after="166" w:afterLines="50" w:line="360" w:lineRule="auto"/>
        <w:ind w:firstLine="0" w:firstLineChars="0"/>
        <w:outlineLvl w:val="2"/>
        <w:rPr>
          <w:rFonts w:hint="eastAsia" w:ascii="宋体" w:hAnsi="宋体" w:cs="宋体"/>
          <w:b/>
          <w:bCs/>
          <w:color w:val="auto"/>
          <w:kern w:val="2"/>
          <w:sz w:val="24"/>
          <w:szCs w:val="24"/>
          <w:lang w:val="en-US" w:eastAsia="zh-CN"/>
        </w:rPr>
      </w:pPr>
      <w:r>
        <w:rPr>
          <w:rFonts w:hint="eastAsia" w:ascii="宋体" w:hAnsi="宋体" w:cs="宋体"/>
          <w:b/>
          <w:bCs/>
          <w:color w:val="auto"/>
          <w:kern w:val="2"/>
          <w:sz w:val="24"/>
          <w:szCs w:val="24"/>
          <w:lang w:val="en-US" w:eastAsia="zh-CN"/>
        </w:rPr>
        <w:t>4.1.15 开发利用现状与规划的符合性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河流的开发利用工程项目主要包括以下几类：水电站、堤防、囤蓄水库、航 道、其他有关涉水工程项目等等。经现场调查，沙溪浩干流上主要的工程建设项目为囤蓄水库，无其他水利工程，故本次仅评价</w:t>
      </w:r>
      <w:r>
        <w:rPr>
          <w:rFonts w:hint="eastAsia" w:cs="Times New Roman"/>
          <w:color w:val="000000"/>
          <w:kern w:val="0"/>
          <w:sz w:val="24"/>
          <w:szCs w:val="24"/>
          <w:lang w:val="en-US" w:eastAsia="zh-CN" w:bidi="ar"/>
        </w:rPr>
        <w:t>沙溪浩</w:t>
      </w:r>
      <w:r>
        <w:rPr>
          <w:rFonts w:hint="eastAsia" w:ascii="Times New Roman" w:hAnsi="Times New Roman" w:eastAsia="宋体" w:cs="Times New Roman"/>
          <w:color w:val="000000"/>
          <w:kern w:val="0"/>
          <w:sz w:val="24"/>
          <w:szCs w:val="24"/>
          <w:lang w:val="en-US" w:eastAsia="zh-CN" w:bidi="ar"/>
        </w:rPr>
        <w:t>堤防工程和水电站与规划的符合性。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上游建有碾子沟水库水库于1974年10月动工修建，1988年3月完成坝高28.27m停建并投入使用，至今已有近33年。根据现场勘踏和咨询水务管理站站长，总库容为16.13万m³。根据《防洪标准》（GB50201-2014）与《水利水电工程等级划分及洪水标准》（SL252－2017）的规定，碾子沟水库属小（2）型水库，主要任务以灌溉为主，兼有防洪等综合功能。</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中游建有大洋沟水库，枢纽工程于2000年6月动工兴建，2005年12月枢纽工程全部完成。</w:t>
      </w:r>
      <w:r>
        <w:rPr>
          <w:rFonts w:hint="default" w:ascii="Times New Roman" w:hAnsi="Times New Roman" w:eastAsia="宋体" w:cs="Times New Roman"/>
          <w:color w:val="000000"/>
          <w:kern w:val="0"/>
          <w:sz w:val="24"/>
          <w:szCs w:val="24"/>
          <w:lang w:val="en-US" w:eastAsia="zh-CN" w:bidi="ar"/>
        </w:rPr>
        <w:t>水库正常蓄水位562.40m，总库容978万m3，有效库容622.9万m3，死库容152万m3。水库设计洪水位564.89m，校核洪水位565.97m，正常蓄水位562.40m，死水位545.00m。是一座给闫家沟水库补水，灌溉面积4.56万亩，兼有城乡10万人畜饮水等综合利用的拦蓄式小（</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）型水库。</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根据《指南》中开发利用状况与规划的符合性赋分标准表（</w:t>
      </w:r>
      <w:r>
        <w:rPr>
          <w:rFonts w:hint="default" w:ascii="Times New Roman" w:hAnsi="Times New Roman" w:eastAsia="宋体" w:cs="Times New Roman"/>
          <w:color w:val="000000"/>
          <w:kern w:val="0"/>
          <w:sz w:val="24"/>
          <w:szCs w:val="24"/>
          <w:lang w:val="en-US" w:eastAsia="zh-CN" w:bidi="ar"/>
        </w:rPr>
        <w:t>3.</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-1</w:t>
      </w:r>
      <w:r>
        <w:rPr>
          <w:rFonts w:hint="eastAsia" w:ascii="Times New Roman" w:hAnsi="Times New Roman" w:eastAsia="宋体" w:cs="Times New Roman"/>
          <w:color w:val="000000"/>
          <w:kern w:val="0"/>
          <w:sz w:val="24"/>
          <w:szCs w:val="24"/>
          <w:lang w:val="en-US" w:eastAsia="zh-CN" w:bidi="ar"/>
        </w:rPr>
        <w:t>8），沙溪浩开发利用状况与规划的符合性应评定为</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开发利用活动有规划支撑，且规划现行有效</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，因此该项指标赋分为</w:t>
      </w:r>
      <w:r>
        <w:rPr>
          <w:rFonts w:hint="default" w:ascii="Times New Roman" w:hAnsi="Times New Roman" w:eastAsia="宋体" w:cs="Times New Roman"/>
          <w:color w:val="000000"/>
          <w:kern w:val="0"/>
          <w:sz w:val="24"/>
          <w:szCs w:val="24"/>
          <w:lang w:val="en-US" w:eastAsia="zh-CN" w:bidi="ar"/>
        </w:rPr>
        <w:t>100</w:t>
      </w:r>
      <w:r>
        <w:rPr>
          <w:rFonts w:hint="eastAsia" w:ascii="Times New Roman" w:hAnsi="Times New Roman" w:eastAsia="宋体" w:cs="Times New Roman"/>
          <w:color w:val="000000"/>
          <w:kern w:val="0"/>
          <w:sz w:val="24"/>
          <w:szCs w:val="24"/>
          <w:lang w:val="en-US" w:eastAsia="zh-CN" w:bidi="ar"/>
        </w:rPr>
        <w:t>分。</w:t>
      </w:r>
    </w:p>
    <w:p>
      <w:pPr>
        <w:wordWrap/>
        <w:autoSpaceDE/>
        <w:autoSpaceDN/>
        <w:adjustRightInd w:val="0"/>
        <w:snapToGrid w:val="0"/>
        <w:spacing w:before="166" w:beforeLines="50" w:after="166" w:afterLines="50" w:line="360" w:lineRule="auto"/>
        <w:ind w:firstLine="0" w:firstLineChars="0"/>
        <w:outlineLvl w:val="1"/>
        <w:rPr>
          <w:rFonts w:hint="default" w:ascii="宋体" w:hAnsi="宋体" w:cs="宋体"/>
          <w:b/>
          <w:bCs/>
          <w:color w:val="auto"/>
          <w:kern w:val="2"/>
          <w:sz w:val="24"/>
          <w:szCs w:val="24"/>
          <w:lang w:val="en-US" w:eastAsia="zh-CN"/>
        </w:rPr>
      </w:pPr>
      <w:bookmarkStart w:id="50" w:name="_Toc27837"/>
      <w:r>
        <w:rPr>
          <w:rFonts w:hint="eastAsia" w:ascii="宋体" w:hAnsi="宋体" w:cs="宋体"/>
          <w:b/>
          <w:bCs/>
          <w:color w:val="auto"/>
          <w:kern w:val="2"/>
          <w:sz w:val="24"/>
          <w:szCs w:val="24"/>
          <w:lang w:val="en-US" w:eastAsia="zh-CN"/>
        </w:rPr>
        <w:t>4.2 沙溪浩自然河道健康综合评价结论</w:t>
      </w:r>
      <w:bookmarkEnd w:id="50"/>
    </w:p>
    <w:p>
      <w:pPr>
        <w:pStyle w:val="15"/>
        <w:numPr>
          <w:ilvl w:val="8"/>
          <w:numId w:val="0"/>
        </w:numPr>
        <w:bidi w:val="0"/>
        <w:ind w:leftChars="0"/>
        <w:outlineLvl w:val="8"/>
        <w:rPr>
          <w:rFonts w:hint="eastAsia" w:ascii="宋体" w:hAnsi="宋体" w:eastAsia="宋体" w:cs="宋体"/>
          <w:b/>
          <w:bCs/>
          <w:color w:val="auto"/>
          <w:kern w:val="2"/>
          <w:sz w:val="24"/>
          <w:szCs w:val="24"/>
          <w:lang w:val="en-US" w:eastAsia="zh-CN"/>
        </w:rPr>
      </w:pPr>
      <w:r>
        <w:rPr>
          <w:rFonts w:hint="default" w:ascii="宋体" w:hAnsi="宋体" w:eastAsia="宋体" w:cs="宋体"/>
          <w:b/>
          <w:bCs/>
          <w:color w:val="000000" w:themeColor="text1"/>
          <w:sz w:val="24"/>
          <w:szCs w:val="24"/>
          <w:lang w:val="en-US" w:eastAsia="zh-CN" w:bidi="ar-SA"/>
          <w14:textFill>
            <w14:solidFill>
              <w14:schemeClr w14:val="tx1"/>
            </w14:solidFill>
          </w14:textFill>
        </w:rPr>
        <w:t>表</w:t>
      </w:r>
      <w:r>
        <w:rPr>
          <w:rFonts w:hint="eastAsia" w:ascii="宋体" w:hAnsi="宋体" w:eastAsia="宋体" w:cs="宋体"/>
          <w:b/>
          <w:bCs/>
          <w:color w:val="000000" w:themeColor="text1"/>
          <w:sz w:val="24"/>
          <w:szCs w:val="24"/>
          <w:lang w:val="en-US" w:eastAsia="zh-CN" w:bidi="ar-SA"/>
          <w14:textFill>
            <w14:solidFill>
              <w14:schemeClr w14:val="tx1"/>
            </w14:solidFill>
          </w14:textFill>
        </w:rPr>
        <w:t>4</w:t>
      </w:r>
      <w:r>
        <w:rPr>
          <w:rFonts w:hint="default"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bCs/>
          <w:color w:val="000000" w:themeColor="text1"/>
          <w:sz w:val="24"/>
          <w:szCs w:val="24"/>
          <w:lang w:val="en-US" w:eastAsia="zh-CN" w:bidi="ar-SA"/>
          <w14:textFill>
            <w14:solidFill>
              <w14:schemeClr w14:val="tx1"/>
            </w14:solidFill>
          </w14:textFill>
        </w:rPr>
        <w:t>-</w:t>
      </w:r>
      <w:r>
        <w:rPr>
          <w:rFonts w:hint="default" w:ascii="宋体" w:hAnsi="宋体" w:eastAsia="宋体" w:cs="宋体"/>
          <w:b/>
          <w:bCs/>
          <w:color w:val="000000" w:themeColor="text1"/>
          <w:sz w:val="24"/>
          <w:szCs w:val="24"/>
          <w:lang w:val="en-US" w:eastAsia="zh-CN" w:bidi="ar-SA"/>
          <w14:textFill>
            <w14:solidFill>
              <w14:schemeClr w14:val="tx1"/>
            </w14:solidFill>
          </w14:textFill>
        </w:rPr>
        <w:t>1</w:t>
      </w:r>
      <w:r>
        <w:rPr>
          <w:rFonts w:hint="eastAsia" w:ascii="宋体" w:hAnsi="宋体" w:eastAsia="宋体" w:cs="宋体"/>
          <w:b/>
          <w:bCs/>
          <w:color w:val="000000" w:themeColor="text1"/>
          <w:sz w:val="24"/>
          <w:szCs w:val="24"/>
          <w:lang w:val="en-US" w:eastAsia="zh-CN" w:bidi="ar-SA"/>
          <w14:textFill>
            <w14:solidFill>
              <w14:schemeClr w14:val="tx1"/>
            </w14:solidFill>
          </w14:textFill>
        </w:rPr>
        <w:t xml:space="preserve">                沙溪浩自</w:t>
      </w:r>
      <w:r>
        <w:rPr>
          <w:rFonts w:hint="default" w:ascii="宋体" w:hAnsi="宋体" w:eastAsia="宋体" w:cs="宋体"/>
          <w:b/>
          <w:bCs/>
          <w:color w:val="000000" w:themeColor="text1"/>
          <w:sz w:val="24"/>
          <w:szCs w:val="24"/>
          <w:lang w:val="en-US" w:eastAsia="zh-CN" w:bidi="ar-SA"/>
          <w14:textFill>
            <w14:solidFill>
              <w14:schemeClr w14:val="tx1"/>
            </w14:solidFill>
          </w14:textFill>
        </w:rPr>
        <w:t>然河流段赋分</w:t>
      </w:r>
      <w:r>
        <w:rPr>
          <w:rFonts w:hint="default" w:ascii="宋体" w:hAnsi="宋体" w:eastAsia="宋体" w:cs="宋体"/>
          <w:b/>
          <w:bCs/>
          <w:color w:val="000000" w:themeColor="text1"/>
          <w:sz w:val="24"/>
          <w:szCs w:val="24"/>
          <w:lang w:val="zh-CN" w:eastAsia="zh-CN" w:bidi="ar-SA"/>
          <w14:textFill>
            <w14:solidFill>
              <w14:schemeClr w14:val="tx1"/>
            </w14:solidFill>
          </w14:textFill>
        </w:rPr>
        <w:t>成果表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准则层</w:t>
            </w:r>
          </w:p>
        </w:tc>
        <w:tc>
          <w:tcPr>
            <w:tcW w:w="2841" w:type="dxa"/>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指标层</w:t>
            </w:r>
          </w:p>
        </w:tc>
        <w:tc>
          <w:tcPr>
            <w:tcW w:w="2841" w:type="dxa"/>
            <w:vMerge w:val="restart"/>
          </w:tcPr>
          <w:p>
            <w:pPr>
              <w:pStyle w:val="43"/>
              <w:jc w:val="center"/>
              <w:rPr>
                <w:rFonts w:hint="eastAsia" w:ascii="Times New Roman" w:hAnsi="Times New Roman" w:eastAsia="宋体" w:cs="Times New Roman"/>
                <w:b w:val="0"/>
                <w:bCs/>
                <w:sz w:val="18"/>
                <w:szCs w:val="18"/>
                <w:vertAlign w:val="baseline"/>
                <w:lang w:eastAsia="zh-CN"/>
              </w:rPr>
            </w:pPr>
            <w:r>
              <w:rPr>
                <w:rFonts w:hint="eastAsia" w:ascii="Times New Roman" w:hAnsi="Times New Roman" w:cs="Times New Roman"/>
                <w:b w:val="0"/>
                <w:bCs/>
                <w:kern w:val="0"/>
                <w:sz w:val="18"/>
                <w:szCs w:val="18"/>
                <w:lang w:eastAsia="zh-CN"/>
              </w:rPr>
              <w:t>赋分值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tcPr>
          <w:p>
            <w:pPr>
              <w:pStyle w:val="43"/>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河流</w:t>
            </w:r>
          </w:p>
        </w:tc>
        <w:tc>
          <w:tcPr>
            <w:tcW w:w="2841" w:type="dxa"/>
            <w:vMerge w:val="continue"/>
          </w:tcPr>
          <w:p>
            <w:pPr>
              <w:pStyle w:val="43"/>
              <w:jc w:val="center"/>
              <w:rPr>
                <w:rFonts w:hint="default" w:ascii="Times New Roman" w:hAnsi="Times New Roman" w:cs="Times New Roman"/>
                <w:b w:val="0"/>
                <w:bCs/>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盆</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岸线自然状况</w:t>
            </w:r>
          </w:p>
        </w:tc>
        <w:tc>
          <w:tcPr>
            <w:tcW w:w="2841" w:type="dxa"/>
          </w:tcPr>
          <w:p>
            <w:pPr>
              <w:ind w:firstLine="360" w:firstLineChars="200"/>
              <w:jc w:val="center"/>
              <w:rPr>
                <w:rFonts w:hint="default" w:ascii="Times New Roman" w:hAnsi="Times New Roman" w:cs="Times New Roman"/>
                <w:b w:val="0"/>
                <w:bCs/>
                <w:kern w:val="0"/>
                <w:sz w:val="18"/>
                <w:szCs w:val="18"/>
                <w:lang w:val="en-US" w:eastAsia="zh-CN"/>
              </w:rPr>
            </w:pPr>
            <w:r>
              <w:rPr>
                <w:rFonts w:hint="eastAsia" w:ascii="Times New Roman" w:hAnsi="Times New Roman" w:cs="Times New Roman"/>
                <w:b w:val="0"/>
                <w:bCs/>
                <w:kern w:val="0"/>
                <w:sz w:val="18"/>
                <w:szCs w:val="18"/>
                <w:lang w:val="en-US" w:eastAsia="zh-CN"/>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违规开发利用水域岸线程度</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河流纵向连通性指数</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eastAsia="宋体" w:cs="Times New Roman"/>
                <w:b w:val="0"/>
                <w:bCs/>
                <w:sz w:val="18"/>
                <w:szCs w:val="18"/>
                <w:vertAlign w:val="baseline"/>
                <w:lang w:eastAsia="zh-CN"/>
              </w:rPr>
            </w:pPr>
            <w:r>
              <w:rPr>
                <w:rFonts w:hint="default" w:ascii="Times New Roman" w:hAnsi="Times New Roman" w:cs="Times New Roman"/>
                <w:b w:val="0"/>
                <w:bCs/>
                <w:sz w:val="18"/>
                <w:szCs w:val="18"/>
                <w:vertAlign w:val="baseline"/>
                <w:lang w:eastAsia="zh-CN"/>
              </w:rPr>
              <w:t>水</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生态流量/水位满足程度</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水资源开发利用率</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水体整洁程度</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rPr>
            </w:pPr>
            <w:r>
              <w:rPr>
                <w:rFonts w:hint="default" w:ascii="Times New Roman" w:hAnsi="Times New Roman" w:eastAsia="宋体" w:cs="Times New Roman"/>
                <w:b w:val="0"/>
                <w:bCs/>
                <w:kern w:val="0"/>
                <w:sz w:val="18"/>
                <w:szCs w:val="18"/>
              </w:rPr>
              <w:t>水质优劣程度</w:t>
            </w:r>
          </w:p>
        </w:tc>
        <w:tc>
          <w:tcPr>
            <w:tcW w:w="2841" w:type="dxa"/>
          </w:tcPr>
          <w:p>
            <w:pPr>
              <w:ind w:firstLine="360" w:firstLineChars="200"/>
              <w:jc w:val="center"/>
              <w:rPr>
                <w:rFonts w:hint="default" w:ascii="Times New Roman" w:hAnsi="Times New Roman" w:eastAsia="宋体" w:cs="Times New Roman"/>
                <w:b w:val="0"/>
                <w:bCs/>
                <w:kern w:val="0"/>
                <w:sz w:val="18"/>
                <w:szCs w:val="18"/>
                <w:lang w:val="en-US" w:eastAsia="zh-CN"/>
              </w:rPr>
            </w:pPr>
            <w:r>
              <w:rPr>
                <w:rFonts w:hint="eastAsia" w:ascii="Times New Roman" w:hAnsi="Times New Roman" w:eastAsia="宋体" w:cs="Times New Roman"/>
                <w:b w:val="0"/>
                <w:bCs/>
                <w:kern w:val="0"/>
                <w:sz w:val="18"/>
                <w:szCs w:val="18"/>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tcPr>
          <w:p>
            <w:pPr>
              <w:ind w:firstLine="360" w:firstLineChars="200"/>
              <w:jc w:val="center"/>
              <w:rPr>
                <w:rFonts w:hint="eastAsia" w:ascii="Times New Roman" w:hAnsi="Times New Roman" w:eastAsia="宋体" w:cs="Times New Roman"/>
                <w:b w:val="0"/>
                <w:bCs/>
                <w:kern w:val="0"/>
                <w:sz w:val="18"/>
                <w:szCs w:val="18"/>
                <w:lang w:val="en-US" w:eastAsia="zh-CN"/>
              </w:rPr>
            </w:pPr>
            <w:r>
              <w:rPr>
                <w:rFonts w:hint="eastAsia" w:ascii="Times New Roman" w:hAnsi="Times New Roman" w:eastAsia="宋体" w:cs="Times New Roman"/>
                <w:b w:val="0"/>
                <w:bCs/>
                <w:kern w:val="0"/>
                <w:sz w:val="18"/>
                <w:szCs w:val="18"/>
                <w:lang w:eastAsia="zh-CN"/>
              </w:rPr>
              <w:t>水体自净能力</w:t>
            </w:r>
          </w:p>
        </w:tc>
        <w:tc>
          <w:tcPr>
            <w:tcW w:w="2841" w:type="dxa"/>
          </w:tcPr>
          <w:p>
            <w:pPr>
              <w:ind w:firstLine="360" w:firstLineChars="200"/>
              <w:jc w:val="center"/>
              <w:rPr>
                <w:rFonts w:hint="default" w:ascii="Times New Roman" w:hAnsi="Times New Roman" w:eastAsia="宋体" w:cs="Times New Roman"/>
                <w:b w:val="0"/>
                <w:bCs/>
                <w:kern w:val="0"/>
                <w:sz w:val="18"/>
                <w:szCs w:val="18"/>
                <w:lang w:val="en-US" w:eastAsia="zh-CN"/>
              </w:rPr>
            </w:pPr>
            <w:r>
              <w:rPr>
                <w:rFonts w:hint="eastAsia" w:ascii="Times New Roman" w:hAnsi="Times New Roman" w:eastAsia="宋体"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40" w:type="dxa"/>
            <w:vMerge w:val="continue"/>
          </w:tcPr>
          <w:p>
            <w:pPr>
              <w:ind w:firstLine="480" w:firstLineChars="200"/>
              <w:jc w:val="center"/>
            </w:pPr>
          </w:p>
        </w:tc>
        <w:tc>
          <w:tcPr>
            <w:tcW w:w="2841" w:type="dxa"/>
            <w:vAlign w:val="top"/>
          </w:tcPr>
          <w:p>
            <w:pPr>
              <w:ind w:firstLine="360" w:firstLineChars="200"/>
              <w:jc w:val="center"/>
              <w:rPr>
                <w:rFonts w:hint="default" w:ascii="Times New Roman" w:hAnsi="Times New Roman" w:eastAsia="宋体" w:cs="Times New Roman"/>
                <w:b w:val="0"/>
                <w:bCs/>
                <w:kern w:val="0"/>
                <w:sz w:val="18"/>
                <w:szCs w:val="18"/>
              </w:rPr>
            </w:pPr>
            <w:r>
              <w:rPr>
                <w:rFonts w:hint="default" w:ascii="Times New Roman" w:hAnsi="Times New Roman" w:eastAsia="宋体" w:cs="Times New Roman"/>
                <w:b w:val="0"/>
                <w:bCs/>
                <w:kern w:val="0"/>
                <w:sz w:val="18"/>
                <w:szCs w:val="18"/>
              </w:rPr>
              <w:t>水质变化趋势</w:t>
            </w:r>
          </w:p>
        </w:tc>
        <w:tc>
          <w:tcPr>
            <w:tcW w:w="2841" w:type="dxa"/>
            <w:vAlign w:val="top"/>
          </w:tcPr>
          <w:p>
            <w:pPr>
              <w:ind w:firstLine="360" w:firstLineChars="200"/>
              <w:jc w:val="center"/>
              <w:rPr>
                <w:rFonts w:hint="default" w:ascii="Times New Roman" w:hAnsi="Times New Roman" w:eastAsia="宋体" w:cs="Times New Roman"/>
                <w:b w:val="0"/>
                <w:bCs/>
                <w:kern w:val="0"/>
                <w:sz w:val="18"/>
                <w:szCs w:val="18"/>
              </w:rPr>
            </w:pPr>
            <w:r>
              <w:rPr>
                <w:rFonts w:hint="eastAsia" w:ascii="Times New Roman" w:hAnsi="Times New Roman" w:eastAsia="宋体" w:cs="Times New Roman"/>
                <w:b w:val="0"/>
                <w:bCs/>
                <w:kern w:val="0"/>
                <w:sz w:val="18"/>
                <w:szCs w:val="18"/>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default" w:ascii="Times New Roman" w:hAnsi="Times New Roman" w:cs="Times New Roman"/>
                <w:b w:val="0"/>
                <w:bCs/>
                <w:sz w:val="18"/>
                <w:szCs w:val="18"/>
                <w:vertAlign w:val="baseline"/>
                <w:lang w:eastAsia="zh-CN"/>
              </w:rPr>
            </w:pPr>
          </w:p>
          <w:p>
            <w:pPr>
              <w:pStyle w:val="43"/>
              <w:ind w:left="0" w:leftChars="0" w:firstLine="0" w:firstLineChars="0"/>
              <w:jc w:val="center"/>
              <w:rPr>
                <w:rFonts w:hint="default" w:ascii="Times New Roman" w:hAnsi="Times New Roman" w:eastAsia="宋体" w:cs="Times New Roman"/>
                <w:b w:val="0"/>
                <w:bCs/>
                <w:sz w:val="18"/>
                <w:szCs w:val="18"/>
                <w:vertAlign w:val="baseline"/>
                <w:lang w:eastAsia="zh-CN"/>
              </w:rPr>
            </w:pPr>
            <w:r>
              <w:rPr>
                <w:rFonts w:hint="default" w:ascii="Times New Roman" w:hAnsi="Times New Roman" w:cs="Times New Roman"/>
                <w:b w:val="0"/>
                <w:bCs/>
                <w:sz w:val="18"/>
                <w:szCs w:val="18"/>
                <w:vertAlign w:val="baseline"/>
                <w:lang w:eastAsia="zh-CN"/>
              </w:rPr>
              <w:t>生物</w:t>
            </w:r>
          </w:p>
        </w:tc>
        <w:tc>
          <w:tcPr>
            <w:tcW w:w="2841" w:type="dxa"/>
            <w:vAlign w:val="center"/>
          </w:tcPr>
          <w:p>
            <w:pPr>
              <w:ind w:firstLine="360" w:firstLineChars="200"/>
              <w:jc w:val="center"/>
              <w:rPr>
                <w:rFonts w:hint="default" w:ascii="Times New Roman" w:hAnsi="Times New Roman" w:cs="Times New Roman"/>
                <w:b w:val="0"/>
                <w:bCs/>
                <w:kern w:val="0"/>
                <w:sz w:val="18"/>
                <w:szCs w:val="18"/>
              </w:rPr>
            </w:pPr>
            <w:r>
              <w:rPr>
                <w:rFonts w:hint="default" w:ascii="Times New Roman" w:hAnsi="Times New Roman" w:cs="Times New Roman"/>
                <w:b w:val="0"/>
                <w:bCs/>
                <w:kern w:val="0"/>
                <w:sz w:val="18"/>
                <w:szCs w:val="18"/>
              </w:rPr>
              <w:t>鱼类保有指数</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cs="Times New Roman"/>
                <w:b w:val="0"/>
                <w:bCs/>
                <w:kern w:val="0"/>
                <w:sz w:val="18"/>
                <w:szCs w:val="18"/>
              </w:rPr>
            </w:pPr>
            <w:r>
              <w:rPr>
                <w:rFonts w:hint="default" w:ascii="Times New Roman" w:hAnsi="Times New Roman" w:cs="Times New Roman"/>
                <w:b w:val="0"/>
                <w:bCs/>
                <w:kern w:val="0"/>
                <w:sz w:val="18"/>
                <w:szCs w:val="18"/>
              </w:rPr>
              <w:t>外来入侵物种</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tcPr>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eastAsia" w:ascii="Times New Roman" w:hAnsi="Times New Roman" w:eastAsia="宋体" w:cs="Times New Roman"/>
                <w:b w:val="0"/>
                <w:bCs/>
                <w:kern w:val="0"/>
                <w:sz w:val="18"/>
                <w:szCs w:val="18"/>
                <w:lang w:eastAsia="zh-CN"/>
              </w:rPr>
            </w:pPr>
          </w:p>
          <w:p>
            <w:pPr>
              <w:pStyle w:val="43"/>
              <w:ind w:left="0" w:leftChars="0" w:firstLine="0" w:firstLineChars="0"/>
              <w:jc w:val="center"/>
              <w:rPr>
                <w:rFonts w:hint="default" w:ascii="Times New Roman" w:hAnsi="Times New Roman" w:cs="Times New Roman"/>
                <w:b w:val="0"/>
                <w:bCs/>
                <w:sz w:val="18"/>
                <w:szCs w:val="18"/>
                <w:vertAlign w:val="baseline"/>
              </w:rPr>
            </w:pPr>
            <w:r>
              <w:rPr>
                <w:rFonts w:hint="default" w:ascii="Times New Roman" w:hAnsi="Times New Roman" w:cs="Times New Roman"/>
                <w:b w:val="0"/>
                <w:bCs/>
                <w:kern w:val="0"/>
                <w:sz w:val="18"/>
                <w:szCs w:val="18"/>
              </w:rPr>
              <w:t>社会服务功能</w:t>
            </w: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公众满意度</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cs="Times New Roman"/>
                <w:b w:val="0"/>
                <w:bCs/>
                <w:sz w:val="18"/>
                <w:szCs w:val="18"/>
                <w:vertAlign w:val="baseline"/>
                <w:lang w:val="en-US" w:eastAsia="zh-CN"/>
              </w:rPr>
              <w:t>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防洪指标</w:t>
            </w:r>
          </w:p>
        </w:tc>
        <w:tc>
          <w:tcPr>
            <w:tcW w:w="2841" w:type="dxa"/>
          </w:tcPr>
          <w:p>
            <w:pPr>
              <w:ind w:firstLine="360" w:firstLineChars="200"/>
              <w:jc w:val="center"/>
              <w:rPr>
                <w:rFonts w:hint="eastAsia" w:ascii="Times New Roman" w:hAnsi="Times New Roman" w:eastAsia="宋体" w:cs="Times New Roman"/>
                <w:b w:val="0"/>
                <w:bCs/>
                <w:sz w:val="18"/>
                <w:szCs w:val="18"/>
                <w:vertAlign w:val="baseline"/>
                <w:lang w:eastAsia="zh-CN"/>
              </w:rPr>
            </w:pPr>
            <w:r>
              <w:rPr>
                <w:rFonts w:hint="eastAsia" w:ascii="Times New Roman" w:hAnsi="Times New Roman" w:cs="Times New Roman"/>
                <w:b w:val="0"/>
                <w:bCs/>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firstLine="360" w:firstLineChars="20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供水指标</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pPr>
              <w:pStyle w:val="43"/>
              <w:jc w:val="center"/>
              <w:rPr>
                <w:rFonts w:hint="default" w:ascii="Times New Roman" w:hAnsi="Times New Roman" w:cs="Times New Roman"/>
                <w:b w:val="0"/>
                <w:bCs/>
                <w:sz w:val="18"/>
                <w:szCs w:val="18"/>
                <w:vertAlign w:val="baseline"/>
              </w:rPr>
            </w:pPr>
          </w:p>
        </w:tc>
        <w:tc>
          <w:tcPr>
            <w:tcW w:w="2841" w:type="dxa"/>
            <w:vAlign w:val="center"/>
          </w:tcPr>
          <w:p>
            <w:pPr>
              <w:ind w:left="0" w:leftChars="0" w:firstLine="0" w:firstLineChars="0"/>
              <w:jc w:val="center"/>
              <w:rPr>
                <w:rFonts w:hint="default" w:ascii="Times New Roman" w:hAnsi="Times New Roman" w:eastAsia="宋体" w:cs="Times New Roman"/>
                <w:b w:val="0"/>
                <w:bCs/>
                <w:kern w:val="0"/>
                <w:sz w:val="18"/>
                <w:szCs w:val="18"/>
                <w:lang w:val="en-US" w:eastAsia="zh-CN" w:bidi="ar-SA"/>
              </w:rPr>
            </w:pPr>
            <w:r>
              <w:rPr>
                <w:rFonts w:hint="default" w:ascii="Times New Roman" w:hAnsi="Times New Roman" w:cs="Times New Roman"/>
                <w:b w:val="0"/>
                <w:bCs/>
                <w:kern w:val="0"/>
                <w:sz w:val="18"/>
                <w:szCs w:val="18"/>
              </w:rPr>
              <w:t>开发利用现状与规划的符合性</w:t>
            </w:r>
          </w:p>
        </w:tc>
        <w:tc>
          <w:tcPr>
            <w:tcW w:w="2841" w:type="dxa"/>
          </w:tcPr>
          <w:p>
            <w:pPr>
              <w:ind w:firstLine="360" w:firstLineChars="200"/>
              <w:jc w:val="center"/>
              <w:rPr>
                <w:rFonts w:hint="default" w:ascii="Times New Roman" w:hAnsi="Times New Roman" w:eastAsia="宋体" w:cs="Times New Roman"/>
                <w:b w:val="0"/>
                <w:bCs/>
                <w:sz w:val="18"/>
                <w:szCs w:val="18"/>
                <w:vertAlign w:val="baseline"/>
                <w:lang w:val="en-US" w:eastAsia="zh-CN"/>
              </w:rPr>
            </w:pPr>
            <w:r>
              <w:rPr>
                <w:rFonts w:hint="eastAsia" w:ascii="Times New Roman" w:hAnsi="Times New Roman" w:cs="Times New Roman"/>
                <w:b w:val="0"/>
                <w:bCs/>
                <w:kern w:val="0"/>
                <w:sz w:val="18"/>
                <w:szCs w:val="18"/>
                <w:lang w:val="en-US" w:eastAsia="zh-CN"/>
              </w:rPr>
              <w:t>100</w:t>
            </w:r>
          </w:p>
        </w:tc>
      </w:tr>
    </w:tbl>
    <w:p>
      <w:pPr>
        <w:rPr>
          <w:rFonts w:hint="eastAsia" w:ascii="宋体" w:hAnsi="宋体" w:eastAsia="宋体" w:cs="宋体"/>
          <w:b/>
          <w:bCs/>
          <w:color w:val="auto"/>
          <w:kern w:val="2"/>
          <w:sz w:val="24"/>
          <w:szCs w:val="24"/>
          <w:lang w:val="en-US" w:eastAsia="zh-CN"/>
        </w:rPr>
      </w:pPr>
    </w:p>
    <w:p>
      <w:pPr>
        <w:pStyle w:val="22"/>
        <w:ind w:left="0" w:leftChars="0" w:firstLine="0" w:firstLineChars="0"/>
        <w:jc w:val="center"/>
        <w:outlineLvl w:val="9"/>
        <w:rPr>
          <w:rFonts w:hint="eastAsia" w:ascii="宋体" w:hAnsi="宋体" w:eastAsia="宋体" w:cs="宋体"/>
          <w:b/>
          <w:bCs/>
          <w:color w:val="auto"/>
          <w:kern w:val="2"/>
          <w:sz w:val="24"/>
          <w:szCs w:val="24"/>
          <w:lang w:val="en-US" w:eastAsia="zh-CN"/>
        </w:rPr>
      </w:pPr>
    </w:p>
    <w:p>
      <w:pPr>
        <w:pStyle w:val="5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8"/>
        <w:rPr>
          <w:rFonts w:hint="default"/>
          <w:lang w:val="en-US" w:eastAsia="zh-CN"/>
        </w:rPr>
      </w:pPr>
      <w:r>
        <w:drawing>
          <wp:inline distT="0" distB="0" distL="114300" distR="114300">
            <wp:extent cx="5271135" cy="4503420"/>
            <wp:effectExtent l="0" t="0" r="5715" b="11430"/>
            <wp:docPr id="8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7"/>
                    <pic:cNvPicPr>
                      <a:picLocks noChangeAspect="1"/>
                    </pic:cNvPicPr>
                  </pic:nvPicPr>
                  <pic:blipFill>
                    <a:blip r:embed="rId112"/>
                    <a:stretch>
                      <a:fillRect/>
                    </a:stretch>
                  </pic:blipFill>
                  <pic:spPr>
                    <a:xfrm>
                      <a:off x="0" y="0"/>
                      <a:ext cx="5271135" cy="4503420"/>
                    </a:xfrm>
                    <a:prstGeom prst="rect">
                      <a:avLst/>
                    </a:prstGeom>
                    <a:noFill/>
                    <a:ln>
                      <a:noFill/>
                    </a:ln>
                  </pic:spPr>
                </pic:pic>
              </a:graphicData>
            </a:graphic>
          </wp:inline>
        </w:drawing>
      </w:r>
    </w:p>
    <w:p>
      <w:pPr>
        <w:pStyle w:val="5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8"/>
        <w:rPr>
          <w:rFonts w:hint="default"/>
          <w:lang w:val="en-US" w:eastAsia="zh-CN"/>
        </w:rPr>
      </w:pPr>
      <w:r>
        <w:rPr>
          <w:rFonts w:hint="default"/>
          <w:lang w:val="en-US" w:eastAsia="zh-CN"/>
        </w:rPr>
        <w:t>图</w:t>
      </w:r>
      <w:r>
        <w:rPr>
          <w:rFonts w:hint="eastAsia"/>
          <w:lang w:val="en-US" w:eastAsia="zh-CN"/>
        </w:rPr>
        <w:t>4.2-1沙溪浩</w:t>
      </w:r>
      <w:r>
        <w:rPr>
          <w:rFonts w:hint="eastAsia"/>
          <w:lang w:val="zh-CN" w:eastAsia="zh-CN"/>
        </w:rPr>
        <w:t>流域</w:t>
      </w:r>
      <w:r>
        <w:rPr>
          <w:rFonts w:hint="default"/>
          <w:lang w:val="en-US" w:eastAsia="zh-CN"/>
        </w:rPr>
        <w:t>赋分指数图</w:t>
      </w:r>
    </w:p>
    <w:p>
      <w:pPr>
        <w:rPr>
          <w:rFonts w:hint="default"/>
          <w:lang w:val="en-US" w:eastAsia="zh-CN"/>
        </w:rPr>
      </w:pPr>
      <w:r>
        <w:rPr>
          <w:rFonts w:hint="default"/>
          <w:lang w:val="en-US" w:eastAsia="zh-CN"/>
        </w:rPr>
        <w:br w:type="page"/>
      </w:r>
    </w:p>
    <w:p>
      <w:pPr>
        <w:rPr>
          <w:rFonts w:hint="default"/>
          <w:lang w:val="en-US" w:eastAsia="zh-CN"/>
        </w:rPr>
      </w:pPr>
    </w:p>
    <w:p>
      <w:pPr>
        <w:pStyle w:val="15"/>
        <w:numPr>
          <w:ilvl w:val="8"/>
          <w:numId w:val="0"/>
        </w:numPr>
        <w:bidi w:val="0"/>
        <w:ind w:leftChars="0" w:firstLine="482" w:firstLineChars="200"/>
        <w:outlineLvl w:val="8"/>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 xml:space="preserve">表4.2-2                  沙溪浩健康状况总体评价 </w:t>
      </w:r>
    </w:p>
    <w:tbl>
      <w:tblPr>
        <w:tblStyle w:val="28"/>
        <w:tblW w:w="4997" w:type="pct"/>
        <w:jc w:val="center"/>
        <w:shd w:val="clear" w:color="auto" w:fill="auto"/>
        <w:tblLayout w:type="autofit"/>
        <w:tblCellMar>
          <w:top w:w="15" w:type="dxa"/>
          <w:left w:w="15" w:type="dxa"/>
          <w:bottom w:w="15" w:type="dxa"/>
          <w:right w:w="15" w:type="dxa"/>
        </w:tblCellMar>
      </w:tblPr>
      <w:tblGrid>
        <w:gridCol w:w="1188"/>
        <w:gridCol w:w="1190"/>
        <w:gridCol w:w="1190"/>
        <w:gridCol w:w="1190"/>
        <w:gridCol w:w="1320"/>
        <w:gridCol w:w="1063"/>
        <w:gridCol w:w="1190"/>
      </w:tblGrid>
      <w:tr>
        <w:tblPrEx>
          <w:shd w:val="clear" w:color="auto" w:fill="auto"/>
          <w:tblCellMar>
            <w:top w:w="15" w:type="dxa"/>
            <w:left w:w="15" w:type="dxa"/>
            <w:bottom w:w="15" w:type="dxa"/>
            <w:right w:w="15" w:type="dxa"/>
          </w:tblCellMar>
        </w:tblPrEx>
        <w:trPr>
          <w:trHeight w:val="340" w:hRule="atLeast"/>
          <w:tblHeader/>
          <w:jc w:val="center"/>
        </w:trPr>
        <w:tc>
          <w:tcPr>
            <w:tcW w:w="713" w:type="pct"/>
            <w:vMerge w:val="restart"/>
            <w:tcBorders>
              <w:top w:val="single" w:color="000000" w:sz="4" w:space="0"/>
              <w:left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分类指标</w:t>
            </w:r>
          </w:p>
        </w:tc>
        <w:tc>
          <w:tcPr>
            <w:tcW w:w="714" w:type="pct"/>
            <w:vMerge w:val="restart"/>
            <w:tcBorders>
              <w:top w:val="single" w:color="000000" w:sz="4" w:space="0"/>
              <w:left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所占权重</w:t>
            </w:r>
          </w:p>
        </w:tc>
        <w:tc>
          <w:tcPr>
            <w:tcW w:w="714" w:type="pct"/>
            <w:vMerge w:val="restart"/>
            <w:tcBorders>
              <w:top w:val="single" w:color="000000" w:sz="4" w:space="0"/>
              <w:left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分项指标</w:t>
            </w:r>
          </w:p>
        </w:tc>
        <w:tc>
          <w:tcPr>
            <w:tcW w:w="714" w:type="pct"/>
            <w:tcBorders>
              <w:top w:val="single" w:color="000000" w:sz="4" w:space="0"/>
              <w:left w:val="single" w:color="000000"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所占权重</w:t>
            </w:r>
          </w:p>
        </w:tc>
        <w:tc>
          <w:tcPr>
            <w:tcW w:w="792" w:type="pct"/>
            <w:vMerge w:val="restart"/>
            <w:tcBorders>
              <w:top w:val="single" w:color="000000" w:sz="4" w:space="0"/>
              <w:left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备注</w:t>
            </w:r>
          </w:p>
        </w:tc>
        <w:tc>
          <w:tcPr>
            <w:tcW w:w="637" w:type="pct"/>
            <w:vMerge w:val="restart"/>
            <w:tcBorders>
              <w:top w:val="single" w:color="000000" w:sz="4" w:space="0"/>
              <w:left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eastAsia="zh-CN"/>
              </w:rPr>
            </w:pPr>
            <w:r>
              <w:rPr>
                <w:rFonts w:hint="default" w:ascii="Times New Roman" w:hAnsi="Times New Roman" w:cs="Times New Roman"/>
                <w:sz w:val="18"/>
                <w:szCs w:val="18"/>
                <w:lang w:eastAsia="zh-CN"/>
              </w:rPr>
              <w:t>分值</w:t>
            </w:r>
          </w:p>
        </w:tc>
        <w:tc>
          <w:tcPr>
            <w:tcW w:w="714" w:type="pct"/>
            <w:vMerge w:val="restart"/>
            <w:tcBorders>
              <w:top w:val="single" w:color="000000" w:sz="4" w:space="0"/>
              <w:left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eastAsia="zh-CN"/>
              </w:rPr>
            </w:pPr>
            <w:r>
              <w:rPr>
                <w:rFonts w:hint="default" w:ascii="Times New Roman" w:hAnsi="Times New Roman" w:cs="Times New Roman"/>
                <w:sz w:val="18"/>
                <w:szCs w:val="18"/>
                <w:lang w:eastAsia="zh-CN"/>
              </w:rPr>
              <w:t>比重</w:t>
            </w:r>
          </w:p>
        </w:tc>
      </w:tr>
      <w:tr>
        <w:tblPrEx>
          <w:shd w:val="clear" w:color="auto" w:fill="auto"/>
          <w:tblCellMar>
            <w:top w:w="15" w:type="dxa"/>
            <w:left w:w="15" w:type="dxa"/>
            <w:bottom w:w="15" w:type="dxa"/>
            <w:right w:w="15" w:type="dxa"/>
          </w:tblCellMar>
        </w:tblPrEx>
        <w:trPr>
          <w:trHeight w:val="340" w:hRule="atLeast"/>
          <w:tblHeader/>
          <w:jc w:val="center"/>
        </w:trPr>
        <w:tc>
          <w:tcPr>
            <w:tcW w:w="713" w:type="pct"/>
            <w:vMerge w:val="continue"/>
            <w:tcBorders>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auto"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自然河流</w:t>
            </w:r>
          </w:p>
        </w:tc>
        <w:tc>
          <w:tcPr>
            <w:tcW w:w="792" w:type="pct"/>
            <w:vMerge w:val="continue"/>
            <w:tcBorders>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vMerge w:val="continue"/>
            <w:tcBorders>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r>
      <w:tr>
        <w:tblPrEx>
          <w:shd w:val="clear" w:color="auto" w:fill="auto"/>
          <w:tblCellMar>
            <w:top w:w="15" w:type="dxa"/>
            <w:left w:w="15" w:type="dxa"/>
            <w:bottom w:w="15" w:type="dxa"/>
            <w:right w:w="15" w:type="dxa"/>
          </w:tblCellMar>
        </w:tblPrEx>
        <w:trPr>
          <w:trHeight w:val="1031" w:hRule="atLeast"/>
          <w:jc w:val="center"/>
        </w:trPr>
        <w:tc>
          <w:tcPr>
            <w:tcW w:w="713" w:type="pct"/>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水文水资源</w:t>
            </w:r>
          </w:p>
        </w:tc>
        <w:tc>
          <w:tcPr>
            <w:tcW w:w="714" w:type="pct"/>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0.20</w:t>
            </w:r>
          </w:p>
        </w:tc>
        <w:tc>
          <w:tcPr>
            <w:tcW w:w="714"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水资源开发利用率</w:t>
            </w:r>
          </w:p>
        </w:tc>
        <w:tc>
          <w:tcPr>
            <w:tcW w:w="714" w:type="pct"/>
            <w:tcBorders>
              <w:top w:val="single" w:color="auto"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auto"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对于以供水为主要功能的半人工半自然河流，不评价水资源开发利用率</w:t>
            </w: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5</w:t>
            </w:r>
          </w:p>
        </w:tc>
      </w:tr>
      <w:tr>
        <w:tblPrEx>
          <w:shd w:val="clear" w:color="auto" w:fill="auto"/>
          <w:tblCellMar>
            <w:top w:w="15" w:type="dxa"/>
            <w:left w:w="15" w:type="dxa"/>
            <w:bottom w:w="15" w:type="dxa"/>
            <w:right w:w="15" w:type="dxa"/>
          </w:tblCellMar>
        </w:tblPrEx>
        <w:trPr>
          <w:trHeight w:val="1556"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生态流量/水位满足程度</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对于受人为水量调度的半人工半自然河流，不评价生态用水满足程度</w:t>
            </w: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w:t>
            </w:r>
          </w:p>
        </w:tc>
      </w:tr>
      <w:tr>
        <w:tblPrEx>
          <w:shd w:val="clear" w:color="auto" w:fill="auto"/>
          <w:tblCellMar>
            <w:top w:w="15" w:type="dxa"/>
            <w:left w:w="15" w:type="dxa"/>
            <w:bottom w:w="15" w:type="dxa"/>
            <w:right w:w="15" w:type="dxa"/>
          </w:tblCellMar>
        </w:tblPrEx>
        <w:trPr>
          <w:trHeight w:val="340" w:hRule="atLeast"/>
          <w:jc w:val="center"/>
        </w:trPr>
        <w:tc>
          <w:tcPr>
            <w:tcW w:w="713"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物理结构</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0.30</w:t>
            </w: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岸线自然状况</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66</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6.6</w:t>
            </w:r>
          </w:p>
        </w:tc>
      </w:tr>
      <w:tr>
        <w:tblPrEx>
          <w:shd w:val="clear" w:color="auto" w:fill="auto"/>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违规开发利用水域岸线程度</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10</w:t>
            </w:r>
          </w:p>
        </w:tc>
      </w:tr>
      <w:tr>
        <w:tblPrEx>
          <w:shd w:val="clear" w:color="auto" w:fill="auto"/>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河流纵向连通性指数</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城市河流河段不评价</w:t>
            </w: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8</w:t>
            </w:r>
          </w:p>
        </w:tc>
      </w:tr>
      <w:tr>
        <w:tblPrEx>
          <w:shd w:val="clear" w:color="auto" w:fill="auto"/>
          <w:tblCellMar>
            <w:top w:w="15" w:type="dxa"/>
            <w:left w:w="15" w:type="dxa"/>
            <w:bottom w:w="15" w:type="dxa"/>
            <w:right w:w="15" w:type="dxa"/>
          </w:tblCellMar>
        </w:tblPrEx>
        <w:trPr>
          <w:trHeight w:val="340" w:hRule="atLeast"/>
          <w:jc w:val="center"/>
        </w:trPr>
        <w:tc>
          <w:tcPr>
            <w:tcW w:w="713"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水质</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0.25</w:t>
            </w: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水体整洁程度</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4</w:t>
            </w:r>
          </w:p>
        </w:tc>
      </w:tr>
      <w:tr>
        <w:tblPrEx>
          <w:shd w:val="clear" w:color="auto" w:fill="auto"/>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水质优劣程度</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Ⅰ～Ⅲ类水质比例＜50％，否决为不健康</w:t>
            </w: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水体自净能力</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100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水质变化趋势</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3.5</w:t>
            </w:r>
          </w:p>
        </w:tc>
      </w:tr>
      <w:tr>
        <w:tblPrEx>
          <w:tblCellMar>
            <w:top w:w="15" w:type="dxa"/>
            <w:left w:w="15" w:type="dxa"/>
            <w:bottom w:w="15" w:type="dxa"/>
            <w:right w:w="15" w:type="dxa"/>
          </w:tblCellMar>
        </w:tblPrEx>
        <w:trPr>
          <w:trHeight w:val="340" w:hRule="atLeast"/>
          <w:jc w:val="center"/>
        </w:trPr>
        <w:tc>
          <w:tcPr>
            <w:tcW w:w="713"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生物</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0.10</w:t>
            </w: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鱼类保有指数</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5</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000000" w:sz="4" w:space="0"/>
              <w:left w:val="single" w:color="000000"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000000" w:sz="4" w:space="0"/>
              <w:left w:val="single" w:color="000000"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外来入侵物种</w:t>
            </w:r>
          </w:p>
        </w:tc>
        <w:tc>
          <w:tcPr>
            <w:tcW w:w="714" w:type="pct"/>
            <w:tcBorders>
              <w:top w:val="single" w:color="000000" w:sz="4" w:space="0"/>
              <w:left w:val="single" w:color="000000" w:sz="4" w:space="0"/>
              <w:bottom w:val="single" w:color="000000"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100</w:t>
            </w:r>
          </w:p>
        </w:tc>
        <w:tc>
          <w:tcPr>
            <w:tcW w:w="119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pStyle w:val="51"/>
              <w:bidi w:val="0"/>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tc>
      </w:tr>
      <w:tr>
        <w:tblPrEx>
          <w:tblCellMar>
            <w:top w:w="15" w:type="dxa"/>
            <w:left w:w="15" w:type="dxa"/>
            <w:bottom w:w="15" w:type="dxa"/>
            <w:right w:w="15" w:type="dxa"/>
          </w:tblCellMar>
        </w:tblPrEx>
        <w:trPr>
          <w:trHeight w:val="340" w:hRule="atLeast"/>
          <w:jc w:val="center"/>
        </w:trPr>
        <w:tc>
          <w:tcPr>
            <w:tcW w:w="713"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河湖管理与社会服务功能</w:t>
            </w:r>
          </w:p>
        </w:tc>
        <w:tc>
          <w:tcPr>
            <w:tcW w:w="714"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0.15</w:t>
            </w:r>
          </w:p>
        </w:tc>
        <w:tc>
          <w:tcPr>
            <w:tcW w:w="7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公众满意度</w:t>
            </w:r>
          </w:p>
        </w:tc>
        <w:tc>
          <w:tcPr>
            <w:tcW w:w="7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87.2</w:t>
            </w:r>
          </w:p>
        </w:tc>
        <w:tc>
          <w:tcPr>
            <w:tcW w:w="11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lang w:val="en-US"/>
              </w:rPr>
            </w:pPr>
            <w:r>
              <w:rPr>
                <w:rFonts w:hint="eastAsia" w:ascii="Times New Roman" w:hAnsi="Times New Roman" w:cs="Times New Roman"/>
                <w:sz w:val="18"/>
                <w:szCs w:val="18"/>
                <w:lang w:val="en-US" w:eastAsia="zh-CN"/>
              </w:rPr>
              <w:t>4.36</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防洪指标</w:t>
            </w:r>
          </w:p>
        </w:tc>
        <w:tc>
          <w:tcPr>
            <w:tcW w:w="714" w:type="pct"/>
            <w:tcBorders>
              <w:top w:val="single" w:color="auto" w:sz="4" w:space="0"/>
              <w:left w:val="single" w:color="000000"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0.02</w:t>
            </w:r>
          </w:p>
        </w:tc>
        <w:tc>
          <w:tcPr>
            <w:tcW w:w="79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lang w:val="en-US" w:eastAsia="zh-CN"/>
              </w:rPr>
              <w:t>0</w:t>
            </w:r>
          </w:p>
        </w:tc>
        <w:tc>
          <w:tcPr>
            <w:tcW w:w="119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0</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供水指标</w:t>
            </w:r>
          </w:p>
        </w:tc>
        <w:tc>
          <w:tcPr>
            <w:tcW w:w="714" w:type="pct"/>
            <w:tcBorders>
              <w:top w:val="single" w:color="auto" w:sz="4" w:space="0"/>
              <w:left w:val="single" w:color="000000"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0.03</w:t>
            </w:r>
          </w:p>
        </w:tc>
        <w:tc>
          <w:tcPr>
            <w:tcW w:w="79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城市河流河段不评价</w:t>
            </w:r>
          </w:p>
        </w:tc>
        <w:tc>
          <w:tcPr>
            <w:tcW w:w="637"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lang w:val="en-US" w:eastAsia="zh-CN"/>
              </w:rPr>
              <w:t>100</w:t>
            </w:r>
          </w:p>
        </w:tc>
        <w:tc>
          <w:tcPr>
            <w:tcW w:w="119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3</w:t>
            </w:r>
          </w:p>
        </w:tc>
      </w:tr>
      <w:tr>
        <w:tblPrEx>
          <w:tblCellMar>
            <w:top w:w="15" w:type="dxa"/>
            <w:left w:w="15" w:type="dxa"/>
            <w:bottom w:w="15" w:type="dxa"/>
            <w:right w:w="15" w:type="dxa"/>
          </w:tblCellMar>
        </w:tblPrEx>
        <w:trPr>
          <w:trHeight w:val="340" w:hRule="atLeast"/>
          <w:jc w:val="center"/>
        </w:trPr>
        <w:tc>
          <w:tcPr>
            <w:tcW w:w="713"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714"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开发利用现状与规划的符合性</w:t>
            </w:r>
          </w:p>
        </w:tc>
        <w:tc>
          <w:tcPr>
            <w:tcW w:w="714" w:type="pct"/>
            <w:tcBorders>
              <w:top w:val="single" w:color="auto" w:sz="4" w:space="0"/>
              <w:left w:val="single" w:color="000000" w:sz="4" w:space="0"/>
              <w:bottom w:val="single" w:color="auto" w:sz="4" w:space="0"/>
              <w:right w:val="single" w:color="auto"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rPr>
              <w:t>0.05</w:t>
            </w:r>
          </w:p>
        </w:tc>
        <w:tc>
          <w:tcPr>
            <w:tcW w:w="792"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p>
        </w:tc>
        <w:tc>
          <w:tcPr>
            <w:tcW w:w="637"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default" w:ascii="Times New Roman" w:hAnsi="Times New Roman" w:cs="Times New Roman"/>
                <w:sz w:val="18"/>
                <w:szCs w:val="18"/>
                <w:lang w:val="en-US" w:eastAsia="zh-CN"/>
              </w:rPr>
              <w:t>100</w:t>
            </w:r>
          </w:p>
        </w:tc>
        <w:tc>
          <w:tcPr>
            <w:tcW w:w="119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rPr>
            </w:pPr>
            <w:r>
              <w:rPr>
                <w:rFonts w:hint="eastAsia" w:ascii="Times New Roman" w:hAnsi="Times New Roman" w:cs="Times New Roman"/>
                <w:sz w:val="18"/>
                <w:szCs w:val="18"/>
                <w:lang w:val="en-US" w:eastAsia="zh-CN"/>
              </w:rPr>
              <w:t>5</w:t>
            </w:r>
          </w:p>
        </w:tc>
      </w:tr>
      <w:tr>
        <w:tblPrEx>
          <w:tblCellMar>
            <w:top w:w="15" w:type="dxa"/>
            <w:left w:w="15" w:type="dxa"/>
            <w:bottom w:w="15" w:type="dxa"/>
            <w:right w:w="15" w:type="dxa"/>
          </w:tblCellMar>
        </w:tblPrEx>
        <w:trPr>
          <w:trHeight w:val="340" w:hRule="atLeast"/>
          <w:jc w:val="center"/>
        </w:trPr>
        <w:tc>
          <w:tcPr>
            <w:tcW w:w="4285" w:type="pct"/>
            <w:gridSpan w:val="6"/>
            <w:tcBorders>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合计</w:t>
            </w:r>
          </w:p>
        </w:tc>
        <w:tc>
          <w:tcPr>
            <w:tcW w:w="714" w:type="pct"/>
            <w:tcBorders>
              <w:top w:val="single" w:color="auto" w:sz="4" w:space="0"/>
              <w:left w:val="single" w:color="auto" w:sz="4" w:space="0"/>
              <w:bottom w:val="single" w:color="auto" w:sz="4" w:space="0"/>
              <w:right w:val="single" w:color="000000" w:sz="4" w:space="0"/>
            </w:tcBorders>
            <w:shd w:val="clear" w:color="auto" w:fill="auto"/>
            <w:noWrap w:val="0"/>
            <w:vAlign w:val="center"/>
          </w:tcPr>
          <w:p>
            <w:pPr>
              <w:pStyle w:val="51"/>
              <w:bidi w:val="0"/>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84.46</w:t>
            </w:r>
          </w:p>
        </w:tc>
      </w:tr>
    </w:tbl>
    <w:p>
      <w:pPr>
        <w:pStyle w:val="43"/>
        <w:ind w:left="0" w:leftChars="0" w:firstLine="482" w:firstLineChars="200"/>
        <w:jc w:val="both"/>
        <w:outlineLvl w:val="9"/>
        <w:rPr>
          <w:sz w:val="24"/>
          <w:szCs w:val="24"/>
        </w:rPr>
      </w:pPr>
    </w:p>
    <w:p>
      <w:pPr>
        <w:pStyle w:val="43"/>
        <w:ind w:left="0" w:leftChars="0" w:firstLine="482" w:firstLineChars="200"/>
        <w:jc w:val="both"/>
        <w:outlineLvl w:val="8"/>
        <w:rPr>
          <w:sz w:val="24"/>
          <w:szCs w:val="24"/>
        </w:rPr>
      </w:pPr>
      <w:r>
        <w:rPr>
          <w:sz w:val="24"/>
          <w:szCs w:val="24"/>
        </w:rPr>
        <w:t>表</w:t>
      </w:r>
      <w:r>
        <w:rPr>
          <w:rFonts w:hint="eastAsia"/>
          <w:sz w:val="24"/>
          <w:szCs w:val="24"/>
          <w:lang w:val="en-US" w:eastAsia="zh-CN"/>
        </w:rPr>
        <w:t xml:space="preserve">4.2-3              </w:t>
      </w:r>
      <w:r>
        <w:rPr>
          <w:sz w:val="24"/>
          <w:szCs w:val="24"/>
        </w:rPr>
        <w:t>河湖健康评价分级表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894"/>
        <w:gridCol w:w="1895"/>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等级</w:t>
            </w:r>
          </w:p>
        </w:tc>
        <w:tc>
          <w:tcPr>
            <w:tcW w:w="2223"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颜色</w: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赋分范围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非常健康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蓝</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4384" behindDoc="0" locked="0" layoutInCell="1" allowOverlap="1">
                      <wp:simplePos x="0" y="0"/>
                      <wp:positionH relativeFrom="column">
                        <wp:posOffset>429895</wp:posOffset>
                      </wp:positionH>
                      <wp:positionV relativeFrom="paragraph">
                        <wp:posOffset>48260</wp:posOffset>
                      </wp:positionV>
                      <wp:extent cx="179705" cy="190500"/>
                      <wp:effectExtent l="6985" t="6350" r="22860" b="12700"/>
                      <wp:wrapNone/>
                      <wp:docPr id="29" name="六边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00B0F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85pt;margin-top:3.8pt;height:15pt;width:14.15pt;z-index:251664384;mso-width-relative:page;mso-height-relative:page;" fillcolor="#00B0F0" filled="t" stroked="t" coordsize="21600,21600" o:gfxdata="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8E5PWAAAABgEAAA8AAAAAAAAAAQAgAAAAIgAAAGRycy9kb3ducmV2&#10;LnhtbFBLAQIUABQAAAAIAIdO4kAX6Bm1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90≤HI≤100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绿</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5408" behindDoc="0" locked="0" layoutInCell="1" allowOverlap="1">
                      <wp:simplePos x="0" y="0"/>
                      <wp:positionH relativeFrom="column">
                        <wp:posOffset>436245</wp:posOffset>
                      </wp:positionH>
                      <wp:positionV relativeFrom="paragraph">
                        <wp:posOffset>40005</wp:posOffset>
                      </wp:positionV>
                      <wp:extent cx="179705" cy="190500"/>
                      <wp:effectExtent l="6985" t="6350" r="22860" b="12700"/>
                      <wp:wrapNone/>
                      <wp:docPr id="30" name="六边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92D05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4.35pt;margin-top:3.15pt;height:15pt;width:14.15pt;z-index:251665408;mso-width-relative:page;mso-height-relative:page;" fillcolor="#92D050" filled="t" stroked="t" coordsize="21600,21600" o:gfxdata="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fpMX/WAAAABgEAAA8AAAAAAAAAAQAgAAAAIgAAAGRycy9kb3ducmV2&#10;LnhtbFBLAQIUABQAAAAIAIdO4kCjnzXN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75≤HI＜90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亚健康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黄</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6432" behindDoc="0" locked="0" layoutInCell="1" allowOverlap="1">
                      <wp:simplePos x="0" y="0"/>
                      <wp:positionH relativeFrom="column">
                        <wp:posOffset>425450</wp:posOffset>
                      </wp:positionH>
                      <wp:positionV relativeFrom="paragraph">
                        <wp:posOffset>20320</wp:posOffset>
                      </wp:positionV>
                      <wp:extent cx="190500" cy="190500"/>
                      <wp:effectExtent l="6985" t="6350" r="12065" b="12700"/>
                      <wp:wrapNone/>
                      <wp:docPr id="31" name="六边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FF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1.6pt;height:15pt;width:15pt;z-index:251666432;mso-width-relative:page;mso-height-relative:page;" fillcolor="#FFFF00" filled="t" stroked="t" coordsize="21600,21600" o:gfxdata="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mxPD0wAAAAYBAAAPAAAAAAAAAAEAIAAAACIAAABkcnMvZG93bnJldi54bWxQ&#10;SwECFAAUAAAACACHTuJAArrRRG4CAADmBAAADgAAAAAAAAABACAAAAAiAQAAZHJzL2Uyb0RvYy54&#10;bWxQSwUGAAAAAAYABgBZAQAAAg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60≤HI＜75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橙</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7456" behindDoc="0" locked="0" layoutInCell="1" allowOverlap="1">
                      <wp:simplePos x="0" y="0"/>
                      <wp:positionH relativeFrom="column">
                        <wp:posOffset>425450</wp:posOffset>
                      </wp:positionH>
                      <wp:positionV relativeFrom="paragraph">
                        <wp:posOffset>30480</wp:posOffset>
                      </wp:positionV>
                      <wp:extent cx="190500" cy="190500"/>
                      <wp:effectExtent l="6985" t="6350" r="12065" b="12700"/>
                      <wp:wrapNone/>
                      <wp:docPr id="32" name="六边形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C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4pt;height:15pt;width:15pt;z-index:251667456;mso-width-relative:page;mso-height-relative:page;" fillcolor="#FFC000" filled="t" stroked="t" coordsize="21600,21600" o:gfxdata="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ZAlF3RAAAABgEAAA8AAAAAAAAAAQAgAAAAIgAAAGRycy9kb3ducmV2LnhtbFBL&#10;AQIUABQAAAAIAIdO4kCJaRKHbwIAAOYEAAAOAAAAAAAAAAEAIAAAACABAABkcnMvZTJvRG9jLnht&#10;bFBLBQYAAAAABgAGAFkBAAAB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40≤HI＜60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红</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8480" behindDoc="0" locked="0" layoutInCell="1" allowOverlap="1">
                      <wp:simplePos x="0" y="0"/>
                      <wp:positionH relativeFrom="column">
                        <wp:posOffset>425450</wp:posOffset>
                      </wp:positionH>
                      <wp:positionV relativeFrom="paragraph">
                        <wp:posOffset>34925</wp:posOffset>
                      </wp:positionV>
                      <wp:extent cx="190500" cy="194945"/>
                      <wp:effectExtent l="6985" t="6350" r="12065" b="8255"/>
                      <wp:wrapNone/>
                      <wp:docPr id="33" name="六边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4945"/>
                              </a:xfrm>
                              <a:prstGeom prst="hexagon">
                                <a:avLst>
                                  <a:gd name="adj" fmla="val 25000"/>
                                  <a:gd name="vf" fmla="val 115470"/>
                                </a:avLst>
                              </a:prstGeom>
                              <a:solidFill>
                                <a:srgbClr val="FF0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75pt;height:15.35pt;width:15pt;z-index:251668480;mso-width-relative:page;mso-height-relative:page;" fillcolor="#FF0000" filled="t" stroked="t" coordsize="21600,21600" o:gfxdata="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HvsRE1wAAAAYBAAAPAAAAAAAAAAEAIAAAACIAAABkcnMvZG93bnJl&#10;di54bWxQSwECFAAUAAAACACHTuJAFoI2znACAADmBAAADgAAAAAAAAABACAAAAAmAQAAZHJzL2Uy&#10;b0RvYy54bWxQSwUGAAAAAAYABgBZAQAACA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0≤HI＜40</w:t>
            </w:r>
          </w:p>
        </w:tc>
      </w:tr>
    </w:tbl>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沙溪浩天然河道</w:t>
      </w:r>
      <w:r>
        <w:rPr>
          <w:rFonts w:hint="eastAsia" w:cs="Times New Roman"/>
          <w:color w:val="000000"/>
          <w:kern w:val="0"/>
          <w:sz w:val="24"/>
          <w:szCs w:val="24"/>
          <w:lang w:val="en-US" w:eastAsia="zh-CN" w:bidi="ar"/>
        </w:rPr>
        <w:t>84.46</w:t>
      </w:r>
      <w:r>
        <w:rPr>
          <w:rFonts w:hint="eastAsia" w:ascii="Times New Roman" w:hAnsi="Times New Roman" w:eastAsia="宋体" w:cs="Times New Roman"/>
          <w:color w:val="000000"/>
          <w:kern w:val="0"/>
          <w:sz w:val="24"/>
          <w:szCs w:val="24"/>
          <w:lang w:val="en-US" w:eastAsia="zh-CN" w:bidi="ar"/>
        </w:rPr>
        <w:t>属于70≤HI＜85健康综合评价结论为</w:t>
      </w:r>
      <w:r>
        <w:rPr>
          <w:rFonts w:hint="eastAsia" w:cs="Times New Roman"/>
          <w:color w:val="000000"/>
          <w:kern w:val="0"/>
          <w:sz w:val="24"/>
          <w:szCs w:val="24"/>
          <w:lang w:val="en-US" w:eastAsia="zh-CN" w:bidi="ar"/>
        </w:rPr>
        <w:t>沙溪浩</w:t>
      </w:r>
      <w:r>
        <w:rPr>
          <w:rFonts w:hint="eastAsia" w:ascii="Times New Roman" w:hAnsi="Times New Roman" w:eastAsia="宋体" w:cs="Times New Roman"/>
          <w:color w:val="000000"/>
          <w:kern w:val="0"/>
          <w:sz w:val="24"/>
          <w:szCs w:val="24"/>
          <w:lang w:val="en-US" w:eastAsia="zh-CN" w:bidi="ar"/>
        </w:rPr>
        <w:t>天然河道健康。</w:t>
      </w:r>
    </w:p>
    <w:p>
      <w:pPr>
        <w:pStyle w:val="22"/>
        <w:ind w:left="0" w:leftChars="0" w:firstLine="0" w:firstLineChars="0"/>
        <w:outlineLvl w:val="1"/>
        <w:rPr>
          <w:rFonts w:hint="default" w:ascii="宋体" w:hAnsi="宋体" w:eastAsia="宋体" w:cs="宋体"/>
          <w:b/>
          <w:bCs/>
          <w:color w:val="auto"/>
          <w:kern w:val="2"/>
          <w:sz w:val="24"/>
          <w:szCs w:val="24"/>
          <w:lang w:val="en-US" w:eastAsia="zh-CN"/>
        </w:rPr>
      </w:pPr>
      <w:bookmarkStart w:id="51" w:name="_Toc32670"/>
      <w:r>
        <w:rPr>
          <w:rFonts w:hint="eastAsia" w:ascii="宋体" w:hAnsi="宋体" w:eastAsia="宋体" w:cs="宋体"/>
          <w:b/>
          <w:bCs/>
          <w:color w:val="auto"/>
          <w:kern w:val="2"/>
          <w:sz w:val="24"/>
          <w:szCs w:val="24"/>
          <w:lang w:val="en-US" w:eastAsia="zh-CN"/>
        </w:rPr>
        <w:t>4.3 碾子沟水库评价方法与结果</w:t>
      </w:r>
      <w:bookmarkEnd w:id="51"/>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生态用水</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zh-CN" w:eastAsia="zh-CN" w:bidi="ar"/>
        </w:rPr>
        <w:t>根据《苍溪县沙溪浩一河（湖）一策管理保护方案（2021年）》中</w:t>
      </w:r>
      <w:r>
        <w:rPr>
          <w:rFonts w:hint="eastAsia" w:ascii="Times New Roman" w:hAnsi="Times New Roman" w:eastAsia="宋体" w:cs="Times New Roman"/>
          <w:color w:val="000000"/>
          <w:kern w:val="0"/>
          <w:sz w:val="24"/>
          <w:szCs w:val="24"/>
          <w:lang w:val="en-US" w:eastAsia="zh-CN" w:bidi="ar"/>
        </w:rPr>
        <w:t>对水库下泄流量没有明确要求。</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河库岸带稳定性指标</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w:t>
      </w:r>
      <w:r>
        <w:rPr>
          <w:rFonts w:hint="eastAsia" w:ascii="Times New Roman" w:hAnsi="Times New Roman" w:eastAsia="宋体" w:cs="Times New Roman"/>
          <w:color w:val="000000"/>
          <w:kern w:val="0"/>
          <w:sz w:val="24"/>
          <w:szCs w:val="24"/>
          <w:lang w:val="en-US" w:eastAsia="zh-CN" w:bidi="ar"/>
        </w:rPr>
        <w:t>碾子沟水库</w:t>
      </w:r>
      <w:r>
        <w:rPr>
          <w:rFonts w:hint="default" w:ascii="Times New Roman" w:hAnsi="Times New Roman" w:eastAsia="宋体" w:cs="Times New Roman"/>
          <w:color w:val="000000"/>
          <w:kern w:val="0"/>
          <w:sz w:val="24"/>
          <w:szCs w:val="24"/>
          <w:lang w:val="en-US" w:eastAsia="zh-CN" w:bidi="ar"/>
        </w:rPr>
        <w:t>河道断面图</w:t>
      </w:r>
      <w:r>
        <w:rPr>
          <w:rFonts w:hint="eastAsia" w:ascii="Times New Roman" w:hAnsi="Times New Roman" w:eastAsia="宋体" w:cs="Times New Roman"/>
          <w:color w:val="000000"/>
          <w:kern w:val="0"/>
          <w:sz w:val="24"/>
          <w:szCs w:val="24"/>
          <w:lang w:val="en-US" w:eastAsia="zh-CN" w:bidi="ar"/>
        </w:rPr>
        <w:t>（SXH-03）</w:t>
      </w:r>
      <w:r>
        <w:rPr>
          <w:rFonts w:hint="default" w:ascii="Times New Roman" w:hAnsi="Times New Roman" w:eastAsia="宋体" w:cs="Times New Roman"/>
          <w:color w:val="000000"/>
          <w:kern w:val="0"/>
          <w:sz w:val="24"/>
          <w:szCs w:val="24"/>
          <w:lang w:val="en-US" w:eastAsia="zh-CN" w:bidi="ar"/>
        </w:rPr>
        <w:t>，岸坡倾角为1</w:t>
      </w:r>
      <w:r>
        <w:rPr>
          <w:rFonts w:hint="eastAsia" w:ascii="Times New Roman" w:hAnsi="Times New Roman" w:eastAsia="宋体" w:cs="Times New Roman"/>
          <w:color w:val="000000"/>
          <w:kern w:val="0"/>
          <w:sz w:val="24"/>
          <w:szCs w:val="24"/>
          <w:lang w:val="en-US" w:eastAsia="zh-CN" w:bidi="ar"/>
        </w:rPr>
        <w:t>0</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15</w:t>
      </w:r>
      <w:r>
        <w:rPr>
          <w:rFonts w:hint="default" w:ascii="Times New Roman" w:hAnsi="Times New Roman" w:eastAsia="宋体" w:cs="Times New Roman"/>
          <w:color w:val="000000"/>
          <w:kern w:val="0"/>
          <w:sz w:val="24"/>
          <w:szCs w:val="24"/>
          <w:lang w:val="en-US" w:eastAsia="zh-CN" w:bidi="ar"/>
        </w:rPr>
        <w:t>°岸坡倾角分值为</w:t>
      </w:r>
      <w:r>
        <w:rPr>
          <w:rFonts w:hint="eastAsia" w:ascii="Times New Roman" w:hAnsi="Times New Roman" w:eastAsia="宋体" w:cs="Times New Roman"/>
          <w:color w:val="000000"/>
          <w:kern w:val="0"/>
          <w:sz w:val="24"/>
          <w:szCs w:val="24"/>
          <w:lang w:val="en-US" w:eastAsia="zh-CN" w:bidi="ar"/>
        </w:rPr>
        <w:t>80</w:t>
      </w:r>
      <w:r>
        <w:rPr>
          <w:rFonts w:hint="default" w:ascii="Times New Roman" w:hAnsi="Times New Roman" w:eastAsia="宋体" w:cs="Times New Roman"/>
          <w:color w:val="000000"/>
          <w:kern w:val="0"/>
          <w:sz w:val="24"/>
          <w:szCs w:val="24"/>
          <w:lang w:val="en-US" w:eastAsia="zh-CN" w:bidi="ar"/>
        </w:rPr>
        <w:t>；岸坡植被覆盖率﹥75%，岸坡植被覆盖度分值为100；斜坡高度为</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m，岸坡高度分值为75；河岸为岩土河岸，河岸基质分值为75；河岸为轻度冲刷，坡脚冲刷强度分值为75。</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zh-CN" w:eastAsia="zh-CN" w:bidi="ar"/>
        </w:rPr>
        <w:object>
          <v:shape id="_x0000_i1065" o:spt="75" type="#_x0000_t75" style="height:17pt;width:168.95pt;" o:ole="t" filled="f" o:preferrelative="t" stroked="f" coordsize="21600,21600">
            <v:path/>
            <v:fill on="f" focussize="0,0"/>
            <v:stroke on="f"/>
            <v:imagedata r:id="rId114" o:title=""/>
            <o:lock v:ext="edit" aspectratio="t"/>
            <w10:wrap type="none"/>
            <w10:anchorlock/>
          </v:shape>
          <o:OLEObject Type="Embed" ProgID="Equation.KSEE3" ShapeID="_x0000_i1065" DrawAspect="Content" ObjectID="_1468075765" r:id="rId113">
            <o:LockedField>false</o:LockedField>
          </o:OLEObject>
        </w:object>
      </w:r>
      <w:r>
        <w:rPr>
          <w:rFonts w:hint="default" w:ascii="Times New Roman" w:hAnsi="Times New Roman" w:eastAsia="宋体" w:cs="Times New Roman"/>
          <w:color w:val="000000"/>
          <w:kern w:val="0"/>
          <w:sz w:val="24"/>
          <w:szCs w:val="24"/>
          <w:lang w:val="en-US" w:eastAsia="zh-CN" w:bidi="ar"/>
        </w:rPr>
        <w:t>=8</w:t>
      </w:r>
      <w:r>
        <w:rPr>
          <w:rFonts w:hint="eastAsia" w:ascii="Times New Roman" w:hAnsi="Times New Roman" w:eastAsia="宋体" w:cs="Times New Roman"/>
          <w:color w:val="000000"/>
          <w:kern w:val="0"/>
          <w:sz w:val="24"/>
          <w:szCs w:val="24"/>
          <w:lang w:val="en-US" w:eastAsia="zh-CN" w:bidi="ar"/>
        </w:rPr>
        <w:t>1</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即岸坡稳定性指标赋分为8</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w:t>
      </w:r>
    </w:p>
    <w:p>
      <w:pPr>
        <w:pStyle w:val="22"/>
        <w:rPr>
          <w:rFonts w:hint="default"/>
          <w:lang w:val="en-US" w:eastAsia="zh-CN"/>
        </w:rPr>
      </w:pPr>
    </w:p>
    <w:p>
      <w:pPr>
        <w:pStyle w:val="52"/>
        <w:keepNext w:val="0"/>
        <w:keepLines w:val="0"/>
        <w:pageBreakBefore w:val="0"/>
        <w:kinsoku/>
        <w:wordWrap/>
        <w:overflowPunct/>
        <w:topLinePunct w:val="0"/>
        <w:autoSpaceDE/>
        <w:autoSpaceDN/>
        <w:bidi w:val="0"/>
        <w:adjustRightInd/>
        <w:snapToGrid/>
        <w:ind w:firstLine="0" w:firstLineChars="0"/>
        <w:textAlignment w:val="auto"/>
        <w:rPr>
          <w:rFonts w:hint="default"/>
          <w:lang w:val="en-US" w:eastAsia="zh-CN"/>
        </w:rPr>
      </w:pPr>
    </w:p>
    <w:p>
      <w:pPr>
        <w:pStyle w:val="22"/>
        <w:ind w:left="0" w:leftChars="0" w:firstLine="0" w:firstLineChars="0"/>
        <w:rPr>
          <w:rFonts w:hint="eastAsia"/>
          <w:lang w:val="en-US" w:eastAsia="zh-CN"/>
        </w:rPr>
      </w:pPr>
      <w:r>
        <w:rPr>
          <w:rFonts w:hint="eastAsia"/>
          <w:lang w:val="en-US" w:eastAsia="zh-CN"/>
        </w:rPr>
        <w:drawing>
          <wp:inline distT="0" distB="0" distL="114300" distR="114300">
            <wp:extent cx="5265420" cy="2689860"/>
            <wp:effectExtent l="0" t="0" r="11430" b="15240"/>
            <wp:docPr id="35" name="图片 35" descr="9d3df5375a2d8037be54bcce1a7d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9d3df5375a2d8037be54bcce1a7dd73"/>
                    <pic:cNvPicPr>
                      <a:picLocks noChangeAspect="1"/>
                    </pic:cNvPicPr>
                  </pic:nvPicPr>
                  <pic:blipFill>
                    <a:blip r:embed="rId87"/>
                    <a:stretch>
                      <a:fillRect/>
                    </a:stretch>
                  </pic:blipFill>
                  <pic:spPr>
                    <a:xfrm>
                      <a:off x="0" y="0"/>
                      <a:ext cx="5265420" cy="2689860"/>
                    </a:xfrm>
                    <a:prstGeom prst="rect">
                      <a:avLst/>
                    </a:prstGeom>
                  </pic:spPr>
                </pic:pic>
              </a:graphicData>
            </a:graphic>
          </wp:inline>
        </w:drawing>
      </w:r>
    </w:p>
    <w:p>
      <w:pPr>
        <w:pStyle w:val="22"/>
        <w:jc w:val="center"/>
        <w:outlineLvl w:val="8"/>
        <w:rPr>
          <w:rFonts w:hint="eastAsia" w:ascii="宋体" w:hAnsi="宋体" w:eastAsia="宋体" w:cs="宋体"/>
          <w:b/>
          <w:bCs/>
          <w:spacing w:val="-11"/>
          <w:kern w:val="2"/>
          <w:sz w:val="24"/>
          <w:szCs w:val="24"/>
          <w:lang w:val="en-US" w:eastAsia="zh-CN" w:bidi="zh-CN"/>
        </w:rPr>
      </w:pPr>
      <w:r>
        <w:rPr>
          <w:rFonts w:hint="eastAsia" w:ascii="宋体" w:hAnsi="宋体" w:eastAsia="宋体" w:cs="宋体"/>
          <w:b/>
          <w:bCs/>
          <w:sz w:val="24"/>
          <w:szCs w:val="24"/>
          <w:lang w:val="en-US" w:eastAsia="zh-CN"/>
        </w:rPr>
        <w:t xml:space="preserve">图4.3-1   </w:t>
      </w:r>
      <w:r>
        <w:rPr>
          <w:rFonts w:hint="eastAsia" w:ascii="宋体" w:hAnsi="宋体" w:eastAsia="宋体" w:cs="宋体"/>
          <w:b/>
          <w:bCs/>
          <w:spacing w:val="-11"/>
          <w:kern w:val="2"/>
          <w:sz w:val="24"/>
          <w:szCs w:val="24"/>
          <w:lang w:val="en-US" w:eastAsia="zh-CN" w:bidi="zh-CN"/>
        </w:rPr>
        <w:t>碾子沟水库卫星图</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水体整洁程度</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根据现场调查，</w:t>
      </w:r>
      <w:r>
        <w:rPr>
          <w:rFonts w:hint="eastAsia" w:ascii="Times New Roman" w:hAnsi="Times New Roman" w:eastAsia="宋体" w:cs="Times New Roman"/>
          <w:color w:val="000000"/>
          <w:kern w:val="0"/>
          <w:sz w:val="24"/>
          <w:szCs w:val="24"/>
          <w:lang w:val="en-US" w:eastAsia="zh-CN" w:bidi="ar"/>
        </w:rPr>
        <w:t>碾子沟水库</w:t>
      </w:r>
      <w:r>
        <w:rPr>
          <w:rFonts w:hint="default" w:ascii="Times New Roman" w:hAnsi="Times New Roman" w:eastAsia="宋体" w:cs="Times New Roman"/>
          <w:color w:val="000000"/>
          <w:kern w:val="0"/>
          <w:sz w:val="24"/>
          <w:szCs w:val="24"/>
          <w:lang w:val="en-US" w:eastAsia="zh-CN" w:bidi="ar"/>
        </w:rPr>
        <w:t>水质</w:t>
      </w:r>
      <w:r>
        <w:rPr>
          <w:rFonts w:hint="eastAsia" w:ascii="Times New Roman" w:hAnsi="Times New Roman" w:eastAsia="宋体" w:cs="Times New Roman"/>
          <w:color w:val="000000"/>
          <w:kern w:val="0"/>
          <w:sz w:val="24"/>
          <w:szCs w:val="24"/>
          <w:lang w:val="en-US" w:eastAsia="zh-CN" w:bidi="ar"/>
        </w:rPr>
        <w:t>无异味</w:t>
      </w:r>
      <w:r>
        <w:rPr>
          <w:rFonts w:hint="default" w:ascii="Times New Roman" w:hAnsi="Times New Roman" w:eastAsia="宋体" w:cs="Times New Roman"/>
          <w:color w:val="000000"/>
          <w:kern w:val="0"/>
          <w:sz w:val="24"/>
          <w:szCs w:val="24"/>
          <w:lang w:val="en-US" w:eastAsia="zh-CN" w:bidi="ar"/>
        </w:rPr>
        <w:t>，库面有极少量</w:t>
      </w:r>
      <w:r>
        <w:rPr>
          <w:rFonts w:hint="eastAsia" w:ascii="Times New Roman" w:hAnsi="Times New Roman" w:eastAsia="宋体" w:cs="Times New Roman"/>
          <w:color w:val="000000"/>
          <w:kern w:val="0"/>
          <w:sz w:val="24"/>
          <w:szCs w:val="24"/>
          <w:lang w:val="en-US" w:eastAsia="zh-CN" w:bidi="ar"/>
        </w:rPr>
        <w:t>树叶</w:t>
      </w:r>
      <w:r>
        <w:rPr>
          <w:rFonts w:hint="default" w:ascii="Times New Roman" w:hAnsi="Times New Roman" w:eastAsia="宋体" w:cs="Times New Roman"/>
          <w:color w:val="000000"/>
          <w:kern w:val="0"/>
          <w:sz w:val="24"/>
          <w:szCs w:val="24"/>
          <w:lang w:val="en-US" w:eastAsia="zh-CN" w:bidi="ar"/>
        </w:rPr>
        <w:t>，根据水体整洁程度评估赋分标准表，水体整洁程度评估赋分为</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val="en-US" w:eastAsia="zh-CN" w:bidi="ar"/>
        </w:rPr>
        <w:t>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水质优劣程度</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碾子沟</w:t>
      </w:r>
      <w:r>
        <w:rPr>
          <w:rFonts w:hint="default" w:ascii="Times New Roman" w:hAnsi="Times New Roman" w:eastAsia="宋体" w:cs="Times New Roman"/>
          <w:color w:val="000000"/>
          <w:kern w:val="0"/>
          <w:sz w:val="24"/>
          <w:szCs w:val="24"/>
          <w:lang w:val="en-US" w:eastAsia="zh-CN" w:bidi="ar"/>
        </w:rPr>
        <w:t>属小（2）型水库，主要任务以灌溉为主，兼有防洪、养鱼等综合功能。</w:t>
      </w:r>
      <w:r>
        <w:rPr>
          <w:rFonts w:hint="eastAsia" w:ascii="Times New Roman" w:hAnsi="Times New Roman" w:eastAsia="宋体" w:cs="Times New Roman"/>
          <w:color w:val="000000"/>
          <w:kern w:val="0"/>
          <w:sz w:val="24"/>
          <w:szCs w:val="24"/>
          <w:lang w:val="en-US" w:eastAsia="zh-CN" w:bidi="ar"/>
        </w:rPr>
        <w:t>水质要求一般要求在Ⅲ类水质以上。碾子沟水库的水质优劣程度赋分80分。</w:t>
      </w:r>
    </w:p>
    <w:p>
      <w:pPr>
        <w:bidi w:val="0"/>
        <w:rPr>
          <w:rFonts w:hint="default" w:ascii="Times New Roman" w:hAnsi="Times New Roman" w:eastAsia="宋体" w:cs="Times New Roman"/>
          <w:color w:val="000000"/>
          <w:kern w:val="0"/>
          <w:sz w:val="24"/>
          <w:szCs w:val="24"/>
          <w:lang w:val="zh-CN" w:eastAsia="zh-CN" w:bidi="ar"/>
        </w:rPr>
      </w:pP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zh-CN" w:eastAsia="zh-CN" w:bidi="ar"/>
        </w:rPr>
        <w:t>水质变化趋势</w:t>
      </w:r>
    </w:p>
    <w:p>
      <w:pPr>
        <w:bidi w:val="0"/>
        <w:rPr>
          <w:rFonts w:hint="eastAsia" w:ascii="Times New Roman" w:hAnsi="Times New Roman" w:eastAsia="宋体" w:cs="Times New Roman"/>
          <w:color w:val="000000"/>
          <w:kern w:val="0"/>
          <w:sz w:val="24"/>
          <w:szCs w:val="24"/>
          <w:lang w:val="zh-CN" w:eastAsia="zh-CN" w:bidi="ar"/>
        </w:rPr>
      </w:pPr>
      <w:r>
        <w:rPr>
          <w:rFonts w:hint="eastAsia" w:ascii="Times New Roman" w:hAnsi="Times New Roman" w:eastAsia="宋体" w:cs="Times New Roman"/>
          <w:color w:val="000000"/>
          <w:kern w:val="0"/>
          <w:sz w:val="24"/>
          <w:szCs w:val="24"/>
          <w:lang w:val="zh-CN" w:eastAsia="zh-CN" w:bidi="ar"/>
        </w:rPr>
        <w:t>碾子沟水库位于</w:t>
      </w:r>
      <w:r>
        <w:rPr>
          <w:rFonts w:hint="eastAsia" w:ascii="Times New Roman" w:hAnsi="Times New Roman" w:eastAsia="宋体" w:cs="Times New Roman"/>
          <w:color w:val="000000"/>
          <w:kern w:val="0"/>
          <w:sz w:val="24"/>
          <w:szCs w:val="24"/>
          <w:lang w:val="en-US" w:eastAsia="zh-CN" w:bidi="ar"/>
        </w:rPr>
        <w:t>沙溪浩上游，水环境总体良好</w:t>
      </w:r>
      <w:r>
        <w:rPr>
          <w:rFonts w:hint="eastAsia" w:ascii="Times New Roman" w:hAnsi="Times New Roman" w:eastAsia="宋体" w:cs="Times New Roman"/>
          <w:color w:val="000000"/>
          <w:kern w:val="0"/>
          <w:sz w:val="24"/>
          <w:szCs w:val="24"/>
          <w:lang w:val="zh-CN" w:eastAsia="zh-CN" w:bidi="ar"/>
        </w:rPr>
        <w:t>水质常年稳定在Ⅲ类水质</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zh-CN" w:eastAsia="zh-CN" w:bidi="ar"/>
        </w:rPr>
        <w:t>赋分</w:t>
      </w:r>
      <w:r>
        <w:rPr>
          <w:rFonts w:hint="eastAsia" w:ascii="Times New Roman" w:hAnsi="Times New Roman" w:eastAsia="宋体" w:cs="Times New Roman"/>
          <w:color w:val="000000"/>
          <w:kern w:val="0"/>
          <w:sz w:val="24"/>
          <w:szCs w:val="24"/>
          <w:lang w:val="en-US" w:eastAsia="zh-CN" w:bidi="ar"/>
        </w:rPr>
        <w:t>100分。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（6）</w:t>
      </w:r>
      <w:r>
        <w:rPr>
          <w:rFonts w:hint="default" w:ascii="Times New Roman" w:hAnsi="Times New Roman" w:eastAsia="宋体" w:cs="Times New Roman"/>
          <w:color w:val="000000"/>
          <w:kern w:val="0"/>
          <w:sz w:val="24"/>
          <w:szCs w:val="24"/>
          <w:lang w:val="en-US" w:eastAsia="zh-CN" w:bidi="ar"/>
        </w:rPr>
        <w:t>外来水生动植物</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根据查阅资料和咨询林业、农业方面的专家，</w:t>
      </w:r>
      <w:r>
        <w:rPr>
          <w:rFonts w:hint="eastAsia" w:ascii="Times New Roman" w:hAnsi="Times New Roman" w:eastAsia="宋体" w:cs="Times New Roman"/>
          <w:color w:val="000000"/>
          <w:kern w:val="0"/>
          <w:sz w:val="24"/>
          <w:szCs w:val="24"/>
          <w:lang w:val="en-US" w:eastAsia="zh-CN" w:bidi="ar"/>
        </w:rPr>
        <w:t>碾子沟水库未发现外来入侵物种</w:t>
      </w:r>
      <w:r>
        <w:rPr>
          <w:rFonts w:hint="default" w:ascii="Times New Roman" w:hAnsi="Times New Roman" w:eastAsia="宋体" w:cs="Times New Roman"/>
          <w:color w:val="000000"/>
          <w:kern w:val="0"/>
          <w:sz w:val="24"/>
          <w:szCs w:val="24"/>
          <w:lang w:val="en-US" w:eastAsia="zh-CN" w:bidi="ar"/>
        </w:rPr>
        <w:t>。根据外来水生动植物指数赋分标准表，确定外来水生动植物指数赋分为</w:t>
      </w:r>
      <w:r>
        <w:rPr>
          <w:rFonts w:hint="eastAsia" w:ascii="Times New Roman" w:hAnsi="Times New Roman" w:eastAsia="宋体" w:cs="Times New Roman"/>
          <w:color w:val="000000"/>
          <w:kern w:val="0"/>
          <w:sz w:val="24"/>
          <w:szCs w:val="24"/>
          <w:lang w:val="en-US" w:eastAsia="zh-CN" w:bidi="ar"/>
        </w:rPr>
        <w:t>100分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w:t>
      </w:r>
      <w:r>
        <w:rPr>
          <w:rFonts w:hint="default" w:ascii="Times New Roman" w:hAnsi="Times New Roman" w:eastAsia="宋体" w:cs="Times New Roman"/>
          <w:color w:val="000000"/>
          <w:kern w:val="0"/>
          <w:sz w:val="24"/>
          <w:szCs w:val="24"/>
          <w:lang w:val="en-US" w:eastAsia="zh-CN" w:bidi="ar"/>
        </w:rPr>
        <w:t>公众满意度</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目前没有水库的公众满意度调查结果，仅有河道的调查问卷。公众满意度调查根据现场实际情况采用现场问卷调查法调查，根据现场实际调查，求得所有公众赋分平均分为87.2分。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（8）</w:t>
      </w:r>
      <w:r>
        <w:rPr>
          <w:rFonts w:hint="default" w:ascii="Times New Roman" w:hAnsi="Times New Roman" w:eastAsia="宋体" w:cs="Times New Roman"/>
          <w:color w:val="000000"/>
          <w:kern w:val="0"/>
          <w:sz w:val="24"/>
          <w:szCs w:val="24"/>
          <w:lang w:val="en-US" w:eastAsia="zh-CN" w:bidi="ar"/>
        </w:rPr>
        <w:t>防洪标准</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水库选用大坝安全、防洪运行调度、监控设施作为防洪评估指标，根据</w:t>
      </w:r>
      <w:r>
        <w:rPr>
          <w:rFonts w:hint="eastAsia" w:ascii="Times New Roman" w:hAnsi="Times New Roman" w:eastAsia="宋体" w:cs="Times New Roman"/>
          <w:color w:val="000000"/>
          <w:kern w:val="0"/>
          <w:sz w:val="24"/>
          <w:szCs w:val="24"/>
          <w:lang w:val="zh-CN" w:eastAsia="zh-CN" w:bidi="ar"/>
        </w:rPr>
        <w:t>《苍溪县</w:t>
      </w:r>
      <w:r>
        <w:rPr>
          <w:rFonts w:hint="eastAsia" w:ascii="Times New Roman" w:hAnsi="Times New Roman" w:eastAsia="宋体" w:cs="Times New Roman"/>
          <w:color w:val="000000"/>
          <w:kern w:val="0"/>
          <w:sz w:val="24"/>
          <w:szCs w:val="24"/>
          <w:lang w:val="en-US" w:eastAsia="zh-CN" w:bidi="ar"/>
        </w:rPr>
        <w:t>2021年</w:t>
      </w:r>
      <w:r>
        <w:rPr>
          <w:rFonts w:hint="eastAsia" w:ascii="Times New Roman" w:hAnsi="Times New Roman" w:eastAsia="宋体" w:cs="Times New Roman"/>
          <w:color w:val="000000"/>
          <w:kern w:val="0"/>
          <w:sz w:val="24"/>
          <w:szCs w:val="24"/>
          <w:lang w:val="zh-CN" w:eastAsia="zh-CN" w:bidi="ar"/>
        </w:rPr>
        <w:t>小型病险水库唤马镇碾子沟水库除险加固工程初步设计报告》</w:t>
      </w:r>
      <w:r>
        <w:rPr>
          <w:rFonts w:hint="eastAsia" w:ascii="Times New Roman" w:hAnsi="Times New Roman" w:eastAsia="宋体" w:cs="Times New Roman"/>
          <w:color w:val="000000"/>
          <w:kern w:val="0"/>
          <w:sz w:val="24"/>
          <w:szCs w:val="24"/>
          <w:lang w:val="en-US" w:eastAsia="zh-CN" w:bidi="ar"/>
        </w:rPr>
        <w:t>大坝安全</w:t>
      </w:r>
      <w:r>
        <w:rPr>
          <w:rFonts w:hint="eastAsia" w:ascii="Times New Roman" w:hAnsi="Times New Roman" w:eastAsia="宋体" w:cs="Times New Roman"/>
          <w:color w:val="000000"/>
          <w:kern w:val="0"/>
          <w:sz w:val="24"/>
          <w:szCs w:val="24"/>
          <w:lang w:val="zh-CN" w:eastAsia="zh-CN" w:bidi="ar"/>
        </w:rPr>
        <w:t>可赋分</w:t>
      </w:r>
      <w:r>
        <w:rPr>
          <w:rFonts w:hint="eastAsia" w:ascii="Times New Roman" w:hAnsi="Times New Roman" w:eastAsia="宋体" w:cs="Times New Roman"/>
          <w:color w:val="000000"/>
          <w:kern w:val="0"/>
          <w:sz w:val="24"/>
          <w:szCs w:val="24"/>
          <w:lang w:val="en-US" w:eastAsia="zh-CN" w:bidi="ar"/>
        </w:rPr>
        <w:t>50；水库基本符合防洪运行调度赋分50；水库具备监控设施赋分50</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综上所述，</w:t>
      </w:r>
      <w:r>
        <w:rPr>
          <w:rFonts w:hint="eastAsia" w:ascii="Times New Roman" w:hAnsi="Times New Roman" w:eastAsia="宋体" w:cs="Times New Roman"/>
          <w:color w:val="000000"/>
          <w:kern w:val="0"/>
          <w:sz w:val="24"/>
          <w:szCs w:val="24"/>
          <w:lang w:val="en-US" w:eastAsia="zh-CN" w:bidi="ar"/>
        </w:rPr>
        <w:t>碾子沟水库</w:t>
      </w:r>
      <w:r>
        <w:rPr>
          <w:rFonts w:hint="default" w:ascii="Times New Roman" w:hAnsi="Times New Roman" w:eastAsia="宋体" w:cs="Times New Roman"/>
          <w:color w:val="000000"/>
          <w:kern w:val="0"/>
          <w:sz w:val="24"/>
          <w:szCs w:val="24"/>
          <w:lang w:val="en-US" w:eastAsia="zh-CN" w:bidi="ar"/>
        </w:rPr>
        <w:t>防洪指标赋分</w:t>
      </w:r>
      <w:r>
        <w:rPr>
          <w:rFonts w:hint="eastAsia" w:ascii="Times New Roman" w:hAnsi="Times New Roman" w:eastAsia="宋体" w:cs="Times New Roman"/>
          <w:color w:val="000000"/>
          <w:kern w:val="0"/>
          <w:sz w:val="24"/>
          <w:szCs w:val="24"/>
          <w:lang w:val="en-US" w:eastAsia="zh-CN" w:bidi="ar"/>
        </w:rPr>
        <w:t>50分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供水指标</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碾子沟</w:t>
      </w:r>
      <w:r>
        <w:rPr>
          <w:rFonts w:hint="default" w:ascii="Times New Roman" w:hAnsi="Times New Roman" w:eastAsia="宋体" w:cs="Times New Roman"/>
          <w:color w:val="000000"/>
          <w:kern w:val="0"/>
          <w:sz w:val="24"/>
          <w:szCs w:val="24"/>
          <w:lang w:val="en-US" w:eastAsia="zh-CN" w:bidi="ar"/>
        </w:rPr>
        <w:t>属小（2）型水库，主要任务以灌溉为主，兼有防洪、养鱼等综合功能。</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故综合供水保证率评估赋分为100。</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r>
        <w:rPr>
          <w:rFonts w:hint="eastAsia" w:ascii="Times New Roman" w:hAnsi="Times New Roman" w:eastAsia="宋体" w:cs="Times New Roman"/>
          <w:color w:val="000000"/>
          <w:kern w:val="0"/>
          <w:sz w:val="24"/>
          <w:szCs w:val="24"/>
          <w:lang w:val="zh-CN" w:eastAsia="zh-CN" w:bidi="ar"/>
        </w:rPr>
        <w:t>开发利用状况与规划的符合性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河流的开发利用工程项目主要包括以下几类：水电站、堤防、囤蓄水库、航 道、其他有关涉水工程项目等等。经现场调查，沙溪浩干流上主要的工程建设项目为</w:t>
      </w:r>
      <w:r>
        <w:rPr>
          <w:rFonts w:hint="eastAsia" w:cs="Times New Roman"/>
          <w:color w:val="000000"/>
          <w:kern w:val="0"/>
          <w:sz w:val="24"/>
          <w:szCs w:val="24"/>
          <w:lang w:val="en-US" w:eastAsia="zh-CN" w:bidi="ar"/>
        </w:rPr>
        <w:t>综合利用型水库</w:t>
      </w:r>
      <w:r>
        <w:rPr>
          <w:rFonts w:hint="eastAsia" w:ascii="Times New Roman" w:hAnsi="Times New Roman" w:eastAsia="宋体" w:cs="Times New Roman"/>
          <w:color w:val="000000"/>
          <w:kern w:val="0"/>
          <w:sz w:val="24"/>
          <w:szCs w:val="24"/>
          <w:lang w:val="en-US" w:eastAsia="zh-CN" w:bidi="ar"/>
        </w:rPr>
        <w:t>，无其他水利工程，故本次仅评价</w:t>
      </w:r>
      <w:r>
        <w:rPr>
          <w:rFonts w:hint="eastAsia" w:cs="Times New Roman"/>
          <w:color w:val="000000"/>
          <w:kern w:val="0"/>
          <w:sz w:val="24"/>
          <w:szCs w:val="24"/>
          <w:lang w:val="en-US" w:eastAsia="zh-CN" w:bidi="ar"/>
        </w:rPr>
        <w:t>沙溪浩</w:t>
      </w:r>
      <w:r>
        <w:rPr>
          <w:rFonts w:hint="eastAsia" w:ascii="Times New Roman" w:hAnsi="Times New Roman" w:eastAsia="宋体" w:cs="Times New Roman"/>
          <w:color w:val="000000"/>
          <w:kern w:val="0"/>
          <w:sz w:val="24"/>
          <w:szCs w:val="24"/>
          <w:lang w:val="en-US" w:eastAsia="zh-CN" w:bidi="ar"/>
        </w:rPr>
        <w:t>堤防工程和水电站与规划的符合性。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沙溪浩上游建有碾子沟水库水库于1974年10月动工修建，1988年3月完成坝高28.27m停建并投入使用，至今已有近33年。根据现场勘踏和咨询水务管理站站长，总库容为16.13万m³。根据《防洪标准》（GB50201-2014）与《水利水电工程等级划分及洪水标准》（SL252－2017）的规定，碾子沟水库属小（2）型水库，主要任务以灌溉为主，兼有防洪等综合功能。</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则开发利用状况与规划的符合性赋分为</w:t>
      </w:r>
      <w:r>
        <w:rPr>
          <w:rFonts w:hint="eastAsia" w:ascii="Times New Roman" w:hAnsi="Times New Roman" w:eastAsia="宋体" w:cs="Times New Roman"/>
          <w:color w:val="000000"/>
          <w:kern w:val="0"/>
          <w:sz w:val="24"/>
          <w:szCs w:val="24"/>
          <w:lang w:val="en-US" w:eastAsia="zh-CN" w:bidi="ar"/>
        </w:rPr>
        <w:t>100</w:t>
      </w:r>
      <w:r>
        <w:rPr>
          <w:rFonts w:hint="default" w:ascii="Times New Roman" w:hAnsi="Times New Roman" w:eastAsia="宋体" w:cs="Times New Roman"/>
          <w:color w:val="000000"/>
          <w:kern w:val="0"/>
          <w:sz w:val="24"/>
          <w:szCs w:val="24"/>
          <w:lang w:val="en-US" w:eastAsia="zh-CN" w:bidi="ar"/>
        </w:rPr>
        <w:t>。</w:t>
      </w:r>
    </w:p>
    <w:p>
      <w:pPr>
        <w:pStyle w:val="43"/>
        <w:jc w:val="both"/>
        <w:outlineLvl w:val="8"/>
        <w:rPr>
          <w:rFonts w:hint="default"/>
          <w:lang w:val="en-US" w:eastAsia="zh-CN"/>
        </w:rPr>
      </w:pPr>
      <w:r>
        <w:rPr>
          <w:rFonts w:hint="eastAsia"/>
          <w:lang w:val="en-US" w:eastAsia="zh-CN"/>
        </w:rPr>
        <w:t>表4.3-1              碾子沟水库赋分结构表</w:t>
      </w:r>
    </w:p>
    <w:tbl>
      <w:tblPr>
        <w:tblStyle w:val="28"/>
        <w:tblW w:w="5022"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0" w:type="dxa"/>
          <w:bottom w:w="0" w:type="dxa"/>
          <w:right w:w="0" w:type="dxa"/>
        </w:tblCellMar>
      </w:tblPr>
      <w:tblGrid>
        <w:gridCol w:w="2332"/>
        <w:gridCol w:w="3015"/>
        <w:gridCol w:w="301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trHeight w:val="475" w:hRule="atLeast"/>
        </w:trPr>
        <w:tc>
          <w:tcPr>
            <w:tcW w:w="1394" w:type="pct"/>
            <w:tcBorders>
              <w:tl2br w:val="nil"/>
              <w:tr2bl w:val="nil"/>
            </w:tcBorders>
            <w:shd w:val="clear" w:color="auto" w:fill="auto"/>
            <w:vAlign w:val="center"/>
          </w:tcPr>
          <w:p>
            <w:pPr>
              <w:pStyle w:val="53"/>
              <w:bidi w:val="0"/>
              <w:rPr>
                <w:rFonts w:hint="default"/>
                <w:lang w:eastAsia="zh-CN"/>
              </w:rPr>
            </w:pPr>
            <w:r>
              <w:rPr>
                <w:rFonts w:hint="default"/>
                <w:lang w:eastAsia="zh-CN"/>
              </w:rPr>
              <w:t>分类指标</w:t>
            </w: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分项指标</w:t>
            </w:r>
          </w:p>
        </w:tc>
        <w:tc>
          <w:tcPr>
            <w:tcW w:w="1802" w:type="pct"/>
            <w:tcBorders>
              <w:tl2br w:val="nil"/>
              <w:tr2bl w:val="nil"/>
            </w:tcBorders>
            <w:shd w:val="clear" w:color="auto" w:fill="auto"/>
            <w:vAlign w:val="center"/>
          </w:tcPr>
          <w:p>
            <w:pPr>
              <w:pStyle w:val="53"/>
              <w:bidi w:val="0"/>
              <w:rPr>
                <w:rFonts w:hint="default"/>
                <w:lang w:eastAsia="zh-CN"/>
              </w:rPr>
            </w:pPr>
            <w:r>
              <w:rPr>
                <w:rFonts w:hint="eastAsia"/>
                <w:lang w:eastAsia="zh-CN"/>
              </w:rPr>
              <w:t>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4" w:hRule="atLeast"/>
        </w:trPr>
        <w:tc>
          <w:tcPr>
            <w:tcW w:w="1394" w:type="pct"/>
            <w:tcBorders>
              <w:tl2br w:val="nil"/>
              <w:tr2bl w:val="nil"/>
            </w:tcBorders>
            <w:shd w:val="clear" w:color="auto" w:fill="auto"/>
            <w:vAlign w:val="center"/>
          </w:tcPr>
          <w:p>
            <w:pPr>
              <w:pStyle w:val="53"/>
              <w:bidi w:val="0"/>
              <w:rPr>
                <w:rFonts w:hint="default"/>
                <w:lang w:eastAsia="zh-CN"/>
              </w:rPr>
            </w:pPr>
            <w:r>
              <w:rPr>
                <w:rFonts w:hint="default"/>
                <w:lang w:eastAsia="zh-CN"/>
              </w:rPr>
              <w:t>物理结构</w:t>
            </w: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岸带稳定性指标</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6" w:hRule="atLeast"/>
        </w:trPr>
        <w:tc>
          <w:tcPr>
            <w:tcW w:w="1394" w:type="pct"/>
            <w:vMerge w:val="restart"/>
            <w:tcBorders>
              <w:tl2br w:val="nil"/>
              <w:tr2bl w:val="nil"/>
            </w:tcBorders>
            <w:shd w:val="clear" w:color="auto" w:fill="auto"/>
            <w:vAlign w:val="center"/>
          </w:tcPr>
          <w:p>
            <w:pPr>
              <w:pStyle w:val="53"/>
              <w:bidi w:val="0"/>
              <w:rPr>
                <w:rFonts w:hint="default"/>
                <w:lang w:eastAsia="zh-CN"/>
              </w:rPr>
            </w:pPr>
            <w:r>
              <w:rPr>
                <w:rFonts w:hint="default"/>
                <w:lang w:eastAsia="zh-CN"/>
              </w:rPr>
              <w:t>水质</w:t>
            </w: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水体整洁程度</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1394" w:type="pct"/>
            <w:vMerge w:val="continue"/>
            <w:tcBorders>
              <w:tl2br w:val="nil"/>
              <w:tr2bl w:val="nil"/>
            </w:tcBorders>
            <w:shd w:val="clear" w:color="auto" w:fill="auto"/>
            <w:vAlign w:val="center"/>
          </w:tcPr>
          <w:p>
            <w:pPr>
              <w:pStyle w:val="53"/>
              <w:bidi w:val="0"/>
              <w:rPr>
                <w:rFonts w:hint="default"/>
                <w:lang w:eastAsia="zh-CN"/>
              </w:rPr>
            </w:pP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水</w:t>
            </w:r>
            <w:r>
              <w:rPr>
                <w:rFonts w:hint="eastAsia"/>
                <w:lang w:eastAsia="zh-CN"/>
              </w:rPr>
              <w:t>质优劣</w:t>
            </w:r>
            <w:r>
              <w:rPr>
                <w:rFonts w:hint="default"/>
                <w:lang w:eastAsia="zh-CN"/>
              </w:rPr>
              <w:t>程度</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1394" w:type="pct"/>
            <w:vMerge w:val="continue"/>
            <w:tcBorders>
              <w:tl2br w:val="nil"/>
              <w:tr2bl w:val="nil"/>
            </w:tcBorders>
            <w:shd w:val="clear" w:color="auto" w:fill="auto"/>
            <w:vAlign w:val="center"/>
          </w:tcPr>
          <w:p>
            <w:pPr>
              <w:pStyle w:val="53"/>
              <w:bidi w:val="0"/>
              <w:rPr>
                <w:rFonts w:hint="default"/>
                <w:lang w:eastAsia="zh-CN"/>
              </w:rPr>
            </w:pP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水质变化趋势</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1" w:hRule="atLeast"/>
        </w:trPr>
        <w:tc>
          <w:tcPr>
            <w:tcW w:w="1394" w:type="pct"/>
            <w:tcBorders>
              <w:tl2br w:val="nil"/>
              <w:tr2bl w:val="nil"/>
            </w:tcBorders>
            <w:shd w:val="clear" w:color="auto" w:fill="auto"/>
            <w:vAlign w:val="center"/>
          </w:tcPr>
          <w:p>
            <w:pPr>
              <w:pStyle w:val="53"/>
              <w:bidi w:val="0"/>
              <w:rPr>
                <w:rFonts w:hint="default"/>
                <w:lang w:eastAsia="zh-CN"/>
              </w:rPr>
            </w:pPr>
            <w:r>
              <w:rPr>
                <w:rFonts w:hint="default"/>
                <w:lang w:eastAsia="zh-CN"/>
              </w:rPr>
              <w:t>生物</w:t>
            </w: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外来水生动植物</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trPr>
        <w:tc>
          <w:tcPr>
            <w:tcW w:w="1394" w:type="pct"/>
            <w:vMerge w:val="restart"/>
            <w:tcBorders>
              <w:tl2br w:val="nil"/>
              <w:tr2bl w:val="nil"/>
            </w:tcBorders>
            <w:shd w:val="clear" w:color="auto" w:fill="auto"/>
            <w:vAlign w:val="center"/>
          </w:tcPr>
          <w:p>
            <w:pPr>
              <w:pStyle w:val="53"/>
              <w:bidi w:val="0"/>
              <w:rPr>
                <w:rFonts w:hint="default"/>
                <w:lang w:eastAsia="zh-CN"/>
              </w:rPr>
            </w:pPr>
            <w:r>
              <w:rPr>
                <w:rFonts w:hint="default"/>
                <w:lang w:eastAsia="zh-CN"/>
              </w:rPr>
              <w:t>河湖管理与社会服务功能</w:t>
            </w: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公众满意度</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87.2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1394" w:type="pct"/>
            <w:vMerge w:val="continue"/>
            <w:tcBorders>
              <w:tl2br w:val="nil"/>
              <w:tr2bl w:val="nil"/>
            </w:tcBorders>
            <w:shd w:val="clear" w:color="auto" w:fill="auto"/>
            <w:vAlign w:val="center"/>
          </w:tcPr>
          <w:p>
            <w:pPr>
              <w:pStyle w:val="53"/>
              <w:bidi w:val="0"/>
              <w:rPr>
                <w:rFonts w:hint="default"/>
                <w:lang w:eastAsia="zh-CN"/>
              </w:rPr>
            </w:pP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防洪指标</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9" w:hRule="atLeast"/>
        </w:trPr>
        <w:tc>
          <w:tcPr>
            <w:tcW w:w="1394" w:type="pct"/>
            <w:vMerge w:val="continue"/>
            <w:tcBorders>
              <w:tl2br w:val="nil"/>
              <w:tr2bl w:val="nil"/>
            </w:tcBorders>
            <w:shd w:val="clear" w:color="auto" w:fill="auto"/>
            <w:vAlign w:val="center"/>
          </w:tcPr>
          <w:p>
            <w:pPr>
              <w:pStyle w:val="53"/>
              <w:bidi w:val="0"/>
              <w:rPr>
                <w:rFonts w:hint="default"/>
                <w:lang w:eastAsia="zh-CN"/>
              </w:rPr>
            </w:pP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供水指标</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1394" w:type="pct"/>
            <w:vMerge w:val="continue"/>
            <w:tcBorders>
              <w:tl2br w:val="nil"/>
              <w:tr2bl w:val="nil"/>
            </w:tcBorders>
            <w:shd w:val="clear" w:color="auto" w:fill="auto"/>
            <w:vAlign w:val="center"/>
          </w:tcPr>
          <w:p>
            <w:pPr>
              <w:pStyle w:val="53"/>
              <w:bidi w:val="0"/>
              <w:rPr>
                <w:rFonts w:hint="default"/>
                <w:lang w:eastAsia="zh-CN"/>
              </w:rPr>
            </w:pPr>
          </w:p>
        </w:tc>
        <w:tc>
          <w:tcPr>
            <w:tcW w:w="1802" w:type="pct"/>
            <w:tcBorders>
              <w:tl2br w:val="nil"/>
              <w:tr2bl w:val="nil"/>
            </w:tcBorders>
            <w:shd w:val="clear" w:color="auto" w:fill="auto"/>
            <w:vAlign w:val="center"/>
          </w:tcPr>
          <w:p>
            <w:pPr>
              <w:pStyle w:val="53"/>
              <w:bidi w:val="0"/>
              <w:rPr>
                <w:rFonts w:hint="default"/>
                <w:lang w:eastAsia="zh-CN"/>
              </w:rPr>
            </w:pPr>
            <w:r>
              <w:rPr>
                <w:rFonts w:hint="default"/>
                <w:lang w:eastAsia="zh-CN"/>
              </w:rPr>
              <w:t>开发利用现状与规划的符合性</w:t>
            </w:r>
          </w:p>
        </w:tc>
        <w:tc>
          <w:tcPr>
            <w:tcW w:w="1802"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bl>
    <w:p>
      <w:pPr>
        <w:pStyle w:val="16"/>
        <w:rPr>
          <w:rFonts w:hint="eastAsia"/>
          <w:lang w:val="en-US" w:eastAsia="zh-CN"/>
        </w:rPr>
      </w:pPr>
      <w:r>
        <w:drawing>
          <wp:inline distT="0" distB="0" distL="114300" distR="114300">
            <wp:extent cx="4572000" cy="2760345"/>
            <wp:effectExtent l="4445" t="4445" r="10795" b="8890"/>
            <wp:docPr id="3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pPr>
        <w:pStyle w:val="22"/>
        <w:ind w:left="0" w:leftChars="0" w:firstLine="0" w:firstLineChars="0"/>
        <w:jc w:val="center"/>
        <w:outlineLvl w:val="9"/>
        <w:rPr>
          <w:rFonts w:hint="default" w:ascii="宋体" w:hAnsi="宋体" w:eastAsia="宋体" w:cs="宋体"/>
          <w:b/>
          <w:bCs/>
          <w:color w:val="auto"/>
          <w:kern w:val="2"/>
          <w:sz w:val="24"/>
          <w:szCs w:val="24"/>
          <w:lang w:val="en-US" w:eastAsia="zh-CN"/>
        </w:rPr>
      </w:pPr>
    </w:p>
    <w:p>
      <w:pPr>
        <w:pStyle w:val="22"/>
        <w:ind w:left="0" w:leftChars="0" w:firstLine="0" w:firstLineChars="0"/>
        <w:jc w:val="center"/>
        <w:outlineLvl w:val="9"/>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图4.3-2 碾子沟水库赋分指数图</w:t>
      </w:r>
    </w:p>
    <w:p>
      <w:pPr>
        <w:pStyle w:val="22"/>
        <w:ind w:left="0" w:leftChars="0" w:firstLine="0" w:firstLineChars="0"/>
        <w:jc w:val="center"/>
        <w:outlineLvl w:val="9"/>
        <w:rPr>
          <w:rFonts w:hint="eastAsia" w:ascii="宋体" w:hAnsi="宋体" w:eastAsia="宋体" w:cs="宋体"/>
          <w:b/>
          <w:bCs/>
          <w:color w:val="auto"/>
          <w:kern w:val="2"/>
          <w:sz w:val="24"/>
          <w:szCs w:val="24"/>
          <w:lang w:val="en-US" w:eastAsia="zh-CN"/>
        </w:rPr>
      </w:pPr>
    </w:p>
    <w:p>
      <w:pPr>
        <w:bidi w:val="0"/>
        <w:rPr>
          <w:rFonts w:hint="default" w:ascii="Times New Roman" w:hAnsi="Times New Roman" w:eastAsia="宋体" w:cs="Times New Roman"/>
          <w:color w:val="000000"/>
          <w:kern w:val="0"/>
          <w:sz w:val="24"/>
          <w:szCs w:val="24"/>
          <w:lang w:val="zh-CN" w:eastAsia="zh-CN" w:bidi="ar"/>
        </w:rPr>
      </w:pPr>
      <w:r>
        <w:rPr>
          <w:rFonts w:hint="default" w:ascii="Times New Roman" w:hAnsi="Times New Roman" w:eastAsia="宋体" w:cs="Times New Roman"/>
          <w:color w:val="000000"/>
          <w:kern w:val="0"/>
          <w:sz w:val="24"/>
          <w:szCs w:val="24"/>
          <w:lang w:val="en-US" w:eastAsia="zh-CN" w:bidi="ar"/>
        </w:rPr>
        <w:t>结合</w:t>
      </w:r>
      <w:r>
        <w:rPr>
          <w:rFonts w:hint="default" w:ascii="Times New Roman" w:hAnsi="Times New Roman" w:eastAsia="宋体" w:cs="Times New Roman"/>
          <w:color w:val="000000"/>
          <w:kern w:val="0"/>
          <w:sz w:val="24"/>
          <w:szCs w:val="24"/>
          <w:lang w:val="zh-CN" w:eastAsia="zh-CN" w:bidi="ar"/>
        </w:rPr>
        <w:t>《河湖健康评价指南》（</w:t>
      </w:r>
      <w:r>
        <w:rPr>
          <w:rFonts w:hint="eastAsia" w:ascii="Times New Roman" w:hAnsi="Times New Roman" w:eastAsia="宋体" w:cs="Times New Roman"/>
          <w:color w:val="000000"/>
          <w:kern w:val="0"/>
          <w:sz w:val="24"/>
          <w:szCs w:val="24"/>
          <w:lang w:val="zh-CN" w:eastAsia="zh-CN" w:bidi="ar"/>
        </w:rPr>
        <w:t>正式</w:t>
      </w:r>
      <w:r>
        <w:rPr>
          <w:rFonts w:hint="default" w:ascii="Times New Roman" w:hAnsi="Times New Roman" w:eastAsia="宋体" w:cs="Times New Roman"/>
          <w:color w:val="000000"/>
          <w:kern w:val="0"/>
          <w:sz w:val="24"/>
          <w:szCs w:val="24"/>
          <w:lang w:val="zh-CN" w:eastAsia="zh-CN" w:bidi="ar"/>
        </w:rPr>
        <w:t>）以及《四川省河长制办公室关于在全省开展河流（湖库）健康评价工作的通知》（川河长制办函</w:t>
      </w:r>
      <w:r>
        <w:rPr>
          <w:rFonts w:hint="default" w:ascii="Times New Roman" w:hAnsi="Times New Roman" w:eastAsia="宋体" w:cs="Times New Roman"/>
          <w:color w:val="000000"/>
          <w:kern w:val="0"/>
          <w:sz w:val="24"/>
          <w:szCs w:val="24"/>
          <w:lang w:val="en-US" w:eastAsia="zh-CN" w:bidi="ar"/>
        </w:rPr>
        <w:t>【2021】5号</w:t>
      </w:r>
      <w:r>
        <w:rPr>
          <w:rFonts w:hint="default" w:ascii="Times New Roman" w:hAnsi="Times New Roman" w:eastAsia="宋体" w:cs="Times New Roman"/>
          <w:color w:val="000000"/>
          <w:kern w:val="0"/>
          <w:sz w:val="24"/>
          <w:szCs w:val="24"/>
          <w:lang w:val="zh-CN" w:eastAsia="zh-CN" w:bidi="ar"/>
        </w:rPr>
        <w:t>）中对指标权重的取值，本段在河流指标权重表中加入</w:t>
      </w:r>
      <w:r>
        <w:rPr>
          <w:rFonts w:hint="eastAsia" w:ascii="Times New Roman" w:hAnsi="Times New Roman" w:eastAsia="宋体" w:cs="Times New Roman"/>
          <w:color w:val="000000"/>
          <w:kern w:val="0"/>
          <w:sz w:val="24"/>
          <w:szCs w:val="24"/>
          <w:lang w:val="zh-CN" w:eastAsia="zh-CN" w:bidi="ar"/>
        </w:rPr>
        <w:t>河道</w:t>
      </w:r>
      <w:r>
        <w:rPr>
          <w:rFonts w:hint="default" w:ascii="Times New Roman" w:hAnsi="Times New Roman" w:eastAsia="宋体" w:cs="Times New Roman"/>
          <w:color w:val="000000"/>
          <w:kern w:val="0"/>
          <w:sz w:val="24"/>
          <w:szCs w:val="24"/>
          <w:lang w:val="zh-CN" w:eastAsia="zh-CN" w:bidi="ar"/>
        </w:rPr>
        <w:t>部分指标，具体数值详见下表</w:t>
      </w:r>
    </w:p>
    <w:p>
      <w:pPr>
        <w:pStyle w:val="43"/>
        <w:ind w:left="0" w:leftChars="0" w:firstLine="482" w:firstLineChars="200"/>
        <w:jc w:val="both"/>
        <w:outlineLvl w:val="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表4.3-2                  碾子沟水库健康状况总体评价 </w:t>
      </w:r>
    </w:p>
    <w:tbl>
      <w:tblPr>
        <w:tblStyle w:val="29"/>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577"/>
        <w:gridCol w:w="763"/>
        <w:gridCol w:w="855"/>
        <w:gridCol w:w="3129"/>
        <w:gridCol w:w="576"/>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分类指标</w:t>
            </w:r>
          </w:p>
        </w:tc>
        <w:tc>
          <w:tcPr>
            <w:tcW w:w="1577"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分项指标</w:t>
            </w:r>
          </w:p>
        </w:tc>
        <w:tc>
          <w:tcPr>
            <w:tcW w:w="1618" w:type="dxa"/>
            <w:gridSpan w:val="2"/>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所占权重</w:t>
            </w:r>
          </w:p>
        </w:tc>
        <w:tc>
          <w:tcPr>
            <w:tcW w:w="3129" w:type="dxa"/>
            <w:vMerge w:val="restart"/>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备注</w:t>
            </w:r>
          </w:p>
        </w:tc>
        <w:tc>
          <w:tcPr>
            <w:tcW w:w="576" w:type="dxa"/>
            <w:vMerge w:val="restart"/>
          </w:tcPr>
          <w:p>
            <w:pPr>
              <w:bidi w:val="0"/>
              <w:ind w:left="0" w:leftChars="0" w:firstLine="0" w:firstLineChars="0"/>
              <w:jc w:val="center"/>
              <w:rPr>
                <w:rFonts w:hint="eastAsia" w:eastAsia="宋体"/>
                <w:sz w:val="18"/>
                <w:szCs w:val="18"/>
                <w:lang w:val="en-US" w:eastAsia="zh-CN"/>
              </w:rPr>
            </w:pPr>
            <w:r>
              <w:rPr>
                <w:rFonts w:hint="eastAsia"/>
                <w:sz w:val="18"/>
                <w:szCs w:val="18"/>
                <w:lang w:val="en-US" w:eastAsia="zh-CN"/>
              </w:rPr>
              <w:t>赋分</w:t>
            </w:r>
          </w:p>
        </w:tc>
        <w:tc>
          <w:tcPr>
            <w:tcW w:w="67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763"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囤蓄水库</w:t>
            </w:r>
          </w:p>
        </w:tc>
        <w:tc>
          <w:tcPr>
            <w:tcW w:w="855"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综合利用水库</w:t>
            </w:r>
          </w:p>
        </w:tc>
        <w:tc>
          <w:tcPr>
            <w:tcW w:w="3129"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67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水文水资源</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下泄生态基流满足程度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3129"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“一库一策”或所在河流“一河一策”对水库下泄流量没有明确要求的，可以不评价。</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岸线自然状况</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75</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违规开发利用水域岸线程度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水体整洁程度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水质优劣程度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Ⅰ～Ⅲ类水质比例＜50％，一票否决；（对于水质无明确要求的，Ⅰ～Ⅳ类水质比例＜50％，一票否决）</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水质变化趋势</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default"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水体自净能力</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富营养化状况</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生物</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鱼类保有指数</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对养殖功能为主的水库不参评</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浮游植物密度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对养殖功能为主的水库不参评</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外来入侵物种</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河湖管理与社会服务功能</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公众满意度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87.2</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防洪指标</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50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供水指标</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开发利用现状与规划的符合性</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6900" w:type="dxa"/>
            <w:gridSpan w:val="5"/>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合计</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77.97</w:t>
            </w:r>
          </w:p>
        </w:tc>
      </w:tr>
    </w:tbl>
    <w:p>
      <w:pPr>
        <w:pStyle w:val="22"/>
        <w:ind w:left="0" w:leftChars="0" w:firstLine="0" w:firstLineChars="0"/>
        <w:jc w:val="center"/>
        <w:outlineLvl w:val="9"/>
        <w:rPr>
          <w:rFonts w:hint="eastAsia" w:ascii="宋体" w:hAnsi="宋体" w:eastAsia="宋体" w:cs="宋体"/>
          <w:b/>
          <w:bCs/>
          <w:color w:val="auto"/>
          <w:kern w:val="2"/>
          <w:sz w:val="24"/>
          <w:szCs w:val="24"/>
          <w:lang w:val="en-US" w:eastAsia="zh-CN"/>
        </w:rPr>
      </w:pPr>
    </w:p>
    <w:p>
      <w:pPr>
        <w:pStyle w:val="43"/>
        <w:ind w:left="0" w:leftChars="0" w:firstLine="482" w:firstLineChars="200"/>
        <w:jc w:val="both"/>
        <w:outlineLvl w:val="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表4.3-3                    河湖健康评价分级表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894"/>
        <w:gridCol w:w="1895"/>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等级</w:t>
            </w:r>
          </w:p>
        </w:tc>
        <w:tc>
          <w:tcPr>
            <w:tcW w:w="2223"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颜色</w: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赋分范围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非常健康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蓝</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69504" behindDoc="0" locked="0" layoutInCell="1" allowOverlap="1">
                      <wp:simplePos x="0" y="0"/>
                      <wp:positionH relativeFrom="column">
                        <wp:posOffset>429895</wp:posOffset>
                      </wp:positionH>
                      <wp:positionV relativeFrom="paragraph">
                        <wp:posOffset>48260</wp:posOffset>
                      </wp:positionV>
                      <wp:extent cx="179705" cy="190500"/>
                      <wp:effectExtent l="6985" t="6350" r="22860" b="12700"/>
                      <wp:wrapNone/>
                      <wp:docPr id="39" name="六边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00B0F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85pt;margin-top:3.8pt;height:15pt;width:14.15pt;z-index:251669504;mso-width-relative:page;mso-height-relative:page;" fillcolor="#00B0F0" filled="t" stroked="t" coordsize="21600,21600" o:gfxdata="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8E5PWAAAABgEAAA8AAAAAAAAAAQAgAAAAIgAAAGRycy9kb3ducmV2&#10;LnhtbFBLAQIUABQAAAAIAIdO4kDTytH2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90≤HI≤100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绿</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0528" behindDoc="0" locked="0" layoutInCell="1" allowOverlap="1">
                      <wp:simplePos x="0" y="0"/>
                      <wp:positionH relativeFrom="column">
                        <wp:posOffset>436245</wp:posOffset>
                      </wp:positionH>
                      <wp:positionV relativeFrom="paragraph">
                        <wp:posOffset>40005</wp:posOffset>
                      </wp:positionV>
                      <wp:extent cx="179705" cy="190500"/>
                      <wp:effectExtent l="6985" t="6350" r="22860" b="12700"/>
                      <wp:wrapNone/>
                      <wp:docPr id="40" name="六边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92D05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4.35pt;margin-top:3.15pt;height:15pt;width:14.15pt;z-index:251670528;mso-width-relative:page;mso-height-relative:page;" fillcolor="#92D050" filled="t" stroked="t" coordsize="21600,21600" o:gfxdata="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kxf9YAAAAGAQAADwAAAAAAAAABACAAAAAiAAAAZHJzL2Rvd25yZXYu&#10;eG1sUEsBAhQAFAAAAAgAh07iQL51PN1vAgAA5gQAAA4AAAAAAAAAAQAgAAAAJQEAAGRycy9lMm9E&#10;b2MueG1sUEsFBgAAAAAGAAYAWQEAAAYGA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75≤HI＜90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亚健康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黄</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1552" behindDoc="0" locked="0" layoutInCell="1" allowOverlap="1">
                      <wp:simplePos x="0" y="0"/>
                      <wp:positionH relativeFrom="column">
                        <wp:posOffset>425450</wp:posOffset>
                      </wp:positionH>
                      <wp:positionV relativeFrom="paragraph">
                        <wp:posOffset>20320</wp:posOffset>
                      </wp:positionV>
                      <wp:extent cx="190500" cy="190500"/>
                      <wp:effectExtent l="6985" t="6350" r="12065" b="12700"/>
                      <wp:wrapNone/>
                      <wp:docPr id="41" name="六边形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FF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1.6pt;height:15pt;width:15pt;z-index:251671552;mso-width-relative:page;mso-height-relative:page;" fillcolor="#FFFF00" filled="t" stroked="t" coordsize="21600,21600" o:gfxdata="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ubE8PTAAAABgEAAA8AAAAAAAAAAQAgAAAAIgAAAGRycy9kb3ducmV2LnhtbFBL&#10;AQIUABQAAAAIAIdO4kAfUNhUbQIAAOYEAAAOAAAAAAAAAAEAIAAAACIBAABkcnMvZTJvRG9jLnht&#10;bFBLBQYAAAAABgAGAFkBAAAB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60≤HI＜75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橙</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2576" behindDoc="0" locked="0" layoutInCell="1" allowOverlap="1">
                      <wp:simplePos x="0" y="0"/>
                      <wp:positionH relativeFrom="column">
                        <wp:posOffset>425450</wp:posOffset>
                      </wp:positionH>
                      <wp:positionV relativeFrom="paragraph">
                        <wp:posOffset>30480</wp:posOffset>
                      </wp:positionV>
                      <wp:extent cx="190500" cy="190500"/>
                      <wp:effectExtent l="6985" t="6350" r="12065" b="12700"/>
                      <wp:wrapNone/>
                      <wp:docPr id="42" name="六边形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C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4pt;height:15pt;width:15pt;z-index:251672576;mso-width-relative:page;mso-height-relative:page;" fillcolor="#FFC000" filled="t" stroked="t" coordsize="21600,21600" o:gfxdata="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ZAlF3RAAAABgEAAA8AAAAAAAAAAQAgAAAAIgAAAGRycy9kb3ducmV2LnhtbFBL&#10;AQIUABQAAAAIAIdO4kCUgxuXbwIAAOYEAAAOAAAAAAAAAAEAIAAAACABAABkcnMvZTJvRG9jLnht&#10;bFBLBQYAAAAABgAGAFkBAAAB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40≤HI＜60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红</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3600" behindDoc="0" locked="0" layoutInCell="1" allowOverlap="1">
                      <wp:simplePos x="0" y="0"/>
                      <wp:positionH relativeFrom="column">
                        <wp:posOffset>425450</wp:posOffset>
                      </wp:positionH>
                      <wp:positionV relativeFrom="paragraph">
                        <wp:posOffset>34925</wp:posOffset>
                      </wp:positionV>
                      <wp:extent cx="190500" cy="194945"/>
                      <wp:effectExtent l="6985" t="6350" r="12065" b="8255"/>
                      <wp:wrapNone/>
                      <wp:docPr id="43" name="六边形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4945"/>
                              </a:xfrm>
                              <a:prstGeom prst="hexagon">
                                <a:avLst>
                                  <a:gd name="adj" fmla="val 25000"/>
                                  <a:gd name="vf" fmla="val 115470"/>
                                </a:avLst>
                              </a:prstGeom>
                              <a:solidFill>
                                <a:srgbClr val="FF0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75pt;height:15.35pt;width:15pt;z-index:251673600;mso-width-relative:page;mso-height-relative:page;" fillcolor="#FF0000" filled="t" stroked="t" coordsize="21600,21600" o:gfxdata="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HvsRE1wAAAAYBAAAPAAAAAAAAAAEAIAAAACIAAABkcnMvZG93bnJl&#10;di54bWxQSwECFAAUAAAACACHTuJAC2g/3nACAADmBAAADgAAAAAAAAABACAAAAAmAQAAZHJzL2Uy&#10;b0RvYy54bWxQSwUGAAAAAAYABgBZAQAACA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0≤HI＜40</w:t>
            </w:r>
          </w:p>
        </w:tc>
      </w:tr>
    </w:tbl>
    <w:p>
      <w:pPr>
        <w:bidi w:val="0"/>
        <w:rPr>
          <w:rFonts w:hint="eastAsia"/>
          <w:b w:val="0"/>
          <w:bCs w:val="0"/>
          <w:lang w:eastAsia="zh-CN"/>
        </w:rPr>
      </w:pPr>
      <w:r>
        <w:rPr>
          <w:rFonts w:hint="eastAsia"/>
          <w:b w:val="0"/>
          <w:bCs w:val="0"/>
          <w:lang w:eastAsia="zh-CN"/>
        </w:rPr>
        <w:t>碾子沟水库</w:t>
      </w:r>
      <w:r>
        <w:rPr>
          <w:rFonts w:hint="eastAsia"/>
          <w:b w:val="0"/>
          <w:bCs w:val="0"/>
          <w:lang w:val="en-US" w:eastAsia="zh-CN"/>
        </w:rPr>
        <w:t>77.97属于</w:t>
      </w:r>
      <w:r>
        <w:rPr>
          <w:b w:val="0"/>
          <w:bCs w:val="0"/>
        </w:rPr>
        <w:t>7</w:t>
      </w:r>
      <w:r>
        <w:rPr>
          <w:rFonts w:hint="eastAsia"/>
          <w:b w:val="0"/>
          <w:bCs w:val="0"/>
          <w:lang w:val="en-US" w:eastAsia="zh-CN"/>
        </w:rPr>
        <w:t>5</w:t>
      </w:r>
      <w:r>
        <w:rPr>
          <w:b w:val="0"/>
          <w:bCs w:val="0"/>
        </w:rPr>
        <w:t>≤HI＜</w:t>
      </w:r>
      <w:r>
        <w:rPr>
          <w:rFonts w:hint="eastAsia"/>
          <w:b w:val="0"/>
          <w:bCs w:val="0"/>
          <w:lang w:val="en-US" w:eastAsia="zh-CN"/>
        </w:rPr>
        <w:t>90健康综合评价结论为碾子沟</w:t>
      </w:r>
      <w:r>
        <w:rPr>
          <w:rFonts w:hint="eastAsia"/>
          <w:b w:val="0"/>
          <w:bCs w:val="0"/>
          <w:lang w:eastAsia="zh-CN"/>
        </w:rPr>
        <w:t>水库健康。</w:t>
      </w:r>
    </w:p>
    <w:p>
      <w:pPr>
        <w:pStyle w:val="22"/>
        <w:rPr>
          <w:rFonts w:hint="eastAsia"/>
          <w:b w:val="0"/>
          <w:bCs w:val="0"/>
          <w:lang w:eastAsia="zh-CN"/>
        </w:rPr>
      </w:pPr>
    </w:p>
    <w:p>
      <w:pPr>
        <w:pStyle w:val="22"/>
        <w:outlineLvl w:val="1"/>
        <w:rPr>
          <w:rFonts w:hint="eastAsia" w:ascii="宋体" w:hAnsi="宋体" w:eastAsia="宋体" w:cs="宋体"/>
          <w:b/>
          <w:bCs/>
          <w:sz w:val="24"/>
          <w:szCs w:val="24"/>
          <w:lang w:val="en-US" w:eastAsia="zh-CN"/>
        </w:rPr>
      </w:pPr>
      <w:bookmarkStart w:id="52" w:name="_Toc8461"/>
      <w:r>
        <w:rPr>
          <w:rFonts w:hint="eastAsia" w:ascii="宋体" w:hAnsi="宋体" w:eastAsia="宋体" w:cs="宋体"/>
          <w:b/>
          <w:bCs/>
          <w:sz w:val="24"/>
          <w:szCs w:val="24"/>
          <w:lang w:val="en-US" w:eastAsia="zh-CN"/>
        </w:rPr>
        <w:t>4.4 大洋沟水库评价方法与结果</w:t>
      </w:r>
      <w:bookmarkEnd w:id="52"/>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生态用水</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zh-CN" w:eastAsia="zh-CN" w:bidi="ar"/>
        </w:rPr>
        <w:t>根据《苍溪县沙溪浩一河（湖）一策管理保护方案（2021年）》中</w:t>
      </w:r>
      <w:r>
        <w:rPr>
          <w:rFonts w:hint="eastAsia" w:ascii="Times New Roman" w:hAnsi="Times New Roman" w:eastAsia="宋体" w:cs="Times New Roman"/>
          <w:color w:val="000000"/>
          <w:kern w:val="0"/>
          <w:sz w:val="24"/>
          <w:szCs w:val="24"/>
          <w:lang w:val="en-US" w:eastAsia="zh-CN" w:bidi="ar"/>
        </w:rPr>
        <w:t>对水库下泄流量没有明确要求。</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河库岸带稳定性指标</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w:t>
      </w:r>
      <w:r>
        <w:rPr>
          <w:rFonts w:hint="eastAsia" w:ascii="Times New Roman" w:hAnsi="Times New Roman" w:eastAsia="宋体" w:cs="Times New Roman"/>
          <w:color w:val="000000"/>
          <w:kern w:val="0"/>
          <w:sz w:val="24"/>
          <w:szCs w:val="24"/>
          <w:lang w:val="en-US" w:eastAsia="zh-CN" w:bidi="ar"/>
        </w:rPr>
        <w:t>碾子沟水库</w:t>
      </w:r>
      <w:r>
        <w:rPr>
          <w:rFonts w:hint="default" w:ascii="Times New Roman" w:hAnsi="Times New Roman" w:eastAsia="宋体" w:cs="Times New Roman"/>
          <w:color w:val="000000"/>
          <w:kern w:val="0"/>
          <w:sz w:val="24"/>
          <w:szCs w:val="24"/>
          <w:lang w:val="en-US" w:eastAsia="zh-CN" w:bidi="ar"/>
        </w:rPr>
        <w:t>河道断面图</w:t>
      </w:r>
      <w:r>
        <w:rPr>
          <w:rFonts w:hint="eastAsia" w:ascii="Times New Roman" w:hAnsi="Times New Roman" w:eastAsia="宋体" w:cs="Times New Roman"/>
          <w:color w:val="000000"/>
          <w:kern w:val="0"/>
          <w:sz w:val="24"/>
          <w:szCs w:val="24"/>
          <w:lang w:val="en-US" w:eastAsia="zh-CN" w:bidi="ar"/>
        </w:rPr>
        <w:t>（SXH-21）</w:t>
      </w:r>
      <w:r>
        <w:rPr>
          <w:rFonts w:hint="default" w:ascii="Times New Roman" w:hAnsi="Times New Roman" w:eastAsia="宋体" w:cs="Times New Roman"/>
          <w:color w:val="000000"/>
          <w:kern w:val="0"/>
          <w:sz w:val="24"/>
          <w:szCs w:val="24"/>
          <w:lang w:val="en-US" w:eastAsia="zh-CN" w:bidi="ar"/>
        </w:rPr>
        <w:t>，岸坡倾角为</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°岸坡倾角分值为</w:t>
      </w:r>
      <w:r>
        <w:rPr>
          <w:rFonts w:hint="eastAsia" w:ascii="Times New Roman" w:hAnsi="Times New Roman" w:eastAsia="宋体" w:cs="Times New Roman"/>
          <w:color w:val="000000"/>
          <w:kern w:val="0"/>
          <w:sz w:val="24"/>
          <w:szCs w:val="24"/>
          <w:lang w:val="en-US" w:eastAsia="zh-CN" w:bidi="ar"/>
        </w:rPr>
        <w:t>80</w:t>
      </w:r>
      <w:r>
        <w:rPr>
          <w:rFonts w:hint="default" w:ascii="Times New Roman" w:hAnsi="Times New Roman" w:eastAsia="宋体" w:cs="Times New Roman"/>
          <w:color w:val="000000"/>
          <w:kern w:val="0"/>
          <w:sz w:val="24"/>
          <w:szCs w:val="24"/>
          <w:lang w:val="en-US" w:eastAsia="zh-CN" w:bidi="ar"/>
        </w:rPr>
        <w:t>；岸坡植被覆盖率﹥75%，岸坡植被覆盖度分值为100；斜坡高度为</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m，岸坡高度分值为</w:t>
      </w:r>
      <w:r>
        <w:rPr>
          <w:rFonts w:hint="eastAsia" w:ascii="Times New Roman" w:hAnsi="Times New Roman" w:eastAsia="宋体" w:cs="Times New Roman"/>
          <w:color w:val="000000"/>
          <w:kern w:val="0"/>
          <w:sz w:val="24"/>
          <w:szCs w:val="24"/>
          <w:lang w:val="en-US" w:eastAsia="zh-CN" w:bidi="ar"/>
        </w:rPr>
        <w:t>90</w:t>
      </w:r>
      <w:r>
        <w:rPr>
          <w:rFonts w:hint="default" w:ascii="Times New Roman" w:hAnsi="Times New Roman" w:eastAsia="宋体" w:cs="Times New Roman"/>
          <w:color w:val="000000"/>
          <w:kern w:val="0"/>
          <w:sz w:val="24"/>
          <w:szCs w:val="24"/>
          <w:lang w:val="en-US" w:eastAsia="zh-CN" w:bidi="ar"/>
        </w:rPr>
        <w:t>；河岸为岩土河岸，河岸基质分值为75；河岸为轻度冲刷，坡脚冲刷强度分值为75。</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zh-CN" w:eastAsia="zh-CN" w:bidi="ar"/>
        </w:rPr>
        <w:pict>
          <v:shape id="_x0000_s1026" o:spid="_x0000_s1026" o:spt="75" type="#_x0000_t75" style="position:absolute;left:0pt;margin-left:-1.5pt;margin-top:8.8pt;height:17pt;width:168.95pt;mso-wrap-distance-bottom:0pt;mso-wrap-distance-top:0pt;z-index:251684864;mso-width-relative:page;mso-height-relative:page;" o:ole="t" filled="f" o:preferrelative="t" stroked="f" coordsize="21600,21600">
            <v:path/>
            <v:fill on="f" focussize="0,0"/>
            <v:stroke on="f"/>
            <v:imagedata r:id="rId117" o:title=""/>
            <o:lock v:ext="edit" aspectratio="t"/>
            <w10:wrap type="topAndBottom"/>
          </v:shape>
          <o:OLEObject Type="Embed" ProgID="Equation.KSEE3" ShapeID="_x0000_s1026" DrawAspect="Content" ObjectID="_1468075766" r:id="rId116">
            <o:LockedField>false</o:LockedField>
          </o:OLEObject>
        </w:pict>
      </w:r>
      <w:r>
        <w:rPr>
          <w:rFonts w:hint="default" w:ascii="Times New Roman" w:hAnsi="Times New Roman" w:eastAsia="宋体" w:cs="Times New Roman"/>
          <w:color w:val="000000"/>
          <w:kern w:val="0"/>
          <w:sz w:val="24"/>
          <w:szCs w:val="24"/>
          <w:lang w:val="en-US" w:eastAsia="zh-CN" w:bidi="ar"/>
        </w:rPr>
        <w:t>=8</w:t>
      </w:r>
      <w:r>
        <w:rPr>
          <w:rFonts w:hint="eastAsia" w:ascii="Times New Roman" w:hAnsi="Times New Roman" w:eastAsia="宋体" w:cs="Times New Roman"/>
          <w:color w:val="000000"/>
          <w:kern w:val="0"/>
          <w:sz w:val="24"/>
          <w:szCs w:val="24"/>
          <w:lang w:val="en-US" w:eastAsia="zh-CN" w:bidi="ar"/>
        </w:rPr>
        <w:t>4</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即岸坡稳定性指标赋分为8</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w:t>
      </w:r>
    </w:p>
    <w:p>
      <w:pPr>
        <w:pStyle w:val="52"/>
        <w:keepNext w:val="0"/>
        <w:keepLines w:val="0"/>
        <w:pageBreakBefore w:val="0"/>
        <w:kinsoku/>
        <w:wordWrap/>
        <w:overflowPunct/>
        <w:topLinePunct w:val="0"/>
        <w:autoSpaceDE/>
        <w:autoSpaceDN/>
        <w:bidi w:val="0"/>
        <w:adjustRightInd/>
        <w:snapToGrid/>
        <w:ind w:firstLine="0" w:firstLineChars="0"/>
        <w:textAlignment w:val="auto"/>
        <w:rPr>
          <w:rFonts w:hint="default"/>
          <w:lang w:val="en-US" w:eastAsia="zh-CN"/>
        </w:rPr>
      </w:pPr>
    </w:p>
    <w:p>
      <w:pPr>
        <w:pStyle w:val="22"/>
        <w:ind w:left="0" w:leftChars="0" w:firstLine="0" w:firstLineChars="0"/>
        <w:rPr>
          <w:rFonts w:hint="default"/>
          <w:lang w:val="en-US" w:eastAsia="zh-CN"/>
        </w:rPr>
      </w:pPr>
      <w:r>
        <w:rPr>
          <w:rFonts w:hint="default"/>
          <w:lang w:val="en-US" w:eastAsia="zh-CN"/>
        </w:rPr>
        <w:drawing>
          <wp:inline distT="0" distB="0" distL="114300" distR="114300">
            <wp:extent cx="5265420" cy="2689860"/>
            <wp:effectExtent l="0" t="0" r="11430" b="15240"/>
            <wp:docPr id="45" name="图片 45" descr="2fc21fc3677eb6aa7e68461d5c6ad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fc21fc3677eb6aa7e68461d5c6adac"/>
                    <pic:cNvPicPr>
                      <a:picLocks noChangeAspect="1"/>
                    </pic:cNvPicPr>
                  </pic:nvPicPr>
                  <pic:blipFill>
                    <a:blip r:embed="rId86"/>
                    <a:stretch>
                      <a:fillRect/>
                    </a:stretch>
                  </pic:blipFill>
                  <pic:spPr>
                    <a:xfrm>
                      <a:off x="0" y="0"/>
                      <a:ext cx="5265420" cy="2689860"/>
                    </a:xfrm>
                    <a:prstGeom prst="rect">
                      <a:avLst/>
                    </a:prstGeom>
                  </pic:spPr>
                </pic:pic>
              </a:graphicData>
            </a:graphic>
          </wp:inline>
        </w:drawing>
      </w:r>
    </w:p>
    <w:p>
      <w:pPr>
        <w:pStyle w:val="22"/>
        <w:jc w:val="center"/>
        <w:outlineLvl w:val="8"/>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图4.4-1   大洋沟水库卫星图</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水体整洁程度</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根据现场调查，</w:t>
      </w:r>
      <w:r>
        <w:rPr>
          <w:rFonts w:hint="eastAsia" w:ascii="Times New Roman" w:hAnsi="Times New Roman" w:eastAsia="宋体" w:cs="Times New Roman"/>
          <w:color w:val="000000"/>
          <w:kern w:val="0"/>
          <w:sz w:val="24"/>
          <w:szCs w:val="24"/>
          <w:lang w:val="en-US" w:eastAsia="zh-CN" w:bidi="ar"/>
        </w:rPr>
        <w:t>大洋沟水库</w:t>
      </w:r>
      <w:r>
        <w:rPr>
          <w:rFonts w:hint="default" w:ascii="Times New Roman" w:hAnsi="Times New Roman" w:eastAsia="宋体" w:cs="Times New Roman"/>
          <w:color w:val="000000"/>
          <w:kern w:val="0"/>
          <w:sz w:val="24"/>
          <w:szCs w:val="24"/>
          <w:lang w:val="en-US" w:eastAsia="zh-CN" w:bidi="ar"/>
        </w:rPr>
        <w:t>水质</w:t>
      </w:r>
      <w:r>
        <w:rPr>
          <w:rFonts w:hint="eastAsia" w:ascii="Times New Roman" w:hAnsi="Times New Roman" w:eastAsia="宋体" w:cs="Times New Roman"/>
          <w:color w:val="000000"/>
          <w:kern w:val="0"/>
          <w:sz w:val="24"/>
          <w:szCs w:val="24"/>
          <w:lang w:val="en-US" w:eastAsia="zh-CN" w:bidi="ar"/>
        </w:rPr>
        <w:t>无异味</w:t>
      </w:r>
      <w:r>
        <w:rPr>
          <w:rFonts w:hint="default" w:ascii="Times New Roman" w:hAnsi="Times New Roman" w:eastAsia="宋体" w:cs="Times New Roman"/>
          <w:color w:val="000000"/>
          <w:kern w:val="0"/>
          <w:sz w:val="24"/>
          <w:szCs w:val="24"/>
          <w:lang w:val="en-US" w:eastAsia="zh-CN" w:bidi="ar"/>
        </w:rPr>
        <w:t>，库面有极少量</w:t>
      </w:r>
      <w:r>
        <w:rPr>
          <w:rFonts w:hint="eastAsia" w:ascii="Times New Roman" w:hAnsi="Times New Roman" w:eastAsia="宋体" w:cs="Times New Roman"/>
          <w:color w:val="000000"/>
          <w:kern w:val="0"/>
          <w:sz w:val="24"/>
          <w:szCs w:val="24"/>
          <w:lang w:val="en-US" w:eastAsia="zh-CN" w:bidi="ar"/>
        </w:rPr>
        <w:t>树叶</w:t>
      </w:r>
      <w:r>
        <w:rPr>
          <w:rFonts w:hint="default" w:ascii="Times New Roman" w:hAnsi="Times New Roman" w:eastAsia="宋体" w:cs="Times New Roman"/>
          <w:color w:val="000000"/>
          <w:kern w:val="0"/>
          <w:sz w:val="24"/>
          <w:szCs w:val="24"/>
          <w:lang w:val="en-US" w:eastAsia="zh-CN" w:bidi="ar"/>
        </w:rPr>
        <w:t>，根据水体整洁程度评估赋分标准表，水体整洁程度评估赋分为</w:t>
      </w:r>
      <w:r>
        <w:rPr>
          <w:rFonts w:hint="eastAsia" w:ascii="Times New Roman" w:hAnsi="Times New Roman" w:eastAsia="宋体" w:cs="Times New Roman"/>
          <w:color w:val="000000"/>
          <w:kern w:val="0"/>
          <w:sz w:val="24"/>
          <w:szCs w:val="24"/>
          <w:lang w:val="en-US" w:eastAsia="zh-CN" w:bidi="ar"/>
        </w:rPr>
        <w:t>10</w:t>
      </w:r>
      <w:r>
        <w:rPr>
          <w:rFonts w:hint="default"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val="en-US" w:eastAsia="zh-CN" w:bidi="ar"/>
        </w:rPr>
        <w:t>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水质优劣程度</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大洋沟水库是</w:t>
      </w:r>
      <w:r>
        <w:rPr>
          <w:rFonts w:hint="default" w:ascii="Times New Roman" w:hAnsi="Times New Roman" w:eastAsia="宋体" w:cs="Times New Roman"/>
          <w:color w:val="000000"/>
          <w:kern w:val="0"/>
          <w:sz w:val="24"/>
          <w:szCs w:val="24"/>
          <w:lang w:val="en-US" w:eastAsia="zh-CN" w:bidi="ar"/>
        </w:rPr>
        <w:t>是一座给闫家沟水库补水，灌溉面积4.56万亩，兼有城乡10万人畜饮水等综合利用的拦蓄式小（</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）型水库。</w:t>
      </w:r>
      <w:r>
        <w:rPr>
          <w:rFonts w:hint="eastAsia" w:ascii="Times New Roman" w:hAnsi="Times New Roman" w:eastAsia="宋体" w:cs="Times New Roman"/>
          <w:color w:val="000000"/>
          <w:kern w:val="0"/>
          <w:sz w:val="24"/>
          <w:szCs w:val="24"/>
          <w:lang w:val="en-US" w:eastAsia="zh-CN" w:bidi="ar"/>
        </w:rPr>
        <w:t>饮用水水质要求一般要求在Ⅲ类水质以上。碾子沟水库的水质优劣程度赋分100分。</w:t>
      </w:r>
    </w:p>
    <w:p>
      <w:pPr>
        <w:bidi w:val="0"/>
        <w:rPr>
          <w:rFonts w:hint="default" w:ascii="Times New Roman" w:hAnsi="Times New Roman" w:eastAsia="宋体" w:cs="Times New Roman"/>
          <w:color w:val="000000"/>
          <w:kern w:val="0"/>
          <w:sz w:val="24"/>
          <w:szCs w:val="24"/>
          <w:lang w:val="zh-CN" w:eastAsia="zh-CN" w:bidi="ar"/>
        </w:rPr>
      </w:pP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zh-CN" w:eastAsia="zh-CN" w:bidi="ar"/>
        </w:rPr>
        <w:t>水质变化趋势</w:t>
      </w:r>
    </w:p>
    <w:p>
      <w:pPr>
        <w:bidi w:val="0"/>
        <w:rPr>
          <w:rFonts w:hint="eastAsia" w:ascii="Times New Roman" w:hAnsi="Times New Roman" w:eastAsia="宋体" w:cs="Times New Roman"/>
          <w:color w:val="000000"/>
          <w:kern w:val="0"/>
          <w:sz w:val="24"/>
          <w:szCs w:val="24"/>
          <w:lang w:val="zh-CN" w:eastAsia="zh-CN" w:bidi="ar"/>
        </w:rPr>
      </w:pPr>
      <w:r>
        <w:rPr>
          <w:rFonts w:hint="eastAsia" w:ascii="Times New Roman" w:hAnsi="Times New Roman" w:eastAsia="宋体" w:cs="Times New Roman"/>
          <w:color w:val="000000"/>
          <w:kern w:val="0"/>
          <w:sz w:val="24"/>
          <w:szCs w:val="24"/>
          <w:lang w:val="zh-CN" w:eastAsia="zh-CN" w:bidi="ar"/>
        </w:rPr>
        <w:t>大洋沟水库位于</w:t>
      </w:r>
      <w:r>
        <w:rPr>
          <w:rFonts w:hint="eastAsia" w:ascii="Times New Roman" w:hAnsi="Times New Roman" w:eastAsia="宋体" w:cs="Times New Roman"/>
          <w:color w:val="000000"/>
          <w:kern w:val="0"/>
          <w:sz w:val="24"/>
          <w:szCs w:val="24"/>
          <w:lang w:val="en-US" w:eastAsia="zh-CN" w:bidi="ar"/>
        </w:rPr>
        <w:t>沙溪浩上游，水环境总体良好</w:t>
      </w:r>
      <w:r>
        <w:rPr>
          <w:rFonts w:hint="eastAsia" w:ascii="Times New Roman" w:hAnsi="Times New Roman" w:eastAsia="宋体" w:cs="Times New Roman"/>
          <w:color w:val="000000"/>
          <w:kern w:val="0"/>
          <w:sz w:val="24"/>
          <w:szCs w:val="24"/>
          <w:lang w:val="zh-CN" w:eastAsia="zh-CN" w:bidi="ar"/>
        </w:rPr>
        <w:t>水质常年稳定在Ⅲ类水质</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zh-CN" w:eastAsia="zh-CN" w:bidi="ar"/>
        </w:rPr>
        <w:t>赋分</w:t>
      </w:r>
      <w:r>
        <w:rPr>
          <w:rFonts w:hint="eastAsia" w:ascii="Times New Roman" w:hAnsi="Times New Roman" w:eastAsia="宋体" w:cs="Times New Roman"/>
          <w:color w:val="000000"/>
          <w:kern w:val="0"/>
          <w:sz w:val="24"/>
          <w:szCs w:val="24"/>
          <w:lang w:val="en-US" w:eastAsia="zh-CN" w:bidi="ar"/>
        </w:rPr>
        <w:t>100分。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（6）</w:t>
      </w:r>
      <w:r>
        <w:rPr>
          <w:rFonts w:hint="default" w:ascii="Times New Roman" w:hAnsi="Times New Roman" w:eastAsia="宋体" w:cs="Times New Roman"/>
          <w:color w:val="000000"/>
          <w:kern w:val="0"/>
          <w:sz w:val="24"/>
          <w:szCs w:val="24"/>
          <w:lang w:val="en-US" w:eastAsia="zh-CN" w:bidi="ar"/>
        </w:rPr>
        <w:t>外来水生动植物</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根据查阅资料和咨询林业、农业方面的专家，</w:t>
      </w:r>
      <w:r>
        <w:rPr>
          <w:rFonts w:hint="eastAsia" w:ascii="Times New Roman" w:hAnsi="Times New Roman" w:eastAsia="宋体" w:cs="Times New Roman"/>
          <w:color w:val="000000"/>
          <w:kern w:val="0"/>
          <w:sz w:val="24"/>
          <w:szCs w:val="24"/>
          <w:lang w:val="en-US" w:eastAsia="zh-CN" w:bidi="ar"/>
        </w:rPr>
        <w:t>碾子沟水库未发现外来入侵物种</w:t>
      </w:r>
      <w:r>
        <w:rPr>
          <w:rFonts w:hint="default" w:ascii="Times New Roman" w:hAnsi="Times New Roman" w:eastAsia="宋体" w:cs="Times New Roman"/>
          <w:color w:val="000000"/>
          <w:kern w:val="0"/>
          <w:sz w:val="24"/>
          <w:szCs w:val="24"/>
          <w:lang w:val="en-US" w:eastAsia="zh-CN" w:bidi="ar"/>
        </w:rPr>
        <w:t>。根据外来水生动植物指数赋分标准表，确定外来水生动植物指数赋分为</w:t>
      </w:r>
      <w:r>
        <w:rPr>
          <w:rFonts w:hint="eastAsia" w:ascii="Times New Roman" w:hAnsi="Times New Roman" w:eastAsia="宋体" w:cs="Times New Roman"/>
          <w:color w:val="000000"/>
          <w:kern w:val="0"/>
          <w:sz w:val="24"/>
          <w:szCs w:val="24"/>
          <w:lang w:val="en-US" w:eastAsia="zh-CN" w:bidi="ar"/>
        </w:rPr>
        <w:t>100分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w:t>
      </w:r>
      <w:r>
        <w:rPr>
          <w:rFonts w:hint="default" w:ascii="Times New Roman" w:hAnsi="Times New Roman" w:eastAsia="宋体" w:cs="Times New Roman"/>
          <w:color w:val="000000"/>
          <w:kern w:val="0"/>
          <w:sz w:val="24"/>
          <w:szCs w:val="24"/>
          <w:lang w:val="en-US" w:eastAsia="zh-CN" w:bidi="ar"/>
        </w:rPr>
        <w:t>公众满意度</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目前没有水库的公众满意度调查结果，仅有河道的调查问卷。公众满意度调查根据现场实际情况采用现场问卷调查法调查，根据现场实际调查，求得所有公众赋分平均分为87.2分。</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（8）</w:t>
      </w:r>
      <w:r>
        <w:rPr>
          <w:rFonts w:hint="default" w:ascii="Times New Roman" w:hAnsi="Times New Roman" w:eastAsia="宋体" w:cs="Times New Roman"/>
          <w:color w:val="000000"/>
          <w:kern w:val="0"/>
          <w:sz w:val="24"/>
          <w:szCs w:val="24"/>
          <w:lang w:val="en-US" w:eastAsia="zh-CN" w:bidi="ar"/>
        </w:rPr>
        <w:t>防洪标准</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水库选用大坝安全、防洪运行调度、监控设施作为防洪评估指标，根据《苍溪县2020年大洋沟水库工程设施维修养护项目实施方案（2020.10）》大坝安全</w:t>
      </w:r>
      <w:r>
        <w:rPr>
          <w:rFonts w:hint="eastAsia" w:ascii="Times New Roman" w:hAnsi="Times New Roman" w:eastAsia="宋体" w:cs="Times New Roman"/>
          <w:color w:val="000000"/>
          <w:kern w:val="0"/>
          <w:sz w:val="24"/>
          <w:szCs w:val="24"/>
          <w:lang w:val="zh-CN" w:eastAsia="zh-CN" w:bidi="ar"/>
        </w:rPr>
        <w:t>可赋分</w:t>
      </w:r>
      <w:r>
        <w:rPr>
          <w:rFonts w:hint="eastAsia" w:ascii="Times New Roman" w:hAnsi="Times New Roman" w:eastAsia="宋体" w:cs="Times New Roman"/>
          <w:color w:val="000000"/>
          <w:kern w:val="0"/>
          <w:sz w:val="24"/>
          <w:szCs w:val="24"/>
          <w:lang w:val="en-US" w:eastAsia="zh-CN" w:bidi="ar"/>
        </w:rPr>
        <w:t>50；水库基本符合防洪运行调度赋分50；水库具备监控设施赋分50</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综上所述，</w:t>
      </w:r>
      <w:r>
        <w:rPr>
          <w:rFonts w:hint="eastAsia" w:ascii="Times New Roman" w:hAnsi="Times New Roman" w:eastAsia="宋体" w:cs="Times New Roman"/>
          <w:color w:val="000000"/>
          <w:kern w:val="0"/>
          <w:sz w:val="24"/>
          <w:szCs w:val="24"/>
          <w:lang w:val="en-US" w:eastAsia="zh-CN" w:bidi="ar"/>
        </w:rPr>
        <w:t>碾子沟水库</w:t>
      </w:r>
      <w:r>
        <w:rPr>
          <w:rFonts w:hint="default" w:ascii="Times New Roman" w:hAnsi="Times New Roman" w:eastAsia="宋体" w:cs="Times New Roman"/>
          <w:color w:val="000000"/>
          <w:kern w:val="0"/>
          <w:sz w:val="24"/>
          <w:szCs w:val="24"/>
          <w:lang w:val="en-US" w:eastAsia="zh-CN" w:bidi="ar"/>
        </w:rPr>
        <w:t>防洪指标赋分</w:t>
      </w:r>
      <w:r>
        <w:rPr>
          <w:rFonts w:hint="eastAsia" w:ascii="Times New Roman" w:hAnsi="Times New Roman" w:eastAsia="宋体" w:cs="Times New Roman"/>
          <w:color w:val="000000"/>
          <w:kern w:val="0"/>
          <w:sz w:val="24"/>
          <w:szCs w:val="24"/>
          <w:lang w:val="en-US" w:eastAsia="zh-CN" w:bidi="ar"/>
        </w:rPr>
        <w:t>50分</w:t>
      </w:r>
      <w:r>
        <w:rPr>
          <w:rFonts w:hint="default" w:ascii="Times New Roman" w:hAnsi="Times New Roman" w:eastAsia="宋体" w:cs="Times New Roman"/>
          <w:color w:val="000000"/>
          <w:kern w:val="0"/>
          <w:sz w:val="24"/>
          <w:szCs w:val="24"/>
          <w:lang w:val="en-US" w:eastAsia="zh-CN" w:bidi="ar"/>
        </w:rPr>
        <w:t>。</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（9）</w:t>
      </w:r>
      <w:r>
        <w:rPr>
          <w:rFonts w:hint="default" w:ascii="Times New Roman" w:hAnsi="Times New Roman" w:eastAsia="宋体" w:cs="Times New Roman"/>
          <w:color w:val="000000"/>
          <w:kern w:val="0"/>
          <w:sz w:val="24"/>
          <w:szCs w:val="24"/>
          <w:lang w:val="en-US" w:eastAsia="zh-CN" w:bidi="ar"/>
        </w:rPr>
        <w:t>供水指标</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大洋沟水库是</w:t>
      </w:r>
      <w:r>
        <w:rPr>
          <w:rFonts w:hint="default" w:ascii="Times New Roman" w:hAnsi="Times New Roman" w:eastAsia="宋体" w:cs="Times New Roman"/>
          <w:color w:val="000000"/>
          <w:kern w:val="0"/>
          <w:sz w:val="24"/>
          <w:szCs w:val="24"/>
          <w:lang w:val="en-US" w:eastAsia="zh-CN" w:bidi="ar"/>
        </w:rPr>
        <w:t>是一座给闫家沟水库补水，灌溉面积4.56万亩，兼有城乡10万人畜饮水等综合利用的拦蓄式小（</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）型水库。</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故综合供水保证率评估赋分为100。</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r>
        <w:rPr>
          <w:rFonts w:hint="eastAsia" w:ascii="Times New Roman" w:hAnsi="Times New Roman" w:eastAsia="宋体" w:cs="Times New Roman"/>
          <w:color w:val="000000"/>
          <w:kern w:val="0"/>
          <w:sz w:val="24"/>
          <w:szCs w:val="24"/>
          <w:lang w:val="zh-CN" w:eastAsia="zh-CN" w:bidi="ar"/>
        </w:rPr>
        <w:t>开发利用状况与规划的符合性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河流的开发利用工程项目主要包括以下几类：水电站、堤防、囤蓄水库、航 道、其他有关涉水工程项目等等。经现场调查，沙溪浩干流上主要的工程建设项目为囤蓄水库，无其他水利工程，故本次仅评价</w:t>
      </w:r>
      <w:r>
        <w:rPr>
          <w:rFonts w:hint="eastAsia" w:cs="Times New Roman"/>
          <w:color w:val="000000"/>
          <w:kern w:val="0"/>
          <w:sz w:val="24"/>
          <w:szCs w:val="24"/>
          <w:lang w:val="en-US" w:eastAsia="zh-CN" w:bidi="ar"/>
        </w:rPr>
        <w:t>沙溪浩</w:t>
      </w:r>
      <w:r>
        <w:rPr>
          <w:rFonts w:hint="eastAsia" w:ascii="Times New Roman" w:hAnsi="Times New Roman" w:eastAsia="宋体" w:cs="Times New Roman"/>
          <w:color w:val="000000"/>
          <w:kern w:val="0"/>
          <w:sz w:val="24"/>
          <w:szCs w:val="24"/>
          <w:lang w:val="en-US" w:eastAsia="zh-CN" w:bidi="ar"/>
        </w:rPr>
        <w:t>堤防工程和水电站与规划的符合性。</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枢纽工程于2000年6月动工兴建，2005年12月枢纽工程全部完成。</w:t>
      </w:r>
      <w:r>
        <w:rPr>
          <w:rFonts w:hint="default" w:ascii="Times New Roman" w:hAnsi="Times New Roman" w:eastAsia="宋体" w:cs="Times New Roman"/>
          <w:color w:val="000000"/>
          <w:kern w:val="0"/>
          <w:sz w:val="24"/>
          <w:szCs w:val="24"/>
          <w:lang w:val="en-US" w:eastAsia="zh-CN" w:bidi="ar"/>
        </w:rPr>
        <w:t>水库正常蓄水位562.40m，总库容978万m3，有效库容622.9万m3，死库容152万m3。水库设计洪水位564.89m，校核洪水位565.97m，正常蓄水位562.40m，死水位545.00m。是一座给闫家沟水库补水，灌溉面积4.56万亩，兼有城乡10万人畜饮水等综合利用的拦蓄式小（</w:t>
      </w: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）型水库。</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则开发利用状况与规划的符合性赋分为</w:t>
      </w:r>
      <w:r>
        <w:rPr>
          <w:rFonts w:hint="eastAsia" w:ascii="Times New Roman" w:hAnsi="Times New Roman" w:eastAsia="宋体" w:cs="Times New Roman"/>
          <w:color w:val="000000"/>
          <w:kern w:val="0"/>
          <w:sz w:val="24"/>
          <w:szCs w:val="24"/>
          <w:lang w:val="en-US" w:eastAsia="zh-CN" w:bidi="ar"/>
        </w:rPr>
        <w:t>100</w:t>
      </w:r>
      <w:r>
        <w:rPr>
          <w:rFonts w:hint="default" w:ascii="Times New Roman" w:hAnsi="Times New Roman" w:eastAsia="宋体" w:cs="Times New Roman"/>
          <w:color w:val="000000"/>
          <w:kern w:val="0"/>
          <w:sz w:val="24"/>
          <w:szCs w:val="24"/>
          <w:lang w:val="en-US" w:eastAsia="zh-CN" w:bidi="ar"/>
        </w:rPr>
        <w:t>。</w:t>
      </w:r>
    </w:p>
    <w:p>
      <w:pPr>
        <w:pStyle w:val="22"/>
        <w:ind w:left="0" w:leftChars="0" w:firstLine="436" w:firstLineChars="200"/>
        <w:jc w:val="both"/>
        <w:outlineLvl w:val="9"/>
        <w:rPr>
          <w:rFonts w:hint="default" w:ascii="Times New Roman" w:hAnsi="Times New Roman" w:eastAsia="宋体" w:cs="Times New Roman"/>
          <w:spacing w:val="-11"/>
          <w:kern w:val="2"/>
          <w:sz w:val="24"/>
          <w:szCs w:val="24"/>
          <w:lang w:val="en-US" w:eastAsia="zh-CN" w:bidi="zh-CN"/>
        </w:rPr>
      </w:pPr>
    </w:p>
    <w:p>
      <w:pPr>
        <w:pStyle w:val="43"/>
        <w:jc w:val="both"/>
        <w:outlineLvl w:val="8"/>
        <w:rPr>
          <w:rFonts w:hint="default"/>
          <w:lang w:val="en-US" w:eastAsia="zh-CN"/>
        </w:rPr>
      </w:pPr>
      <w:r>
        <w:rPr>
          <w:rFonts w:hint="eastAsia"/>
          <w:lang w:val="en-US" w:eastAsia="zh-CN"/>
        </w:rPr>
        <w:t>表4.4-1                  大洋沟水库赋分结构表</w:t>
      </w:r>
    </w:p>
    <w:tbl>
      <w:tblPr>
        <w:tblStyle w:val="28"/>
        <w:tblW w:w="5648" w:type="pct"/>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0" w:type="dxa"/>
          <w:bottom w:w="0" w:type="dxa"/>
          <w:right w:w="0" w:type="dxa"/>
        </w:tblCellMar>
      </w:tblPr>
      <w:tblGrid>
        <w:gridCol w:w="2623"/>
        <w:gridCol w:w="3391"/>
        <w:gridCol w:w="339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trHeight w:val="475" w:hRule="atLeast"/>
        </w:trPr>
        <w:tc>
          <w:tcPr>
            <w:tcW w:w="1242" w:type="pct"/>
            <w:tcBorders>
              <w:tl2br w:val="nil"/>
              <w:tr2bl w:val="nil"/>
            </w:tcBorders>
            <w:shd w:val="clear" w:color="auto" w:fill="auto"/>
            <w:vAlign w:val="center"/>
          </w:tcPr>
          <w:p>
            <w:pPr>
              <w:pStyle w:val="53"/>
              <w:bidi w:val="0"/>
              <w:rPr>
                <w:rFonts w:hint="default"/>
                <w:lang w:eastAsia="zh-CN"/>
              </w:rPr>
            </w:pPr>
            <w:r>
              <w:rPr>
                <w:rFonts w:hint="default"/>
                <w:lang w:eastAsia="zh-CN"/>
              </w:rPr>
              <w:t>分类指标</w:t>
            </w: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分项指标</w:t>
            </w:r>
          </w:p>
        </w:tc>
        <w:tc>
          <w:tcPr>
            <w:tcW w:w="1606" w:type="pct"/>
            <w:tcBorders>
              <w:tl2br w:val="nil"/>
              <w:tr2bl w:val="nil"/>
            </w:tcBorders>
            <w:shd w:val="clear" w:color="auto" w:fill="auto"/>
            <w:vAlign w:val="center"/>
          </w:tcPr>
          <w:p>
            <w:pPr>
              <w:pStyle w:val="53"/>
              <w:bidi w:val="0"/>
              <w:rPr>
                <w:rFonts w:hint="default"/>
                <w:lang w:eastAsia="zh-CN"/>
              </w:rPr>
            </w:pPr>
            <w:r>
              <w:rPr>
                <w:rFonts w:hint="eastAsia"/>
                <w:lang w:eastAsia="zh-CN"/>
              </w:rPr>
              <w:t>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4" w:hRule="atLeast"/>
        </w:trPr>
        <w:tc>
          <w:tcPr>
            <w:tcW w:w="1242" w:type="pct"/>
            <w:tcBorders>
              <w:tl2br w:val="nil"/>
              <w:tr2bl w:val="nil"/>
            </w:tcBorders>
            <w:shd w:val="clear" w:color="auto" w:fill="auto"/>
            <w:vAlign w:val="center"/>
          </w:tcPr>
          <w:p>
            <w:pPr>
              <w:pStyle w:val="53"/>
              <w:bidi w:val="0"/>
              <w:rPr>
                <w:rFonts w:hint="default"/>
                <w:lang w:eastAsia="zh-CN"/>
              </w:rPr>
            </w:pPr>
            <w:r>
              <w:rPr>
                <w:rFonts w:hint="default"/>
                <w:lang w:eastAsia="zh-CN"/>
              </w:rPr>
              <w:t>物理结构</w:t>
            </w: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岸带稳定性指标</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84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6" w:hRule="atLeast"/>
        </w:trPr>
        <w:tc>
          <w:tcPr>
            <w:tcW w:w="1242" w:type="pct"/>
            <w:vMerge w:val="restart"/>
            <w:tcBorders>
              <w:tl2br w:val="nil"/>
              <w:tr2bl w:val="nil"/>
            </w:tcBorders>
            <w:shd w:val="clear" w:color="auto" w:fill="auto"/>
            <w:vAlign w:val="center"/>
          </w:tcPr>
          <w:p>
            <w:pPr>
              <w:pStyle w:val="53"/>
              <w:bidi w:val="0"/>
              <w:rPr>
                <w:rFonts w:hint="default"/>
                <w:lang w:eastAsia="zh-CN"/>
              </w:rPr>
            </w:pPr>
            <w:r>
              <w:rPr>
                <w:rFonts w:hint="default"/>
                <w:lang w:eastAsia="zh-CN"/>
              </w:rPr>
              <w:t>水质</w:t>
            </w: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水体整洁程度</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1242" w:type="pct"/>
            <w:vMerge w:val="continue"/>
            <w:tcBorders>
              <w:tl2br w:val="nil"/>
              <w:tr2bl w:val="nil"/>
            </w:tcBorders>
            <w:shd w:val="clear" w:color="auto" w:fill="auto"/>
            <w:vAlign w:val="center"/>
          </w:tcPr>
          <w:p>
            <w:pPr>
              <w:pStyle w:val="53"/>
              <w:bidi w:val="0"/>
              <w:rPr>
                <w:rFonts w:hint="default"/>
                <w:lang w:eastAsia="zh-CN"/>
              </w:rPr>
            </w:pP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水</w:t>
            </w:r>
            <w:r>
              <w:rPr>
                <w:rFonts w:hint="eastAsia"/>
                <w:lang w:eastAsia="zh-CN"/>
              </w:rPr>
              <w:t>质优劣</w:t>
            </w:r>
            <w:r>
              <w:rPr>
                <w:rFonts w:hint="default"/>
                <w:lang w:eastAsia="zh-CN"/>
              </w:rPr>
              <w:t>程度</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1242" w:type="pct"/>
            <w:vMerge w:val="continue"/>
            <w:tcBorders>
              <w:tl2br w:val="nil"/>
              <w:tr2bl w:val="nil"/>
            </w:tcBorders>
            <w:shd w:val="clear" w:color="auto" w:fill="auto"/>
            <w:vAlign w:val="center"/>
          </w:tcPr>
          <w:p>
            <w:pPr>
              <w:pStyle w:val="53"/>
              <w:bidi w:val="0"/>
              <w:rPr>
                <w:rFonts w:hint="default"/>
                <w:lang w:eastAsia="zh-CN"/>
              </w:rPr>
            </w:pP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水质变化趋势</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1" w:hRule="atLeast"/>
        </w:trPr>
        <w:tc>
          <w:tcPr>
            <w:tcW w:w="1242" w:type="pct"/>
            <w:tcBorders>
              <w:tl2br w:val="nil"/>
              <w:tr2bl w:val="nil"/>
            </w:tcBorders>
            <w:shd w:val="clear" w:color="auto" w:fill="auto"/>
            <w:vAlign w:val="center"/>
          </w:tcPr>
          <w:p>
            <w:pPr>
              <w:pStyle w:val="53"/>
              <w:bidi w:val="0"/>
              <w:rPr>
                <w:rFonts w:hint="default"/>
                <w:lang w:eastAsia="zh-CN"/>
              </w:rPr>
            </w:pPr>
            <w:r>
              <w:rPr>
                <w:rFonts w:hint="default"/>
                <w:lang w:eastAsia="zh-CN"/>
              </w:rPr>
              <w:t>生物</w:t>
            </w: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外来水生动植物</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trPr>
        <w:tc>
          <w:tcPr>
            <w:tcW w:w="1242" w:type="pct"/>
            <w:vMerge w:val="restart"/>
            <w:tcBorders>
              <w:tl2br w:val="nil"/>
              <w:tr2bl w:val="nil"/>
            </w:tcBorders>
            <w:shd w:val="clear" w:color="auto" w:fill="auto"/>
            <w:vAlign w:val="center"/>
          </w:tcPr>
          <w:p>
            <w:pPr>
              <w:pStyle w:val="53"/>
              <w:bidi w:val="0"/>
              <w:rPr>
                <w:rFonts w:hint="default"/>
                <w:lang w:eastAsia="zh-CN"/>
              </w:rPr>
            </w:pPr>
            <w:r>
              <w:rPr>
                <w:rFonts w:hint="default"/>
                <w:lang w:eastAsia="zh-CN"/>
              </w:rPr>
              <w:t>河湖管理与社会服务功能</w:t>
            </w: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公众满意度</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87.2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1242" w:type="pct"/>
            <w:vMerge w:val="continue"/>
            <w:tcBorders>
              <w:tl2br w:val="nil"/>
              <w:tr2bl w:val="nil"/>
            </w:tcBorders>
            <w:shd w:val="clear" w:color="auto" w:fill="auto"/>
            <w:vAlign w:val="center"/>
          </w:tcPr>
          <w:p>
            <w:pPr>
              <w:pStyle w:val="53"/>
              <w:bidi w:val="0"/>
              <w:rPr>
                <w:rFonts w:hint="default"/>
                <w:lang w:eastAsia="zh-CN"/>
              </w:rPr>
            </w:pP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防洪指标</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9" w:hRule="atLeast"/>
        </w:trPr>
        <w:tc>
          <w:tcPr>
            <w:tcW w:w="1242" w:type="pct"/>
            <w:vMerge w:val="continue"/>
            <w:tcBorders>
              <w:tl2br w:val="nil"/>
              <w:tr2bl w:val="nil"/>
            </w:tcBorders>
            <w:shd w:val="clear" w:color="auto" w:fill="auto"/>
            <w:vAlign w:val="center"/>
          </w:tcPr>
          <w:p>
            <w:pPr>
              <w:pStyle w:val="53"/>
              <w:bidi w:val="0"/>
              <w:rPr>
                <w:rFonts w:hint="default"/>
                <w:lang w:eastAsia="zh-CN"/>
              </w:rPr>
            </w:pP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供水指标</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7" w:hRule="atLeast"/>
        </w:trPr>
        <w:tc>
          <w:tcPr>
            <w:tcW w:w="1242" w:type="pct"/>
            <w:vMerge w:val="continue"/>
            <w:tcBorders>
              <w:tl2br w:val="nil"/>
              <w:tr2bl w:val="nil"/>
            </w:tcBorders>
            <w:shd w:val="clear" w:color="auto" w:fill="auto"/>
            <w:vAlign w:val="center"/>
          </w:tcPr>
          <w:p>
            <w:pPr>
              <w:pStyle w:val="53"/>
              <w:bidi w:val="0"/>
              <w:rPr>
                <w:rFonts w:hint="default"/>
                <w:lang w:eastAsia="zh-CN"/>
              </w:rPr>
            </w:pPr>
          </w:p>
        </w:tc>
        <w:tc>
          <w:tcPr>
            <w:tcW w:w="1606" w:type="pct"/>
            <w:tcBorders>
              <w:tl2br w:val="nil"/>
              <w:tr2bl w:val="nil"/>
            </w:tcBorders>
            <w:shd w:val="clear" w:color="auto" w:fill="auto"/>
            <w:vAlign w:val="center"/>
          </w:tcPr>
          <w:p>
            <w:pPr>
              <w:pStyle w:val="53"/>
              <w:bidi w:val="0"/>
              <w:rPr>
                <w:rFonts w:hint="default"/>
                <w:lang w:eastAsia="zh-CN"/>
              </w:rPr>
            </w:pPr>
            <w:r>
              <w:rPr>
                <w:rFonts w:hint="default"/>
                <w:lang w:eastAsia="zh-CN"/>
              </w:rPr>
              <w:t>开发利用现状与规划的符合性</w:t>
            </w:r>
          </w:p>
        </w:tc>
        <w:tc>
          <w:tcPr>
            <w:tcW w:w="1606" w:type="pct"/>
            <w:tcBorders>
              <w:tl2br w:val="nil"/>
              <w:tr2bl w:val="nil"/>
            </w:tcBorders>
            <w:shd w:val="clear" w:color="auto" w:fill="auto"/>
            <w:vAlign w:val="center"/>
          </w:tcPr>
          <w:p>
            <w:pPr>
              <w:pStyle w:val="53"/>
              <w:bidi w:val="0"/>
              <w:rPr>
                <w:rFonts w:hint="default"/>
                <w:lang w:val="en-US" w:eastAsia="zh-CN"/>
              </w:rPr>
            </w:pPr>
            <w:r>
              <w:rPr>
                <w:rFonts w:hint="eastAsia"/>
                <w:lang w:val="en-US" w:eastAsia="zh-CN"/>
              </w:rPr>
              <w:t>100</w:t>
            </w:r>
          </w:p>
        </w:tc>
      </w:tr>
    </w:tbl>
    <w:p>
      <w:pPr>
        <w:pStyle w:val="22"/>
        <w:ind w:left="0" w:leftChars="0" w:firstLine="560" w:firstLineChars="200"/>
        <w:jc w:val="center"/>
        <w:outlineLvl w:val="9"/>
        <w:rPr>
          <w:rFonts w:hint="default" w:ascii="Times New Roman" w:hAnsi="Times New Roman" w:eastAsia="宋体" w:cs="Times New Roman"/>
          <w:spacing w:val="-11"/>
          <w:kern w:val="2"/>
          <w:sz w:val="24"/>
          <w:szCs w:val="24"/>
          <w:lang w:val="en-US" w:eastAsia="zh-CN" w:bidi="zh-CN"/>
        </w:rPr>
      </w:pPr>
      <w:r>
        <w:drawing>
          <wp:inline distT="0" distB="0" distL="114300" distR="114300">
            <wp:extent cx="4572000" cy="2760345"/>
            <wp:effectExtent l="4445" t="4445" r="10795" b="8890"/>
            <wp:docPr id="3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pPr>
        <w:pStyle w:val="22"/>
        <w:ind w:left="0" w:leftChars="0" w:firstLine="0" w:firstLineChars="0"/>
        <w:jc w:val="center"/>
        <w:outlineLvl w:val="8"/>
        <w:rPr>
          <w:rFonts w:hint="eastAsia" w:ascii="宋体" w:hAnsi="宋体" w:eastAsia="宋体" w:cs="宋体"/>
          <w:b/>
          <w:bCs/>
          <w:color w:val="auto"/>
          <w:kern w:val="2"/>
          <w:sz w:val="24"/>
          <w:szCs w:val="24"/>
          <w:lang w:val="en-US" w:eastAsia="zh-CN"/>
        </w:rPr>
      </w:pPr>
      <w:r>
        <w:rPr>
          <w:rFonts w:hint="eastAsia" w:ascii="宋体" w:hAnsi="宋体" w:eastAsia="宋体" w:cs="宋体"/>
          <w:b/>
          <w:bCs/>
          <w:color w:val="auto"/>
          <w:kern w:val="2"/>
          <w:sz w:val="24"/>
          <w:szCs w:val="24"/>
          <w:lang w:val="en-US" w:eastAsia="zh-CN"/>
        </w:rPr>
        <w:t>图4.4-2 大洋沟水库赋分指数图</w:t>
      </w:r>
    </w:p>
    <w:p>
      <w:pPr>
        <w:pStyle w:val="22"/>
        <w:ind w:left="0" w:leftChars="0" w:firstLine="436" w:firstLineChars="200"/>
        <w:jc w:val="both"/>
        <w:outlineLvl w:val="9"/>
        <w:rPr>
          <w:rFonts w:hint="default" w:ascii="Times New Roman" w:hAnsi="Times New Roman" w:eastAsia="宋体" w:cs="Times New Roman"/>
          <w:spacing w:val="-11"/>
          <w:kern w:val="2"/>
          <w:sz w:val="24"/>
          <w:szCs w:val="24"/>
          <w:lang w:val="en-US" w:eastAsia="zh-CN" w:bidi="zh-CN"/>
        </w:rPr>
      </w:pPr>
    </w:p>
    <w:p>
      <w:pPr>
        <w:bidi w:val="0"/>
        <w:rPr>
          <w:rFonts w:hint="default" w:ascii="Times New Roman" w:hAnsi="Times New Roman" w:eastAsia="宋体" w:cs="Times New Roman"/>
          <w:color w:val="000000"/>
          <w:kern w:val="0"/>
          <w:sz w:val="24"/>
          <w:szCs w:val="24"/>
          <w:lang w:val="zh-CN" w:eastAsia="zh-CN" w:bidi="ar"/>
        </w:rPr>
      </w:pPr>
      <w:r>
        <w:rPr>
          <w:rFonts w:hint="default" w:ascii="Times New Roman" w:hAnsi="Times New Roman" w:eastAsia="宋体" w:cs="Times New Roman"/>
          <w:color w:val="000000"/>
          <w:kern w:val="0"/>
          <w:sz w:val="24"/>
          <w:szCs w:val="24"/>
          <w:lang w:val="en-US" w:eastAsia="zh-CN" w:bidi="ar"/>
        </w:rPr>
        <w:t>结合</w:t>
      </w:r>
      <w:r>
        <w:rPr>
          <w:rFonts w:hint="default" w:ascii="Times New Roman" w:hAnsi="Times New Roman" w:eastAsia="宋体" w:cs="Times New Roman"/>
          <w:color w:val="000000"/>
          <w:kern w:val="0"/>
          <w:sz w:val="24"/>
          <w:szCs w:val="24"/>
          <w:lang w:val="zh-CN" w:eastAsia="zh-CN" w:bidi="ar"/>
        </w:rPr>
        <w:t>《河湖健康评价指南》（</w:t>
      </w:r>
      <w:r>
        <w:rPr>
          <w:rFonts w:hint="eastAsia" w:ascii="Times New Roman" w:hAnsi="Times New Roman" w:eastAsia="宋体" w:cs="Times New Roman"/>
          <w:color w:val="000000"/>
          <w:kern w:val="0"/>
          <w:sz w:val="24"/>
          <w:szCs w:val="24"/>
          <w:lang w:val="zh-CN" w:eastAsia="zh-CN" w:bidi="ar"/>
        </w:rPr>
        <w:t>正式</w:t>
      </w:r>
      <w:r>
        <w:rPr>
          <w:rFonts w:hint="default" w:ascii="Times New Roman" w:hAnsi="Times New Roman" w:eastAsia="宋体" w:cs="Times New Roman"/>
          <w:color w:val="000000"/>
          <w:kern w:val="0"/>
          <w:sz w:val="24"/>
          <w:szCs w:val="24"/>
          <w:lang w:val="zh-CN" w:eastAsia="zh-CN" w:bidi="ar"/>
        </w:rPr>
        <w:t>）以及《四川省河长制办公室关于在全省开展河流（湖库）健康评价工作的通知》（川河长制办函</w:t>
      </w:r>
      <w:r>
        <w:rPr>
          <w:rFonts w:hint="default" w:ascii="Times New Roman" w:hAnsi="Times New Roman" w:eastAsia="宋体" w:cs="Times New Roman"/>
          <w:color w:val="000000"/>
          <w:kern w:val="0"/>
          <w:sz w:val="24"/>
          <w:szCs w:val="24"/>
          <w:lang w:val="en-US" w:eastAsia="zh-CN" w:bidi="ar"/>
        </w:rPr>
        <w:t>【2021】5号</w:t>
      </w:r>
      <w:r>
        <w:rPr>
          <w:rFonts w:hint="default" w:ascii="Times New Roman" w:hAnsi="Times New Roman" w:eastAsia="宋体" w:cs="Times New Roman"/>
          <w:color w:val="000000"/>
          <w:kern w:val="0"/>
          <w:sz w:val="24"/>
          <w:szCs w:val="24"/>
          <w:lang w:val="zh-CN" w:eastAsia="zh-CN" w:bidi="ar"/>
        </w:rPr>
        <w:t>）中对指标权重的取值，本段在河流指标权重表中加入</w:t>
      </w:r>
      <w:r>
        <w:rPr>
          <w:rFonts w:hint="eastAsia" w:ascii="Times New Roman" w:hAnsi="Times New Roman" w:eastAsia="宋体" w:cs="Times New Roman"/>
          <w:color w:val="000000"/>
          <w:kern w:val="0"/>
          <w:sz w:val="24"/>
          <w:szCs w:val="24"/>
          <w:lang w:val="zh-CN" w:eastAsia="zh-CN" w:bidi="ar"/>
        </w:rPr>
        <w:t>河道</w:t>
      </w:r>
      <w:r>
        <w:rPr>
          <w:rFonts w:hint="default" w:ascii="Times New Roman" w:hAnsi="Times New Roman" w:eastAsia="宋体" w:cs="Times New Roman"/>
          <w:color w:val="000000"/>
          <w:kern w:val="0"/>
          <w:sz w:val="24"/>
          <w:szCs w:val="24"/>
          <w:lang w:val="zh-CN" w:eastAsia="zh-CN" w:bidi="ar"/>
        </w:rPr>
        <w:t>部分指标，具体数值详见下表</w:t>
      </w:r>
    </w:p>
    <w:p>
      <w:pPr>
        <w:pStyle w:val="43"/>
        <w:ind w:left="0" w:leftChars="0" w:firstLine="482" w:firstLineChars="200"/>
        <w:jc w:val="both"/>
        <w:outlineLvl w:val="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表4.3-2                </w:t>
      </w:r>
      <w:r>
        <w:rPr>
          <w:rFonts w:hint="eastAsia" w:cs="Times New Roman"/>
          <w:sz w:val="24"/>
          <w:szCs w:val="24"/>
          <w:lang w:val="en-US" w:eastAsia="zh-CN"/>
        </w:rPr>
        <w:t>大洋</w:t>
      </w:r>
      <w:r>
        <w:rPr>
          <w:rFonts w:hint="eastAsia" w:ascii="Times New Roman" w:hAnsi="Times New Roman" w:cs="Times New Roman"/>
          <w:sz w:val="24"/>
          <w:szCs w:val="24"/>
          <w:lang w:val="en-US" w:eastAsia="zh-CN"/>
        </w:rPr>
        <w:t xml:space="preserve">沟水库健康状况总体评价 </w:t>
      </w:r>
    </w:p>
    <w:tbl>
      <w:tblPr>
        <w:tblStyle w:val="29"/>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577"/>
        <w:gridCol w:w="763"/>
        <w:gridCol w:w="855"/>
        <w:gridCol w:w="3129"/>
        <w:gridCol w:w="576"/>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分类指标</w:t>
            </w:r>
          </w:p>
        </w:tc>
        <w:tc>
          <w:tcPr>
            <w:tcW w:w="1577"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分项指标</w:t>
            </w:r>
          </w:p>
        </w:tc>
        <w:tc>
          <w:tcPr>
            <w:tcW w:w="1618" w:type="dxa"/>
            <w:gridSpan w:val="2"/>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所占权重</w:t>
            </w:r>
          </w:p>
        </w:tc>
        <w:tc>
          <w:tcPr>
            <w:tcW w:w="3129" w:type="dxa"/>
            <w:vMerge w:val="restart"/>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备注</w:t>
            </w:r>
          </w:p>
        </w:tc>
        <w:tc>
          <w:tcPr>
            <w:tcW w:w="576" w:type="dxa"/>
            <w:vMerge w:val="restart"/>
          </w:tcPr>
          <w:p>
            <w:pPr>
              <w:bidi w:val="0"/>
              <w:ind w:left="0" w:leftChars="0" w:firstLine="0" w:firstLineChars="0"/>
              <w:jc w:val="center"/>
              <w:rPr>
                <w:rFonts w:hint="eastAsia" w:eastAsia="宋体"/>
                <w:sz w:val="18"/>
                <w:szCs w:val="18"/>
                <w:lang w:val="en-US" w:eastAsia="zh-CN"/>
              </w:rPr>
            </w:pPr>
            <w:r>
              <w:rPr>
                <w:rFonts w:hint="eastAsia"/>
                <w:sz w:val="18"/>
                <w:szCs w:val="18"/>
                <w:lang w:val="en-US" w:eastAsia="zh-CN"/>
              </w:rPr>
              <w:t>赋分</w:t>
            </w:r>
          </w:p>
        </w:tc>
        <w:tc>
          <w:tcPr>
            <w:tcW w:w="67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763"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囤蓄水库</w:t>
            </w:r>
          </w:p>
        </w:tc>
        <w:tc>
          <w:tcPr>
            <w:tcW w:w="855"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综合利用水库</w:t>
            </w:r>
          </w:p>
        </w:tc>
        <w:tc>
          <w:tcPr>
            <w:tcW w:w="3129"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67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水文水资源</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下泄生态基流满足程度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3129"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“一库一策”或所在河流“一河一策”对水库下泄流量没有明确要求的，可以不评价。</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岸线自然状况</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84</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违规开发利用水域岸线程度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水体整洁程度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水质优劣程度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Ⅰ～Ⅲ类水质比例＜50％，一票否决；（对于水质无明确要求的，Ⅰ～Ⅳ类水质比例＜50％，一票否决）</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水质变化趋势</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default"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水体自净能力</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富营养化状况</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生物</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鱼类保有指数</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对养殖功能为主的水库不参评</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浮游植物密度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0.03</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对养殖功能为主的水库不参评</w:t>
            </w: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外来入侵物种</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0.04</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restart"/>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河湖管理与社会服务功能</w:t>
            </w: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公众满意度</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87.2</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防洪指标</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0.05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50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供水指标</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0.3</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vMerge w:val="continue"/>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1577" w:type="dxa"/>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开发利用现状与规划的符合性</w:t>
            </w:r>
          </w:p>
        </w:tc>
        <w:tc>
          <w:tcPr>
            <w:tcW w:w="763"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0.15</w:t>
            </w:r>
          </w:p>
        </w:tc>
        <w:tc>
          <w:tcPr>
            <w:tcW w:w="85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0.1</w:t>
            </w:r>
          </w:p>
        </w:tc>
        <w:tc>
          <w:tcPr>
            <w:tcW w:w="3129"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576"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100</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tcPr>
          <w:p>
            <w:pPr>
              <w:pStyle w:val="22"/>
              <w:jc w:val="center"/>
              <w:outlineLvl w:val="9"/>
              <w:rPr>
                <w:rFonts w:hint="eastAsia" w:ascii="宋体" w:hAnsi="宋体" w:eastAsia="宋体" w:cs="宋体"/>
                <w:b w:val="0"/>
                <w:bCs w:val="0"/>
                <w:color w:val="auto"/>
                <w:kern w:val="2"/>
                <w:sz w:val="18"/>
                <w:szCs w:val="18"/>
                <w:vertAlign w:val="baseline"/>
                <w:lang w:val="en-US" w:eastAsia="zh-CN"/>
              </w:rPr>
            </w:pPr>
          </w:p>
        </w:tc>
        <w:tc>
          <w:tcPr>
            <w:tcW w:w="6900" w:type="dxa"/>
            <w:gridSpan w:val="5"/>
          </w:tcPr>
          <w:p>
            <w:pPr>
              <w:pStyle w:val="22"/>
              <w:ind w:left="0" w:leftChars="0" w:firstLine="0" w:firstLineChars="0"/>
              <w:jc w:val="center"/>
              <w:outlineLvl w:val="9"/>
              <w:rPr>
                <w:rFonts w:hint="eastAsia"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合计</w:t>
            </w:r>
          </w:p>
        </w:tc>
        <w:tc>
          <w:tcPr>
            <w:tcW w:w="675" w:type="dxa"/>
          </w:tcPr>
          <w:p>
            <w:pPr>
              <w:pStyle w:val="22"/>
              <w:ind w:left="0" w:leftChars="0" w:firstLine="0" w:firstLineChars="0"/>
              <w:jc w:val="center"/>
              <w:outlineLvl w:val="9"/>
              <w:rPr>
                <w:rFonts w:hint="default" w:ascii="宋体" w:hAnsi="宋体" w:eastAsia="宋体" w:cs="宋体"/>
                <w:b w:val="0"/>
                <w:bCs w:val="0"/>
                <w:color w:val="auto"/>
                <w:kern w:val="2"/>
                <w:sz w:val="18"/>
                <w:szCs w:val="18"/>
                <w:vertAlign w:val="baseline"/>
                <w:lang w:val="en-US" w:eastAsia="zh-CN"/>
              </w:rPr>
            </w:pPr>
            <w:r>
              <w:rPr>
                <w:rFonts w:hint="eastAsia" w:ascii="宋体" w:hAnsi="宋体" w:eastAsia="宋体" w:cs="宋体"/>
                <w:b w:val="0"/>
                <w:bCs w:val="0"/>
                <w:color w:val="auto"/>
                <w:kern w:val="2"/>
                <w:sz w:val="18"/>
                <w:szCs w:val="18"/>
                <w:vertAlign w:val="baseline"/>
                <w:lang w:val="en-US" w:eastAsia="zh-CN"/>
              </w:rPr>
              <w:t>80.42</w:t>
            </w:r>
          </w:p>
        </w:tc>
      </w:tr>
    </w:tbl>
    <w:p>
      <w:pPr>
        <w:pStyle w:val="22"/>
        <w:ind w:left="0" w:leftChars="0" w:firstLine="436" w:firstLineChars="200"/>
        <w:jc w:val="both"/>
        <w:outlineLvl w:val="9"/>
        <w:rPr>
          <w:rFonts w:hint="default" w:ascii="Times New Roman" w:hAnsi="Times New Roman" w:eastAsia="宋体" w:cs="Times New Roman"/>
          <w:spacing w:val="-11"/>
          <w:kern w:val="2"/>
          <w:sz w:val="24"/>
          <w:szCs w:val="24"/>
          <w:lang w:val="en-US" w:eastAsia="zh-CN" w:bidi="zh-CN"/>
        </w:rPr>
      </w:pPr>
    </w:p>
    <w:p>
      <w:pPr>
        <w:pStyle w:val="22"/>
        <w:ind w:left="0" w:leftChars="0" w:firstLine="0" w:firstLineChars="0"/>
        <w:jc w:val="both"/>
        <w:outlineLvl w:val="9"/>
        <w:rPr>
          <w:rFonts w:hint="eastAsia" w:ascii="宋体" w:hAnsi="宋体" w:eastAsia="宋体" w:cs="宋体"/>
          <w:b/>
          <w:bCs/>
          <w:color w:val="auto"/>
          <w:kern w:val="2"/>
          <w:sz w:val="24"/>
          <w:szCs w:val="24"/>
          <w:lang w:val="en-US" w:eastAsia="zh-CN"/>
        </w:rPr>
      </w:pPr>
    </w:p>
    <w:p>
      <w:pPr>
        <w:pStyle w:val="43"/>
        <w:ind w:left="0" w:leftChars="0" w:firstLine="482" w:firstLineChars="200"/>
        <w:jc w:val="both"/>
        <w:outlineLvl w:val="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表4.4-3                  河湖健康评价分级表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894"/>
        <w:gridCol w:w="1895"/>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等级</w:t>
            </w:r>
          </w:p>
        </w:tc>
        <w:tc>
          <w:tcPr>
            <w:tcW w:w="2223" w:type="pct"/>
            <w:gridSpan w:val="2"/>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颜色</w: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赋分范围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非常健康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蓝</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4624" behindDoc="0" locked="0" layoutInCell="1" allowOverlap="1">
                      <wp:simplePos x="0" y="0"/>
                      <wp:positionH relativeFrom="column">
                        <wp:posOffset>429895</wp:posOffset>
                      </wp:positionH>
                      <wp:positionV relativeFrom="paragraph">
                        <wp:posOffset>48260</wp:posOffset>
                      </wp:positionV>
                      <wp:extent cx="179705" cy="190500"/>
                      <wp:effectExtent l="6985" t="6350" r="22860" b="12700"/>
                      <wp:wrapNone/>
                      <wp:docPr id="47" name="六边形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00B0F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85pt;margin-top:3.8pt;height:15pt;width:14.15pt;z-index:251674624;mso-width-relative:page;mso-height-relative:page;" fillcolor="#00B0F0" filled="t" stroked="t" coordsize="21600,21600" o:gfxdata="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8E5PWAAAABgEAAA8AAAAAAAAAAQAgAAAAIgAAAGRycy9kb3ducmV2&#10;LnhtbFBLAQIUABQAAAAIAIdO4kC7qYma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90≤HI≤100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绿</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5648" behindDoc="0" locked="0" layoutInCell="1" allowOverlap="1">
                      <wp:simplePos x="0" y="0"/>
                      <wp:positionH relativeFrom="column">
                        <wp:posOffset>436245</wp:posOffset>
                      </wp:positionH>
                      <wp:positionV relativeFrom="paragraph">
                        <wp:posOffset>40005</wp:posOffset>
                      </wp:positionV>
                      <wp:extent cx="179705" cy="190500"/>
                      <wp:effectExtent l="6985" t="6350" r="22860" b="12700"/>
                      <wp:wrapNone/>
                      <wp:docPr id="48" name="六边形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92D05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4.35pt;margin-top:3.15pt;height:15pt;width:14.15pt;z-index:251675648;mso-width-relative:page;mso-height-relative:page;" fillcolor="#92D050" filled="t" stroked="t" coordsize="21600,21600" o:gfxdata="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kxf9YAAAAGAQAADwAAAAAAAAABACAAAAAiAAAAZHJzL2Rvd25yZXYu&#10;eG1sUEsBAhQAFAAAAAgAh07iQDkVNtNvAgAA5gQAAA4AAAAAAAAAAQAgAAAAJQEAAGRycy9lMm9E&#10;b2MueG1sUEsFBgAAAAAGAAYAWQEAAAYGA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75≤HI＜90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亚健康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黄</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6672" behindDoc="0" locked="0" layoutInCell="1" allowOverlap="1">
                      <wp:simplePos x="0" y="0"/>
                      <wp:positionH relativeFrom="column">
                        <wp:posOffset>425450</wp:posOffset>
                      </wp:positionH>
                      <wp:positionV relativeFrom="paragraph">
                        <wp:posOffset>20320</wp:posOffset>
                      </wp:positionV>
                      <wp:extent cx="190500" cy="190500"/>
                      <wp:effectExtent l="6985" t="6350" r="12065" b="12700"/>
                      <wp:wrapNone/>
                      <wp:docPr id="49" name="六边形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FF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1.6pt;height:15pt;width:15pt;z-index:251676672;mso-width-relative:page;mso-height-relative:page;" fillcolor="#FFFF00" filled="t" stroked="t" coordsize="21600,21600" o:gfxdata="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mxPD0wAAAAYBAAAPAAAAAAAAAAEAIAAAACIAAABkcnMvZG93bnJldi54bWxQ&#10;SwECFAAUAAAACACHTuJAmDDSWm4CAADmBAAADgAAAAAAAAABACAAAAAiAQAAZHJzL2Uyb0RvYy54&#10;bWxQSwUGAAAAAAYABgBZAQAAAg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60≤HI＜75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不健康</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橙</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7696" behindDoc="0" locked="0" layoutInCell="1" allowOverlap="1">
                      <wp:simplePos x="0" y="0"/>
                      <wp:positionH relativeFrom="column">
                        <wp:posOffset>425450</wp:posOffset>
                      </wp:positionH>
                      <wp:positionV relativeFrom="paragraph">
                        <wp:posOffset>30480</wp:posOffset>
                      </wp:positionV>
                      <wp:extent cx="190500" cy="190500"/>
                      <wp:effectExtent l="6985" t="6350" r="12065" b="12700"/>
                      <wp:wrapNone/>
                      <wp:docPr id="50" name="六边形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C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4pt;height:15pt;width:15pt;z-index:251677696;mso-width-relative:page;mso-height-relative:page;" fillcolor="#FFC000" filled="t" stroked="t" coordsize="21600,21600" o:gfxdata="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xkCUXdEAAAAGAQAADwAAAAAAAAABACAAAAAiAAAAZHJzL2Rvd25yZXYueG1sUEsB&#10;AhQAFAAAAAgAh07iQMH7NUxuAgAA5gQAAA4AAAAAAAAAAQAgAAAAIAEAAGRycy9lMm9Eb2MueG1s&#10;UEsFBgAAAAAGAAYAWQEAAAAGA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40≤HI＜60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劣态</w:t>
            </w:r>
          </w:p>
        </w:tc>
        <w:tc>
          <w:tcPr>
            <w:tcW w:w="1111"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红</w:t>
            </w:r>
          </w:p>
        </w:tc>
        <w:tc>
          <w:tcPr>
            <w:tcW w:w="1112" w:type="pct"/>
            <w:noWrap w:val="0"/>
            <w:vAlign w:val="center"/>
          </w:tcPr>
          <w:p>
            <w:pPr>
              <w:pStyle w:val="46"/>
              <w:adjustRightInd w:val="0"/>
              <w:snapToGrid w:val="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mc:AlternateContent>
                <mc:Choice Requires="wps">
                  <w:drawing>
                    <wp:anchor distT="0" distB="0" distL="114300" distR="114300" simplePos="0" relativeHeight="251678720" behindDoc="0" locked="0" layoutInCell="1" allowOverlap="1">
                      <wp:simplePos x="0" y="0"/>
                      <wp:positionH relativeFrom="column">
                        <wp:posOffset>425450</wp:posOffset>
                      </wp:positionH>
                      <wp:positionV relativeFrom="paragraph">
                        <wp:posOffset>34925</wp:posOffset>
                      </wp:positionV>
                      <wp:extent cx="190500" cy="194945"/>
                      <wp:effectExtent l="6985" t="6350" r="12065" b="8255"/>
                      <wp:wrapNone/>
                      <wp:docPr id="51" name="六边形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4945"/>
                              </a:xfrm>
                              <a:prstGeom prst="hexagon">
                                <a:avLst>
                                  <a:gd name="adj" fmla="val 25000"/>
                                  <a:gd name="vf" fmla="val 115470"/>
                                </a:avLst>
                              </a:prstGeom>
                              <a:solidFill>
                                <a:srgbClr val="FF0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75pt;height:15.35pt;width:15pt;z-index:251678720;mso-width-relative:page;mso-height-relative:page;" fillcolor="#FF0000" filled="t" stroked="t" coordsize="21600,21600" o:gfxdata="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HvsRE1wAAAAYBAAAPAAAAAAAAAAEAIAAAACIAAABkcnMvZG93bnJl&#10;di54bWxQSwECFAAUAAAACACHTuJAXhARBXACAADmBAAADgAAAAAAAAABACAAAAAmAQAAZHJzL2Uy&#10;b0RvYy54bWxQSwUGAAAAAAYABgBZAQAACA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ind w:left="0" w:leftChars="0" w:firstLine="0" w:firstLineChars="0"/>
              <w:jc w:val="center"/>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0≤HI＜40</w:t>
            </w:r>
          </w:p>
        </w:tc>
      </w:tr>
    </w:tbl>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碾子沟水库80.42属于75≤HI＜90健康综合评价结论为大洋沟水库健康。</w:t>
      </w:r>
    </w:p>
    <w:p>
      <w:pPr>
        <w:pStyle w:val="22"/>
        <w:outlineLvl w:val="1"/>
        <w:rPr>
          <w:rFonts w:hint="eastAsia" w:ascii="宋体" w:hAnsi="宋体" w:eastAsia="宋体" w:cs="宋体"/>
          <w:b/>
          <w:bCs/>
          <w:sz w:val="24"/>
          <w:szCs w:val="24"/>
          <w:lang w:val="en-US" w:eastAsia="zh-CN"/>
        </w:rPr>
      </w:pPr>
      <w:bookmarkStart w:id="53" w:name="_Toc20287"/>
      <w:bookmarkStart w:id="54" w:name="_Toc20119"/>
      <w:r>
        <w:rPr>
          <w:rFonts w:hint="eastAsia" w:ascii="宋体" w:hAnsi="宋体" w:eastAsia="宋体" w:cs="宋体"/>
          <w:b/>
          <w:bCs/>
          <w:sz w:val="24"/>
          <w:szCs w:val="24"/>
          <w:lang w:val="en-US" w:eastAsia="zh-CN"/>
        </w:rPr>
        <w:t>4.5 沙溪浩健康综合评价结论</w:t>
      </w:r>
      <w:bookmarkEnd w:id="53"/>
      <w:bookmarkEnd w:id="54"/>
      <w:r>
        <w:rPr>
          <w:rFonts w:hint="eastAsia" w:ascii="宋体" w:hAnsi="宋体" w:eastAsia="宋体" w:cs="宋体"/>
          <w:b/>
          <w:bCs/>
          <w:sz w:val="24"/>
          <w:szCs w:val="24"/>
          <w:lang w:val="en-US" w:eastAsia="zh-CN"/>
        </w:rPr>
        <w:t xml:space="preserve"> </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①沙溪浩天然河道</w:t>
      </w:r>
      <w:r>
        <w:rPr>
          <w:rFonts w:hint="eastAsia" w:cs="Times New Roman"/>
          <w:color w:val="000000"/>
          <w:kern w:val="0"/>
          <w:sz w:val="24"/>
          <w:szCs w:val="24"/>
          <w:lang w:val="en-US" w:eastAsia="zh-CN" w:bidi="ar"/>
        </w:rPr>
        <w:t>84.46</w:t>
      </w:r>
      <w:r>
        <w:rPr>
          <w:rFonts w:hint="eastAsia" w:ascii="Times New Roman" w:hAnsi="Times New Roman" w:eastAsia="宋体" w:cs="Times New Roman"/>
          <w:color w:val="000000"/>
          <w:kern w:val="0"/>
          <w:sz w:val="24"/>
          <w:szCs w:val="24"/>
          <w:lang w:val="en-US" w:eastAsia="zh-CN" w:bidi="ar"/>
        </w:rPr>
        <w:t>属于</w:t>
      </w:r>
      <w:r>
        <w:rPr>
          <w:rFonts w:hint="default" w:ascii="Times New Roman" w:hAnsi="Times New Roman" w:eastAsia="宋体" w:cs="Times New Roman"/>
          <w:color w:val="000000"/>
          <w:kern w:val="0"/>
          <w:sz w:val="24"/>
          <w:szCs w:val="24"/>
          <w:lang w:val="en-US" w:eastAsia="zh-CN" w:bidi="ar"/>
        </w:rPr>
        <w:t>7</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≤HI＜</w:t>
      </w:r>
      <w:r>
        <w:rPr>
          <w:rFonts w:hint="eastAsia" w:ascii="Times New Roman" w:hAnsi="Times New Roman" w:eastAsia="宋体" w:cs="Times New Roman"/>
          <w:color w:val="000000"/>
          <w:kern w:val="0"/>
          <w:sz w:val="24"/>
          <w:szCs w:val="24"/>
          <w:lang w:val="en-US" w:eastAsia="zh-CN" w:bidi="ar"/>
        </w:rPr>
        <w:t>90健康综合评价结论为</w:t>
      </w:r>
      <w:r>
        <w:rPr>
          <w:rFonts w:hint="eastAsia" w:cs="Times New Roman"/>
          <w:color w:val="000000"/>
          <w:kern w:val="0"/>
          <w:sz w:val="24"/>
          <w:szCs w:val="24"/>
          <w:lang w:val="en-US" w:eastAsia="zh-CN" w:bidi="ar"/>
        </w:rPr>
        <w:t>沙溪浩</w:t>
      </w:r>
      <w:r>
        <w:rPr>
          <w:rFonts w:hint="eastAsia" w:ascii="Times New Roman" w:hAnsi="Times New Roman" w:eastAsia="宋体" w:cs="Times New Roman"/>
          <w:color w:val="000000"/>
          <w:kern w:val="0"/>
          <w:sz w:val="24"/>
          <w:szCs w:val="24"/>
          <w:lang w:val="en-US" w:eastAsia="zh-CN" w:bidi="ar"/>
        </w:rPr>
        <w:t>天然河道健康。</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②碾子沟水库77.97属于</w:t>
      </w:r>
      <w:r>
        <w:rPr>
          <w:rFonts w:hint="default" w:ascii="Times New Roman" w:hAnsi="Times New Roman" w:eastAsia="宋体" w:cs="Times New Roman"/>
          <w:color w:val="000000"/>
          <w:kern w:val="0"/>
          <w:sz w:val="24"/>
          <w:szCs w:val="24"/>
          <w:lang w:val="en-US" w:eastAsia="zh-CN" w:bidi="ar"/>
        </w:rPr>
        <w:t>70≤HI＜85</w:t>
      </w:r>
      <w:r>
        <w:rPr>
          <w:rFonts w:hint="eastAsia" w:ascii="Times New Roman" w:hAnsi="Times New Roman" w:eastAsia="宋体" w:cs="Times New Roman"/>
          <w:color w:val="000000"/>
          <w:kern w:val="0"/>
          <w:sz w:val="24"/>
          <w:szCs w:val="24"/>
          <w:lang w:val="en-US" w:eastAsia="zh-CN" w:bidi="ar"/>
        </w:rPr>
        <w:t>健康综合评价结论为</w:t>
      </w:r>
      <w:r>
        <w:rPr>
          <w:rFonts w:hint="eastAsia" w:cs="Times New Roman"/>
          <w:color w:val="000000"/>
          <w:kern w:val="0"/>
          <w:sz w:val="24"/>
          <w:szCs w:val="24"/>
          <w:lang w:val="en-US" w:eastAsia="zh-CN" w:bidi="ar"/>
        </w:rPr>
        <w:t>碾子沟</w:t>
      </w:r>
      <w:r>
        <w:rPr>
          <w:rFonts w:hint="eastAsia" w:ascii="Times New Roman" w:hAnsi="Times New Roman" w:eastAsia="宋体" w:cs="Times New Roman"/>
          <w:color w:val="000000"/>
          <w:kern w:val="0"/>
          <w:sz w:val="24"/>
          <w:szCs w:val="24"/>
          <w:lang w:val="en-US" w:eastAsia="zh-CN" w:bidi="ar"/>
        </w:rPr>
        <w:t>水库健康。</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③大洋沟水库80.42属于</w:t>
      </w:r>
      <w:r>
        <w:rPr>
          <w:rFonts w:hint="default" w:ascii="Times New Roman" w:hAnsi="Times New Roman" w:eastAsia="宋体" w:cs="Times New Roman"/>
          <w:color w:val="000000"/>
          <w:kern w:val="0"/>
          <w:sz w:val="24"/>
          <w:szCs w:val="24"/>
          <w:lang w:val="en-US" w:eastAsia="zh-CN" w:bidi="ar"/>
        </w:rPr>
        <w:t>70≤HI＜85</w:t>
      </w:r>
      <w:r>
        <w:rPr>
          <w:rFonts w:hint="eastAsia" w:ascii="Times New Roman" w:hAnsi="Times New Roman" w:eastAsia="宋体" w:cs="Times New Roman"/>
          <w:color w:val="000000"/>
          <w:kern w:val="0"/>
          <w:sz w:val="24"/>
          <w:szCs w:val="24"/>
          <w:lang w:val="en-US" w:eastAsia="zh-CN" w:bidi="ar"/>
        </w:rPr>
        <w:t>健康综合评价结论为</w:t>
      </w:r>
      <w:r>
        <w:rPr>
          <w:rFonts w:hint="eastAsia" w:cs="Times New Roman"/>
          <w:color w:val="000000"/>
          <w:kern w:val="0"/>
          <w:sz w:val="24"/>
          <w:szCs w:val="24"/>
          <w:lang w:val="en-US" w:eastAsia="zh-CN" w:bidi="ar"/>
        </w:rPr>
        <w:t>大洋沟</w:t>
      </w:r>
      <w:r>
        <w:rPr>
          <w:rFonts w:hint="eastAsia" w:ascii="Times New Roman" w:hAnsi="Times New Roman" w:eastAsia="宋体" w:cs="Times New Roman"/>
          <w:color w:val="000000"/>
          <w:kern w:val="0"/>
          <w:sz w:val="24"/>
          <w:szCs w:val="24"/>
          <w:lang w:val="en-US" w:eastAsia="zh-CN" w:bidi="ar"/>
        </w:rPr>
        <w:t>水库健康。</w:t>
      </w:r>
    </w:p>
    <w:p>
      <w:pPr>
        <w:bidi w:val="0"/>
        <w:rPr>
          <w:rFonts w:hint="default" w:ascii="Times New Roman" w:hAnsi="Times New Roman" w:eastAsia="宋体" w:cs="Times New Roman"/>
          <w:spacing w:val="-11"/>
          <w:kern w:val="2"/>
          <w:sz w:val="24"/>
          <w:szCs w:val="24"/>
          <w:lang w:val="en-US" w:eastAsia="zh-CN" w:bidi="zh-CN"/>
        </w:rPr>
      </w:pPr>
      <w:r>
        <w:rPr>
          <w:rFonts w:hint="eastAsia" w:ascii="Times New Roman" w:hAnsi="Times New Roman" w:eastAsia="宋体" w:cs="Times New Roman"/>
          <w:b/>
          <w:bCs/>
          <w:color w:val="000000"/>
          <w:kern w:val="0"/>
          <w:sz w:val="24"/>
          <w:szCs w:val="24"/>
          <w:lang w:val="en-US" w:eastAsia="zh-CN" w:bidi="ar"/>
        </w:rPr>
        <w:t>综上所述，</w:t>
      </w:r>
      <w:r>
        <w:rPr>
          <w:rFonts w:hint="eastAsia" w:cs="Times New Roman"/>
          <w:b/>
          <w:bCs/>
          <w:color w:val="000000"/>
          <w:kern w:val="0"/>
          <w:sz w:val="24"/>
          <w:szCs w:val="24"/>
          <w:lang w:val="en-US" w:eastAsia="zh-CN" w:bidi="ar"/>
        </w:rPr>
        <w:t>苍溪</w:t>
      </w:r>
      <w:r>
        <w:rPr>
          <w:rFonts w:hint="eastAsia" w:ascii="Times New Roman" w:hAnsi="Times New Roman" w:eastAsia="宋体" w:cs="Times New Roman"/>
          <w:b/>
          <w:bCs/>
          <w:color w:val="000000"/>
          <w:kern w:val="0"/>
          <w:sz w:val="24"/>
          <w:szCs w:val="24"/>
          <w:lang w:val="en-US" w:eastAsia="zh-CN" w:bidi="ar"/>
        </w:rPr>
        <w:t>县</w:t>
      </w:r>
      <w:r>
        <w:rPr>
          <w:rFonts w:hint="eastAsia" w:cs="Times New Roman"/>
          <w:b/>
          <w:bCs/>
          <w:color w:val="000000"/>
          <w:kern w:val="0"/>
          <w:sz w:val="24"/>
          <w:szCs w:val="24"/>
          <w:lang w:val="en-US" w:eastAsia="zh-CN" w:bidi="ar"/>
        </w:rPr>
        <w:t>沙溪浩</w:t>
      </w:r>
      <w:r>
        <w:rPr>
          <w:rFonts w:hint="eastAsia" w:ascii="Times New Roman" w:hAnsi="Times New Roman" w:eastAsia="宋体" w:cs="Times New Roman"/>
          <w:b/>
          <w:bCs/>
          <w:color w:val="000000"/>
          <w:kern w:val="0"/>
          <w:sz w:val="24"/>
          <w:szCs w:val="24"/>
          <w:lang w:val="en-US" w:eastAsia="zh-CN" w:bidi="ar"/>
        </w:rPr>
        <w:t>河湖健康评价综合评定为“健康”。</w:t>
      </w:r>
    </w:p>
    <w:p>
      <w:pPr>
        <w:pStyle w:val="22"/>
        <w:ind w:left="0" w:leftChars="0" w:firstLine="436" w:firstLineChars="200"/>
        <w:jc w:val="both"/>
        <w:outlineLvl w:val="9"/>
        <w:rPr>
          <w:rFonts w:hint="default" w:ascii="Times New Roman" w:hAnsi="Times New Roman" w:eastAsia="宋体" w:cs="Times New Roman"/>
          <w:spacing w:val="-11"/>
          <w:kern w:val="2"/>
          <w:sz w:val="24"/>
          <w:szCs w:val="24"/>
          <w:lang w:val="en-US" w:eastAsia="zh-CN" w:bidi="zh-CN"/>
        </w:rPr>
      </w:pPr>
    </w:p>
    <w:p>
      <w:pPr>
        <w:pStyle w:val="22"/>
        <w:ind w:left="0" w:leftChars="0" w:firstLine="436" w:firstLineChars="200"/>
        <w:jc w:val="both"/>
        <w:outlineLvl w:val="9"/>
        <w:rPr>
          <w:rFonts w:hint="default" w:ascii="Times New Roman" w:hAnsi="Times New Roman" w:eastAsia="宋体" w:cs="Times New Roman"/>
          <w:spacing w:val="-11"/>
          <w:kern w:val="2"/>
          <w:sz w:val="24"/>
          <w:szCs w:val="24"/>
          <w:lang w:val="en-US" w:eastAsia="zh-CN" w:bidi="zh-CN"/>
        </w:rPr>
      </w:pPr>
    </w:p>
    <w:p>
      <w:pPr>
        <w:pStyle w:val="42"/>
        <w:numPr>
          <w:ilvl w:val="0"/>
          <w:numId w:val="0"/>
        </w:numPr>
        <w:adjustRightInd/>
        <w:spacing w:line="520" w:lineRule="exact"/>
        <w:ind w:leftChars="0"/>
        <w:jc w:val="center"/>
        <w:outlineLvl w:val="0"/>
        <w:rPr>
          <w:rFonts w:hint="eastAsia" w:ascii="宋体" w:hAnsi="宋体" w:eastAsia="宋体" w:cs="宋体"/>
          <w:b/>
          <w:bCs w:val="0"/>
          <w:color w:val="auto"/>
          <w:sz w:val="36"/>
          <w:szCs w:val="36"/>
        </w:rPr>
      </w:pPr>
      <w:bookmarkStart w:id="55" w:name="_Toc27419"/>
      <w:r>
        <w:rPr>
          <w:rFonts w:hint="eastAsia" w:ascii="宋体" w:hAnsi="宋体" w:eastAsia="宋体" w:cs="宋体"/>
          <w:b/>
          <w:bCs w:val="0"/>
          <w:color w:val="auto"/>
          <w:sz w:val="36"/>
          <w:szCs w:val="36"/>
          <w:lang w:eastAsia="zh-CN"/>
        </w:rPr>
        <w:t>第五章</w:t>
      </w:r>
      <w:r>
        <w:rPr>
          <w:rFonts w:hint="eastAsia" w:ascii="宋体" w:hAnsi="宋体" w:eastAsia="宋体" w:cs="宋体"/>
          <w:b/>
          <w:bCs w:val="0"/>
          <w:color w:val="auto"/>
          <w:sz w:val="36"/>
          <w:szCs w:val="36"/>
          <w:lang w:val="en-US" w:eastAsia="zh-CN"/>
        </w:rPr>
        <w:t xml:space="preserve"> </w:t>
      </w:r>
      <w:r>
        <w:rPr>
          <w:rFonts w:hint="eastAsia" w:ascii="宋体" w:hAnsi="宋体" w:eastAsia="宋体" w:cs="宋体"/>
          <w:b/>
          <w:bCs w:val="0"/>
          <w:color w:val="auto"/>
          <w:sz w:val="36"/>
          <w:szCs w:val="36"/>
          <w:lang w:eastAsia="zh-CN"/>
        </w:rPr>
        <w:t>河湖健康问题分析与保护对策</w:t>
      </w:r>
      <w:bookmarkEnd w:id="55"/>
    </w:p>
    <w:p>
      <w:pPr>
        <w:numPr>
          <w:ilvl w:val="0"/>
          <w:numId w:val="0"/>
        </w:numPr>
        <w:rPr>
          <w:rFonts w:hint="eastAsia" w:ascii="宋体" w:hAnsi="宋体" w:eastAsia="宋体" w:cs="宋体"/>
          <w:sz w:val="28"/>
          <w:szCs w:val="28"/>
          <w:lang w:val="en-US" w:eastAsia="zh-CN"/>
        </w:rPr>
      </w:pPr>
    </w:p>
    <w:p>
      <w:pPr>
        <w:pStyle w:val="22"/>
        <w:outlineLvl w:val="1"/>
        <w:rPr>
          <w:rFonts w:hint="eastAsia" w:ascii="宋体" w:hAnsi="宋体" w:eastAsia="宋体" w:cs="宋体"/>
          <w:b/>
          <w:bCs/>
          <w:sz w:val="24"/>
          <w:szCs w:val="24"/>
          <w:lang w:val="en-US" w:eastAsia="zh-CN"/>
        </w:rPr>
      </w:pPr>
      <w:bookmarkStart w:id="56" w:name="_Toc19036"/>
      <w:r>
        <w:rPr>
          <w:rFonts w:hint="eastAsia" w:ascii="宋体" w:hAnsi="宋体" w:eastAsia="宋体" w:cs="宋体"/>
          <w:b/>
          <w:bCs/>
          <w:sz w:val="24"/>
          <w:szCs w:val="24"/>
          <w:lang w:val="en-US" w:eastAsia="zh-CN"/>
        </w:rPr>
        <w:t>5.1 健康状况总体评价</w:t>
      </w:r>
      <w:bookmarkEnd w:id="56"/>
    </w:p>
    <w:p>
      <w:pPr>
        <w:bidi w:val="0"/>
        <w:rPr>
          <w:rFonts w:hint="eastAsia"/>
          <w:lang w:val="en-US" w:eastAsia="zh-CN"/>
        </w:rPr>
      </w:pPr>
      <w:r>
        <w:rPr>
          <w:rFonts w:hint="default" w:ascii="Times New Roman" w:hAnsi="Times New Roman" w:eastAsia="宋体" w:cs="Times New Roman"/>
          <w:color w:val="000000"/>
          <w:kern w:val="0"/>
          <w:sz w:val="24"/>
          <w:szCs w:val="24"/>
          <w:lang w:val="en-US" w:eastAsia="zh-CN" w:bidi="ar"/>
        </w:rPr>
        <w:t xml:space="preserve">沙溪浩自然河流健康评价总体综合得分为 </w:t>
      </w:r>
      <w:r>
        <w:rPr>
          <w:rFonts w:hint="eastAsia" w:cs="Times New Roman"/>
          <w:color w:val="000000"/>
          <w:kern w:val="0"/>
          <w:sz w:val="24"/>
          <w:szCs w:val="24"/>
          <w:lang w:val="en-US" w:eastAsia="zh-CN" w:bidi="ar"/>
        </w:rPr>
        <w:t>84.46</w:t>
      </w:r>
      <w:r>
        <w:rPr>
          <w:rFonts w:hint="default" w:ascii="Times New Roman" w:hAnsi="Times New Roman" w:eastAsia="宋体" w:cs="Times New Roman"/>
          <w:color w:val="000000"/>
          <w:kern w:val="0"/>
          <w:sz w:val="24"/>
          <w:szCs w:val="24"/>
          <w:lang w:val="en-US" w:eastAsia="zh-CN" w:bidi="ar"/>
        </w:rPr>
        <w:t xml:space="preserve"> 分；碾子沟水库健康评价得分7</w:t>
      </w:r>
      <w:r>
        <w:rPr>
          <w:rFonts w:hint="default" w:ascii="Times New Roman" w:hAnsi="Times New Roman" w:cs="Times New Roman"/>
          <w:color w:val="000000"/>
          <w:kern w:val="0"/>
          <w:sz w:val="24"/>
          <w:szCs w:val="24"/>
          <w:lang w:val="en-US" w:eastAsia="zh-CN" w:bidi="ar"/>
        </w:rPr>
        <w:t>7.17</w:t>
      </w:r>
      <w:r>
        <w:rPr>
          <w:rFonts w:hint="default" w:ascii="Times New Roman" w:hAnsi="Times New Roman" w:eastAsia="宋体" w:cs="Times New Roman"/>
          <w:color w:val="000000"/>
          <w:kern w:val="0"/>
          <w:sz w:val="24"/>
          <w:szCs w:val="24"/>
          <w:lang w:val="en-US" w:eastAsia="zh-CN" w:bidi="ar"/>
        </w:rPr>
        <w:t>；大洋沟水库健康评价得分7</w:t>
      </w:r>
      <w:r>
        <w:rPr>
          <w:rFonts w:hint="default" w:ascii="Times New Roman" w:hAnsi="Times New Roman" w:cs="Times New Roman"/>
          <w:color w:val="000000"/>
          <w:kern w:val="0"/>
          <w:sz w:val="24"/>
          <w:szCs w:val="24"/>
          <w:lang w:val="en-US" w:eastAsia="zh-CN" w:bidi="ar"/>
        </w:rPr>
        <w:t>9.62</w:t>
      </w:r>
      <w:r>
        <w:rPr>
          <w:rFonts w:hint="default" w:ascii="Times New Roman" w:hAnsi="Times New Roman" w:eastAsia="宋体" w:cs="Times New Roman"/>
          <w:color w:val="000000"/>
          <w:kern w:val="0"/>
          <w:sz w:val="24"/>
          <w:szCs w:val="24"/>
          <w:lang w:val="en-US" w:eastAsia="zh-CN" w:bidi="ar"/>
        </w:rPr>
        <w:t>。根据综合评价结果分析，沙溪浩在“水质”、“生河湖管理与社会服务功能”以及“水文水资源”这三个方面表现较好。河道水质较好，</w:t>
      </w:r>
      <w:r>
        <w:rPr>
          <w:rFonts w:hint="default" w:ascii="Times New Roman" w:hAnsi="Times New Roman" w:cs="Times New Roman"/>
          <w:sz w:val="24"/>
          <w:szCs w:val="24"/>
          <w:lang w:val="en-US" w:eastAsia="zh-CN"/>
        </w:rPr>
        <w:t>水质</w:t>
      </w:r>
      <w:r>
        <w:rPr>
          <w:rFonts w:hint="default" w:ascii="Times New Roman" w:hAnsi="Times New Roman" w:eastAsia="宋体" w:cs="Times New Roman"/>
          <w:color w:val="000000"/>
          <w:kern w:val="0"/>
          <w:sz w:val="24"/>
          <w:szCs w:val="24"/>
          <w:lang w:val="en-US" w:eastAsia="zh-CN" w:bidi="ar"/>
        </w:rPr>
        <w:t>类别基本保持在</w:t>
      </w:r>
      <w:r>
        <w:rPr>
          <w:rFonts w:hint="default" w:ascii="Times New Roman" w:hAnsi="Times New Roman" w:eastAsia="宋体" w:cs="Times New Roman"/>
          <w:b w:val="0"/>
          <w:bCs w:val="0"/>
          <w:kern w:val="0"/>
          <w:sz w:val="24"/>
          <w:szCs w:val="24"/>
          <w:lang w:val="en-US" w:eastAsia="zh-CN" w:bidi="ar-SA"/>
        </w:rPr>
        <w:t>Ⅲ</w:t>
      </w:r>
      <w:r>
        <w:rPr>
          <w:rFonts w:hint="default" w:ascii="Times New Roman" w:hAnsi="Times New Roman" w:eastAsia="宋体" w:cs="Times New Roman"/>
          <w:color w:val="000000"/>
          <w:kern w:val="0"/>
          <w:sz w:val="24"/>
          <w:szCs w:val="24"/>
          <w:lang w:val="en-US" w:eastAsia="zh-CN" w:bidi="ar"/>
        </w:rPr>
        <w:t>类及以上。沙溪浩河流上</w:t>
      </w:r>
      <w:r>
        <w:rPr>
          <w:rFonts w:hint="default" w:ascii="Times New Roman" w:hAnsi="Times New Roman" w:eastAsia="宋体" w:cs="Times New Roman"/>
          <w:spacing w:val="-4"/>
          <w:sz w:val="24"/>
          <w:szCs w:val="24"/>
          <w:lang w:eastAsia="zh-CN"/>
        </w:rPr>
        <w:t>不存在已建堤防</w:t>
      </w:r>
      <w:r>
        <w:rPr>
          <w:rFonts w:hint="default" w:ascii="Times New Roman" w:hAnsi="Times New Roman" w:eastAsia="宋体" w:cs="Times New Roman"/>
          <w:color w:val="000000"/>
          <w:kern w:val="0"/>
          <w:sz w:val="24"/>
          <w:szCs w:val="24"/>
          <w:lang w:val="en-US" w:eastAsia="zh-CN" w:bidi="ar"/>
        </w:rPr>
        <w:t>，防洪工程较差。公众满意度良好。“水文水资源”准则中水文水资源开发利用和生态用水满足程度良好，流域水资源开发利用率较低，河道流量能够满足生态用水要求。在“生物”准则方面河道有1—2种外来水生动植物，河道生态环境健康较好。“物理结构”层得较低，主要是</w:t>
      </w:r>
      <w:r>
        <w:rPr>
          <w:rFonts w:hint="default" w:ascii="Times New Roman" w:hAnsi="Times New Roman" w:cs="Times New Roman"/>
          <w:spacing w:val="-4"/>
          <w:sz w:val="24"/>
          <w:szCs w:val="24"/>
          <w:lang w:val="en-US" w:eastAsia="zh-CN"/>
        </w:rPr>
        <w:t>沙溪浩河</w:t>
      </w:r>
      <w:r>
        <w:rPr>
          <w:rFonts w:hint="default" w:ascii="Times New Roman" w:hAnsi="Times New Roman" w:cs="Times New Roman"/>
          <w:spacing w:val="-4"/>
          <w:sz w:val="24"/>
          <w:szCs w:val="24"/>
          <w:lang w:val="en-US"/>
        </w:rPr>
        <w:t>流域水土流失较严重</w:t>
      </w:r>
      <w:r>
        <w:rPr>
          <w:rFonts w:hint="default" w:ascii="Times New Roman" w:hAnsi="Times New Roman" w:eastAsia="宋体" w:cs="Times New Roman"/>
          <w:color w:val="000000"/>
          <w:kern w:val="0"/>
          <w:sz w:val="24"/>
          <w:szCs w:val="24"/>
          <w:lang w:val="en-US" w:eastAsia="zh-CN" w:bidi="ar"/>
        </w:rPr>
        <w:t>，河流水系连通性一般，河道上游段属于典型的水库库区，两岸岸坡坡度较大，两岸岸坡稳定性河岸带稳定性一般。</w:t>
      </w:r>
    </w:p>
    <w:p>
      <w:pPr>
        <w:pStyle w:val="22"/>
        <w:outlineLvl w:val="1"/>
        <w:rPr>
          <w:rFonts w:hint="default" w:ascii="宋体" w:hAnsi="宋体" w:eastAsia="宋体" w:cs="宋体"/>
          <w:b/>
          <w:bCs/>
          <w:sz w:val="24"/>
          <w:szCs w:val="24"/>
          <w:lang w:val="en-US" w:eastAsia="zh-CN"/>
        </w:rPr>
      </w:pPr>
      <w:bookmarkStart w:id="57" w:name="_Toc24973"/>
      <w:r>
        <w:rPr>
          <w:rFonts w:hint="eastAsia" w:ascii="宋体" w:hAnsi="宋体" w:eastAsia="宋体" w:cs="宋体"/>
          <w:b/>
          <w:bCs/>
          <w:sz w:val="24"/>
          <w:szCs w:val="24"/>
          <w:lang w:val="en-US" w:eastAsia="zh-CN"/>
        </w:rPr>
        <w:t>5.2 存在的问题</w:t>
      </w:r>
      <w:bookmarkEnd w:id="57"/>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（1）沙溪浩周边村落居民较为分散，部分生活污水未经处理直接排放，现状餐饮、住宿、手工作坊等活动所产生的部分生活污水也未经处理直接排放，污染水资源。</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（2）村庄农业发展所产生的化肥农药使用不当，可能会加快库区水体的富营养化，后果严重的话，会造成水生生物生存环境的恶化，导致物种多样性的明显下降，甚至破坏了局部水体的生态平衡系统。</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（3）河岸带稳定性方面，局部河段河岸松动裂痕发育趋势明显， 山体环境、自然灾害、人类活动都会河岸带的稳定性造成影响，其中地震滑坡、泥石流河岸冲刷对河岸带的稳定性都会带来较大的破坏。容易发生河岸变形和破坏，中度水土流失。</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Times New Roman" w:hAnsi="Times New Roman" w:eastAsia="宋体" w:cs="Times New Roman"/>
          <w:color w:val="000000"/>
          <w:kern w:val="0"/>
          <w:sz w:val="24"/>
          <w:szCs w:val="24"/>
          <w:lang w:val="en-US" w:eastAsia="zh-CN" w:bidi="ar"/>
        </w:rPr>
        <w:t>）沿岸部分居民对于水资源、水环境的保护意识淡薄</w:t>
      </w:r>
      <w:r>
        <w:rPr>
          <w:rFonts w:hint="eastAsia" w:cs="Times New Roman"/>
          <w:color w:val="000000"/>
          <w:kern w:val="0"/>
          <w:sz w:val="24"/>
          <w:szCs w:val="24"/>
          <w:lang w:val="en-US" w:eastAsia="zh-CN" w:bidi="ar"/>
        </w:rPr>
        <w:t>，生活垃圾随意丢弃</w:t>
      </w:r>
      <w:r>
        <w:rPr>
          <w:rFonts w:hint="eastAsia" w:ascii="Times New Roman" w:hAnsi="Times New Roman" w:eastAsia="宋体" w:cs="Times New Roman"/>
          <w:color w:val="000000"/>
          <w:kern w:val="0"/>
          <w:sz w:val="24"/>
          <w:szCs w:val="24"/>
          <w:lang w:val="en-US" w:eastAsia="zh-CN" w:bidi="ar"/>
        </w:rPr>
        <w:t>。</w:t>
      </w:r>
    </w:p>
    <w:p>
      <w:pPr>
        <w:ind w:firstLine="480"/>
        <w:rPr>
          <w:rFonts w:hint="default" w:ascii="Times New Roman" w:hAnsi="Times New Roman" w:eastAsia="宋体" w:cs="Times New Roman"/>
          <w:lang w:val="en-US" w:eastAsia="zh-CN"/>
        </w:rPr>
      </w:pPr>
      <w:r>
        <w:rPr>
          <w:rFonts w:hint="eastAsia" w:cs="Times New Roman"/>
          <w:lang w:val="en-US" w:eastAsia="zh-CN"/>
        </w:rPr>
        <w:t>（5）沙溪浩周边</w:t>
      </w:r>
      <w:r>
        <w:rPr>
          <w:rFonts w:hint="default" w:ascii="Times New Roman" w:hAnsi="Times New Roman" w:cs="Times New Roman"/>
          <w:sz w:val="24"/>
          <w:szCs w:val="24"/>
        </w:rPr>
        <w:t>畜禽</w:t>
      </w:r>
      <w:r>
        <w:rPr>
          <w:rFonts w:hint="eastAsia" w:cs="Times New Roman"/>
          <w:sz w:val="24"/>
          <w:szCs w:val="24"/>
          <w:lang w:val="en-US" w:eastAsia="zh-CN"/>
        </w:rPr>
        <w:t>养殖场较为分散且规模不一，部分生产污水未</w:t>
      </w:r>
      <w:r>
        <w:rPr>
          <w:rFonts w:hint="eastAsia" w:ascii="Times New Roman" w:hAnsi="Times New Roman" w:eastAsia="宋体" w:cs="Times New Roman"/>
          <w:color w:val="000000"/>
          <w:kern w:val="0"/>
          <w:sz w:val="24"/>
          <w:szCs w:val="24"/>
          <w:lang w:val="en-US" w:eastAsia="zh-CN" w:bidi="ar"/>
        </w:rPr>
        <w:t>经处理直接排</w:t>
      </w:r>
      <w:r>
        <w:rPr>
          <w:rFonts w:hint="eastAsia" w:cs="Times New Roman"/>
          <w:color w:val="000000"/>
          <w:kern w:val="0"/>
          <w:sz w:val="24"/>
          <w:szCs w:val="24"/>
          <w:lang w:val="en-US" w:eastAsia="zh-CN" w:bidi="ar"/>
        </w:rPr>
        <w:t>放，污染水源。</w:t>
      </w:r>
    </w:p>
    <w:p>
      <w:pPr>
        <w:pStyle w:val="22"/>
        <w:outlineLvl w:val="1"/>
        <w:rPr>
          <w:rFonts w:hint="eastAsia" w:ascii="宋体" w:hAnsi="宋体" w:eastAsia="宋体" w:cs="宋体"/>
          <w:b/>
          <w:bCs/>
          <w:sz w:val="24"/>
          <w:szCs w:val="24"/>
          <w:lang w:val="en-US" w:eastAsia="zh-CN"/>
        </w:rPr>
      </w:pPr>
      <w:bookmarkStart w:id="58" w:name="_Toc21715"/>
      <w:r>
        <w:rPr>
          <w:rFonts w:hint="eastAsia" w:ascii="宋体" w:hAnsi="宋体" w:eastAsia="宋体" w:cs="宋体"/>
          <w:b/>
          <w:bCs/>
          <w:sz w:val="24"/>
          <w:szCs w:val="24"/>
          <w:lang w:val="en-US" w:eastAsia="zh-CN"/>
        </w:rPr>
        <w:t>5.3 保护对策</w:t>
      </w:r>
      <w:bookmarkEnd w:id="58"/>
    </w:p>
    <w:p>
      <w:pPr>
        <w:bidi w:val="0"/>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针对</w:t>
      </w:r>
      <w:r>
        <w:rPr>
          <w:rFonts w:hint="eastAsia" w:ascii="Times New Roman" w:hAnsi="Times New Roman" w:eastAsia="宋体"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所存在的问题，提出以下几点建议：</w:t>
      </w:r>
    </w:p>
    <w:p>
      <w:pPr>
        <w:bidi w:val="0"/>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通过合作、补偿等方式推广生态农业、有机农业，提倡科学使用有机、绿色肥料，推广使用高效、低毒、低残留的农药与生物农业；同时对库区周边农田径流污染采用生态堤岸工程进行控制，生态堤岸主要通过上层种植乔木、灌木等树种，下层采用框格植草护坡等措施构建。</w:t>
      </w:r>
    </w:p>
    <w:p>
      <w:pPr>
        <w:bidi w:val="0"/>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结合景观规划，选用本地水生、湿生物种进行植被恢复，增强植被的过滤净水功能，优化水岸景观；采用生态混凝土、土工植草固土网垫，土工网复合技术，土工格栅等生态治理技术；积极开展清淤疏浚、护岸护坡，维护</w:t>
      </w:r>
      <w:r>
        <w:rPr>
          <w:rFonts w:hint="eastAsia" w:ascii="Times New Roman" w:hAnsi="Times New Roman" w:eastAsia="宋体" w:cs="Times New Roman"/>
          <w:color w:val="000000"/>
          <w:kern w:val="0"/>
          <w:sz w:val="24"/>
          <w:szCs w:val="24"/>
          <w:lang w:val="en-US" w:eastAsia="zh-CN" w:bidi="ar"/>
        </w:rPr>
        <w:t>河道</w:t>
      </w:r>
      <w:r>
        <w:rPr>
          <w:rFonts w:hint="default" w:ascii="Times New Roman" w:hAnsi="Times New Roman" w:eastAsia="宋体" w:cs="Times New Roman"/>
          <w:color w:val="000000"/>
          <w:kern w:val="0"/>
          <w:sz w:val="24"/>
          <w:szCs w:val="24"/>
          <w:lang w:val="en-US" w:eastAsia="zh-CN" w:bidi="ar"/>
        </w:rPr>
        <w:t>的自然形态。</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）通过推进小流域综合治理，实施生态修复、保土耕作等措施使得重点治理区水土流失得到基本控制。新建生产项目全面落实水土保持方案制度。</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 xml:space="preserve">）按照保护优先、自然恢复为主的原则开展水生态修复，推进生态功能受损河流的生态修复。保护流域水生态系统的完整性。 </w:t>
      </w:r>
    </w:p>
    <w:p>
      <w:pPr>
        <w:bidi w:val="0"/>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）加强监测，根据《地表水环境质量标准》（GB3838），对</w:t>
      </w:r>
      <w:r>
        <w:rPr>
          <w:rFonts w:hint="eastAsia"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的水质进行取样、分析，建立</w:t>
      </w:r>
      <w:r>
        <w:rPr>
          <w:rFonts w:hint="eastAsia"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水环境变化动态数据库，掌握区域内水文、水质的动态变化情况，为风景区水资源、水生态的保护提供科学的依据。</w:t>
      </w:r>
    </w:p>
    <w:p>
      <w:pPr>
        <w:bidi w:val="0"/>
        <w:rPr>
          <w:rFonts w:hint="default" w:ascii="Times New Roman" w:hAnsi="Times New Roman" w:eastAsia="宋体" w:cs="Times New Roman"/>
          <w:color w:val="000000"/>
          <w:kern w:val="0"/>
          <w:sz w:val="24"/>
          <w:szCs w:val="24"/>
          <w:lang w:val="zh-CN" w:eastAsia="zh-CN" w:bidi="ar"/>
        </w:rPr>
      </w:pPr>
      <w:r>
        <w:rPr>
          <w:rFonts w:hint="eastAsia" w:ascii="Times New Roman" w:hAnsi="Times New Roman" w:eastAsia="宋体" w:cs="Times New Roman"/>
          <w:color w:val="000000"/>
          <w:kern w:val="0"/>
          <w:sz w:val="24"/>
          <w:szCs w:val="24"/>
          <w:lang w:val="en-US" w:eastAsia="zh-CN" w:bidi="ar"/>
        </w:rPr>
        <w:t>（6）</w:t>
      </w:r>
      <w:r>
        <w:rPr>
          <w:rFonts w:hint="default" w:ascii="Times New Roman" w:hAnsi="Times New Roman" w:eastAsia="宋体" w:cs="Times New Roman"/>
          <w:color w:val="000000"/>
          <w:kern w:val="0"/>
          <w:sz w:val="24"/>
          <w:szCs w:val="24"/>
          <w:lang w:val="zh-CN" w:eastAsia="zh-CN" w:bidi="ar"/>
        </w:rPr>
        <w:t>加强宣传教育、提高全民环保意识。加强水资源保护宣传教育工作，提高全民水资源保护意识，激发和调动全民参与环境保护工作的积极性和主动性。</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（7）恢复河湖水域岸线生态功能，提升河岸带稳定性，强化水土流失治理工作，保护渔业资源。</w:t>
      </w:r>
    </w:p>
    <w:p>
      <w:pPr>
        <w:bidi w:val="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8</w:t>
      </w:r>
      <w:r>
        <w:rPr>
          <w:rFonts w:hint="eastAsia" w:ascii="Times New Roman" w:hAnsi="Times New Roman" w:eastAsia="宋体" w:cs="Times New Roman"/>
          <w:color w:val="000000"/>
          <w:kern w:val="0"/>
          <w:sz w:val="24"/>
          <w:szCs w:val="24"/>
          <w:lang w:val="en-US" w:eastAsia="zh-CN" w:bidi="ar"/>
        </w:rPr>
        <w:t>）严格落实河湖长制度，强化生态流量保障目标落实。</w:t>
      </w:r>
    </w:p>
    <w:p>
      <w:pPr>
        <w:bidi w:val="0"/>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9</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全面清理</w:t>
      </w:r>
      <w:r>
        <w:rPr>
          <w:rFonts w:hint="eastAsia" w:ascii="Times New Roman" w:hAnsi="Times New Roman" w:eastAsia="宋体" w:cs="Times New Roman"/>
          <w:color w:val="000000"/>
          <w:kern w:val="0"/>
          <w:sz w:val="24"/>
          <w:szCs w:val="24"/>
          <w:lang w:val="en-US" w:eastAsia="zh-CN" w:bidi="ar"/>
        </w:rPr>
        <w:t>沙溪浩</w:t>
      </w:r>
      <w:r>
        <w:rPr>
          <w:rFonts w:hint="default" w:ascii="Times New Roman" w:hAnsi="Times New Roman" w:eastAsia="宋体" w:cs="Times New Roman"/>
          <w:color w:val="000000"/>
          <w:kern w:val="0"/>
          <w:sz w:val="24"/>
          <w:szCs w:val="24"/>
          <w:lang w:val="en-US" w:eastAsia="zh-CN" w:bidi="ar"/>
        </w:rPr>
        <w:t>干流违规的岸线开发利用，加强对在</w:t>
      </w:r>
      <w:r>
        <w:rPr>
          <w:rFonts w:hint="eastAsia" w:ascii="Times New Roman" w:hAnsi="Times New Roman" w:eastAsia="宋体" w:cs="Times New Roman"/>
          <w:color w:val="000000"/>
          <w:kern w:val="0"/>
          <w:sz w:val="24"/>
          <w:szCs w:val="24"/>
          <w:lang w:val="en-US" w:eastAsia="zh-CN" w:bidi="ar"/>
        </w:rPr>
        <w:t>河道范围内</w:t>
      </w:r>
      <w:r>
        <w:rPr>
          <w:rFonts w:hint="default" w:ascii="Times New Roman" w:hAnsi="Times New Roman" w:eastAsia="宋体" w:cs="Times New Roman"/>
          <w:color w:val="000000"/>
          <w:kern w:val="0"/>
          <w:sz w:val="24"/>
          <w:szCs w:val="24"/>
          <w:lang w:val="en-US" w:eastAsia="zh-CN" w:bidi="ar"/>
        </w:rPr>
        <w:t>上设障阻碍行洪、擅自建设防洪工程和其他水工程及其他侵占河道湖泊等突出问题的监督排查。</w:t>
      </w:r>
    </w:p>
    <w:p>
      <w:pPr>
        <w:bidi w:val="0"/>
        <w:rPr>
          <w:rFonts w:hint="default" w:ascii="Times New Roman" w:hAnsi="Times New Roman" w:eastAsia="宋体" w:cs="Times New Roman"/>
          <w:color w:val="000000"/>
          <w:kern w:val="0"/>
          <w:sz w:val="24"/>
          <w:szCs w:val="24"/>
          <w:lang w:val="zh-CN" w:eastAsia="zh-CN" w:bidi="ar"/>
        </w:rPr>
        <w:sectPr>
          <w:headerReference r:id="rId13"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宋体" w:cs="Times New Roman"/>
          <w:color w:val="000000"/>
          <w:kern w:val="0"/>
          <w:sz w:val="24"/>
          <w:szCs w:val="24"/>
          <w:lang w:val="zh-CN" w:eastAsia="zh-CN" w:bidi="ar"/>
        </w:rPr>
        <w:t>（</w:t>
      </w:r>
      <w:r>
        <w:rPr>
          <w:rFonts w:hint="eastAsia"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val="zh-CN" w:eastAsia="zh-CN" w:bidi="ar"/>
        </w:rPr>
        <w:t>）</w:t>
      </w:r>
      <w:r>
        <w:rPr>
          <w:rFonts w:hint="default" w:ascii="Times New Roman" w:hAnsi="Times New Roman" w:eastAsia="宋体" w:cs="Times New Roman"/>
          <w:color w:val="000000"/>
          <w:kern w:val="0"/>
          <w:sz w:val="24"/>
          <w:szCs w:val="24"/>
          <w:lang w:val="en-US" w:eastAsia="zh-CN" w:bidi="ar"/>
        </w:rPr>
        <w:t>畜禽养殖污染防治</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启动对新建、改建、扩建的规模化畜禽养殖场实施雨污分流、粪便污水资源化利用。优化重要区域规模化畜禽养殖结构和布局，持续加强禁养区巡查、监管，杜绝出现养殖场、养殖专业户，禁养区外实施规模化、标准化建设和改造。加强水库、河塘、滩涂水产养殖监管，大力推广水产绿色养殖。</w:t>
      </w:r>
    </w:p>
    <w:p>
      <w:pPr>
        <w:pStyle w:val="4"/>
        <w:numPr>
          <w:ilvl w:val="0"/>
          <w:numId w:val="0"/>
        </w:numPr>
        <w:bidi w:val="0"/>
        <w:ind w:leftChars="0"/>
        <w:jc w:val="center"/>
        <w:rPr>
          <w:rFonts w:hint="eastAsia"/>
          <w:lang w:eastAsia="zh-CN"/>
        </w:rPr>
      </w:pPr>
      <w:bookmarkStart w:id="59" w:name="_Toc9305"/>
      <w:bookmarkStart w:id="60" w:name="_Toc8358"/>
      <w:bookmarkStart w:id="61" w:name="_Toc2404"/>
      <w:r>
        <w:rPr>
          <w:rFonts w:hint="eastAsia"/>
        </w:rPr>
        <w:t>附录</w:t>
      </w:r>
      <w:r>
        <w:rPr>
          <w:rFonts w:hint="eastAsia"/>
          <w:lang w:val="en-US" w:eastAsia="zh-CN"/>
        </w:rPr>
        <w:t>A</w:t>
      </w:r>
      <w:bookmarkEnd w:id="59"/>
    </w:p>
    <w:p>
      <w:pPr>
        <w:pStyle w:val="42"/>
        <w:adjustRightInd/>
        <w:spacing w:line="520" w:lineRule="exact"/>
        <w:ind w:firstLine="640"/>
        <w:rPr>
          <w:rFonts w:ascii="Times New Roman" w:cs="Times New Roman"/>
          <w:b/>
          <w:color w:val="auto"/>
          <w:sz w:val="32"/>
          <w:szCs w:val="32"/>
        </w:rPr>
      </w:pPr>
      <w:r>
        <w:rPr>
          <w:rFonts w:ascii="Times New Roman" w:cs="Times New Roman"/>
          <w:b/>
          <w:color w:val="auto"/>
          <w:sz w:val="32"/>
          <w:szCs w:val="32"/>
        </w:rPr>
        <w:t>附图：河湖健康评价专题图</w:t>
      </w:r>
    </w:p>
    <w:p>
      <w:pPr>
        <w:bidi w:val="0"/>
        <w:rPr>
          <w:rFonts w:hint="eastAsia"/>
          <w:lang w:eastAsia="zh-CN"/>
        </w:rPr>
      </w:pPr>
      <w:r>
        <w:t>1、河湖水系图（含水资源分区、水功能区区划、行政区划、重要水利工程布置等信息）；</w:t>
      </w:r>
      <w:r>
        <w:rPr>
          <w:rFonts w:hint="eastAsia"/>
          <w:lang w:eastAsia="zh-CN"/>
        </w:rPr>
        <w:t>见图</w:t>
      </w:r>
    </w:p>
    <w:p>
      <w:pPr>
        <w:bidi w:val="0"/>
      </w:pPr>
      <w:r>
        <w:t>2、河湖流域地形图、土壤类型图、植被类型图、土地利用图等；</w:t>
      </w:r>
    </w:p>
    <w:p>
      <w:pPr>
        <w:bidi w:val="0"/>
        <w:rPr>
          <w:rFonts w:hint="eastAsia"/>
          <w:lang w:eastAsia="zh-CN"/>
        </w:rPr>
      </w:pPr>
      <w:r>
        <w:rPr>
          <w:rFonts w:hint="eastAsia"/>
          <w:lang w:eastAsia="zh-CN"/>
        </w:rPr>
        <w:t>见图纸</w:t>
      </w:r>
    </w:p>
    <w:p>
      <w:pPr>
        <w:bidi w:val="0"/>
      </w:pPr>
      <w:r>
        <w:t>河湖健康调查监测方案专题图（包括评价河段及评价湖泊区位置图，常规水文、水质站位置图，监测点位、监测断面及样方分布图等）。</w:t>
      </w:r>
    </w:p>
    <w:p>
      <w:pPr>
        <w:bidi w:val="0"/>
        <w:rPr>
          <w:rFonts w:hint="eastAsia"/>
          <w:lang w:eastAsia="zh-CN"/>
        </w:rPr>
      </w:pPr>
      <w:r>
        <w:rPr>
          <w:rFonts w:hint="eastAsia"/>
          <w:lang w:eastAsia="zh-CN"/>
        </w:rPr>
        <w:t>见水质监测报告</w:t>
      </w:r>
    </w:p>
    <w:p>
      <w:pPr>
        <w:rPr>
          <w:rFonts w:hint="eastAsia"/>
        </w:rPr>
      </w:pPr>
      <w:r>
        <w:rPr>
          <w:rFonts w:hint="eastAsia"/>
        </w:rPr>
        <w:br w:type="page"/>
      </w:r>
    </w:p>
    <w:p>
      <w:pPr>
        <w:pStyle w:val="4"/>
        <w:numPr>
          <w:ilvl w:val="0"/>
          <w:numId w:val="0"/>
        </w:numPr>
        <w:ind w:leftChars="0"/>
        <w:jc w:val="center"/>
        <w:rPr>
          <w:rFonts w:hint="eastAsia" w:ascii="Times New Roman" w:hAnsi="Times New Roman" w:eastAsia="宋体" w:cs="Times New Roman"/>
        </w:rPr>
      </w:pPr>
      <w:r>
        <w:rPr>
          <w:rFonts w:hint="eastAsia" w:ascii="Times New Roman" w:hAnsi="Times New Roman" w:eastAsia="宋体" w:cs="Times New Roman"/>
        </w:rPr>
        <w:t>附录B</w:t>
      </w:r>
      <w:bookmarkEnd w:id="60"/>
      <w:bookmarkEnd w:id="61"/>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bookmarkStart w:id="62" w:name="_Toc97131055"/>
      <w:r>
        <w:rPr>
          <w:rFonts w:hint="eastAsia"/>
        </w:rPr>
        <w:t>河湖健康评价公众调查表</w:t>
      </w:r>
      <w:bookmarkEnd w:id="62"/>
    </w:p>
    <w:tbl>
      <w:tblPr>
        <w:tblStyle w:val="28"/>
        <w:tblW w:w="5000" w:type="pct"/>
        <w:tblInd w:w="0" w:type="dxa"/>
        <w:tblLayout w:type="autofit"/>
        <w:tblCellMar>
          <w:top w:w="0" w:type="dxa"/>
          <w:left w:w="108" w:type="dxa"/>
          <w:bottom w:w="0" w:type="dxa"/>
          <w:right w:w="108" w:type="dxa"/>
        </w:tblCellMar>
      </w:tblPr>
      <w:tblGrid>
        <w:gridCol w:w="1273"/>
        <w:gridCol w:w="106"/>
        <w:gridCol w:w="486"/>
        <w:gridCol w:w="564"/>
        <w:gridCol w:w="320"/>
        <w:gridCol w:w="750"/>
        <w:gridCol w:w="84"/>
        <w:gridCol w:w="1154"/>
        <w:gridCol w:w="262"/>
        <w:gridCol w:w="799"/>
        <w:gridCol w:w="1756"/>
        <w:gridCol w:w="968"/>
      </w:tblGrid>
      <w:tr>
        <w:tblPrEx>
          <w:tblCellMar>
            <w:top w:w="0" w:type="dxa"/>
            <w:left w:w="108" w:type="dxa"/>
            <w:bottom w:w="0" w:type="dxa"/>
            <w:right w:w="108" w:type="dxa"/>
          </w:tblCellMar>
        </w:tblPrEx>
        <w:trPr>
          <w:trHeight w:val="397" w:hRule="atLeast"/>
        </w:trPr>
        <w:tc>
          <w:tcPr>
            <w:tcW w:w="1613" w:type="pct"/>
            <w:gridSpan w:val="5"/>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rFonts w:hint="eastAsia"/>
                <w:sz w:val="18"/>
                <w:szCs w:val="18"/>
                <w:lang w:val="en-US" w:eastAsia="zh-CN"/>
              </w:rPr>
              <w:t>调查的河（湖、库）名称/河段</w:t>
            </w:r>
          </w:p>
        </w:tc>
        <w:tc>
          <w:tcPr>
            <w:tcW w:w="3387" w:type="pct"/>
            <w:gridSpan w:val="7"/>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747" w:type="pct"/>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姓名</w:t>
            </w:r>
          </w:p>
        </w:tc>
        <w:tc>
          <w:tcPr>
            <w:tcW w:w="866"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（选填）</w:t>
            </w:r>
          </w:p>
        </w:tc>
        <w:tc>
          <w:tcPr>
            <w:tcW w:w="440" w:type="pct"/>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性别</w:t>
            </w:r>
          </w:p>
        </w:tc>
        <w:tc>
          <w:tcPr>
            <w:tcW w:w="880" w:type="pct"/>
            <w:gridSpan w:val="3"/>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男□女□</w:t>
            </w:r>
          </w:p>
        </w:tc>
        <w:tc>
          <w:tcPr>
            <w:tcW w:w="469" w:type="pct"/>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年龄</w:t>
            </w:r>
          </w:p>
        </w:tc>
        <w:tc>
          <w:tcPr>
            <w:tcW w:w="1598" w:type="pct"/>
            <w:gridSpan w:val="2"/>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15-30□30-50□50以上□</w:t>
            </w:r>
          </w:p>
        </w:tc>
      </w:tr>
      <w:tr>
        <w:tblPrEx>
          <w:tblCellMar>
            <w:top w:w="0" w:type="dxa"/>
            <w:left w:w="108" w:type="dxa"/>
            <w:bottom w:w="0" w:type="dxa"/>
            <w:right w:w="108" w:type="dxa"/>
          </w:tblCellMar>
        </w:tblPrEx>
        <w:trPr>
          <w:trHeight w:val="397" w:hRule="atLeast"/>
        </w:trPr>
        <w:tc>
          <w:tcPr>
            <w:tcW w:w="2053" w:type="pct"/>
            <w:gridSpan w:val="6"/>
            <w:vMerge w:val="restart"/>
            <w:tcBorders>
              <w:top w:val="single" w:color="auto" w:sz="4" w:space="0"/>
              <w:left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与河湖的关系</w:t>
            </w:r>
          </w:p>
        </w:tc>
        <w:tc>
          <w:tcPr>
            <w:tcW w:w="2379" w:type="pct"/>
            <w:gridSpan w:val="5"/>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河湖居民（河湖岸以外1Km范围以内）</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2053" w:type="pct"/>
            <w:gridSpan w:val="6"/>
            <w:vMerge w:val="continue"/>
            <w:tcBorders>
              <w:left w:val="single" w:color="auto" w:sz="4" w:space="0"/>
              <w:right w:val="single" w:color="auto" w:sz="4" w:space="0"/>
            </w:tcBorders>
            <w:noWrap w:val="0"/>
            <w:vAlign w:val="center"/>
          </w:tcPr>
          <w:p>
            <w:pPr>
              <w:pStyle w:val="51"/>
              <w:bidi w:val="0"/>
              <w:rPr>
                <w:sz w:val="18"/>
                <w:szCs w:val="18"/>
                <w:lang w:val="en-US" w:eastAsia="zh-CN"/>
              </w:rPr>
            </w:pPr>
          </w:p>
        </w:tc>
        <w:tc>
          <w:tcPr>
            <w:tcW w:w="726" w:type="pct"/>
            <w:gridSpan w:val="2"/>
            <w:vMerge w:val="restart"/>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非沿河湖居民</w:t>
            </w:r>
          </w:p>
        </w:tc>
        <w:tc>
          <w:tcPr>
            <w:tcW w:w="1653" w:type="pct"/>
            <w:gridSpan w:val="3"/>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河湖管理者</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2053" w:type="pct"/>
            <w:gridSpan w:val="6"/>
            <w:vMerge w:val="continue"/>
            <w:tcBorders>
              <w:left w:val="single" w:color="auto" w:sz="4" w:space="0"/>
              <w:right w:val="single" w:color="auto" w:sz="4" w:space="0"/>
            </w:tcBorders>
            <w:noWrap w:val="0"/>
            <w:vAlign w:val="center"/>
          </w:tcPr>
          <w:p>
            <w:pPr>
              <w:pStyle w:val="51"/>
              <w:bidi w:val="0"/>
              <w:rPr>
                <w:sz w:val="18"/>
                <w:szCs w:val="18"/>
                <w:lang w:val="en-US" w:eastAsia="zh-CN"/>
              </w:rPr>
            </w:pPr>
          </w:p>
        </w:tc>
        <w:tc>
          <w:tcPr>
            <w:tcW w:w="726" w:type="pct"/>
            <w:gridSpan w:val="2"/>
            <w:vMerge w:val="continue"/>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1653" w:type="pct"/>
            <w:gridSpan w:val="3"/>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河湖周边从事生产活动</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2053" w:type="pct"/>
            <w:gridSpan w:val="6"/>
            <w:vMerge w:val="continue"/>
            <w:tcBorders>
              <w:left w:val="single" w:color="auto" w:sz="4" w:space="0"/>
              <w:right w:val="single" w:color="auto" w:sz="4" w:space="0"/>
            </w:tcBorders>
            <w:noWrap w:val="0"/>
            <w:vAlign w:val="center"/>
          </w:tcPr>
          <w:p>
            <w:pPr>
              <w:pStyle w:val="51"/>
              <w:bidi w:val="0"/>
              <w:rPr>
                <w:sz w:val="18"/>
                <w:szCs w:val="18"/>
                <w:lang w:val="en-US" w:eastAsia="zh-CN"/>
              </w:rPr>
            </w:pPr>
          </w:p>
        </w:tc>
        <w:tc>
          <w:tcPr>
            <w:tcW w:w="726" w:type="pct"/>
            <w:gridSpan w:val="2"/>
            <w:vMerge w:val="continue"/>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1653" w:type="pct"/>
            <w:gridSpan w:val="3"/>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旅游经常来</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2053" w:type="pct"/>
            <w:gridSpan w:val="6"/>
            <w:vMerge w:val="continue"/>
            <w:tcBorders>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726" w:type="pct"/>
            <w:gridSpan w:val="2"/>
            <w:vMerge w:val="continue"/>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1653" w:type="pct"/>
            <w:gridSpan w:val="3"/>
            <w:tcBorders>
              <w:top w:val="single" w:color="auto" w:sz="4" w:space="0"/>
              <w:left w:val="nil"/>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旅游偶尔来</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5000" w:type="pct"/>
            <w:gridSpan w:val="12"/>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河湖状况评估</w:t>
            </w:r>
          </w:p>
        </w:tc>
      </w:tr>
      <w:tr>
        <w:tblPrEx>
          <w:tblCellMar>
            <w:top w:w="0" w:type="dxa"/>
            <w:left w:w="108" w:type="dxa"/>
            <w:bottom w:w="0" w:type="dxa"/>
            <w:right w:w="108" w:type="dxa"/>
          </w:tblCellMar>
        </w:tblPrEx>
        <w:trPr>
          <w:trHeight w:val="397" w:hRule="atLeast"/>
        </w:trPr>
        <w:tc>
          <w:tcPr>
            <w:tcW w:w="1425" w:type="pct"/>
            <w:gridSpan w:val="4"/>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水量</w:t>
            </w:r>
          </w:p>
        </w:tc>
        <w:tc>
          <w:tcPr>
            <w:tcW w:w="1354"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水质</w:t>
            </w:r>
          </w:p>
        </w:tc>
        <w:tc>
          <w:tcPr>
            <w:tcW w:w="2221"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河湖岸带状况</w:t>
            </w:r>
          </w:p>
        </w:tc>
      </w:tr>
      <w:tr>
        <w:tblPrEx>
          <w:tblCellMar>
            <w:top w:w="0" w:type="dxa"/>
            <w:left w:w="108" w:type="dxa"/>
            <w:bottom w:w="0" w:type="dxa"/>
            <w:right w:w="108" w:type="dxa"/>
          </w:tblCellMar>
        </w:tblPrEx>
        <w:trPr>
          <w:trHeight w:val="397" w:hRule="atLeast"/>
        </w:trPr>
        <w:tc>
          <w:tcPr>
            <w:tcW w:w="747" w:type="pct"/>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太少</w:t>
            </w:r>
          </w:p>
        </w:tc>
        <w:tc>
          <w:tcPr>
            <w:tcW w:w="678"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77"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清洁</w:t>
            </w:r>
          </w:p>
        </w:tc>
        <w:tc>
          <w:tcPr>
            <w:tcW w:w="677"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23" w:type="pct"/>
            <w:gridSpan w:val="2"/>
            <w:vMerge w:val="restart"/>
            <w:tcBorders>
              <w:top w:val="nil"/>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r>
              <w:rPr>
                <w:sz w:val="18"/>
                <w:szCs w:val="18"/>
                <w:lang w:val="en-US" w:eastAsia="zh-CN"/>
              </w:rPr>
              <w:t>树草状况</w:t>
            </w:r>
          </w:p>
        </w:tc>
        <w:tc>
          <w:tcPr>
            <w:tcW w:w="1030"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岸上的树草太少</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747" w:type="pct"/>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还可以</w:t>
            </w:r>
          </w:p>
        </w:tc>
        <w:tc>
          <w:tcPr>
            <w:tcW w:w="678"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77"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一般</w:t>
            </w:r>
          </w:p>
        </w:tc>
        <w:tc>
          <w:tcPr>
            <w:tcW w:w="677"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23" w:type="pct"/>
            <w:gridSpan w:val="2"/>
            <w:vMerge w:val="continue"/>
            <w:tcBorders>
              <w:top w:val="nil"/>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p>
        </w:tc>
        <w:tc>
          <w:tcPr>
            <w:tcW w:w="1030"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岸上树草数量还可以</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747" w:type="pct"/>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太多</w:t>
            </w:r>
          </w:p>
        </w:tc>
        <w:tc>
          <w:tcPr>
            <w:tcW w:w="678"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77"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比较脏</w:t>
            </w:r>
          </w:p>
        </w:tc>
        <w:tc>
          <w:tcPr>
            <w:tcW w:w="677"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23" w:type="pct"/>
            <w:gridSpan w:val="2"/>
            <w:vMerge w:val="restart"/>
            <w:tcBorders>
              <w:top w:val="nil"/>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r>
              <w:rPr>
                <w:rFonts w:hint="eastAsia"/>
                <w:sz w:val="18"/>
                <w:szCs w:val="18"/>
                <w:lang w:val="en-US" w:eastAsia="zh-CN"/>
              </w:rPr>
              <w:t>沿河</w:t>
            </w:r>
            <w:r>
              <w:rPr>
                <w:sz w:val="18"/>
                <w:szCs w:val="18"/>
                <w:lang w:val="en-US" w:eastAsia="zh-CN"/>
              </w:rPr>
              <w:t>垃圾</w:t>
            </w:r>
          </w:p>
        </w:tc>
        <w:tc>
          <w:tcPr>
            <w:tcW w:w="1030"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无</w:t>
            </w:r>
            <w:r>
              <w:rPr>
                <w:rFonts w:hint="eastAsia"/>
                <w:sz w:val="18"/>
                <w:szCs w:val="18"/>
                <w:lang w:val="en-US" w:eastAsia="zh-CN"/>
              </w:rPr>
              <w:t>沿河</w:t>
            </w:r>
            <w:r>
              <w:rPr>
                <w:sz w:val="18"/>
                <w:szCs w:val="18"/>
                <w:lang w:val="en-US" w:eastAsia="zh-CN"/>
              </w:rPr>
              <w:t>垃圾堆放</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747" w:type="pct"/>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不好判断</w:t>
            </w:r>
          </w:p>
        </w:tc>
        <w:tc>
          <w:tcPr>
            <w:tcW w:w="678"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77" w:type="pct"/>
            <w:gridSpan w:val="3"/>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太脏</w:t>
            </w:r>
          </w:p>
        </w:tc>
        <w:tc>
          <w:tcPr>
            <w:tcW w:w="677"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623" w:type="pct"/>
            <w:gridSpan w:val="2"/>
            <w:vMerge w:val="continue"/>
            <w:tcBorders>
              <w:top w:val="nil"/>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p>
        </w:tc>
        <w:tc>
          <w:tcPr>
            <w:tcW w:w="1030"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有</w:t>
            </w:r>
            <w:r>
              <w:rPr>
                <w:rFonts w:hint="eastAsia"/>
                <w:sz w:val="18"/>
                <w:szCs w:val="18"/>
                <w:lang w:val="en-US" w:eastAsia="zh-CN"/>
              </w:rPr>
              <w:t>沿河</w:t>
            </w:r>
            <w:r>
              <w:rPr>
                <w:sz w:val="18"/>
                <w:szCs w:val="18"/>
                <w:lang w:val="en-US" w:eastAsia="zh-CN"/>
              </w:rPr>
              <w:t>垃圾堆放</w:t>
            </w:r>
          </w:p>
        </w:tc>
        <w:tc>
          <w:tcPr>
            <w:tcW w:w="568" w:type="pct"/>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5000" w:type="pct"/>
            <w:gridSpan w:val="12"/>
            <w:tcBorders>
              <w:top w:val="single" w:color="auto" w:sz="4" w:space="0"/>
              <w:left w:val="single" w:color="auto" w:sz="4" w:space="0"/>
              <w:bottom w:val="single" w:color="auto" w:sz="4" w:space="0"/>
              <w:right w:val="single" w:color="000000" w:sz="4" w:space="0"/>
            </w:tcBorders>
            <w:noWrap w:val="0"/>
            <w:vAlign w:val="center"/>
          </w:tcPr>
          <w:p>
            <w:pPr>
              <w:pStyle w:val="51"/>
              <w:bidi w:val="0"/>
              <w:rPr>
                <w:sz w:val="18"/>
                <w:szCs w:val="18"/>
                <w:lang w:val="en-US" w:eastAsia="zh-CN"/>
              </w:rPr>
            </w:pPr>
            <w:r>
              <w:rPr>
                <w:sz w:val="18"/>
                <w:szCs w:val="18"/>
                <w:lang w:val="en-US" w:eastAsia="zh-CN"/>
              </w:rPr>
              <w:t>适宜性状况</w:t>
            </w:r>
          </w:p>
        </w:tc>
      </w:tr>
      <w:tr>
        <w:tblPrEx>
          <w:tblCellMar>
            <w:top w:w="0" w:type="dxa"/>
            <w:left w:w="108" w:type="dxa"/>
            <w:bottom w:w="0" w:type="dxa"/>
            <w:right w:w="108" w:type="dxa"/>
          </w:tblCellMar>
        </w:tblPrEx>
        <w:trPr>
          <w:trHeight w:val="397" w:hRule="atLeast"/>
        </w:trPr>
        <w:tc>
          <w:tcPr>
            <w:tcW w:w="1094" w:type="pct"/>
            <w:gridSpan w:val="3"/>
            <w:vMerge w:val="restart"/>
            <w:tcBorders>
              <w:top w:val="nil"/>
              <w:left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水</w:t>
            </w:r>
            <w:r>
              <w:rPr>
                <w:rFonts w:hint="eastAsia"/>
                <w:sz w:val="18"/>
                <w:szCs w:val="18"/>
                <w:lang w:val="en-US" w:eastAsia="zh-CN"/>
              </w:rPr>
              <w:t>及岸线</w:t>
            </w:r>
            <w:r>
              <w:rPr>
                <w:sz w:val="18"/>
                <w:szCs w:val="18"/>
                <w:lang w:val="en-US" w:eastAsia="zh-CN"/>
              </w:rPr>
              <w:t>景观</w:t>
            </w:r>
          </w:p>
        </w:tc>
        <w:tc>
          <w:tcPr>
            <w:tcW w:w="1008" w:type="pct"/>
            <w:gridSpan w:val="4"/>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优美</w:t>
            </w:r>
          </w:p>
        </w:tc>
        <w:tc>
          <w:tcPr>
            <w:tcW w:w="2898" w:type="pct"/>
            <w:gridSpan w:val="5"/>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continue"/>
            <w:tcBorders>
              <w:top w:val="nil"/>
              <w:left w:val="single" w:color="auto" w:sz="4" w:space="0"/>
              <w:right w:val="single" w:color="auto" w:sz="4" w:space="0"/>
            </w:tcBorders>
            <w:noWrap w:val="0"/>
            <w:vAlign w:val="center"/>
          </w:tcPr>
          <w:p>
            <w:pPr>
              <w:pStyle w:val="51"/>
              <w:bidi w:val="0"/>
              <w:rPr>
                <w:sz w:val="18"/>
                <w:szCs w:val="18"/>
                <w:lang w:val="en-US" w:eastAsia="zh-CN"/>
              </w:rPr>
            </w:pPr>
          </w:p>
        </w:tc>
        <w:tc>
          <w:tcPr>
            <w:tcW w:w="1008" w:type="pct"/>
            <w:gridSpan w:val="4"/>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rFonts w:hint="eastAsia"/>
                <w:sz w:val="18"/>
                <w:szCs w:val="18"/>
                <w:lang w:val="en-US" w:eastAsia="zh-CN"/>
              </w:rPr>
              <w:t>一般</w:t>
            </w:r>
          </w:p>
        </w:tc>
        <w:tc>
          <w:tcPr>
            <w:tcW w:w="2898" w:type="pct"/>
            <w:gridSpan w:val="5"/>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continue"/>
            <w:tcBorders>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1008"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丑陋</w:t>
            </w:r>
          </w:p>
        </w:tc>
        <w:tc>
          <w:tcPr>
            <w:tcW w:w="2898" w:type="pct"/>
            <w:gridSpan w:val="5"/>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restart"/>
            <w:tcBorders>
              <w:top w:val="single" w:color="auto" w:sz="4" w:space="0"/>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r>
              <w:rPr>
                <w:sz w:val="18"/>
                <w:szCs w:val="18"/>
                <w:lang w:val="en-US" w:eastAsia="zh-CN"/>
              </w:rPr>
              <w:t>近水难易程度</w:t>
            </w:r>
          </w:p>
        </w:tc>
        <w:tc>
          <w:tcPr>
            <w:tcW w:w="1008"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容易且安全</w:t>
            </w:r>
          </w:p>
        </w:tc>
        <w:tc>
          <w:tcPr>
            <w:tcW w:w="2898" w:type="pct"/>
            <w:gridSpan w:val="5"/>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continue"/>
            <w:tcBorders>
              <w:top w:val="single" w:color="auto" w:sz="4" w:space="0"/>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p>
        </w:tc>
        <w:tc>
          <w:tcPr>
            <w:tcW w:w="1008"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难或不安全</w:t>
            </w:r>
          </w:p>
        </w:tc>
        <w:tc>
          <w:tcPr>
            <w:tcW w:w="2898" w:type="pct"/>
            <w:gridSpan w:val="5"/>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restart"/>
            <w:tcBorders>
              <w:top w:val="nil"/>
              <w:left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散步与娱乐休闲活动</w:t>
            </w:r>
          </w:p>
        </w:tc>
        <w:tc>
          <w:tcPr>
            <w:tcW w:w="1008"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适宜</w:t>
            </w:r>
          </w:p>
        </w:tc>
        <w:tc>
          <w:tcPr>
            <w:tcW w:w="2898" w:type="pct"/>
            <w:gridSpan w:val="5"/>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1094" w:type="pct"/>
            <w:gridSpan w:val="3"/>
            <w:vMerge w:val="continue"/>
            <w:tcBorders>
              <w:left w:val="single" w:color="auto" w:sz="4" w:space="0"/>
              <w:bottom w:val="single" w:color="000000" w:sz="4" w:space="0"/>
              <w:right w:val="single" w:color="auto" w:sz="4" w:space="0"/>
            </w:tcBorders>
            <w:noWrap w:val="0"/>
            <w:vAlign w:val="center"/>
          </w:tcPr>
          <w:p>
            <w:pPr>
              <w:pStyle w:val="51"/>
              <w:bidi w:val="0"/>
              <w:rPr>
                <w:sz w:val="18"/>
                <w:szCs w:val="18"/>
                <w:lang w:val="en-US" w:eastAsia="zh-CN"/>
              </w:rPr>
            </w:pPr>
          </w:p>
        </w:tc>
        <w:tc>
          <w:tcPr>
            <w:tcW w:w="1008"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不适宜</w:t>
            </w:r>
          </w:p>
        </w:tc>
        <w:tc>
          <w:tcPr>
            <w:tcW w:w="2898" w:type="pct"/>
            <w:gridSpan w:val="5"/>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5000" w:type="pct"/>
            <w:gridSpan w:val="12"/>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对河湖的满意程度调查</w:t>
            </w:r>
          </w:p>
        </w:tc>
      </w:tr>
      <w:tr>
        <w:tblPrEx>
          <w:tblCellMar>
            <w:top w:w="0" w:type="dxa"/>
            <w:left w:w="108" w:type="dxa"/>
            <w:bottom w:w="0" w:type="dxa"/>
            <w:right w:w="108" w:type="dxa"/>
          </w:tblCellMar>
        </w:tblPrEx>
        <w:trPr>
          <w:trHeight w:val="397" w:hRule="atLeast"/>
        </w:trPr>
        <w:tc>
          <w:tcPr>
            <w:tcW w:w="1425" w:type="pct"/>
            <w:gridSpan w:val="4"/>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总体评估赋分标准</w:t>
            </w:r>
          </w:p>
        </w:tc>
        <w:tc>
          <w:tcPr>
            <w:tcW w:w="1354"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不满意的原因是什么？</w:t>
            </w:r>
          </w:p>
        </w:tc>
        <w:tc>
          <w:tcPr>
            <w:tcW w:w="2221" w:type="pct"/>
            <w:gridSpan w:val="4"/>
            <w:tcBorders>
              <w:top w:val="single" w:color="auto" w:sz="4" w:space="0"/>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希望状况是什么样的？</w:t>
            </w: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很满意</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100</w:t>
            </w:r>
          </w:p>
        </w:tc>
        <w:tc>
          <w:tcPr>
            <w:tcW w:w="1354" w:type="pct"/>
            <w:gridSpan w:val="4"/>
            <w:vMerge w:val="restart"/>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restart"/>
            <w:tcBorders>
              <w:top w:val="single" w:color="auto" w:sz="4" w:space="0"/>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满意</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80</w:t>
            </w:r>
          </w:p>
        </w:tc>
        <w:tc>
          <w:tcPr>
            <w:tcW w:w="1354"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基本满意</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60</w:t>
            </w:r>
          </w:p>
        </w:tc>
        <w:tc>
          <w:tcPr>
            <w:tcW w:w="1354"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不满意</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30</w:t>
            </w:r>
          </w:p>
        </w:tc>
        <w:tc>
          <w:tcPr>
            <w:tcW w:w="1354"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很不满意</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0</w:t>
            </w:r>
          </w:p>
        </w:tc>
        <w:tc>
          <w:tcPr>
            <w:tcW w:w="1354"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r>
        <w:tblPrEx>
          <w:tblCellMar>
            <w:top w:w="0" w:type="dxa"/>
            <w:left w:w="108" w:type="dxa"/>
            <w:bottom w:w="0" w:type="dxa"/>
            <w:right w:w="108" w:type="dxa"/>
          </w:tblCellMar>
        </w:tblPrEx>
        <w:trPr>
          <w:trHeight w:val="397" w:hRule="atLeast"/>
        </w:trPr>
        <w:tc>
          <w:tcPr>
            <w:tcW w:w="809" w:type="pct"/>
            <w:gridSpan w:val="2"/>
            <w:tcBorders>
              <w:top w:val="nil"/>
              <w:left w:val="single" w:color="auto" w:sz="4" w:space="0"/>
              <w:bottom w:val="single" w:color="auto" w:sz="4" w:space="0"/>
              <w:right w:val="single" w:color="auto" w:sz="4" w:space="0"/>
            </w:tcBorders>
            <w:noWrap w:val="0"/>
            <w:vAlign w:val="center"/>
          </w:tcPr>
          <w:p>
            <w:pPr>
              <w:pStyle w:val="51"/>
              <w:bidi w:val="0"/>
              <w:rPr>
                <w:sz w:val="18"/>
                <w:szCs w:val="18"/>
                <w:lang w:val="en-US" w:eastAsia="zh-CN"/>
              </w:rPr>
            </w:pPr>
            <w:r>
              <w:rPr>
                <w:sz w:val="18"/>
                <w:szCs w:val="18"/>
                <w:lang w:val="en-US" w:eastAsia="zh-CN"/>
              </w:rPr>
              <w:t>总体评估赋分</w:t>
            </w:r>
          </w:p>
        </w:tc>
        <w:tc>
          <w:tcPr>
            <w:tcW w:w="616" w:type="pct"/>
            <w:gridSpan w:val="2"/>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1354"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c>
          <w:tcPr>
            <w:tcW w:w="2221" w:type="pct"/>
            <w:gridSpan w:val="4"/>
            <w:vMerge w:val="continue"/>
            <w:tcBorders>
              <w:top w:val="nil"/>
              <w:left w:val="nil"/>
              <w:bottom w:val="single" w:color="auto" w:sz="4" w:space="0"/>
              <w:right w:val="single" w:color="auto" w:sz="4" w:space="0"/>
            </w:tcBorders>
            <w:noWrap w:val="0"/>
            <w:vAlign w:val="center"/>
          </w:tcPr>
          <w:p>
            <w:pPr>
              <w:pStyle w:val="51"/>
              <w:bidi w:val="0"/>
              <w:rPr>
                <w:sz w:val="18"/>
                <w:szCs w:val="18"/>
                <w:lang w:val="en-US" w:eastAsia="zh-CN"/>
              </w:rPr>
            </w:pPr>
          </w:p>
        </w:tc>
      </w:tr>
    </w:tbl>
    <w:p>
      <w:pPr>
        <w:ind w:left="0" w:leftChars="0" w:firstLine="0" w:firstLineChars="0"/>
        <w:rPr>
          <w:rFonts w:hint="default"/>
          <w:lang w:val="en-US" w:eastAsia="zh-CN"/>
        </w:rPr>
        <w:sectPr>
          <w:pgSz w:w="11906" w:h="16838"/>
          <w:pgMar w:top="1440" w:right="1800" w:bottom="1440" w:left="1800" w:header="851" w:footer="992" w:gutter="0"/>
          <w:pgNumType w:fmt="decimal"/>
          <w:cols w:space="425" w:num="1"/>
          <w:docGrid w:type="lines" w:linePitch="312" w:charSpace="0"/>
        </w:sectPr>
      </w:pPr>
    </w:p>
    <w:p>
      <w:pPr>
        <w:pStyle w:val="4"/>
        <w:keepNext w:val="0"/>
        <w:keepLines w:val="0"/>
        <w:pageBreakBefore w:val="0"/>
        <w:widowControl w:val="0"/>
        <w:numPr>
          <w:ilvl w:val="0"/>
          <w:numId w:val="0"/>
        </w:numPr>
        <w:kinsoku/>
        <w:wordWrap/>
        <w:overflowPunct/>
        <w:topLinePunct w:val="0"/>
        <w:autoSpaceDE/>
        <w:autoSpaceDN/>
        <w:bidi w:val="0"/>
        <w:adjustRightInd/>
        <w:snapToGrid/>
        <w:ind w:left="432" w:leftChars="0"/>
        <w:jc w:val="center"/>
        <w:textAlignment w:val="auto"/>
        <w:rPr>
          <w:rFonts w:hint="eastAsia" w:eastAsia="方正姚体"/>
          <w:b/>
          <w:sz w:val="84"/>
          <w:szCs w:val="84"/>
          <w:lang w:val="en-US" w:eastAsia="zh-CN"/>
        </w:rPr>
      </w:pPr>
      <w:bookmarkStart w:id="63" w:name="_Toc11578"/>
      <w:bookmarkStart w:id="64" w:name="_Toc21943"/>
      <w:r>
        <w:rPr>
          <w:rFonts w:hint="eastAsia"/>
        </w:rPr>
        <w:t>附录C</w:t>
      </w:r>
      <w:bookmarkEnd w:id="63"/>
      <w:bookmarkEnd w:id="64"/>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方正姚体"/>
          <w:b/>
          <w:kern w:val="2"/>
          <w:sz w:val="84"/>
          <w:szCs w:val="84"/>
          <w:lang w:eastAsia="zh-CN"/>
        </w:rPr>
      </w:pPr>
      <w:r>
        <w:rPr>
          <w:rFonts w:hint="eastAsia" w:eastAsia="方正姚体"/>
          <w:b/>
          <w:kern w:val="2"/>
          <w:sz w:val="84"/>
          <w:szCs w:val="84"/>
          <w:lang w:val="en-US" w:eastAsia="zh-CN"/>
        </w:rPr>
        <w:t>沙溪浩</w:t>
      </w:r>
      <w:r>
        <w:rPr>
          <w:rFonts w:hint="eastAsia" w:eastAsia="方正姚体"/>
          <w:b/>
          <w:kern w:val="2"/>
          <w:sz w:val="84"/>
          <w:szCs w:val="84"/>
          <w:lang w:eastAsia="zh-CN"/>
        </w:rPr>
        <w:t>健康检查报告</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pStyle w:val="2"/>
      </w:pPr>
    </w:p>
    <w:p>
      <w:pPr>
        <w:pStyle w:val="2"/>
        <w:rPr>
          <w:rFonts w:hint="eastAsia"/>
        </w:rPr>
      </w:pPr>
    </w:p>
    <w:p>
      <w:pPr>
        <w:ind w:firstLine="480"/>
      </w:pPr>
    </w:p>
    <w:p>
      <w:pPr>
        <w:ind w:firstLine="480"/>
      </w:pPr>
    </w:p>
    <w:p>
      <w:pPr>
        <w:ind w:firstLine="480"/>
      </w:pPr>
    </w:p>
    <w:p>
      <w:pPr>
        <w:ind w:firstLine="480"/>
      </w:pPr>
    </w:p>
    <w:p>
      <w:pPr>
        <w:ind w:firstLine="480"/>
      </w:pPr>
    </w:p>
    <w:p>
      <w:pPr>
        <w:ind w:firstLine="480"/>
      </w:pPr>
    </w:p>
    <w:p>
      <w:pPr>
        <w:ind w:left="0" w:leftChars="0" w:firstLine="0" w:firstLineChars="0"/>
      </w:pPr>
    </w:p>
    <w:p>
      <w:pPr>
        <w:ind w:firstLine="480"/>
      </w:pPr>
    </w:p>
    <w:p>
      <w:pPr>
        <w:ind w:left="0" w:leftChars="0" w:firstLine="0" w:firstLineChars="0"/>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kern w:val="2"/>
          <w:sz w:val="36"/>
          <w:szCs w:val="44"/>
        </w:rPr>
      </w:pPr>
      <w:r>
        <w:rPr>
          <w:rFonts w:hint="eastAsia" w:eastAsia="黑体"/>
          <w:b/>
          <w:kern w:val="2"/>
          <w:sz w:val="36"/>
          <w:szCs w:val="44"/>
        </w:rPr>
        <w:t>四川省河长制办公室</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kern w:val="2"/>
          <w:sz w:val="36"/>
          <w:szCs w:val="44"/>
        </w:rPr>
      </w:pPr>
      <w:r>
        <w:rPr>
          <w:rFonts w:hint="eastAsia" w:eastAsia="黑体"/>
          <w:b/>
          <w:kern w:val="2"/>
          <w:sz w:val="36"/>
          <w:szCs w:val="44"/>
        </w:rPr>
        <w:t>二○二</w:t>
      </w:r>
      <w:r>
        <w:rPr>
          <w:rFonts w:hint="eastAsia" w:eastAsia="黑体"/>
          <w:b/>
          <w:kern w:val="2"/>
          <w:sz w:val="36"/>
          <w:szCs w:val="44"/>
          <w:lang w:val="en-US" w:eastAsia="zh-CN"/>
        </w:rPr>
        <w:t>二</w:t>
      </w:r>
      <w:r>
        <w:rPr>
          <w:rFonts w:hint="eastAsia" w:eastAsia="黑体"/>
          <w:b/>
          <w:kern w:val="2"/>
          <w:sz w:val="36"/>
          <w:szCs w:val="44"/>
        </w:rPr>
        <w:t>年</w:t>
      </w:r>
      <w:r>
        <w:rPr>
          <w:rFonts w:hint="eastAsia" w:eastAsia="黑体"/>
          <w:b/>
          <w:kern w:val="2"/>
          <w:sz w:val="36"/>
          <w:szCs w:val="44"/>
          <w:lang w:eastAsia="zh-CN"/>
        </w:rPr>
        <w:t>十</w:t>
      </w:r>
      <w:r>
        <w:rPr>
          <w:rFonts w:hint="eastAsia" w:eastAsia="黑体"/>
          <w:b/>
          <w:kern w:val="2"/>
          <w:sz w:val="36"/>
          <w:szCs w:val="44"/>
        </w:rPr>
        <w:t>月</w:t>
      </w:r>
    </w:p>
    <w:p>
      <w:pPr>
        <w:rPr>
          <w:rFonts w:hint="eastAsia"/>
        </w:rPr>
      </w:pPr>
      <w:r>
        <w:rPr>
          <w:rFonts w:hint="eastAsia"/>
        </w:rPr>
        <w:br w:type="page"/>
      </w:r>
    </w:p>
    <w:p>
      <w:pPr>
        <w:pStyle w:val="22"/>
        <w:rPr>
          <w:rFonts w:hint="eastAsia"/>
        </w:rPr>
      </w:pPr>
    </w:p>
    <w:p>
      <w:pPr>
        <w:jc w:val="center"/>
        <w:rPr>
          <w:rFonts w:ascii="Times New Roman" w:hAnsi="Times New Roman" w:eastAsia="黑体"/>
          <w:b/>
          <w:kern w:val="0"/>
          <w:sz w:val="44"/>
          <w:szCs w:val="44"/>
        </w:rPr>
      </w:pPr>
      <w:r>
        <w:rPr>
          <w:rFonts w:hint="eastAsia" w:eastAsia="黑体"/>
          <w:b/>
          <w:kern w:val="0"/>
          <w:sz w:val="44"/>
          <w:szCs w:val="44"/>
          <w:lang w:val="en-US" w:eastAsia="zh-CN" w:bidi="ar"/>
        </w:rPr>
        <w:t>沙溪浩</w:t>
      </w:r>
      <w:r>
        <w:rPr>
          <w:rFonts w:hint="eastAsia" w:ascii="Times New Roman" w:hAnsi="Times New Roman" w:eastAsia="黑体"/>
          <w:b/>
          <w:kern w:val="0"/>
          <w:sz w:val="44"/>
          <w:szCs w:val="44"/>
          <w:lang w:bidi="ar"/>
        </w:rPr>
        <w:t>健康检查报告</w:t>
      </w:r>
    </w:p>
    <w:p>
      <w:pPr>
        <w:pStyle w:val="27"/>
        <w:spacing w:line="360" w:lineRule="auto"/>
        <w:ind w:firstLine="640" w:firstLineChars="200"/>
        <w:rPr>
          <w:rFonts w:ascii="Times New Roman" w:hAnsi="Times New Roman" w:eastAsia="黑体"/>
          <w:sz w:val="32"/>
          <w:szCs w:val="32"/>
        </w:rPr>
      </w:pPr>
      <w:r>
        <w:rPr>
          <w:rFonts w:ascii="Times New Roman" w:hAnsi="Times New Roman" w:eastAsia="黑体"/>
          <w:sz w:val="32"/>
          <w:szCs w:val="32"/>
          <w:lang w:bidi="ar"/>
        </w:rPr>
        <w:t xml:space="preserve"> </w:t>
      </w:r>
    </w:p>
    <w:p>
      <w:pPr>
        <w:bidi w:val="0"/>
        <w:rPr>
          <w:rFonts w:hint="eastAsia"/>
          <w:sz w:val="28"/>
          <w:szCs w:val="28"/>
        </w:rPr>
      </w:pPr>
      <w:r>
        <w:rPr>
          <w:rFonts w:hint="eastAsia"/>
          <w:sz w:val="28"/>
          <w:szCs w:val="28"/>
        </w:rPr>
        <w:t>四川省为全面推动河湖综合治理与管理工作，进一步提升</w:t>
      </w:r>
      <w:r>
        <w:rPr>
          <w:rFonts w:hint="eastAsia"/>
          <w:sz w:val="28"/>
          <w:szCs w:val="28"/>
          <w:lang w:val="en-US" w:eastAsia="zh-CN"/>
        </w:rPr>
        <w:t>沙溪浩</w:t>
      </w:r>
      <w:r>
        <w:rPr>
          <w:rFonts w:hint="eastAsia"/>
          <w:sz w:val="28"/>
          <w:szCs w:val="28"/>
        </w:rPr>
        <w:t>水生态环境质量，构建现代新型的人水和谐共生关系，在充分考虑</w:t>
      </w:r>
      <w:r>
        <w:rPr>
          <w:rFonts w:hint="eastAsia"/>
          <w:sz w:val="28"/>
          <w:szCs w:val="28"/>
          <w:lang w:val="en-US" w:eastAsia="zh-CN"/>
        </w:rPr>
        <w:t>沙溪浩</w:t>
      </w:r>
      <w:r>
        <w:rPr>
          <w:rFonts w:hint="eastAsia"/>
          <w:sz w:val="28"/>
          <w:szCs w:val="28"/>
        </w:rPr>
        <w:t>水文、环境、生态及人文条件的情况下，以《四川省河流（湖库）健康评价指南》为依据，通过“盆”（物理结构）、“水”（水文水资源、水质）、生物、社会服务功能四大类1</w:t>
      </w:r>
      <w:r>
        <w:rPr>
          <w:rFonts w:hint="eastAsia"/>
          <w:sz w:val="28"/>
          <w:szCs w:val="28"/>
          <w:lang w:val="en-US" w:eastAsia="zh-CN"/>
        </w:rPr>
        <w:t>5</w:t>
      </w:r>
      <w:r>
        <w:rPr>
          <w:rFonts w:hint="eastAsia"/>
          <w:sz w:val="28"/>
          <w:szCs w:val="28"/>
        </w:rPr>
        <w:t>个指标为评价内容对</w:t>
      </w:r>
      <w:r>
        <w:rPr>
          <w:rFonts w:hint="eastAsia"/>
          <w:sz w:val="28"/>
          <w:szCs w:val="28"/>
          <w:lang w:val="en-US" w:eastAsia="zh-CN"/>
        </w:rPr>
        <w:t>沙溪浩</w:t>
      </w:r>
      <w:r>
        <w:rPr>
          <w:rFonts w:hint="eastAsia"/>
          <w:sz w:val="28"/>
          <w:szCs w:val="28"/>
        </w:rPr>
        <w:t>进行全面体检，通过水体健康状况量化显示，让公众了解河湖真实健康状况，为各级河长及主管部门履行河湖管理保护职责提供参考。</w:t>
      </w:r>
    </w:p>
    <w:p>
      <w:pPr>
        <w:pStyle w:val="4"/>
        <w:widowControl/>
        <w:numPr>
          <w:ilvl w:val="0"/>
          <w:numId w:val="0"/>
        </w:numPr>
        <w:ind w:leftChars="0"/>
        <w:jc w:val="center"/>
        <w:rPr>
          <w:rFonts w:ascii="Times New Roman" w:hAnsi="Times New Roman"/>
          <w:b/>
          <w:sz w:val="28"/>
          <w:szCs w:val="28"/>
        </w:rPr>
      </w:pPr>
      <w:bookmarkStart w:id="65" w:name="_Toc13085"/>
      <w:r>
        <w:rPr>
          <w:rFonts w:hint="eastAsia" w:ascii="Times New Roman" w:hAnsi="Times New Roman"/>
          <w:b/>
          <w:sz w:val="28"/>
          <w:szCs w:val="28"/>
        </w:rPr>
        <w:t>一、</w:t>
      </w:r>
      <w:r>
        <w:rPr>
          <w:rFonts w:hint="eastAsia" w:ascii="黑体" w:hAnsi="宋体" w:cs="黑体"/>
          <w:b/>
          <w:sz w:val="28"/>
          <w:szCs w:val="28"/>
        </w:rPr>
        <w:t>基础信息</w:t>
      </w:r>
      <w:bookmarkEnd w:id="65"/>
    </w:p>
    <w:p>
      <w:pPr>
        <w:pStyle w:val="6"/>
        <w:widowControl/>
        <w:numPr>
          <w:ilvl w:val="0"/>
          <w:numId w:val="0"/>
        </w:numPr>
        <w:ind w:left="420" w:leftChars="0"/>
        <w:rPr>
          <w:rFonts w:ascii="Times New Roman" w:hAnsi="Times New Roman"/>
          <w:kern w:val="0"/>
          <w:sz w:val="28"/>
          <w:szCs w:val="28"/>
        </w:rPr>
      </w:pPr>
      <w:bookmarkStart w:id="66" w:name="_Toc4732"/>
      <w:r>
        <w:rPr>
          <w:rFonts w:ascii="Times New Roman" w:hAnsi="Times New Roman"/>
          <w:kern w:val="0"/>
          <w:sz w:val="28"/>
          <w:szCs w:val="28"/>
        </w:rPr>
        <w:t>1</w:t>
      </w:r>
      <w:r>
        <w:rPr>
          <w:rFonts w:hint="eastAsia" w:ascii="黑体" w:hAnsi="宋体" w:cs="黑体"/>
          <w:kern w:val="0"/>
          <w:sz w:val="28"/>
          <w:szCs w:val="28"/>
        </w:rPr>
        <w:t>、河流基本情况</w:t>
      </w:r>
      <w:bookmarkEnd w:id="66"/>
    </w:p>
    <w:tbl>
      <w:tblPr>
        <w:tblStyle w:val="28"/>
        <w:tblW w:w="5206" w:type="pct"/>
        <w:tblInd w:w="0" w:type="dxa"/>
        <w:tblLayout w:type="fixed"/>
        <w:tblCellMar>
          <w:top w:w="0" w:type="dxa"/>
          <w:left w:w="108" w:type="dxa"/>
          <w:bottom w:w="0" w:type="dxa"/>
          <w:right w:w="108" w:type="dxa"/>
        </w:tblCellMar>
      </w:tblPr>
      <w:tblGrid>
        <w:gridCol w:w="984"/>
        <w:gridCol w:w="1095"/>
        <w:gridCol w:w="1125"/>
        <w:gridCol w:w="2373"/>
        <w:gridCol w:w="1117"/>
        <w:gridCol w:w="1070"/>
        <w:gridCol w:w="1110"/>
      </w:tblGrid>
      <w:tr>
        <w:tblPrEx>
          <w:tblCellMar>
            <w:top w:w="0" w:type="dxa"/>
            <w:left w:w="108" w:type="dxa"/>
            <w:bottom w:w="0" w:type="dxa"/>
            <w:right w:w="108" w:type="dxa"/>
          </w:tblCellMar>
        </w:tblPrEx>
        <w:trPr>
          <w:trHeight w:val="270" w:hRule="atLeast"/>
        </w:trPr>
        <w:tc>
          <w:tcPr>
            <w:tcW w:w="984" w:type="dxa"/>
            <w:tcBorders>
              <w:top w:val="single" w:color="auto" w:sz="4" w:space="0"/>
              <w:left w:val="single" w:color="auto" w:sz="4" w:space="0"/>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水体名称</w:t>
            </w:r>
          </w:p>
        </w:tc>
        <w:tc>
          <w:tcPr>
            <w:tcW w:w="1095" w:type="dxa"/>
            <w:tcBorders>
              <w:top w:val="single" w:color="auto" w:sz="4" w:space="0"/>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水体类别</w:t>
            </w:r>
          </w:p>
        </w:tc>
        <w:tc>
          <w:tcPr>
            <w:tcW w:w="1125" w:type="dxa"/>
            <w:tcBorders>
              <w:top w:val="single" w:color="auto" w:sz="4" w:space="0"/>
              <w:left w:val="nil"/>
              <w:bottom w:val="single" w:color="auto" w:sz="4" w:space="0"/>
              <w:right w:val="single" w:color="auto" w:sz="4" w:space="0"/>
            </w:tcBorders>
            <w:noWrap/>
            <w:vAlign w:val="center"/>
          </w:tcPr>
          <w:p>
            <w:pPr>
              <w:widowControl/>
              <w:ind w:left="0" w:leftChars="0" w:firstLine="0" w:firstLineChars="0"/>
              <w:jc w:val="both"/>
              <w:rPr>
                <w:rFonts w:hint="default" w:ascii="Times New Roman" w:hAnsi="Times New Roman" w:eastAsia="宋体" w:cs="宋体"/>
                <w:kern w:val="0"/>
                <w:sz w:val="18"/>
                <w:szCs w:val="18"/>
                <w:lang w:val="en-US" w:eastAsia="zh-CN"/>
              </w:rPr>
            </w:pPr>
            <w:r>
              <w:rPr>
                <w:rFonts w:hint="eastAsia" w:ascii="Times New Roman" w:hAnsi="Times New Roman" w:cs="宋体"/>
                <w:kern w:val="0"/>
                <w:sz w:val="18"/>
                <w:szCs w:val="18"/>
                <w:lang w:bidi="ar"/>
              </w:rPr>
              <w:t>流经</w:t>
            </w:r>
            <w:r>
              <w:rPr>
                <w:rFonts w:hint="eastAsia" w:ascii="Times New Roman" w:hAnsi="Times New Roman" w:cs="宋体"/>
                <w:kern w:val="0"/>
                <w:sz w:val="18"/>
                <w:szCs w:val="18"/>
                <w:lang w:val="en-US" w:eastAsia="zh-CN" w:bidi="ar"/>
              </w:rPr>
              <w:t>县（区）</w:t>
            </w:r>
          </w:p>
        </w:tc>
        <w:tc>
          <w:tcPr>
            <w:tcW w:w="2373" w:type="dxa"/>
            <w:tcBorders>
              <w:top w:val="single" w:color="auto" w:sz="4" w:space="0"/>
              <w:left w:val="nil"/>
              <w:bottom w:val="single" w:color="auto" w:sz="4" w:space="0"/>
              <w:right w:val="single" w:color="auto" w:sz="4" w:space="0"/>
            </w:tcBorders>
            <w:noWrap/>
            <w:vAlign w:val="center"/>
          </w:tcPr>
          <w:p>
            <w:pPr>
              <w:widowControl/>
              <w:jc w:val="center"/>
              <w:rPr>
                <w:rFonts w:hint="default" w:ascii="Times New Roman" w:hAnsi="Times New Roman" w:eastAsia="宋体" w:cs="宋体"/>
                <w:kern w:val="0"/>
                <w:sz w:val="18"/>
                <w:szCs w:val="18"/>
                <w:lang w:val="en-US" w:eastAsia="zh-CN"/>
              </w:rPr>
            </w:pPr>
            <w:r>
              <w:rPr>
                <w:rFonts w:hint="eastAsia" w:ascii="Times New Roman" w:hAnsi="Times New Roman" w:cs="宋体"/>
                <w:kern w:val="0"/>
                <w:sz w:val="18"/>
                <w:szCs w:val="18"/>
                <w:lang w:bidi="ar"/>
              </w:rPr>
              <w:t>流经</w:t>
            </w:r>
            <w:r>
              <w:rPr>
                <w:rFonts w:hint="eastAsia" w:ascii="Times New Roman" w:hAnsi="Times New Roman" w:cs="宋体"/>
                <w:kern w:val="0"/>
                <w:sz w:val="18"/>
                <w:szCs w:val="18"/>
                <w:lang w:val="en-US" w:eastAsia="zh-CN" w:bidi="ar"/>
              </w:rPr>
              <w:t>乡镇</w:t>
            </w:r>
          </w:p>
        </w:tc>
        <w:tc>
          <w:tcPr>
            <w:tcW w:w="1117" w:type="dxa"/>
            <w:tcBorders>
              <w:top w:val="single" w:color="auto" w:sz="4" w:space="0"/>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起止范围</w:t>
            </w:r>
          </w:p>
        </w:tc>
        <w:tc>
          <w:tcPr>
            <w:tcW w:w="1070" w:type="dxa"/>
            <w:tcBorders>
              <w:top w:val="single" w:color="auto" w:sz="4" w:space="0"/>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河道长度</w:t>
            </w:r>
          </w:p>
        </w:tc>
        <w:tc>
          <w:tcPr>
            <w:tcW w:w="1110" w:type="dxa"/>
            <w:tcBorders>
              <w:top w:val="single" w:color="auto" w:sz="4" w:space="0"/>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所在流域</w:t>
            </w:r>
          </w:p>
        </w:tc>
      </w:tr>
      <w:tr>
        <w:tblPrEx>
          <w:tblCellMar>
            <w:top w:w="0" w:type="dxa"/>
            <w:left w:w="108" w:type="dxa"/>
            <w:bottom w:w="0" w:type="dxa"/>
            <w:right w:w="108" w:type="dxa"/>
          </w:tblCellMar>
        </w:tblPrEx>
        <w:trPr>
          <w:trHeight w:val="270" w:hRule="atLeast"/>
        </w:trPr>
        <w:tc>
          <w:tcPr>
            <w:tcW w:w="984" w:type="dxa"/>
            <w:tcBorders>
              <w:top w:val="nil"/>
              <w:left w:val="single" w:color="auto" w:sz="4" w:space="0"/>
              <w:bottom w:val="single" w:color="auto" w:sz="4" w:space="0"/>
              <w:right w:val="single" w:color="auto" w:sz="4" w:space="0"/>
            </w:tcBorders>
            <w:noWrap/>
            <w:vAlign w:val="center"/>
          </w:tcPr>
          <w:p>
            <w:pPr>
              <w:widowControl/>
              <w:ind w:left="0" w:leftChars="0" w:firstLine="0" w:firstLineChars="0"/>
              <w:jc w:val="both"/>
              <w:rPr>
                <w:rFonts w:hint="default" w:ascii="Times New Roman" w:hAnsi="Times New Roman" w:eastAsia="宋体" w:cs="宋体"/>
                <w:kern w:val="0"/>
                <w:sz w:val="18"/>
                <w:szCs w:val="18"/>
                <w:lang w:val="en-US" w:eastAsia="zh-CN"/>
              </w:rPr>
            </w:pPr>
            <w:r>
              <w:rPr>
                <w:rFonts w:hint="eastAsia" w:ascii="Times New Roman" w:hAnsi="Times New Roman" w:cs="宋体"/>
                <w:kern w:val="0"/>
                <w:sz w:val="18"/>
                <w:szCs w:val="18"/>
                <w:lang w:val="en-US" w:eastAsia="zh-CN" w:bidi="ar"/>
              </w:rPr>
              <w:t>沙溪浩</w:t>
            </w:r>
          </w:p>
        </w:tc>
        <w:tc>
          <w:tcPr>
            <w:tcW w:w="1095" w:type="dxa"/>
            <w:tcBorders>
              <w:top w:val="nil"/>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河流</w:t>
            </w:r>
          </w:p>
        </w:tc>
        <w:tc>
          <w:tcPr>
            <w:tcW w:w="1125" w:type="dxa"/>
            <w:tcBorders>
              <w:top w:val="nil"/>
              <w:left w:val="nil"/>
              <w:bottom w:val="single" w:color="auto" w:sz="4" w:space="0"/>
              <w:right w:val="single" w:color="auto" w:sz="4" w:space="0"/>
            </w:tcBorders>
            <w:noWrap/>
            <w:vAlign w:val="center"/>
          </w:tcPr>
          <w:p>
            <w:pPr>
              <w:widowControl/>
              <w:ind w:left="0" w:leftChars="0" w:firstLine="0" w:firstLineChars="0"/>
              <w:jc w:val="both"/>
              <w:rPr>
                <w:rFonts w:hint="default" w:ascii="Times New Roman" w:hAnsi="Times New Roman" w:eastAsia="宋体" w:cs="宋体"/>
                <w:kern w:val="0"/>
                <w:sz w:val="18"/>
                <w:szCs w:val="18"/>
                <w:lang w:val="en-US" w:eastAsia="zh-CN"/>
              </w:rPr>
            </w:pPr>
            <w:r>
              <w:rPr>
                <w:rFonts w:hint="eastAsia" w:ascii="Times New Roman" w:hAnsi="Times New Roman" w:cs="宋体"/>
                <w:kern w:val="0"/>
                <w:sz w:val="18"/>
                <w:szCs w:val="18"/>
                <w:lang w:val="en-US" w:eastAsia="zh-CN" w:bidi="ar"/>
              </w:rPr>
              <w:t>苍溪县</w:t>
            </w:r>
          </w:p>
        </w:tc>
        <w:tc>
          <w:tcPr>
            <w:tcW w:w="2373" w:type="dxa"/>
            <w:tcBorders>
              <w:top w:val="nil"/>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Times New Roman"/>
                <w:kern w:val="0"/>
                <w:sz w:val="18"/>
                <w:szCs w:val="18"/>
                <w:shd w:val="clear" w:color="auto" w:fill="FFFFFF"/>
                <w:lang w:eastAsia="zh-CN"/>
              </w:rPr>
              <w:t>五龙镇、</w:t>
            </w:r>
            <w:r>
              <w:rPr>
                <w:rFonts w:hint="eastAsia" w:ascii="Times New Roman" w:hAnsi="Times New Roman" w:cs="Times New Roman"/>
                <w:kern w:val="0"/>
                <w:sz w:val="18"/>
                <w:szCs w:val="18"/>
                <w:shd w:val="clear" w:color="auto" w:fill="FFFFFF"/>
                <w:lang w:val="zh-CN" w:eastAsia="zh-CN"/>
              </w:rPr>
              <w:t>白鹤乡、浙水乡、陵江镇</w:t>
            </w:r>
          </w:p>
        </w:tc>
        <w:tc>
          <w:tcPr>
            <w:tcW w:w="1117" w:type="dxa"/>
            <w:tcBorders>
              <w:top w:val="nil"/>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bidi="ar"/>
              </w:rPr>
              <w:t>河源～入</w:t>
            </w:r>
            <w:r>
              <w:rPr>
                <w:rFonts w:hint="eastAsia" w:ascii="Times New Roman" w:hAnsi="Times New Roman" w:cs="宋体"/>
                <w:kern w:val="0"/>
                <w:sz w:val="18"/>
                <w:szCs w:val="18"/>
                <w:lang w:val="en-US" w:eastAsia="zh-CN" w:bidi="ar"/>
              </w:rPr>
              <w:t>嘉陵江</w:t>
            </w:r>
            <w:r>
              <w:rPr>
                <w:rFonts w:hint="eastAsia" w:ascii="Times New Roman" w:hAnsi="Times New Roman" w:cs="宋体"/>
                <w:kern w:val="0"/>
                <w:sz w:val="18"/>
                <w:szCs w:val="18"/>
                <w:lang w:bidi="ar"/>
              </w:rPr>
              <w:t>河口</w:t>
            </w:r>
          </w:p>
        </w:tc>
        <w:tc>
          <w:tcPr>
            <w:tcW w:w="1070" w:type="dxa"/>
            <w:tcBorders>
              <w:top w:val="nil"/>
              <w:left w:val="nil"/>
              <w:bottom w:val="single" w:color="auto" w:sz="4" w:space="0"/>
              <w:right w:val="single" w:color="auto" w:sz="4" w:space="0"/>
            </w:tcBorders>
            <w:noWrap/>
            <w:vAlign w:val="center"/>
          </w:tcPr>
          <w:p>
            <w:pPr>
              <w:widowControl/>
              <w:ind w:left="0" w:leftChars="0" w:firstLine="0" w:firstLineChars="0"/>
              <w:jc w:val="both"/>
              <w:rPr>
                <w:rFonts w:hint="default" w:ascii="Times New Roman" w:hAnsi="Times New Roman" w:cs="宋体"/>
                <w:kern w:val="0"/>
                <w:sz w:val="18"/>
                <w:szCs w:val="18"/>
                <w:lang w:val="en-US"/>
              </w:rPr>
            </w:pPr>
            <w:r>
              <w:rPr>
                <w:rFonts w:hint="default" w:ascii="Times New Roman" w:hAnsi="Times New Roman" w:cs="Times New Roman"/>
                <w:kern w:val="0"/>
                <w:sz w:val="18"/>
                <w:szCs w:val="18"/>
                <w:shd w:val="clear" w:color="auto" w:fill="FFFFFF"/>
              </w:rPr>
              <w:t>21.6</w:t>
            </w:r>
            <w:r>
              <w:rPr>
                <w:rFonts w:hint="default" w:ascii="Times New Roman" w:hAnsi="Times New Roman" w:cs="Times New Roman"/>
                <w:kern w:val="0"/>
                <w:sz w:val="18"/>
                <w:szCs w:val="18"/>
                <w:shd w:val="clear" w:color="auto" w:fill="FFFFFF"/>
                <w:lang w:val="en-US" w:eastAsia="zh-CN"/>
              </w:rPr>
              <w:t>89</w:t>
            </w:r>
            <w:r>
              <w:rPr>
                <w:rFonts w:hint="eastAsia" w:ascii="Times New Roman" w:hAnsi="Times New Roman" w:cs="Times New Roman"/>
                <w:kern w:val="0"/>
                <w:sz w:val="18"/>
                <w:szCs w:val="18"/>
                <w:shd w:val="clear" w:color="auto" w:fill="FFFFFF"/>
                <w:lang w:val="en-US" w:eastAsia="zh-CN"/>
              </w:rPr>
              <w:t>km</w:t>
            </w:r>
          </w:p>
        </w:tc>
        <w:tc>
          <w:tcPr>
            <w:tcW w:w="1110" w:type="dxa"/>
            <w:tcBorders>
              <w:top w:val="nil"/>
              <w:left w:val="nil"/>
              <w:bottom w:val="single" w:color="auto" w:sz="4" w:space="0"/>
              <w:right w:val="single" w:color="auto" w:sz="4" w:space="0"/>
            </w:tcBorders>
            <w:noWrap/>
            <w:vAlign w:val="center"/>
          </w:tcPr>
          <w:p>
            <w:pPr>
              <w:widowControl/>
              <w:ind w:left="0" w:leftChars="0" w:firstLine="0" w:firstLineChars="0"/>
              <w:jc w:val="both"/>
              <w:rPr>
                <w:rFonts w:ascii="Times New Roman" w:hAnsi="Times New Roman" w:cs="宋体"/>
                <w:kern w:val="0"/>
                <w:sz w:val="18"/>
                <w:szCs w:val="18"/>
              </w:rPr>
            </w:pPr>
            <w:r>
              <w:rPr>
                <w:rFonts w:hint="eastAsia" w:ascii="Times New Roman" w:hAnsi="Times New Roman" w:cs="宋体"/>
                <w:kern w:val="0"/>
                <w:sz w:val="18"/>
                <w:szCs w:val="18"/>
                <w:lang w:val="en-US" w:eastAsia="zh-CN" w:bidi="ar"/>
              </w:rPr>
              <w:t>嘉陵江</w:t>
            </w:r>
            <w:r>
              <w:rPr>
                <w:rFonts w:hint="eastAsia" w:ascii="Times New Roman" w:hAnsi="Times New Roman" w:cs="宋体"/>
                <w:kern w:val="0"/>
                <w:sz w:val="18"/>
                <w:szCs w:val="18"/>
                <w:lang w:bidi="ar"/>
              </w:rPr>
              <w:t>流域</w:t>
            </w:r>
          </w:p>
        </w:tc>
      </w:tr>
    </w:tbl>
    <w:p>
      <w:pPr>
        <w:pStyle w:val="6"/>
        <w:widowControl/>
        <w:numPr>
          <w:ilvl w:val="0"/>
          <w:numId w:val="4"/>
        </w:numPr>
        <w:ind w:left="420" w:leftChars="0"/>
        <w:rPr>
          <w:rFonts w:hint="eastAsia" w:ascii="黑体" w:hAnsi="宋体" w:cs="黑体"/>
          <w:kern w:val="0"/>
          <w:sz w:val="28"/>
          <w:szCs w:val="28"/>
        </w:rPr>
      </w:pPr>
      <w:bookmarkStart w:id="67" w:name="_Toc4510"/>
      <w:r>
        <w:rPr>
          <w:rFonts w:hint="eastAsia" w:ascii="黑体" w:hAnsi="宋体" w:cs="黑体"/>
          <w:kern w:val="0"/>
          <w:sz w:val="28"/>
          <w:szCs w:val="28"/>
        </w:rPr>
        <w:t>河长信息</w:t>
      </w:r>
      <w:bookmarkEnd w:id="67"/>
    </w:p>
    <w:p>
      <w:pPr>
        <w:bidi w:val="0"/>
        <w:rPr>
          <w:rFonts w:hint="default"/>
          <w:sz w:val="28"/>
          <w:szCs w:val="28"/>
        </w:rPr>
      </w:pPr>
      <w:r>
        <w:rPr>
          <w:rFonts w:hint="default"/>
          <w:sz w:val="28"/>
          <w:szCs w:val="28"/>
          <w:lang w:val="en-US" w:eastAsia="zh-CN"/>
        </w:rPr>
        <w:t>沙溪浩</w:t>
      </w:r>
      <w:r>
        <w:rPr>
          <w:rFonts w:hint="default"/>
          <w:sz w:val="28"/>
          <w:szCs w:val="28"/>
        </w:rPr>
        <w:t>县级河段长由县</w:t>
      </w:r>
      <w:r>
        <w:rPr>
          <w:rFonts w:hint="default"/>
          <w:sz w:val="28"/>
          <w:szCs w:val="28"/>
          <w:lang w:val="en-US" w:eastAsia="zh-CN"/>
        </w:rPr>
        <w:t>政协主席</w:t>
      </w:r>
      <w:r>
        <w:rPr>
          <w:rFonts w:hint="eastAsia"/>
          <w:sz w:val="28"/>
          <w:szCs w:val="28"/>
          <w:lang w:val="en-US" w:eastAsia="zh-CN"/>
        </w:rPr>
        <w:t>王军</w:t>
      </w:r>
      <w:r>
        <w:rPr>
          <w:rFonts w:hint="default"/>
          <w:sz w:val="28"/>
          <w:szCs w:val="28"/>
        </w:rPr>
        <w:t>担任，县级河段长联络员单位为县</w:t>
      </w:r>
      <w:r>
        <w:rPr>
          <w:rFonts w:hint="default"/>
          <w:sz w:val="28"/>
          <w:szCs w:val="28"/>
          <w:lang w:val="en-US" w:eastAsia="zh-CN"/>
        </w:rPr>
        <w:t>经济和信息化</w:t>
      </w:r>
      <w:r>
        <w:rPr>
          <w:rFonts w:hint="default"/>
          <w:sz w:val="28"/>
          <w:szCs w:val="28"/>
        </w:rPr>
        <w:t>局。涉河</w:t>
      </w:r>
      <w:r>
        <w:rPr>
          <w:rFonts w:hint="default"/>
          <w:sz w:val="28"/>
          <w:szCs w:val="28"/>
          <w:lang w:val="en-US" w:eastAsia="zh-CN"/>
        </w:rPr>
        <w:t>4</w:t>
      </w:r>
      <w:r>
        <w:rPr>
          <w:rFonts w:hint="default"/>
          <w:sz w:val="28"/>
          <w:szCs w:val="28"/>
        </w:rPr>
        <w:t>个乡镇河段长由各乡镇党委书记和镇长共同担任，村级河段长由村主任担任。具体分配表见表2.8.1-1</w:t>
      </w:r>
    </w:p>
    <w:p>
      <w:pPr>
        <w:pStyle w:val="16"/>
        <w:rPr>
          <w:rFonts w:hint="default"/>
        </w:rPr>
      </w:pPr>
    </w:p>
    <w:p>
      <w:pPr>
        <w:numPr>
          <w:ilvl w:val="0"/>
          <w:numId w:val="0"/>
        </w:numPr>
        <w:ind w:firstLine="482" w:firstLineChars="200"/>
        <w:outlineLvl w:val="8"/>
        <w:rPr>
          <w:rFonts w:hint="default" w:eastAsia="宋体"/>
          <w:b/>
          <w:bCs/>
          <w:sz w:val="24"/>
          <w:szCs w:val="24"/>
          <w:lang w:val="en-US" w:eastAsia="zh-CN"/>
        </w:rPr>
      </w:pPr>
      <w:r>
        <w:rPr>
          <w:rFonts w:hint="eastAsia"/>
          <w:b/>
          <w:bCs/>
          <w:sz w:val="24"/>
          <w:szCs w:val="24"/>
          <w:lang w:val="en-US" w:eastAsia="zh-CN"/>
        </w:rPr>
        <w:t>表 1.1-1  河长信息</w:t>
      </w:r>
    </w:p>
    <w:tbl>
      <w:tblPr>
        <w:tblStyle w:val="28"/>
        <w:tblW w:w="96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34"/>
        <w:gridCol w:w="2082"/>
        <w:gridCol w:w="521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34" w:type="dxa"/>
            <w:tcBorders>
              <w:top w:val="single" w:color="auto" w:sz="4" w:space="0"/>
            </w:tcBorders>
            <w:shd w:val="clear" w:color="auto" w:fill="auto"/>
            <w:vAlign w:val="center"/>
          </w:tcPr>
          <w:p>
            <w:pPr>
              <w:spacing w:line="400" w:lineRule="exact"/>
              <w:ind w:left="-120" w:leftChars="-50" w:right="-120" w:rightChars="-50" w:firstLine="0" w:firstLineChars="0"/>
              <w:jc w:val="center"/>
              <w:rPr>
                <w:rFonts w:hint="default" w:ascii="Times New Roman" w:hAnsi="Times New Roman" w:cs="Times New Roman"/>
                <w:b/>
                <w:bCs/>
                <w:sz w:val="18"/>
                <w:szCs w:val="18"/>
              </w:rPr>
            </w:pPr>
            <w:r>
              <w:rPr>
                <w:rFonts w:hint="default" w:ascii="Times New Roman" w:hAnsi="Times New Roman" w:cs="Times New Roman"/>
                <w:b/>
                <w:bCs/>
                <w:sz w:val="18"/>
                <w:szCs w:val="18"/>
              </w:rPr>
              <w:t>河  长</w:t>
            </w:r>
          </w:p>
        </w:tc>
        <w:tc>
          <w:tcPr>
            <w:tcW w:w="2082" w:type="dxa"/>
            <w:tcBorders>
              <w:top w:val="single" w:color="auto" w:sz="4" w:space="0"/>
            </w:tcBorders>
            <w:shd w:val="clear" w:color="auto" w:fill="auto"/>
            <w:vAlign w:val="center"/>
          </w:tcPr>
          <w:p>
            <w:pPr>
              <w:spacing w:line="400" w:lineRule="exact"/>
              <w:ind w:left="-120" w:leftChars="-50" w:right="-120" w:rightChars="-50" w:firstLine="0" w:firstLineChars="0"/>
              <w:jc w:val="center"/>
              <w:rPr>
                <w:rFonts w:hint="default" w:ascii="Times New Roman" w:hAnsi="Times New Roman" w:cs="Times New Roman"/>
                <w:b/>
                <w:bCs/>
                <w:sz w:val="18"/>
                <w:szCs w:val="18"/>
              </w:rPr>
            </w:pPr>
            <w:r>
              <w:rPr>
                <w:rFonts w:hint="default" w:ascii="Times New Roman" w:hAnsi="Times New Roman" w:cs="Times New Roman"/>
                <w:b/>
                <w:bCs/>
                <w:sz w:val="18"/>
                <w:szCs w:val="18"/>
              </w:rPr>
              <w:t>姓  名</w:t>
            </w:r>
          </w:p>
        </w:tc>
        <w:tc>
          <w:tcPr>
            <w:tcW w:w="5213" w:type="dxa"/>
            <w:tcBorders>
              <w:top w:val="single" w:color="auto" w:sz="4" w:space="0"/>
            </w:tcBorders>
            <w:shd w:val="clear" w:color="auto" w:fill="auto"/>
            <w:vAlign w:val="center"/>
          </w:tcPr>
          <w:p>
            <w:pPr>
              <w:spacing w:line="400" w:lineRule="exact"/>
              <w:ind w:firstLine="0" w:firstLineChars="0"/>
              <w:rPr>
                <w:rFonts w:hint="default" w:ascii="Times New Roman" w:hAnsi="Times New Roman" w:cs="Times New Roman"/>
                <w:b/>
                <w:bCs/>
                <w:sz w:val="18"/>
                <w:szCs w:val="18"/>
              </w:rPr>
            </w:pPr>
            <w:r>
              <w:rPr>
                <w:rFonts w:hint="default" w:ascii="Times New Roman" w:hAnsi="Times New Roman" w:cs="Times New Roman"/>
                <w:b/>
                <w:bCs/>
                <w:sz w:val="18"/>
                <w:szCs w:val="18"/>
              </w:rPr>
              <w:t>部门、职务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34" w:type="dxa"/>
            <w:shd w:val="clear" w:color="auto" w:fill="auto"/>
            <w:vAlign w:val="center"/>
          </w:tcPr>
          <w:p>
            <w:pPr>
              <w:spacing w:line="400" w:lineRule="exact"/>
              <w:ind w:left="-120" w:leftChars="-5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县级河段长</w:t>
            </w:r>
          </w:p>
        </w:tc>
        <w:tc>
          <w:tcPr>
            <w:tcW w:w="2082" w:type="dxa"/>
            <w:shd w:val="clear" w:color="auto" w:fill="auto"/>
            <w:vAlign w:val="center"/>
          </w:tcPr>
          <w:p>
            <w:pPr>
              <w:spacing w:line="400" w:lineRule="exact"/>
              <w:ind w:firstLine="0" w:firstLineChars="0"/>
              <w:jc w:val="center"/>
              <w:rPr>
                <w:rFonts w:hint="default" w:ascii="Times New Roman" w:hAnsi="Times New Roman" w:cs="Times New Roman"/>
                <w:sz w:val="18"/>
                <w:szCs w:val="18"/>
              </w:rPr>
            </w:pPr>
            <w:r>
              <w:rPr>
                <w:rFonts w:hint="eastAsia" w:cs="Times New Roman"/>
                <w:sz w:val="18"/>
                <w:szCs w:val="18"/>
                <w:lang w:val="en-US" w:eastAsia="zh-CN"/>
              </w:rPr>
              <w:t>王</w:t>
            </w:r>
            <w:r>
              <w:rPr>
                <w:rFonts w:hint="default" w:ascii="Times New Roman" w:hAnsi="Times New Roman" w:cs="Times New Roman"/>
                <w:sz w:val="18"/>
                <w:szCs w:val="18"/>
                <w:lang w:val="en-US" w:eastAsia="zh-CN"/>
              </w:rPr>
              <w:t xml:space="preserve">  </w:t>
            </w:r>
            <w:r>
              <w:rPr>
                <w:rFonts w:hint="eastAsia" w:cs="Times New Roman"/>
                <w:sz w:val="18"/>
                <w:szCs w:val="18"/>
                <w:lang w:val="en-US" w:eastAsia="zh-CN"/>
              </w:rPr>
              <w:t>军</w:t>
            </w:r>
          </w:p>
        </w:tc>
        <w:tc>
          <w:tcPr>
            <w:tcW w:w="5213" w:type="dxa"/>
            <w:shd w:val="clear" w:color="auto" w:fill="auto"/>
            <w:vAlign w:val="center"/>
          </w:tcPr>
          <w:p>
            <w:pPr>
              <w:spacing w:line="400" w:lineRule="exact"/>
              <w:ind w:firstLine="0" w:firstLineChars="0"/>
              <w:rPr>
                <w:rFonts w:hint="default" w:ascii="Times New Roman" w:hAnsi="Times New Roman" w:cs="Times New Roman"/>
                <w:sz w:val="18"/>
                <w:szCs w:val="18"/>
              </w:rPr>
            </w:pPr>
            <w:r>
              <w:rPr>
                <w:rFonts w:hint="eastAsia" w:cs="Times New Roman"/>
                <w:sz w:val="18"/>
                <w:szCs w:val="18"/>
                <w:lang w:eastAsia="zh-CN"/>
              </w:rPr>
              <w:t>县委常委、县纪委书记、县监委书记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34" w:type="dxa"/>
            <w:vMerge w:val="restart"/>
            <w:shd w:val="clear" w:color="auto" w:fill="auto"/>
            <w:vAlign w:val="center"/>
          </w:tcPr>
          <w:p>
            <w:pPr>
              <w:ind w:left="-120" w:leftChars="-50" w:right="-120" w:rightChars="-50"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乡（镇）级河段长</w:t>
            </w:r>
          </w:p>
        </w:tc>
        <w:tc>
          <w:tcPr>
            <w:tcW w:w="2082" w:type="dxa"/>
            <w:shd w:val="clear" w:color="auto" w:fill="auto"/>
            <w:vAlign w:val="center"/>
          </w:tcPr>
          <w:p>
            <w:pPr>
              <w:spacing w:line="400" w:lineRule="exact"/>
              <w:ind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张兴中</w:t>
            </w:r>
          </w:p>
          <w:p>
            <w:pPr>
              <w:spacing w:line="400" w:lineRule="exact"/>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李兴强</w:t>
            </w:r>
          </w:p>
        </w:tc>
        <w:tc>
          <w:tcPr>
            <w:tcW w:w="5213" w:type="dxa"/>
            <w:shd w:val="clear" w:color="auto" w:fill="auto"/>
            <w:vAlign w:val="center"/>
          </w:tcPr>
          <w:p>
            <w:pPr>
              <w:spacing w:line="400" w:lineRule="exact"/>
              <w:ind w:firstLine="0" w:firstLineChars="0"/>
              <w:rPr>
                <w:rFonts w:hint="default" w:ascii="Times New Roman" w:hAnsi="Times New Roman" w:cs="Times New Roman"/>
                <w:sz w:val="18"/>
                <w:szCs w:val="18"/>
              </w:rPr>
            </w:pPr>
            <w:r>
              <w:rPr>
                <w:rFonts w:hint="default" w:ascii="Times New Roman" w:hAnsi="Times New Roman" w:cs="Times New Roman"/>
                <w:sz w:val="18"/>
                <w:szCs w:val="18"/>
                <w:lang w:val="en-US" w:eastAsia="zh-CN"/>
              </w:rPr>
              <w:t>五龙</w:t>
            </w:r>
            <w:r>
              <w:rPr>
                <w:rFonts w:hint="default" w:ascii="Times New Roman" w:hAnsi="Times New Roman" w:cs="Times New Roman"/>
                <w:sz w:val="18"/>
                <w:szCs w:val="18"/>
              </w:rPr>
              <w:t>镇党委书记</w:t>
            </w:r>
          </w:p>
          <w:p>
            <w:pPr>
              <w:spacing w:line="400" w:lineRule="exact"/>
              <w:ind w:firstLine="0" w:firstLineChars="0"/>
              <w:rPr>
                <w:rFonts w:hint="default" w:ascii="Times New Roman" w:hAnsi="Times New Roman" w:cs="Times New Roman"/>
                <w:sz w:val="18"/>
                <w:szCs w:val="18"/>
              </w:rPr>
            </w:pPr>
            <w:r>
              <w:rPr>
                <w:rFonts w:hint="default" w:ascii="Times New Roman" w:hAnsi="Times New Roman" w:cs="Times New Roman"/>
                <w:sz w:val="18"/>
                <w:szCs w:val="18"/>
                <w:lang w:val="en-US" w:eastAsia="zh-CN"/>
              </w:rPr>
              <w:t>五龙</w:t>
            </w:r>
            <w:r>
              <w:rPr>
                <w:rFonts w:hint="default" w:ascii="Times New Roman" w:hAnsi="Times New Roman" w:cs="Times New Roman"/>
                <w:sz w:val="18"/>
                <w:szCs w:val="18"/>
              </w:rPr>
              <w:t>镇镇长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34" w:type="dxa"/>
            <w:vMerge w:val="continue"/>
            <w:shd w:val="clear" w:color="auto" w:fill="auto"/>
            <w:vAlign w:val="center"/>
          </w:tcPr>
          <w:p>
            <w:pPr>
              <w:ind w:left="-120" w:leftChars="-50" w:right="-120" w:rightChars="-50" w:firstLine="0" w:firstLineChars="0"/>
              <w:jc w:val="center"/>
              <w:rPr>
                <w:rFonts w:hint="default" w:ascii="Times New Roman" w:hAnsi="Times New Roman" w:cs="Times New Roman"/>
                <w:sz w:val="18"/>
                <w:szCs w:val="18"/>
              </w:rPr>
            </w:pPr>
          </w:p>
        </w:tc>
        <w:tc>
          <w:tcPr>
            <w:tcW w:w="2082" w:type="dxa"/>
            <w:shd w:val="clear" w:color="auto" w:fill="auto"/>
            <w:vAlign w:val="center"/>
          </w:tcPr>
          <w:p>
            <w:pPr>
              <w:spacing w:line="400" w:lineRule="exact"/>
              <w:ind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秦  荣</w:t>
            </w:r>
          </w:p>
          <w:p>
            <w:pPr>
              <w:spacing w:line="400" w:lineRule="exact"/>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宋  洋</w:t>
            </w:r>
          </w:p>
        </w:tc>
        <w:tc>
          <w:tcPr>
            <w:tcW w:w="5213" w:type="dxa"/>
            <w:shd w:val="clear" w:color="auto" w:fill="auto"/>
            <w:vAlign w:val="center"/>
          </w:tcPr>
          <w:p>
            <w:pPr>
              <w:spacing w:line="400" w:lineRule="exact"/>
              <w:ind w:firstLine="0" w:firstLineChars="0"/>
              <w:rPr>
                <w:rFonts w:hint="default" w:ascii="Times New Roman" w:hAnsi="Times New Roman" w:cs="Times New Roman"/>
                <w:sz w:val="18"/>
                <w:szCs w:val="18"/>
              </w:rPr>
            </w:pPr>
            <w:r>
              <w:rPr>
                <w:rFonts w:hint="default" w:ascii="Times New Roman" w:hAnsi="Times New Roman" w:cs="Times New Roman"/>
                <w:sz w:val="18"/>
                <w:szCs w:val="18"/>
                <w:lang w:val="en-US" w:eastAsia="zh-CN"/>
              </w:rPr>
              <w:t>白鹤乡</w:t>
            </w:r>
            <w:r>
              <w:rPr>
                <w:rFonts w:hint="default" w:ascii="Times New Roman" w:hAnsi="Times New Roman" w:cs="Times New Roman"/>
                <w:sz w:val="18"/>
                <w:szCs w:val="18"/>
              </w:rPr>
              <w:t>党委书记</w:t>
            </w:r>
          </w:p>
          <w:p>
            <w:pPr>
              <w:spacing w:line="400" w:lineRule="exact"/>
              <w:ind w:firstLine="0" w:firstLineChars="0"/>
              <w:rPr>
                <w:rFonts w:hint="default" w:ascii="Times New Roman" w:hAnsi="Times New Roman" w:cs="Times New Roman"/>
                <w:sz w:val="18"/>
                <w:szCs w:val="18"/>
              </w:rPr>
            </w:pPr>
            <w:r>
              <w:rPr>
                <w:rFonts w:hint="default" w:ascii="Times New Roman" w:hAnsi="Times New Roman" w:cs="Times New Roman"/>
                <w:sz w:val="18"/>
                <w:szCs w:val="18"/>
                <w:lang w:val="en-US" w:eastAsia="zh-CN"/>
              </w:rPr>
              <w:t>白鹤乡乡</w:t>
            </w:r>
            <w:r>
              <w:rPr>
                <w:rFonts w:hint="default" w:ascii="Times New Roman" w:hAnsi="Times New Roman" w:cs="Times New Roman"/>
                <w:sz w:val="18"/>
                <w:szCs w:val="18"/>
              </w:rPr>
              <w:t>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34" w:type="dxa"/>
            <w:vMerge w:val="continue"/>
            <w:shd w:val="clear" w:color="auto" w:fill="auto"/>
            <w:vAlign w:val="center"/>
          </w:tcPr>
          <w:p>
            <w:pPr>
              <w:ind w:left="-120" w:leftChars="-50" w:right="-120" w:rightChars="-50" w:firstLine="0" w:firstLineChars="0"/>
              <w:jc w:val="center"/>
              <w:rPr>
                <w:rFonts w:hint="default" w:ascii="Times New Roman" w:hAnsi="Times New Roman" w:cs="Times New Roman"/>
                <w:sz w:val="18"/>
                <w:szCs w:val="18"/>
              </w:rPr>
            </w:pPr>
          </w:p>
        </w:tc>
        <w:tc>
          <w:tcPr>
            <w:tcW w:w="2082" w:type="dxa"/>
            <w:shd w:val="clear" w:color="auto" w:fill="auto"/>
            <w:vAlign w:val="center"/>
          </w:tcPr>
          <w:p>
            <w:pPr>
              <w:spacing w:line="400" w:lineRule="exact"/>
              <w:ind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范永刚</w:t>
            </w:r>
          </w:p>
          <w:p>
            <w:pPr>
              <w:spacing w:line="400" w:lineRule="exact"/>
              <w:ind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淳正森</w:t>
            </w:r>
          </w:p>
        </w:tc>
        <w:tc>
          <w:tcPr>
            <w:tcW w:w="5213" w:type="dxa"/>
            <w:shd w:val="clear" w:color="auto" w:fill="auto"/>
            <w:vAlign w:val="center"/>
          </w:tcPr>
          <w:p>
            <w:pPr>
              <w:spacing w:line="400" w:lineRule="exact"/>
              <w:ind w:firstLine="0" w:firstLineChars="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浙水乡党委书记</w:t>
            </w:r>
          </w:p>
          <w:p>
            <w:pPr>
              <w:spacing w:line="400" w:lineRule="exact"/>
              <w:ind w:firstLine="0" w:firstLineChars="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浙水乡乡长</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34" w:type="dxa"/>
            <w:vMerge w:val="continue"/>
            <w:shd w:val="clear" w:color="auto" w:fill="auto"/>
            <w:vAlign w:val="center"/>
          </w:tcPr>
          <w:p>
            <w:pPr>
              <w:ind w:left="-120" w:leftChars="-50" w:right="-120" w:rightChars="-50" w:firstLine="0" w:firstLineChars="0"/>
              <w:jc w:val="center"/>
              <w:rPr>
                <w:rFonts w:hint="default" w:ascii="Times New Roman" w:hAnsi="Times New Roman" w:cs="Times New Roman"/>
                <w:sz w:val="18"/>
                <w:szCs w:val="18"/>
              </w:rPr>
            </w:pPr>
          </w:p>
        </w:tc>
        <w:tc>
          <w:tcPr>
            <w:tcW w:w="2082" w:type="dxa"/>
            <w:shd w:val="clear" w:color="auto" w:fill="auto"/>
            <w:vAlign w:val="center"/>
          </w:tcPr>
          <w:p>
            <w:pPr>
              <w:spacing w:line="400" w:lineRule="exact"/>
              <w:ind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蒲小军</w:t>
            </w:r>
          </w:p>
          <w:p>
            <w:pPr>
              <w:spacing w:line="400" w:lineRule="exact"/>
              <w:ind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付  荣</w:t>
            </w:r>
          </w:p>
        </w:tc>
        <w:tc>
          <w:tcPr>
            <w:tcW w:w="5213" w:type="dxa"/>
            <w:shd w:val="clear" w:color="auto" w:fill="auto"/>
            <w:vAlign w:val="center"/>
          </w:tcPr>
          <w:p>
            <w:pPr>
              <w:spacing w:line="400" w:lineRule="exact"/>
              <w:ind w:firstLine="0" w:firstLineChars="0"/>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陵江镇党委书记</w:t>
            </w:r>
          </w:p>
          <w:p>
            <w:pPr>
              <w:spacing w:line="400" w:lineRule="exact"/>
              <w:ind w:firstLine="0" w:firstLineChars="0"/>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陵江镇镇长</w:t>
            </w:r>
          </w:p>
        </w:tc>
      </w:tr>
    </w:tbl>
    <w:p>
      <w:pPr>
        <w:pStyle w:val="6"/>
        <w:widowControl/>
        <w:numPr>
          <w:ilvl w:val="0"/>
          <w:numId w:val="0"/>
        </w:numPr>
        <w:ind w:left="420" w:leftChars="0"/>
        <w:rPr>
          <w:rFonts w:ascii="Times New Roman" w:hAnsi="Times New Roman"/>
          <w:kern w:val="0"/>
          <w:sz w:val="28"/>
          <w:szCs w:val="28"/>
        </w:rPr>
      </w:pPr>
      <w:bookmarkStart w:id="68" w:name="_Toc28840"/>
      <w:r>
        <w:rPr>
          <w:rFonts w:ascii="Times New Roman" w:hAnsi="Times New Roman"/>
          <w:kern w:val="0"/>
          <w:sz w:val="28"/>
          <w:szCs w:val="28"/>
        </w:rPr>
        <w:t>3</w:t>
      </w:r>
      <w:r>
        <w:rPr>
          <w:rFonts w:hint="eastAsia" w:ascii="黑体" w:hAnsi="宋体" w:cs="黑体"/>
          <w:kern w:val="0"/>
          <w:sz w:val="28"/>
          <w:szCs w:val="28"/>
        </w:rPr>
        <w:t>、分段信息</w:t>
      </w:r>
      <w:bookmarkEnd w:id="68"/>
    </w:p>
    <w:p>
      <w:pPr>
        <w:bidi w:val="0"/>
        <w:rPr>
          <w:rFonts w:hint="eastAsia"/>
          <w:sz w:val="28"/>
          <w:szCs w:val="28"/>
        </w:rPr>
      </w:pPr>
      <w:r>
        <w:rPr>
          <w:rFonts w:hint="eastAsia"/>
          <w:sz w:val="28"/>
          <w:szCs w:val="28"/>
          <w:lang w:val="en-US" w:eastAsia="zh-CN"/>
        </w:rPr>
        <w:t>沙溪浩</w:t>
      </w:r>
      <w:r>
        <w:rPr>
          <w:rFonts w:hint="eastAsia"/>
          <w:sz w:val="28"/>
          <w:szCs w:val="28"/>
        </w:rPr>
        <w:t>干流全长</w:t>
      </w:r>
      <w:r>
        <w:rPr>
          <w:rFonts w:hint="eastAsia"/>
          <w:sz w:val="28"/>
          <w:szCs w:val="28"/>
          <w:lang w:val="en-US" w:eastAsia="zh-CN"/>
        </w:rPr>
        <w:t>21.689</w:t>
      </w:r>
      <w:r>
        <w:rPr>
          <w:rFonts w:hint="eastAsia"/>
          <w:sz w:val="28"/>
          <w:szCs w:val="28"/>
        </w:rPr>
        <w:t>km，流经</w:t>
      </w:r>
      <w:r>
        <w:rPr>
          <w:rFonts w:hint="eastAsia"/>
          <w:sz w:val="28"/>
          <w:szCs w:val="28"/>
          <w:lang w:val="en-US" w:eastAsia="zh-CN"/>
        </w:rPr>
        <w:t>4个乡镇</w:t>
      </w:r>
      <w:r>
        <w:rPr>
          <w:rFonts w:hint="eastAsia"/>
          <w:sz w:val="28"/>
          <w:szCs w:val="28"/>
        </w:rPr>
        <w:t>，不同河段自然地理特征及功能定位存在较大差异。为全面掌握</w:t>
      </w:r>
      <w:r>
        <w:rPr>
          <w:rFonts w:hint="eastAsia"/>
          <w:sz w:val="28"/>
          <w:szCs w:val="28"/>
          <w:lang w:val="en-US" w:eastAsia="zh-CN"/>
        </w:rPr>
        <w:t>沙溪浩</w:t>
      </w:r>
      <w:r>
        <w:rPr>
          <w:rFonts w:hint="eastAsia"/>
          <w:sz w:val="28"/>
          <w:szCs w:val="28"/>
        </w:rPr>
        <w:t>真实健康状况，本次评价以</w:t>
      </w:r>
      <w:r>
        <w:rPr>
          <w:rFonts w:hint="eastAsia"/>
          <w:sz w:val="28"/>
          <w:szCs w:val="28"/>
          <w:lang w:val="en-US" w:eastAsia="zh-CN"/>
        </w:rPr>
        <w:t>沙溪浩</w:t>
      </w:r>
      <w:r>
        <w:rPr>
          <w:rFonts w:hint="eastAsia"/>
          <w:sz w:val="28"/>
          <w:szCs w:val="28"/>
        </w:rPr>
        <w:t>流域地形地势、水文特征、河床及河滨带形态、水生生物特征为主要依据，将</w:t>
      </w:r>
      <w:r>
        <w:rPr>
          <w:rFonts w:hint="eastAsia"/>
          <w:sz w:val="28"/>
          <w:szCs w:val="28"/>
          <w:lang w:val="en-US" w:eastAsia="zh-CN"/>
        </w:rPr>
        <w:t>沙溪浩</w:t>
      </w:r>
      <w:r>
        <w:rPr>
          <w:rFonts w:hint="eastAsia"/>
          <w:sz w:val="28"/>
          <w:szCs w:val="28"/>
        </w:rPr>
        <w:t>干流划分为</w:t>
      </w:r>
      <w:r>
        <w:rPr>
          <w:rFonts w:hint="eastAsia"/>
          <w:sz w:val="28"/>
          <w:szCs w:val="28"/>
          <w:lang w:val="en-US" w:eastAsia="zh-CN"/>
        </w:rPr>
        <w:t>碾子沟水库段</w:t>
      </w:r>
      <w:r>
        <w:rPr>
          <w:rFonts w:hint="eastAsia"/>
          <w:sz w:val="28"/>
          <w:szCs w:val="28"/>
        </w:rPr>
        <w:t>、</w:t>
      </w:r>
      <w:r>
        <w:rPr>
          <w:rFonts w:hint="eastAsia"/>
          <w:sz w:val="28"/>
          <w:szCs w:val="28"/>
          <w:lang w:val="en-US" w:eastAsia="zh-CN"/>
        </w:rPr>
        <w:t>沙溪浩上游段</w:t>
      </w:r>
      <w:r>
        <w:rPr>
          <w:rFonts w:hint="eastAsia"/>
          <w:sz w:val="28"/>
          <w:szCs w:val="28"/>
        </w:rPr>
        <w:t>、</w:t>
      </w:r>
      <w:r>
        <w:rPr>
          <w:rFonts w:hint="eastAsia"/>
          <w:sz w:val="28"/>
          <w:szCs w:val="28"/>
          <w:lang w:val="en-US" w:eastAsia="zh-CN"/>
        </w:rPr>
        <w:t>大洋沟水库段</w:t>
      </w:r>
      <w:r>
        <w:rPr>
          <w:rFonts w:hint="eastAsia"/>
          <w:sz w:val="28"/>
          <w:szCs w:val="28"/>
        </w:rPr>
        <w:t>、</w:t>
      </w:r>
      <w:r>
        <w:rPr>
          <w:rFonts w:hint="eastAsia"/>
          <w:sz w:val="28"/>
          <w:szCs w:val="28"/>
          <w:lang w:val="en-US" w:eastAsia="zh-CN"/>
        </w:rPr>
        <w:t>沙溪浩下游段</w:t>
      </w:r>
      <w:r>
        <w:rPr>
          <w:rFonts w:hint="eastAsia"/>
          <w:sz w:val="28"/>
          <w:szCs w:val="28"/>
        </w:rPr>
        <w:t>共4段。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sz w:val="18"/>
                <w:szCs w:val="18"/>
                <w:vertAlign w:val="baseline"/>
              </w:rPr>
            </w:pPr>
            <w:r>
              <w:rPr>
                <w:rFonts w:hint="eastAsia" w:ascii="宋体" w:hAnsi="宋体" w:cs="宋体"/>
                <w:kern w:val="0"/>
                <w:sz w:val="18"/>
                <w:szCs w:val="18"/>
                <w:lang w:bidi="ar"/>
              </w:rPr>
              <w:t>评价河段</w:t>
            </w:r>
            <w:r>
              <w:rPr>
                <w:rFonts w:hint="eastAsia" w:ascii="Times New Roman" w:hAnsi="Times New Roman"/>
                <w:kern w:val="0"/>
                <w:sz w:val="18"/>
                <w:szCs w:val="18"/>
                <w:lang w:bidi="ar"/>
              </w:rPr>
              <w:t>名称</w:t>
            </w:r>
          </w:p>
        </w:tc>
        <w:tc>
          <w:tcPr>
            <w:tcW w:w="2130" w:type="dxa"/>
          </w:tcPr>
          <w:p>
            <w:pPr>
              <w:jc w:val="center"/>
              <w:rPr>
                <w:sz w:val="18"/>
                <w:szCs w:val="18"/>
                <w:vertAlign w:val="baseline"/>
              </w:rPr>
            </w:pPr>
            <w:r>
              <w:rPr>
                <w:rFonts w:hint="eastAsia" w:ascii="宋体" w:hAnsi="宋体" w:cs="宋体"/>
                <w:kern w:val="0"/>
                <w:sz w:val="18"/>
                <w:szCs w:val="18"/>
                <w:lang w:bidi="ar"/>
              </w:rPr>
              <w:t>长度（</w:t>
            </w:r>
            <w:r>
              <w:rPr>
                <w:rFonts w:ascii="Times New Roman" w:hAnsi="Times New Roman"/>
                <w:kern w:val="0"/>
                <w:sz w:val="18"/>
                <w:szCs w:val="18"/>
                <w:lang w:bidi="ar"/>
              </w:rPr>
              <w:t>km</w:t>
            </w:r>
            <w:r>
              <w:rPr>
                <w:rFonts w:hint="eastAsia" w:ascii="宋体" w:hAnsi="宋体" w:cs="宋体"/>
                <w:kern w:val="0"/>
                <w:sz w:val="18"/>
                <w:szCs w:val="18"/>
                <w:lang w:bidi="ar"/>
              </w:rPr>
              <w:t>）</w:t>
            </w:r>
          </w:p>
        </w:tc>
        <w:tc>
          <w:tcPr>
            <w:tcW w:w="2431" w:type="dxa"/>
          </w:tcPr>
          <w:p>
            <w:pPr>
              <w:jc w:val="center"/>
              <w:rPr>
                <w:sz w:val="18"/>
                <w:szCs w:val="18"/>
                <w:vertAlign w:val="baseline"/>
              </w:rPr>
            </w:pPr>
            <w:r>
              <w:rPr>
                <w:rFonts w:hint="eastAsia" w:ascii="Times New Roman" w:hAnsi="Times New Roman"/>
                <w:kern w:val="0"/>
                <w:sz w:val="18"/>
                <w:szCs w:val="18"/>
                <w:lang w:bidi="ar"/>
              </w:rPr>
              <w:t>河段描述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sz w:val="18"/>
                <w:szCs w:val="18"/>
                <w:vertAlign w:val="baseline"/>
              </w:rPr>
            </w:pPr>
            <w:r>
              <w:rPr>
                <w:rFonts w:hint="eastAsia" w:ascii="Times New Roman" w:hAnsi="Times New Roman"/>
                <w:kern w:val="0"/>
                <w:sz w:val="18"/>
                <w:szCs w:val="18"/>
                <w:lang w:val="en-US" w:eastAsia="zh-CN" w:bidi="ar"/>
              </w:rPr>
              <w:t>碾子沟水库段</w:t>
            </w:r>
          </w:p>
        </w:tc>
        <w:tc>
          <w:tcPr>
            <w:tcW w:w="2130"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1.189</w:t>
            </w:r>
          </w:p>
        </w:tc>
        <w:tc>
          <w:tcPr>
            <w:tcW w:w="2431"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河源</w:t>
            </w:r>
            <w:r>
              <w:rPr>
                <w:rFonts w:hint="eastAsia" w:ascii="Times New Roman" w:hAnsi="Times New Roman"/>
                <w:kern w:val="0"/>
                <w:sz w:val="18"/>
                <w:szCs w:val="18"/>
                <w:lang w:bidi="ar"/>
              </w:rPr>
              <w:t>～</w:t>
            </w:r>
            <w:r>
              <w:rPr>
                <w:rFonts w:hint="eastAsia" w:ascii="Times New Roman" w:hAnsi="Times New Roman"/>
                <w:kern w:val="0"/>
                <w:sz w:val="18"/>
                <w:szCs w:val="18"/>
                <w:lang w:val="en-US" w:eastAsia="zh-CN" w:bidi="ar"/>
              </w:rPr>
              <w:t>碾子沟水库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sz w:val="18"/>
                <w:szCs w:val="18"/>
                <w:vertAlign w:val="baseline"/>
              </w:rPr>
            </w:pPr>
            <w:r>
              <w:rPr>
                <w:rFonts w:hint="eastAsia" w:ascii="Times New Roman" w:hAnsi="Times New Roman"/>
                <w:kern w:val="0"/>
                <w:sz w:val="18"/>
                <w:szCs w:val="18"/>
                <w:lang w:val="en-US" w:eastAsia="zh-CN" w:bidi="ar"/>
              </w:rPr>
              <w:t>沙溪浩上游段</w:t>
            </w:r>
          </w:p>
        </w:tc>
        <w:tc>
          <w:tcPr>
            <w:tcW w:w="2130"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5.5</w:t>
            </w:r>
          </w:p>
        </w:tc>
        <w:tc>
          <w:tcPr>
            <w:tcW w:w="2431"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碾子沟水库</w:t>
            </w:r>
            <w:r>
              <w:rPr>
                <w:rFonts w:hint="eastAsia" w:ascii="Times New Roman" w:hAnsi="Times New Roman"/>
                <w:kern w:val="0"/>
                <w:sz w:val="18"/>
                <w:szCs w:val="18"/>
                <w:lang w:bidi="ar"/>
              </w:rPr>
              <w:t>～</w:t>
            </w:r>
            <w:r>
              <w:rPr>
                <w:rFonts w:hint="eastAsia" w:ascii="Times New Roman" w:hAnsi="Times New Roman"/>
                <w:kern w:val="0"/>
                <w:sz w:val="18"/>
                <w:szCs w:val="18"/>
                <w:lang w:val="en-US" w:eastAsia="zh-CN" w:bidi="ar"/>
              </w:rPr>
              <w:t>大洋沟水库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sz w:val="18"/>
                <w:szCs w:val="18"/>
                <w:vertAlign w:val="baseline"/>
              </w:rPr>
            </w:pPr>
            <w:r>
              <w:rPr>
                <w:rFonts w:hint="eastAsia" w:ascii="Times New Roman" w:hAnsi="Times New Roman"/>
                <w:kern w:val="0"/>
                <w:sz w:val="18"/>
                <w:szCs w:val="18"/>
                <w:lang w:val="en-US" w:eastAsia="zh-CN" w:bidi="ar"/>
              </w:rPr>
              <w:t>大洋沟水库段</w:t>
            </w:r>
          </w:p>
        </w:tc>
        <w:tc>
          <w:tcPr>
            <w:tcW w:w="2130"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3.5</w:t>
            </w:r>
          </w:p>
        </w:tc>
        <w:tc>
          <w:tcPr>
            <w:tcW w:w="2431"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大洋沟水库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sz w:val="18"/>
                <w:szCs w:val="18"/>
                <w:vertAlign w:val="baseline"/>
              </w:rPr>
            </w:pPr>
            <w:r>
              <w:rPr>
                <w:rFonts w:hint="eastAsia" w:ascii="宋体" w:hAnsi="宋体" w:cs="宋体"/>
                <w:kern w:val="0"/>
                <w:sz w:val="18"/>
                <w:szCs w:val="18"/>
                <w:lang w:val="en-US" w:eastAsia="zh-CN" w:bidi="ar"/>
              </w:rPr>
              <w:t>沙溪浩下游段</w:t>
            </w:r>
          </w:p>
        </w:tc>
        <w:tc>
          <w:tcPr>
            <w:tcW w:w="2130" w:type="dxa"/>
          </w:tcPr>
          <w:p>
            <w:pPr>
              <w:jc w:val="center"/>
              <w:rPr>
                <w:rFonts w:hint="default" w:eastAsia="宋体"/>
                <w:sz w:val="18"/>
                <w:szCs w:val="18"/>
                <w:vertAlign w:val="baseline"/>
                <w:lang w:val="en-US" w:eastAsia="zh-CN"/>
              </w:rPr>
            </w:pPr>
            <w:r>
              <w:rPr>
                <w:rFonts w:hint="eastAsia"/>
                <w:sz w:val="18"/>
                <w:szCs w:val="18"/>
                <w:vertAlign w:val="baseline"/>
                <w:lang w:val="en-US" w:eastAsia="zh-CN"/>
              </w:rPr>
              <w:t>11.5</w:t>
            </w:r>
          </w:p>
        </w:tc>
        <w:tc>
          <w:tcPr>
            <w:tcW w:w="2431" w:type="dxa"/>
          </w:tcPr>
          <w:p>
            <w:pPr>
              <w:jc w:val="center"/>
              <w:rPr>
                <w:rFonts w:hint="default" w:eastAsia="宋体"/>
                <w:sz w:val="18"/>
                <w:szCs w:val="18"/>
                <w:vertAlign w:val="baseline"/>
                <w:lang w:val="en-US" w:eastAsia="zh-CN"/>
              </w:rPr>
            </w:pPr>
            <w:r>
              <w:rPr>
                <w:rFonts w:hint="eastAsia" w:ascii="Times New Roman" w:hAnsi="Times New Roman"/>
                <w:kern w:val="0"/>
                <w:sz w:val="18"/>
                <w:szCs w:val="18"/>
                <w:lang w:val="en-US" w:eastAsia="zh-CN" w:bidi="ar"/>
              </w:rPr>
              <w:t>大洋沟水库</w:t>
            </w:r>
            <w:r>
              <w:rPr>
                <w:rFonts w:hint="eastAsia" w:ascii="Times New Roman" w:hAnsi="Times New Roman"/>
                <w:kern w:val="0"/>
                <w:sz w:val="18"/>
                <w:szCs w:val="18"/>
                <w:lang w:bidi="ar"/>
              </w:rPr>
              <w:t>～</w:t>
            </w:r>
            <w:r>
              <w:rPr>
                <w:rFonts w:hint="eastAsia" w:ascii="Times New Roman" w:hAnsi="Times New Roman"/>
                <w:kern w:val="0"/>
                <w:sz w:val="18"/>
                <w:szCs w:val="18"/>
                <w:lang w:val="en-US" w:eastAsia="zh-CN" w:bidi="ar"/>
              </w:rPr>
              <w:t>入嘉陵江河口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Pr>
          <w:p>
            <w:pPr>
              <w:jc w:val="center"/>
              <w:rPr>
                <w:rFonts w:hint="default" w:ascii="宋体" w:hAnsi="宋体" w:cs="宋体"/>
                <w:kern w:val="0"/>
                <w:sz w:val="18"/>
                <w:szCs w:val="18"/>
                <w:lang w:val="en-US" w:eastAsia="zh-CN" w:bidi="ar"/>
              </w:rPr>
            </w:pPr>
            <w:r>
              <w:rPr>
                <w:rFonts w:hint="eastAsia" w:ascii="宋体" w:hAnsi="宋体" w:cs="宋体"/>
                <w:kern w:val="0"/>
                <w:sz w:val="18"/>
                <w:szCs w:val="18"/>
                <w:lang w:val="en-US" w:eastAsia="zh-CN" w:bidi="ar"/>
              </w:rPr>
              <w:t>合计</w:t>
            </w:r>
          </w:p>
        </w:tc>
        <w:tc>
          <w:tcPr>
            <w:tcW w:w="2130" w:type="dxa"/>
          </w:tcPr>
          <w:p>
            <w:pPr>
              <w:jc w:val="center"/>
              <w:rPr>
                <w:rFonts w:hint="default"/>
                <w:sz w:val="18"/>
                <w:szCs w:val="18"/>
                <w:vertAlign w:val="baseline"/>
                <w:lang w:val="en-US" w:eastAsia="zh-CN"/>
              </w:rPr>
            </w:pPr>
            <w:r>
              <w:rPr>
                <w:rFonts w:hint="eastAsia"/>
                <w:sz w:val="18"/>
                <w:szCs w:val="18"/>
                <w:vertAlign w:val="baseline"/>
                <w:lang w:val="en-US" w:eastAsia="zh-CN"/>
              </w:rPr>
              <w:t>21.689</w:t>
            </w:r>
          </w:p>
        </w:tc>
        <w:tc>
          <w:tcPr>
            <w:tcW w:w="2431" w:type="dxa"/>
          </w:tcPr>
          <w:p>
            <w:pPr>
              <w:jc w:val="center"/>
              <w:rPr>
                <w:rFonts w:hint="default" w:ascii="Times New Roman" w:hAnsi="Times New Roman"/>
                <w:kern w:val="0"/>
                <w:sz w:val="18"/>
                <w:szCs w:val="18"/>
                <w:lang w:val="en-US" w:eastAsia="zh-CN" w:bidi="ar"/>
              </w:rPr>
            </w:pPr>
            <w:r>
              <w:rPr>
                <w:rFonts w:hint="eastAsia" w:ascii="Times New Roman" w:hAnsi="Times New Roman"/>
                <w:kern w:val="0"/>
                <w:sz w:val="18"/>
                <w:szCs w:val="18"/>
                <w:lang w:val="en-US" w:eastAsia="zh-CN" w:bidi="ar"/>
              </w:rPr>
              <w:t>/</w:t>
            </w:r>
          </w:p>
        </w:tc>
      </w:tr>
    </w:tbl>
    <w:p>
      <w:pPr>
        <w:pStyle w:val="4"/>
        <w:widowControl/>
        <w:numPr>
          <w:ilvl w:val="0"/>
          <w:numId w:val="0"/>
        </w:numPr>
        <w:ind w:leftChars="0"/>
        <w:jc w:val="center"/>
        <w:rPr>
          <w:rFonts w:ascii="Times New Roman" w:hAnsi="Times New Roman"/>
          <w:b/>
          <w:sz w:val="28"/>
          <w:szCs w:val="28"/>
        </w:rPr>
      </w:pPr>
      <w:bookmarkStart w:id="69" w:name="_Toc24997"/>
      <w:r>
        <w:rPr>
          <w:rFonts w:hint="eastAsia" w:ascii="Times New Roman" w:hAnsi="Times New Roman"/>
          <w:b/>
          <w:sz w:val="28"/>
          <w:szCs w:val="28"/>
        </w:rPr>
        <w:t>二、评价指标及健康状况</w:t>
      </w:r>
      <w:bookmarkEnd w:id="69"/>
    </w:p>
    <w:p>
      <w:pPr>
        <w:pStyle w:val="27"/>
        <w:spacing w:line="360" w:lineRule="auto"/>
        <w:ind w:firstLine="560" w:firstLineChars="200"/>
        <w:rPr>
          <w:rFonts w:ascii="Times New Roman" w:hAnsi="Times New Roman"/>
          <w:sz w:val="28"/>
          <w:szCs w:val="28"/>
        </w:rPr>
      </w:pPr>
      <w:r>
        <w:rPr>
          <w:rFonts w:hint="eastAsia" w:ascii="黑体" w:hAnsi="宋体" w:eastAsia="黑体"/>
          <w:sz w:val="28"/>
          <w:szCs w:val="28"/>
          <w:lang w:bidi="ar"/>
        </w:rPr>
        <w:t>评价指标：</w:t>
      </w:r>
      <w:r>
        <w:rPr>
          <w:rFonts w:hint="eastAsia" w:ascii="Times New Roman" w:hAnsi="Times New Roman"/>
          <w:sz w:val="28"/>
          <w:szCs w:val="28"/>
          <w:lang w:bidi="ar"/>
        </w:rPr>
        <w:t>生态用水满足程度、水资源开发利用率、河岸带稳定性指标、河流纵向连通性指数、水体整洁程度、水质优劣程度、水质变化趋势、鱼类保有指数、外来水生动植物、公众满意度、防洪指标、供水指标、开发利用现状与规划的符合性。</w:t>
      </w:r>
    </w:p>
    <w:p>
      <w:pPr>
        <w:pStyle w:val="27"/>
        <w:spacing w:line="360" w:lineRule="auto"/>
        <w:ind w:firstLine="560" w:firstLineChars="200"/>
        <w:rPr>
          <w:rFonts w:hint="eastAsia" w:ascii="Times New Roman" w:hAnsi="Times New Roman"/>
          <w:sz w:val="28"/>
          <w:szCs w:val="28"/>
          <w:lang w:bidi="ar"/>
        </w:rPr>
      </w:pPr>
      <w:r>
        <w:rPr>
          <w:rFonts w:hint="eastAsia" w:ascii="黑体" w:hAnsi="宋体" w:eastAsia="黑体"/>
          <w:sz w:val="28"/>
          <w:szCs w:val="28"/>
          <w:lang w:bidi="ar"/>
        </w:rPr>
        <w:t>评价结论分级：</w:t>
      </w:r>
      <w:r>
        <w:rPr>
          <w:rFonts w:hint="eastAsia" w:ascii="宋体" w:hAnsi="宋体" w:cs="宋体"/>
          <w:sz w:val="28"/>
          <w:szCs w:val="28"/>
          <w:lang w:bidi="ar"/>
        </w:rPr>
        <w:t>非常健康、健康、亚健康、不健康、劣</w:t>
      </w:r>
      <w:r>
        <w:rPr>
          <w:rFonts w:hint="eastAsia" w:ascii="Times New Roman" w:hAnsi="Times New Roman"/>
          <w:sz w:val="28"/>
          <w:szCs w:val="28"/>
          <w:lang w:bidi="ar"/>
        </w:rPr>
        <w:t>态。</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894"/>
        <w:gridCol w:w="1895"/>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等级</w:t>
            </w:r>
          </w:p>
        </w:tc>
        <w:tc>
          <w:tcPr>
            <w:tcW w:w="2223" w:type="pct"/>
            <w:gridSpan w:val="2"/>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颜色</w: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赋分范围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非常健康</w:t>
            </w:r>
          </w:p>
        </w:tc>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蓝</w:t>
            </w:r>
          </w:p>
        </w:tc>
        <w:tc>
          <w:tcPr>
            <w:tcW w:w="1112"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mc:AlternateContent>
                <mc:Choice Requires="wps">
                  <w:drawing>
                    <wp:anchor distT="0" distB="0" distL="114300" distR="114300" simplePos="0" relativeHeight="251679744" behindDoc="0" locked="0" layoutInCell="1" allowOverlap="1">
                      <wp:simplePos x="0" y="0"/>
                      <wp:positionH relativeFrom="column">
                        <wp:posOffset>429895</wp:posOffset>
                      </wp:positionH>
                      <wp:positionV relativeFrom="paragraph">
                        <wp:posOffset>48260</wp:posOffset>
                      </wp:positionV>
                      <wp:extent cx="179705" cy="190500"/>
                      <wp:effectExtent l="6985" t="6350" r="22860" b="12700"/>
                      <wp:wrapNone/>
                      <wp:docPr id="64" name="六边形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00B0F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85pt;margin-top:3.8pt;height:15pt;width:14.15pt;z-index:251679744;mso-width-relative:page;mso-height-relative:page;" fillcolor="#00B0F0" filled="t" stroked="t" coordsize="21600,21600" o:gfxdata="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EP8E5PWAAAABgEAAA8AAAAAAAAAAQAgAAAAIgAAAGRycy9kb3ducmV2&#10;LnhtbFBLAQIUABQAAAAIAIdO4kDKGDQk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90≤HI≤100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健康</w:t>
            </w:r>
          </w:p>
        </w:tc>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绿</w:t>
            </w:r>
          </w:p>
        </w:tc>
        <w:tc>
          <w:tcPr>
            <w:tcW w:w="1112"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mc:AlternateContent>
                <mc:Choice Requires="wps">
                  <w:drawing>
                    <wp:anchor distT="0" distB="0" distL="114300" distR="114300" simplePos="0" relativeHeight="251680768" behindDoc="0" locked="0" layoutInCell="1" allowOverlap="1">
                      <wp:simplePos x="0" y="0"/>
                      <wp:positionH relativeFrom="column">
                        <wp:posOffset>436245</wp:posOffset>
                      </wp:positionH>
                      <wp:positionV relativeFrom="paragraph">
                        <wp:posOffset>40005</wp:posOffset>
                      </wp:positionV>
                      <wp:extent cx="179705" cy="190500"/>
                      <wp:effectExtent l="6985" t="6350" r="22860" b="12700"/>
                      <wp:wrapNone/>
                      <wp:docPr id="65" name="六边形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79705" cy="190500"/>
                              </a:xfrm>
                              <a:prstGeom prst="hexagon">
                                <a:avLst>
                                  <a:gd name="adj" fmla="val 25000"/>
                                  <a:gd name="vf" fmla="val 115470"/>
                                </a:avLst>
                              </a:prstGeom>
                              <a:solidFill>
                                <a:srgbClr val="92D05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4.35pt;margin-top:3.15pt;height:15pt;width:14.15pt;z-index:251680768;mso-width-relative:page;mso-height-relative:page;" fillcolor="#92D050" filled="t" stroked="t" coordsize="21600,21600" o:gfxdata="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fpMX/WAAAABgEAAA8AAAAAAAAAAQAgAAAAIgAAAGRycy9kb3ducmV2&#10;LnhtbFBLAQIUABQAAAAIAIdO4kA9LdoRcAIAAOYEAAAOAAAAAAAAAAEAIAAAACUBAABkcnMvZTJv&#10;RG9jLnhtbFBLBQYAAAAABgAGAFkBAAAHBg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hint="eastAsia" w:ascii="Times New Roman" w:hAnsi="Times New Roman"/>
                <w:bCs/>
                <w:sz w:val="18"/>
                <w:szCs w:val="18"/>
                <w:lang w:val="en-US" w:eastAsia="zh-CN"/>
              </w:rPr>
              <w:t>7</w:t>
            </w:r>
            <w:r>
              <w:rPr>
                <w:rFonts w:ascii="Times New Roman" w:hAnsi="Times New Roman"/>
                <w:bCs/>
                <w:sz w:val="18"/>
                <w:szCs w:val="18"/>
                <w:lang w:val="en-US" w:eastAsia="zh-CN"/>
              </w:rPr>
              <w:t>5≤HI＜90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亚健康</w:t>
            </w:r>
          </w:p>
        </w:tc>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黄</w:t>
            </w:r>
          </w:p>
        </w:tc>
        <w:tc>
          <w:tcPr>
            <w:tcW w:w="1112"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mc:AlternateContent>
                <mc:Choice Requires="wps">
                  <w:drawing>
                    <wp:anchor distT="0" distB="0" distL="114300" distR="114300" simplePos="0" relativeHeight="251681792" behindDoc="0" locked="0" layoutInCell="1" allowOverlap="1">
                      <wp:simplePos x="0" y="0"/>
                      <wp:positionH relativeFrom="column">
                        <wp:posOffset>425450</wp:posOffset>
                      </wp:positionH>
                      <wp:positionV relativeFrom="paragraph">
                        <wp:posOffset>20320</wp:posOffset>
                      </wp:positionV>
                      <wp:extent cx="190500" cy="190500"/>
                      <wp:effectExtent l="6985" t="6350" r="12065" b="12700"/>
                      <wp:wrapNone/>
                      <wp:docPr id="66" name="六边形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FF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1.6pt;height:15pt;width:15pt;z-index:251681792;mso-width-relative:page;mso-height-relative:page;" fillcolor="#FFFF00" filled="t" stroked="t" coordsize="21600,21600" o:gfxdata="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mxPD0wAAAAYBAAAPAAAAAAAAAAEAIAAAACIAAABkcnMvZG93bnJldi54bWxQ&#10;SwECFAAUAAAACACHTuJADVLYAG4CAADmBAAADgAAAAAAAAABACAAAAAiAQAAZHJzL2Uyb0RvYy54&#10;bWxQSwUGAAAAAAYABgBZAQAAAg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60≤HI＜75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不健康</w:t>
            </w:r>
          </w:p>
        </w:tc>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橙</w:t>
            </w:r>
          </w:p>
        </w:tc>
        <w:tc>
          <w:tcPr>
            <w:tcW w:w="1112"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mc:AlternateContent>
                <mc:Choice Requires="wps">
                  <w:drawing>
                    <wp:anchor distT="0" distB="0" distL="114300" distR="114300" simplePos="0" relativeHeight="251682816" behindDoc="0" locked="0" layoutInCell="1" allowOverlap="1">
                      <wp:simplePos x="0" y="0"/>
                      <wp:positionH relativeFrom="column">
                        <wp:posOffset>425450</wp:posOffset>
                      </wp:positionH>
                      <wp:positionV relativeFrom="paragraph">
                        <wp:posOffset>30480</wp:posOffset>
                      </wp:positionV>
                      <wp:extent cx="190500" cy="190500"/>
                      <wp:effectExtent l="6985" t="6350" r="12065" b="12700"/>
                      <wp:wrapNone/>
                      <wp:docPr id="67" name="六边形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hexagon">
                                <a:avLst>
                                  <a:gd name="adj" fmla="val 25000"/>
                                  <a:gd name="vf" fmla="val 115470"/>
                                </a:avLst>
                              </a:prstGeom>
                              <a:solidFill>
                                <a:srgbClr val="FFC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4pt;height:15pt;width:15pt;z-index:251682816;mso-width-relative:page;mso-height-relative:page;" fillcolor="#FFC000" filled="t" stroked="t" coordsize="21600,21600" o:gfxdata="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GQJRd0QAAAAYBAAAPAAAAAAAAAAEAIAAAACIAAABkcnMvZG93bnJldi54bWxQ&#10;SwECFAAUAAAACACHTuJAF9v9W3ACAADmBAAADgAAAAAAAAABACAAAAAgAQAAZHJzL2Uyb0RvYy54&#10;bWxQSwUGAAAAAAYABgBZAQAAAg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40≤HI＜60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pct"/>
            <w:noWrap w:val="0"/>
            <w:vAlign w:val="center"/>
          </w:tcPr>
          <w:p>
            <w:pPr>
              <w:pStyle w:val="46"/>
              <w:adjustRightInd w:val="0"/>
              <w:snapToGrid w:val="0"/>
              <w:rPr>
                <w:rFonts w:ascii="Times New Roman" w:hAnsi="Times New Roman"/>
                <w:bCs/>
                <w:sz w:val="18"/>
                <w:szCs w:val="18"/>
                <w:lang w:val="en-US" w:eastAsia="zh-CN"/>
              </w:rPr>
            </w:pPr>
            <w:r>
              <w:rPr>
                <w:rFonts w:hint="eastAsia" w:ascii="Times New Roman" w:hAnsi="Times New Roman"/>
                <w:bCs/>
                <w:sz w:val="18"/>
                <w:szCs w:val="18"/>
                <w:lang w:val="en-US" w:eastAsia="zh-CN"/>
              </w:rPr>
              <w:t>劣</w:t>
            </w:r>
            <w:r>
              <w:rPr>
                <w:rFonts w:ascii="Times New Roman" w:hAnsi="Times New Roman"/>
                <w:bCs/>
                <w:sz w:val="18"/>
                <w:szCs w:val="18"/>
                <w:lang w:val="en-US" w:eastAsia="zh-CN"/>
              </w:rPr>
              <w:t>态</w:t>
            </w:r>
          </w:p>
        </w:tc>
        <w:tc>
          <w:tcPr>
            <w:tcW w:w="1111"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红</w:t>
            </w:r>
          </w:p>
        </w:tc>
        <w:tc>
          <w:tcPr>
            <w:tcW w:w="1112"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mc:AlternateContent>
                <mc:Choice Requires="wps">
                  <w:drawing>
                    <wp:anchor distT="0" distB="0" distL="114300" distR="114300" simplePos="0" relativeHeight="251683840" behindDoc="0" locked="0" layoutInCell="1" allowOverlap="1">
                      <wp:simplePos x="0" y="0"/>
                      <wp:positionH relativeFrom="column">
                        <wp:posOffset>425450</wp:posOffset>
                      </wp:positionH>
                      <wp:positionV relativeFrom="paragraph">
                        <wp:posOffset>34925</wp:posOffset>
                      </wp:positionV>
                      <wp:extent cx="190500" cy="194945"/>
                      <wp:effectExtent l="6985" t="6350" r="12065" b="8255"/>
                      <wp:wrapNone/>
                      <wp:docPr id="68" name="六边形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4945"/>
                              </a:xfrm>
                              <a:prstGeom prst="hexagon">
                                <a:avLst>
                                  <a:gd name="adj" fmla="val 25000"/>
                                  <a:gd name="vf" fmla="val 115470"/>
                                </a:avLst>
                              </a:prstGeom>
                              <a:solidFill>
                                <a:srgbClr val="FF0000"/>
                              </a:solidFill>
                              <a:ln w="12700" cmpd="sng">
                                <a:solidFill>
                                  <a:srgbClr val="EEECE1"/>
                                </a:solidFill>
                                <a:miter lim="800000"/>
                              </a:ln>
                              <a:effectLst/>
                            </wps:spPr>
                            <wps:txbx>
                              <w:txbxContent>
                                <w:p/>
                              </w:txbxContent>
                            </wps:txbx>
                            <wps:bodyPr rot="0" vert="horz" wrap="square" lIns="91440" tIns="45720" rIns="91440" bIns="45720" anchor="t" anchorCtr="0" upright="1">
                              <a:noAutofit/>
                            </wps:bodyPr>
                          </wps:wsp>
                        </a:graphicData>
                      </a:graphic>
                    </wp:anchor>
                  </w:drawing>
                </mc:Choice>
                <mc:Fallback>
                  <w:pict>
                    <v:shape id="_x0000_s1026" o:spid="_x0000_s1026" o:spt="9" type="#_x0000_t9" style="position:absolute;left:0pt;margin-left:33.5pt;margin-top:2.75pt;height:15.35pt;width:15pt;z-index:251683840;mso-width-relative:page;mso-height-relative:page;" fillcolor="#FF0000" filled="t" stroked="t" coordsize="21600,21600" o:gfxdata="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HvsRE1wAAAAYBAAAPAAAAAAAAAAEAIAAAACIAAABkcnMvZG93bnJl&#10;di54bWxQSwECFAAUAAAACACHTuJA/bmIbnACAADmBAAADgAAAAAAAAABACAAAAAmAQAAZHJzL2Uy&#10;b0RvYy54bWxQSwUGAAAAAAYABgBZAQAACAYAAAAA&#10;" adj="5400">
                      <v:fill on="t" focussize="0,0"/>
                      <v:stroke weight="1pt" color="#EEECE1" miterlimit="8" joinstyle="miter"/>
                      <v:imagedata o:title=""/>
                      <o:lock v:ext="edit" aspectratio="t"/>
                      <v:textbox>
                        <w:txbxContent>
                          <w:p/>
                        </w:txbxContent>
                      </v:textbox>
                    </v:shape>
                  </w:pict>
                </mc:Fallback>
              </mc:AlternateContent>
            </w:r>
          </w:p>
        </w:tc>
        <w:tc>
          <w:tcPr>
            <w:tcW w:w="1666" w:type="pct"/>
            <w:noWrap w:val="0"/>
            <w:vAlign w:val="center"/>
          </w:tcPr>
          <w:p>
            <w:pPr>
              <w:pStyle w:val="46"/>
              <w:adjustRightInd w:val="0"/>
              <w:snapToGrid w:val="0"/>
              <w:rPr>
                <w:rFonts w:ascii="Times New Roman" w:hAnsi="Times New Roman"/>
                <w:bCs/>
                <w:sz w:val="18"/>
                <w:szCs w:val="18"/>
                <w:lang w:val="en-US" w:eastAsia="zh-CN"/>
              </w:rPr>
            </w:pPr>
            <w:r>
              <w:rPr>
                <w:rFonts w:ascii="Times New Roman" w:hAnsi="Times New Roman"/>
                <w:bCs/>
                <w:sz w:val="18"/>
                <w:szCs w:val="18"/>
                <w:lang w:val="en-US" w:eastAsia="zh-CN"/>
              </w:rPr>
              <w:t>0≤HI＜40</w:t>
            </w:r>
          </w:p>
        </w:tc>
      </w:tr>
    </w:tbl>
    <w:p>
      <w:pPr>
        <w:pStyle w:val="27"/>
        <w:spacing w:line="360" w:lineRule="auto"/>
        <w:ind w:firstLine="560" w:firstLineChars="200"/>
        <w:rPr>
          <w:rFonts w:hint="eastAsia" w:ascii="Times New Roman" w:hAnsi="Times New Roman"/>
          <w:sz w:val="28"/>
          <w:szCs w:val="28"/>
          <w:lang w:bidi="ar"/>
        </w:rPr>
      </w:pPr>
    </w:p>
    <w:p>
      <w:pPr>
        <w:pStyle w:val="6"/>
        <w:widowControl/>
        <w:numPr>
          <w:ilvl w:val="0"/>
          <w:numId w:val="0"/>
        </w:numPr>
        <w:ind w:left="420" w:leftChars="0"/>
        <w:rPr>
          <w:rFonts w:ascii="Times New Roman" w:hAnsi="Times New Roman"/>
          <w:kern w:val="0"/>
          <w:sz w:val="28"/>
          <w:szCs w:val="28"/>
        </w:rPr>
      </w:pPr>
      <w:bookmarkStart w:id="70" w:name="_Toc14865"/>
      <w:r>
        <w:rPr>
          <w:rFonts w:ascii="Times New Roman" w:hAnsi="Times New Roman"/>
          <w:kern w:val="0"/>
          <w:sz w:val="28"/>
          <w:szCs w:val="28"/>
        </w:rPr>
        <w:t>1</w:t>
      </w:r>
      <w:r>
        <w:rPr>
          <w:rFonts w:hint="eastAsia" w:ascii="Times New Roman" w:hAnsi="Times New Roman"/>
          <w:kern w:val="0"/>
          <w:sz w:val="28"/>
          <w:szCs w:val="28"/>
        </w:rPr>
        <w:t>、盆</w:t>
      </w:r>
      <w:bookmarkEnd w:id="70"/>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1894"/>
        <w:gridCol w:w="2620"/>
        <w:gridCol w:w="1458"/>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tcBorders>
              <w:top w:val="single" w:color="auto" w:sz="4" w:space="0"/>
              <w:left w:val="single" w:color="auto" w:sz="4" w:space="0"/>
              <w:bottom w:val="single" w:color="auto" w:sz="4" w:space="0"/>
              <w:right w:val="single" w:color="auto" w:sz="4" w:space="0"/>
            </w:tcBorders>
            <w:noWrap w:val="0"/>
            <w:vAlign w:val="top"/>
          </w:tcPr>
          <w:p>
            <w:pPr>
              <w:widowControl/>
              <w:ind w:left="0" w:leftChars="0" w:firstLine="0" w:firstLineChars="0"/>
              <w:jc w:val="center"/>
              <w:rPr>
                <w:rFonts w:ascii="Times New Roman" w:hAnsi="Times New Roman" w:cs="宋体"/>
                <w:kern w:val="0"/>
                <w:szCs w:val="21"/>
              </w:rPr>
            </w:pPr>
            <w:r>
              <w:rPr>
                <w:rFonts w:hint="eastAsia" w:ascii="Times New Roman" w:hAnsi="Times New Roman" w:cs="宋体"/>
                <w:kern w:val="0"/>
                <w:szCs w:val="21"/>
                <w:lang w:bidi="ar"/>
              </w:rPr>
              <w:t>准则层</w:t>
            </w:r>
          </w:p>
        </w:tc>
        <w:tc>
          <w:tcPr>
            <w:tcW w:w="1111"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Cs w:val="21"/>
              </w:rPr>
            </w:pPr>
            <w:r>
              <w:rPr>
                <w:rFonts w:hint="eastAsia" w:ascii="Times New Roman" w:hAnsi="Times New Roman" w:cs="宋体"/>
                <w:kern w:val="0"/>
                <w:szCs w:val="21"/>
                <w:lang w:bidi="ar"/>
              </w:rPr>
              <w:t>指标层</w:t>
            </w:r>
          </w:p>
        </w:tc>
        <w:tc>
          <w:tcPr>
            <w:tcW w:w="1537"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Cs w:val="21"/>
              </w:rPr>
            </w:pPr>
            <w:r>
              <w:rPr>
                <w:rFonts w:hint="eastAsia" w:ascii="Times New Roman" w:hAnsi="Times New Roman" w:cs="宋体"/>
                <w:kern w:val="0"/>
                <w:szCs w:val="21"/>
                <w:lang w:bidi="ar"/>
              </w:rPr>
              <w:t>评价分段</w:t>
            </w:r>
          </w:p>
        </w:tc>
        <w:tc>
          <w:tcPr>
            <w:tcW w:w="855"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Cs w:val="21"/>
              </w:rPr>
            </w:pPr>
            <w:r>
              <w:rPr>
                <w:rFonts w:hint="eastAsia" w:ascii="Times New Roman" w:hAnsi="Times New Roman" w:cs="宋体"/>
                <w:kern w:val="0"/>
                <w:szCs w:val="21"/>
                <w:lang w:bidi="ar"/>
              </w:rPr>
              <w:t>得分</w:t>
            </w:r>
          </w:p>
        </w:tc>
        <w:tc>
          <w:tcPr>
            <w:tcW w:w="816" w:type="pct"/>
            <w:tcBorders>
              <w:top w:val="single" w:color="auto" w:sz="4" w:space="0"/>
              <w:left w:val="nil"/>
              <w:bottom w:val="single" w:color="auto" w:sz="4" w:space="0"/>
              <w:right w:val="single" w:color="auto" w:sz="4" w:space="0"/>
            </w:tcBorders>
            <w:noWrap w:val="0"/>
            <w:vAlign w:val="center"/>
          </w:tcPr>
          <w:p>
            <w:pPr>
              <w:widowControl/>
              <w:ind w:left="0" w:leftChars="0" w:firstLine="0" w:firstLineChars="0"/>
              <w:jc w:val="center"/>
              <w:rPr>
                <w:rFonts w:ascii="Times New Roman" w:hAnsi="Times New Roman" w:cs="宋体"/>
                <w:kern w:val="0"/>
                <w:szCs w:val="21"/>
              </w:rPr>
            </w:pPr>
            <w:r>
              <w:rPr>
                <w:rFonts w:hint="eastAsia" w:ascii="Times New Roman" w:hAnsi="Times New Roman" w:cs="宋体"/>
                <w:kern w:val="0"/>
                <w:szCs w:val="21"/>
                <w:lang w:bidi="ar"/>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盆</w:t>
            </w:r>
          </w:p>
        </w:tc>
        <w:tc>
          <w:tcPr>
            <w:tcW w:w="1111" w:type="pct"/>
            <w:vMerge w:val="restart"/>
            <w:tcBorders>
              <w:top w:val="nil"/>
              <w:left w:val="nil"/>
              <w:bottom w:val="single" w:color="auto" w:sz="4" w:space="0"/>
              <w:right w:val="single" w:color="auto" w:sz="4" w:space="0"/>
            </w:tcBorders>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河岸带稳定性指标</w:t>
            </w:r>
          </w:p>
        </w:tc>
        <w:tc>
          <w:tcPr>
            <w:tcW w:w="1537" w:type="pct"/>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1537" w:type="pct"/>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1537" w:type="pct"/>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84</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1537" w:type="pct"/>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76</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restart"/>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cs="宋体"/>
                <w:kern w:val="0"/>
                <w:sz w:val="18"/>
                <w:szCs w:val="18"/>
              </w:rPr>
            </w:pPr>
            <w:r>
              <w:rPr>
                <w:rFonts w:hint="eastAsia" w:ascii="Times New Roman" w:hAnsi="Times New Roman" w:cs="宋体"/>
                <w:kern w:val="0"/>
                <w:sz w:val="18"/>
                <w:szCs w:val="18"/>
              </w:rPr>
              <w:t>违规开发利用水域岸线程度</w:t>
            </w: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85</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restart"/>
            <w:tcBorders>
              <w:top w:val="nil"/>
              <w:left w:val="nil"/>
              <w:bottom w:val="single" w:color="auto" w:sz="4" w:space="0"/>
              <w:right w:val="single" w:color="auto" w:sz="4" w:space="0"/>
            </w:tcBorders>
            <w:noWrap w:val="0"/>
            <w:vAlign w:val="center"/>
          </w:tcPr>
          <w:p>
            <w:pPr>
              <w:widowControl/>
              <w:rPr>
                <w:rFonts w:ascii="Times New Roman" w:hAnsi="Times New Roman" w:cs="宋体"/>
                <w:kern w:val="0"/>
                <w:sz w:val="18"/>
                <w:szCs w:val="18"/>
              </w:rPr>
            </w:pPr>
            <w:r>
              <w:rPr>
                <w:rFonts w:hint="eastAsia" w:ascii="Times New Roman" w:hAnsi="Times New Roman" w:cs="宋体"/>
                <w:kern w:val="0"/>
                <w:sz w:val="18"/>
                <w:szCs w:val="18"/>
                <w:lang w:bidi="ar"/>
              </w:rPr>
              <w:t>河流纵向连通性指数</w:t>
            </w: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40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hint="eastAsia"/>
                <w:bCs/>
                <w:sz w:val="18"/>
                <w:szCs w:val="18"/>
                <w:lang w:val="en-US" w:eastAsia="zh-CN"/>
              </w:rPr>
              <w:t>不</w:t>
            </w: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60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hint="eastAsia"/>
                <w:bCs/>
                <w:sz w:val="18"/>
                <w:szCs w:val="18"/>
                <w:lang w:val="en-US" w:eastAsia="zh-CN"/>
              </w:rPr>
              <w:t>不</w:t>
            </w: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111" w:type="pct"/>
            <w:vMerge w:val="continue"/>
            <w:tcBorders>
              <w:top w:val="nil"/>
              <w:left w:val="nil"/>
              <w:bottom w:val="single" w:color="auto" w:sz="4" w:space="0"/>
              <w:right w:val="single" w:color="auto" w:sz="4" w:space="0"/>
            </w:tcBorders>
            <w:noWrap w:val="0"/>
            <w:vAlign w:val="center"/>
          </w:tcPr>
          <w:p>
            <w:pPr>
              <w:rPr>
                <w:rFonts w:ascii="Times New Roman" w:hAnsi="Times New Roman"/>
                <w:sz w:val="20"/>
                <w:szCs w:val="20"/>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6" w:type="pct"/>
            <w:tcBorders>
              <w:top w:val="single" w:color="auto" w:sz="4" w:space="0"/>
              <w:left w:val="nil"/>
              <w:bottom w:val="single" w:color="auto" w:sz="4" w:space="0"/>
              <w:right w:val="single" w:color="auto" w:sz="4" w:space="0"/>
            </w:tcBorders>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bl>
    <w:p>
      <w:pPr>
        <w:pStyle w:val="6"/>
        <w:widowControl/>
        <w:numPr>
          <w:ilvl w:val="0"/>
          <w:numId w:val="0"/>
        </w:numPr>
        <w:ind w:left="420" w:leftChars="0"/>
        <w:rPr>
          <w:rFonts w:ascii="Times New Roman" w:hAnsi="Times New Roman"/>
          <w:kern w:val="0"/>
          <w:sz w:val="28"/>
          <w:szCs w:val="28"/>
        </w:rPr>
      </w:pPr>
      <w:bookmarkStart w:id="71" w:name="_Toc28053"/>
      <w:r>
        <w:rPr>
          <w:rFonts w:ascii="Times New Roman" w:hAnsi="Times New Roman"/>
          <w:kern w:val="0"/>
          <w:sz w:val="28"/>
          <w:szCs w:val="28"/>
        </w:rPr>
        <w:t>2</w:t>
      </w:r>
      <w:r>
        <w:rPr>
          <w:rFonts w:hint="eastAsia" w:ascii="Times New Roman" w:hAnsi="Times New Roman"/>
          <w:kern w:val="0"/>
          <w:sz w:val="28"/>
          <w:szCs w:val="28"/>
        </w:rPr>
        <w:t>、水</w:t>
      </w:r>
      <w:bookmarkEnd w:id="7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2548"/>
        <w:gridCol w:w="2466"/>
        <w:gridCol w:w="1277"/>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top"/>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准则层</w:t>
            </w:r>
          </w:p>
        </w:tc>
        <w:tc>
          <w:tcPr>
            <w:tcW w:w="1494" w:type="pc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指标层</w:t>
            </w:r>
          </w:p>
        </w:tc>
        <w:tc>
          <w:tcPr>
            <w:tcW w:w="1446" w:type="pc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评价分段</w:t>
            </w:r>
          </w:p>
        </w:tc>
        <w:tc>
          <w:tcPr>
            <w:tcW w:w="749" w:type="pc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得分</w:t>
            </w:r>
          </w:p>
        </w:tc>
        <w:tc>
          <w:tcPr>
            <w:tcW w:w="746" w:type="pc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restar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水</w:t>
            </w:r>
          </w:p>
        </w:tc>
        <w:tc>
          <w:tcPr>
            <w:tcW w:w="1494" w:type="pct"/>
            <w:vMerge w:val="restart"/>
            <w:noWrap/>
            <w:vAlign w:val="center"/>
          </w:tcPr>
          <w:p>
            <w:pPr>
              <w:widowControl/>
              <w:jc w:val="center"/>
              <w:rPr>
                <w:rFonts w:ascii="Times New Roman" w:hAnsi="Times New Roman" w:cs="宋体"/>
                <w:kern w:val="0"/>
                <w:sz w:val="18"/>
                <w:szCs w:val="18"/>
                <w:lang w:bidi="ar"/>
              </w:rPr>
            </w:pPr>
            <w:r>
              <w:rPr>
                <w:rFonts w:hint="eastAsia" w:ascii="Times New Roman" w:hAnsi="Times New Roman" w:cs="宋体"/>
                <w:kern w:val="0"/>
                <w:sz w:val="18"/>
                <w:szCs w:val="18"/>
                <w:lang w:bidi="ar"/>
              </w:rPr>
              <w:t>生态流量/水位满足程度</w:t>
            </w:r>
          </w:p>
        </w:tc>
        <w:tc>
          <w:tcPr>
            <w:tcW w:w="1446" w:type="pct"/>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749" w:type="pct"/>
            <w:noWrap/>
            <w:vAlign w:val="center"/>
          </w:tcPr>
          <w:p>
            <w:pPr>
              <w:widowControl/>
              <w:jc w:val="center"/>
              <w:rPr>
                <w:rFonts w:hint="default" w:ascii="Times New Roman" w:hAnsi="Times New Roman" w:eastAsia="宋体" w:cs="宋体"/>
                <w:kern w:val="0"/>
                <w:sz w:val="18"/>
                <w:szCs w:val="18"/>
                <w:lang w:val="en-US" w:eastAsia="zh-CN" w:bidi="ar"/>
              </w:rPr>
            </w:pPr>
            <w:r>
              <w:rPr>
                <w:rFonts w:hint="eastAsia" w:ascii="Times New Roman" w:hAnsi="Times New Roman" w:cs="宋体"/>
                <w:kern w:val="0"/>
                <w:sz w:val="18"/>
                <w:szCs w:val="18"/>
                <w:lang w:val="en-US" w:eastAsia="zh-CN" w:bidi="ar"/>
              </w:rPr>
              <w:t>80</w:t>
            </w:r>
          </w:p>
        </w:tc>
        <w:tc>
          <w:tcPr>
            <w:tcW w:w="746" w:type="pct"/>
            <w:noWrap w:val="0"/>
            <w:vAlign w:val="center"/>
          </w:tcPr>
          <w:p>
            <w:pPr>
              <w:widowControl/>
              <w:ind w:left="0" w:leftChars="0" w:firstLine="0" w:firstLineChars="0"/>
              <w:jc w:val="center"/>
              <w:rPr>
                <w:rFonts w:hint="eastAsia" w:ascii="Times New Roman" w:hAnsi="Times New Roman" w:cs="宋体"/>
                <w:kern w:val="0"/>
                <w:sz w:val="18"/>
                <w:szCs w:val="18"/>
                <w:lang w:bidi="ar"/>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top"/>
          </w:tcPr>
          <w:p>
            <w:pPr>
              <w:widowControl/>
              <w:jc w:val="center"/>
              <w:rPr>
                <w:rFonts w:hint="eastAsia" w:ascii="Times New Roman" w:hAnsi="Times New Roman" w:cs="宋体"/>
                <w:kern w:val="0"/>
                <w:sz w:val="18"/>
                <w:szCs w:val="18"/>
                <w:lang w:bidi="ar"/>
              </w:rPr>
            </w:pPr>
          </w:p>
        </w:tc>
        <w:tc>
          <w:tcPr>
            <w:tcW w:w="1494" w:type="pct"/>
            <w:vMerge w:val="continue"/>
            <w:noWrap/>
            <w:vAlign w:val="center"/>
          </w:tcPr>
          <w:p>
            <w:pPr>
              <w:widowControl/>
              <w:jc w:val="center"/>
              <w:rPr>
                <w:rFonts w:hint="eastAsia" w:ascii="Times New Roman" w:hAnsi="Times New Roman" w:cs="宋体"/>
                <w:kern w:val="0"/>
                <w:sz w:val="18"/>
                <w:szCs w:val="18"/>
                <w:lang w:bidi="ar"/>
              </w:rPr>
            </w:pPr>
          </w:p>
        </w:tc>
        <w:tc>
          <w:tcPr>
            <w:tcW w:w="1446" w:type="pct"/>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749" w:type="pct"/>
            <w:noWrap/>
            <w:vAlign w:val="center"/>
          </w:tcPr>
          <w:p>
            <w:pPr>
              <w:widowControl/>
              <w:jc w:val="center"/>
              <w:rPr>
                <w:rFonts w:hint="default" w:ascii="Times New Roman" w:hAnsi="Times New Roman" w:eastAsia="宋体" w:cs="宋体"/>
                <w:kern w:val="0"/>
                <w:sz w:val="18"/>
                <w:szCs w:val="18"/>
                <w:lang w:val="en-US" w:eastAsia="zh-CN" w:bidi="ar"/>
              </w:rPr>
            </w:pPr>
            <w:r>
              <w:rPr>
                <w:rFonts w:hint="eastAsia" w:ascii="Times New Roman" w:hAnsi="Times New Roman" w:cs="宋体"/>
                <w:kern w:val="0"/>
                <w:sz w:val="18"/>
                <w:szCs w:val="18"/>
                <w:lang w:val="en-US" w:eastAsia="zh-CN" w:bidi="ar"/>
              </w:rPr>
              <w:t>75</w:t>
            </w:r>
          </w:p>
        </w:tc>
        <w:tc>
          <w:tcPr>
            <w:tcW w:w="746" w:type="pct"/>
            <w:noWrap w:val="0"/>
            <w:vAlign w:val="center"/>
          </w:tcPr>
          <w:p>
            <w:pPr>
              <w:widowControl/>
              <w:ind w:left="0" w:leftChars="0" w:firstLine="0" w:firstLineChars="0"/>
              <w:jc w:val="center"/>
              <w:rPr>
                <w:rFonts w:hint="eastAsia" w:ascii="Times New Roman" w:hAnsi="Times New Roman" w:cs="宋体"/>
                <w:kern w:val="0"/>
                <w:sz w:val="18"/>
                <w:szCs w:val="18"/>
                <w:lang w:bidi="ar"/>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top"/>
          </w:tcPr>
          <w:p>
            <w:pPr>
              <w:widowControl/>
              <w:jc w:val="center"/>
              <w:rPr>
                <w:rFonts w:hint="eastAsia" w:ascii="Times New Roman" w:hAnsi="Times New Roman" w:cs="宋体"/>
                <w:kern w:val="0"/>
                <w:sz w:val="18"/>
                <w:szCs w:val="18"/>
                <w:lang w:bidi="ar"/>
              </w:rPr>
            </w:pPr>
          </w:p>
        </w:tc>
        <w:tc>
          <w:tcPr>
            <w:tcW w:w="1494" w:type="pct"/>
            <w:vMerge w:val="continue"/>
            <w:noWrap/>
            <w:vAlign w:val="center"/>
          </w:tcPr>
          <w:p>
            <w:pPr>
              <w:widowControl/>
              <w:jc w:val="center"/>
              <w:rPr>
                <w:rFonts w:hint="eastAsia" w:ascii="Times New Roman" w:hAnsi="Times New Roman" w:cs="宋体"/>
                <w:kern w:val="0"/>
                <w:sz w:val="18"/>
                <w:szCs w:val="18"/>
                <w:lang w:bidi="ar"/>
              </w:rPr>
            </w:pPr>
          </w:p>
        </w:tc>
        <w:tc>
          <w:tcPr>
            <w:tcW w:w="1446" w:type="pct"/>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749" w:type="pct"/>
            <w:noWrap/>
            <w:vAlign w:val="center"/>
          </w:tcPr>
          <w:p>
            <w:pPr>
              <w:widowControl/>
              <w:jc w:val="center"/>
              <w:rPr>
                <w:rFonts w:hint="default" w:ascii="Times New Roman" w:hAnsi="Times New Roman" w:eastAsia="宋体" w:cs="宋体"/>
                <w:kern w:val="0"/>
                <w:sz w:val="18"/>
                <w:szCs w:val="18"/>
                <w:lang w:val="en-US" w:eastAsia="zh-CN" w:bidi="ar"/>
              </w:rPr>
            </w:pPr>
            <w:r>
              <w:rPr>
                <w:rFonts w:hint="eastAsia" w:ascii="Times New Roman" w:hAnsi="Times New Roman" w:cs="宋体"/>
                <w:kern w:val="0"/>
                <w:sz w:val="18"/>
                <w:szCs w:val="18"/>
                <w:lang w:val="en-US" w:eastAsia="zh-CN" w:bidi="ar"/>
              </w:rPr>
              <w:t>80</w:t>
            </w:r>
          </w:p>
        </w:tc>
        <w:tc>
          <w:tcPr>
            <w:tcW w:w="746" w:type="pct"/>
            <w:noWrap w:val="0"/>
            <w:vAlign w:val="center"/>
          </w:tcPr>
          <w:p>
            <w:pPr>
              <w:widowControl/>
              <w:ind w:left="0" w:leftChars="0" w:firstLine="0" w:firstLineChars="0"/>
              <w:jc w:val="center"/>
              <w:rPr>
                <w:rFonts w:hint="eastAsia" w:ascii="Times New Roman" w:hAnsi="Times New Roman" w:cs="宋体"/>
                <w:kern w:val="0"/>
                <w:sz w:val="18"/>
                <w:szCs w:val="18"/>
                <w:lang w:bidi="ar"/>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top"/>
          </w:tcPr>
          <w:p>
            <w:pPr>
              <w:widowControl/>
              <w:jc w:val="center"/>
              <w:rPr>
                <w:rFonts w:hint="eastAsia" w:ascii="Times New Roman" w:hAnsi="Times New Roman" w:cs="宋体"/>
                <w:kern w:val="0"/>
                <w:sz w:val="18"/>
                <w:szCs w:val="18"/>
                <w:lang w:bidi="ar"/>
              </w:rPr>
            </w:pPr>
          </w:p>
        </w:tc>
        <w:tc>
          <w:tcPr>
            <w:tcW w:w="1494" w:type="pct"/>
            <w:vMerge w:val="continue"/>
            <w:noWrap/>
            <w:vAlign w:val="center"/>
          </w:tcPr>
          <w:p>
            <w:pPr>
              <w:widowControl/>
              <w:jc w:val="center"/>
              <w:rPr>
                <w:rFonts w:hint="eastAsia" w:ascii="Times New Roman" w:hAnsi="Times New Roman" w:cs="宋体"/>
                <w:kern w:val="0"/>
                <w:sz w:val="18"/>
                <w:szCs w:val="18"/>
                <w:lang w:bidi="ar"/>
              </w:rPr>
            </w:pPr>
          </w:p>
        </w:tc>
        <w:tc>
          <w:tcPr>
            <w:tcW w:w="1446" w:type="pct"/>
            <w:noWrap/>
            <w:vAlign w:val="center"/>
          </w:tcPr>
          <w:p>
            <w:pPr>
              <w:pStyle w:val="27"/>
              <w:jc w:val="center"/>
              <w:rPr>
                <w:rFonts w:hint="eastAsia"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749" w:type="pct"/>
            <w:noWrap/>
            <w:vAlign w:val="center"/>
          </w:tcPr>
          <w:p>
            <w:pPr>
              <w:widowControl/>
              <w:jc w:val="center"/>
              <w:rPr>
                <w:rFonts w:hint="default" w:ascii="Times New Roman" w:hAnsi="Times New Roman" w:eastAsia="宋体" w:cs="宋体"/>
                <w:kern w:val="0"/>
                <w:sz w:val="18"/>
                <w:szCs w:val="18"/>
                <w:lang w:val="en-US" w:eastAsia="zh-CN" w:bidi="ar"/>
              </w:rPr>
            </w:pPr>
            <w:r>
              <w:rPr>
                <w:rFonts w:hint="eastAsia" w:ascii="Times New Roman" w:hAnsi="Times New Roman" w:cs="宋体"/>
                <w:kern w:val="0"/>
                <w:sz w:val="18"/>
                <w:szCs w:val="18"/>
                <w:lang w:val="en-US" w:eastAsia="zh-CN" w:bidi="ar"/>
              </w:rPr>
              <w:t>75</w:t>
            </w:r>
          </w:p>
        </w:tc>
        <w:tc>
          <w:tcPr>
            <w:tcW w:w="746" w:type="pct"/>
            <w:noWrap w:val="0"/>
            <w:vAlign w:val="center"/>
          </w:tcPr>
          <w:p>
            <w:pPr>
              <w:widowControl/>
              <w:ind w:left="0" w:leftChars="0" w:firstLine="0" w:firstLineChars="0"/>
              <w:jc w:val="center"/>
              <w:rPr>
                <w:rFonts w:hint="eastAsia" w:ascii="Times New Roman" w:hAnsi="Times New Roman" w:cs="宋体"/>
                <w:kern w:val="0"/>
                <w:sz w:val="18"/>
                <w:szCs w:val="18"/>
                <w:lang w:bidi="ar"/>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widowControl/>
              <w:jc w:val="center"/>
              <w:rPr>
                <w:rFonts w:ascii="Times New Roman" w:hAnsi="Times New Roman" w:cs="宋体"/>
                <w:kern w:val="0"/>
                <w:sz w:val="18"/>
                <w:szCs w:val="18"/>
              </w:rPr>
            </w:pPr>
          </w:p>
        </w:tc>
        <w:tc>
          <w:tcPr>
            <w:tcW w:w="1494" w:type="pct"/>
            <w:vMerge w:val="restar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水资源开发利用率</w:t>
            </w: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85</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85</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restar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水体整洁程度</w:t>
            </w: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restar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水质优劣程度</w:t>
            </w: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restar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水质变化趋势</w:t>
            </w: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vMerge w:val="continue"/>
            <w:noWrap w:val="0"/>
            <w:vAlign w:val="center"/>
          </w:tcPr>
          <w:p>
            <w:pPr>
              <w:rPr>
                <w:rFonts w:ascii="Times New Roman" w:hAnsi="Times New Roman"/>
                <w:sz w:val="18"/>
                <w:szCs w:val="18"/>
              </w:rPr>
            </w:pPr>
          </w:p>
        </w:tc>
        <w:tc>
          <w:tcPr>
            <w:tcW w:w="1494" w:type="pct"/>
            <w:vMerge w:val="continue"/>
            <w:noWrap w:val="0"/>
            <w:vAlign w:val="center"/>
          </w:tcPr>
          <w:p>
            <w:pPr>
              <w:rPr>
                <w:rFonts w:ascii="Times New Roman" w:hAnsi="Times New Roman"/>
                <w:sz w:val="18"/>
                <w:szCs w:val="18"/>
              </w:rPr>
            </w:pPr>
          </w:p>
        </w:tc>
        <w:tc>
          <w:tcPr>
            <w:tcW w:w="1446" w:type="pct"/>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749" w:type="pct"/>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746" w:type="pct"/>
            <w:noWrap w:val="0"/>
            <w:vAlign w:val="center"/>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62" w:type="pct"/>
            <w:vMerge w:val="continue"/>
            <w:noWrap w:val="0"/>
            <w:vAlign w:val="center"/>
          </w:tcPr>
          <w:p>
            <w:pPr>
              <w:rPr>
                <w:rFonts w:ascii="Times New Roman" w:hAnsi="Times New Roman"/>
                <w:sz w:val="18"/>
                <w:szCs w:val="18"/>
              </w:rPr>
            </w:pPr>
          </w:p>
        </w:tc>
        <w:tc>
          <w:tcPr>
            <w:tcW w:w="1494" w:type="pct"/>
            <w:noWrap w:val="0"/>
            <w:vAlign w:val="center"/>
          </w:tcPr>
          <w:p>
            <w:pPr>
              <w:rPr>
                <w:rFonts w:hint="eastAsia" w:ascii="Times New Roman" w:hAnsi="Times New Roman" w:eastAsia="宋体"/>
                <w:sz w:val="18"/>
                <w:szCs w:val="18"/>
                <w:lang w:eastAsia="zh-CN"/>
              </w:rPr>
            </w:pPr>
            <w:r>
              <w:rPr>
                <w:rFonts w:hint="eastAsia"/>
                <w:sz w:val="18"/>
                <w:szCs w:val="18"/>
                <w:lang w:eastAsia="zh-CN"/>
              </w:rPr>
              <w:t>水体自净能力</w:t>
            </w:r>
          </w:p>
        </w:tc>
        <w:tc>
          <w:tcPr>
            <w:tcW w:w="1446" w:type="pct"/>
            <w:noWrap/>
            <w:vAlign w:val="center"/>
          </w:tcPr>
          <w:p>
            <w:pPr>
              <w:pStyle w:val="27"/>
              <w:jc w:val="center"/>
              <w:rPr>
                <w:rFonts w:hint="eastAsia" w:ascii="宋体" w:hAnsi="宋体" w:cs="宋体"/>
                <w:kern w:val="0"/>
                <w:sz w:val="18"/>
                <w:szCs w:val="18"/>
                <w:lang w:val="en-US" w:eastAsia="zh-CN" w:bidi="ar"/>
              </w:rPr>
            </w:pPr>
            <w:r>
              <w:rPr>
                <w:rFonts w:hint="eastAsia" w:ascii="宋体" w:hAnsi="宋体" w:cs="宋体"/>
                <w:b/>
                <w:bCs/>
                <w:kern w:val="0"/>
                <w:sz w:val="18"/>
                <w:szCs w:val="18"/>
                <w:lang w:val="en-US" w:eastAsia="zh-CN" w:bidi="ar"/>
              </w:rPr>
              <w:t>沙溪浩全段</w:t>
            </w:r>
          </w:p>
        </w:tc>
        <w:tc>
          <w:tcPr>
            <w:tcW w:w="749" w:type="pct"/>
            <w:noWrap w:val="0"/>
            <w:vAlign w:val="center"/>
          </w:tcPr>
          <w:p>
            <w:pPr>
              <w:pStyle w:val="27"/>
              <w:jc w:val="center"/>
              <w:rPr>
                <w:rFonts w:hint="default" w:ascii="Times New Roman" w:hAnsi="Times New Roman"/>
                <w:kern w:val="0"/>
                <w:sz w:val="18"/>
                <w:szCs w:val="18"/>
                <w:lang w:val="en-US" w:eastAsia="zh-CN"/>
              </w:rPr>
            </w:pPr>
            <w:r>
              <w:rPr>
                <w:rFonts w:hint="eastAsia"/>
                <w:kern w:val="0"/>
                <w:sz w:val="18"/>
                <w:szCs w:val="18"/>
                <w:lang w:val="en-US" w:eastAsia="zh-CN"/>
              </w:rPr>
              <w:t>100</w:t>
            </w:r>
          </w:p>
        </w:tc>
        <w:tc>
          <w:tcPr>
            <w:tcW w:w="746" w:type="pct"/>
            <w:noWrap w:val="0"/>
            <w:vAlign w:val="center"/>
          </w:tcPr>
          <w:p>
            <w:pPr>
              <w:pStyle w:val="27"/>
              <w:ind w:left="0" w:leftChars="0" w:firstLine="0" w:firstLineChars="0"/>
              <w:jc w:val="center"/>
              <w:rPr>
                <w:rFonts w:ascii="Times New Roman" w:hAnsi="Times New Roman"/>
                <w:bCs/>
                <w:sz w:val="18"/>
                <w:szCs w:val="18"/>
                <w:lang w:val="en-US" w:eastAsia="zh-CN"/>
              </w:rPr>
            </w:pPr>
            <w:r>
              <w:rPr>
                <w:rFonts w:hint="eastAsia"/>
                <w:bCs/>
                <w:sz w:val="18"/>
                <w:szCs w:val="18"/>
                <w:lang w:val="en-US" w:eastAsia="zh-CN"/>
              </w:rPr>
              <w:t>健康</w:t>
            </w:r>
          </w:p>
        </w:tc>
      </w:tr>
    </w:tbl>
    <w:p>
      <w:pPr>
        <w:pStyle w:val="6"/>
        <w:widowControl/>
        <w:numPr>
          <w:ilvl w:val="0"/>
          <w:numId w:val="0"/>
        </w:numPr>
        <w:ind w:left="420" w:leftChars="0"/>
        <w:rPr>
          <w:rFonts w:ascii="Times New Roman" w:hAnsi="Times New Roman"/>
          <w:kern w:val="0"/>
          <w:sz w:val="28"/>
          <w:szCs w:val="28"/>
        </w:rPr>
      </w:pPr>
      <w:bookmarkStart w:id="72" w:name="_Toc8163"/>
      <w:r>
        <w:rPr>
          <w:rFonts w:ascii="Times New Roman" w:hAnsi="Times New Roman"/>
          <w:kern w:val="0"/>
          <w:sz w:val="28"/>
          <w:szCs w:val="28"/>
        </w:rPr>
        <w:t>3</w:t>
      </w:r>
      <w:r>
        <w:rPr>
          <w:rFonts w:hint="eastAsia" w:ascii="Times New Roman" w:hAnsi="Times New Roman"/>
          <w:kern w:val="0"/>
          <w:sz w:val="28"/>
          <w:szCs w:val="28"/>
        </w:rPr>
        <w:t>、生物</w:t>
      </w:r>
      <w:bookmarkEnd w:id="72"/>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956"/>
        <w:gridCol w:w="2620"/>
        <w:gridCol w:w="1436"/>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准则层</w:t>
            </w:r>
          </w:p>
        </w:tc>
        <w:tc>
          <w:tcPr>
            <w:tcW w:w="1111"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指标层</w:t>
            </w:r>
          </w:p>
        </w:tc>
        <w:tc>
          <w:tcPr>
            <w:tcW w:w="1537"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评价分段</w:t>
            </w:r>
          </w:p>
        </w:tc>
        <w:tc>
          <w:tcPr>
            <w:tcW w:w="855" w:type="pct"/>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得分</w:t>
            </w:r>
          </w:p>
        </w:tc>
        <w:tc>
          <w:tcPr>
            <w:tcW w:w="817" w:type="pc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生物</w:t>
            </w:r>
          </w:p>
        </w:tc>
        <w:tc>
          <w:tcPr>
            <w:tcW w:w="1111" w:type="pct"/>
            <w:vMerge w:val="restart"/>
            <w:tcBorders>
              <w:top w:val="nil"/>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鱼类保有指数</w:t>
            </w: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restart"/>
            <w:tcBorders>
              <w:top w:val="nil"/>
              <w:left w:val="nil"/>
              <w:bottom w:val="single" w:color="auto" w:sz="4" w:space="0"/>
              <w:right w:val="single" w:color="auto" w:sz="4" w:space="0"/>
            </w:tcBorders>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外来水生动植物</w:t>
            </w: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sz w:val="18"/>
                <w:szCs w:val="18"/>
              </w:rPr>
            </w:pPr>
          </w:p>
        </w:tc>
        <w:tc>
          <w:tcPr>
            <w:tcW w:w="1111" w:type="pct"/>
            <w:vMerge w:val="continue"/>
            <w:tcBorders>
              <w:top w:val="nil"/>
              <w:left w:val="nil"/>
              <w:bottom w:val="single" w:color="auto" w:sz="4" w:space="0"/>
              <w:right w:val="single" w:color="auto" w:sz="4" w:space="0"/>
            </w:tcBorders>
            <w:noWrap/>
            <w:vAlign w:val="center"/>
          </w:tcPr>
          <w:p>
            <w:pPr>
              <w:rPr>
                <w:rFonts w:ascii="Times New Roman" w:hAnsi="Times New Roman"/>
                <w:sz w:val="18"/>
                <w:szCs w:val="18"/>
              </w:rPr>
            </w:pPr>
          </w:p>
        </w:tc>
        <w:tc>
          <w:tcPr>
            <w:tcW w:w="2620" w:type="dxa"/>
            <w:tcBorders>
              <w:top w:val="single" w:color="auto" w:sz="4" w:space="0"/>
              <w:left w:val="nil"/>
              <w:bottom w:val="single" w:color="auto" w:sz="4" w:space="0"/>
              <w:right w:val="single" w:color="auto" w:sz="4" w:space="0"/>
            </w:tcBorders>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855"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kern w:val="0"/>
                <w:sz w:val="18"/>
                <w:szCs w:val="18"/>
                <w:lang w:val="en-US" w:eastAsia="zh-CN"/>
              </w:rPr>
              <w:t>100</w:t>
            </w:r>
          </w:p>
        </w:tc>
        <w:tc>
          <w:tcPr>
            <w:tcW w:w="817" w:type="pct"/>
            <w:tcBorders>
              <w:top w:val="single" w:color="auto" w:sz="4" w:space="0"/>
              <w:left w:val="nil"/>
              <w:bottom w:val="single" w:color="auto" w:sz="4" w:space="0"/>
              <w:right w:val="single" w:color="auto" w:sz="4" w:space="0"/>
            </w:tcBorders>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bl>
    <w:p>
      <w:pPr>
        <w:pStyle w:val="6"/>
        <w:widowControl/>
        <w:numPr>
          <w:ilvl w:val="0"/>
          <w:numId w:val="0"/>
        </w:numPr>
        <w:ind w:left="420" w:leftChars="0"/>
        <w:rPr>
          <w:rFonts w:ascii="Times New Roman" w:hAnsi="Times New Roman"/>
          <w:kern w:val="0"/>
          <w:sz w:val="28"/>
          <w:szCs w:val="28"/>
        </w:rPr>
      </w:pPr>
      <w:bookmarkStart w:id="73" w:name="_Toc22745"/>
      <w:r>
        <w:rPr>
          <w:rFonts w:ascii="Times New Roman" w:hAnsi="Times New Roman"/>
          <w:kern w:val="0"/>
          <w:sz w:val="28"/>
          <w:szCs w:val="28"/>
        </w:rPr>
        <w:t>4</w:t>
      </w:r>
      <w:r>
        <w:rPr>
          <w:rFonts w:hint="eastAsia" w:ascii="Times New Roman" w:hAnsi="Times New Roman"/>
          <w:kern w:val="0"/>
          <w:sz w:val="28"/>
          <w:szCs w:val="28"/>
        </w:rPr>
        <w:t>、</w:t>
      </w:r>
      <w:r>
        <w:rPr>
          <w:rFonts w:hint="eastAsia" w:ascii="黑体" w:hAnsi="宋体" w:cs="黑体"/>
          <w:kern w:val="0"/>
          <w:sz w:val="28"/>
          <w:szCs w:val="28"/>
        </w:rPr>
        <w:t>社会服务功能</w:t>
      </w:r>
      <w:bookmarkEnd w:id="73"/>
    </w:p>
    <w:tbl>
      <w:tblPr>
        <w:tblStyle w:val="2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891"/>
        <w:gridCol w:w="2625"/>
        <w:gridCol w:w="1453"/>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noWrap w:val="0"/>
            <w:vAlign w:val="top"/>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准则层</w:t>
            </w:r>
          </w:p>
        </w:tc>
        <w:tc>
          <w:tcPr>
            <w:tcW w:w="1891" w:type="dxa"/>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指标层</w:t>
            </w:r>
          </w:p>
        </w:tc>
        <w:tc>
          <w:tcPr>
            <w:tcW w:w="2625" w:type="dxa"/>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评价分段</w:t>
            </w:r>
          </w:p>
        </w:tc>
        <w:tc>
          <w:tcPr>
            <w:tcW w:w="1453" w:type="dxa"/>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得分</w:t>
            </w:r>
          </w:p>
        </w:tc>
        <w:tc>
          <w:tcPr>
            <w:tcW w:w="1393" w:type="dxa"/>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restart"/>
            <w:noWrap w:val="0"/>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社会服务功能</w:t>
            </w:r>
          </w:p>
        </w:tc>
        <w:tc>
          <w:tcPr>
            <w:tcW w:w="1891" w:type="dxa"/>
            <w:vMerge w:val="restar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公众满意度</w:t>
            </w: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1453" w:type="dxa"/>
            <w:noWrap/>
            <w:vAlign w:val="center"/>
          </w:tcPr>
          <w:p>
            <w:pPr>
              <w:pStyle w:val="27"/>
              <w:jc w:val="center"/>
              <w:rPr>
                <w:rFonts w:hint="eastAsia" w:ascii="Times New Roman" w:hAnsi="Times New Roman" w:eastAsia="宋体"/>
                <w:kern w:val="0"/>
                <w:sz w:val="18"/>
                <w:szCs w:val="18"/>
                <w:lang w:val="en-US" w:eastAsia="zh-CN"/>
              </w:rPr>
            </w:pPr>
            <w:r>
              <w:rPr>
                <w:rFonts w:hint="eastAsia"/>
                <w:kern w:val="0"/>
                <w:sz w:val="18"/>
                <w:szCs w:val="18"/>
                <w:lang w:val="en-US" w:eastAsia="zh-CN"/>
              </w:rPr>
              <w:t>87.2</w:t>
            </w:r>
          </w:p>
        </w:tc>
        <w:tc>
          <w:tcPr>
            <w:tcW w:w="1393" w:type="dxa"/>
            <w:noWrap w:val="0"/>
            <w:vAlign w:val="top"/>
          </w:tcPr>
          <w:p>
            <w:pPr>
              <w:pStyle w:val="27"/>
              <w:ind w:left="0" w:leftChars="0" w:firstLine="0" w:firstLineChars="0"/>
              <w:jc w:val="center"/>
              <w:rPr>
                <w:rFonts w:hint="default" w:ascii="Times New Roman" w:hAnsi="Times New Roman" w:eastAsia="宋体"/>
                <w:kern w:val="0"/>
                <w:sz w:val="18"/>
                <w:szCs w:val="18"/>
                <w:lang w:val="en-US" w:eastAsia="zh-CN"/>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1453" w:type="dxa"/>
            <w:noWrap/>
            <w:vAlign w:val="center"/>
          </w:tcPr>
          <w:p>
            <w:pPr>
              <w:pStyle w:val="27"/>
              <w:jc w:val="center"/>
              <w:rPr>
                <w:rFonts w:hint="eastAsia" w:ascii="Times New Roman" w:hAnsi="Times New Roman" w:eastAsia="宋体"/>
                <w:kern w:val="0"/>
                <w:sz w:val="18"/>
                <w:szCs w:val="18"/>
                <w:lang w:val="en-US" w:eastAsia="zh-CN"/>
              </w:rPr>
            </w:pPr>
            <w:r>
              <w:rPr>
                <w:rFonts w:hint="eastAsia"/>
                <w:kern w:val="0"/>
                <w:sz w:val="18"/>
                <w:szCs w:val="18"/>
                <w:lang w:val="en-US" w:eastAsia="zh-CN"/>
              </w:rPr>
              <w:t>87.2</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1453" w:type="dxa"/>
            <w:noWrap/>
            <w:vAlign w:val="center"/>
          </w:tcPr>
          <w:p>
            <w:pPr>
              <w:pStyle w:val="27"/>
              <w:jc w:val="center"/>
              <w:rPr>
                <w:rFonts w:hint="eastAsia" w:ascii="Times New Roman" w:hAnsi="Times New Roman" w:eastAsia="宋体"/>
                <w:sz w:val="18"/>
                <w:szCs w:val="18"/>
                <w:lang w:val="en-US" w:eastAsia="zh-CN"/>
              </w:rPr>
            </w:pPr>
            <w:r>
              <w:rPr>
                <w:rFonts w:hint="eastAsia"/>
                <w:kern w:val="0"/>
                <w:sz w:val="18"/>
                <w:szCs w:val="18"/>
                <w:lang w:val="en-US" w:eastAsia="zh-CN"/>
              </w:rPr>
              <w:t>87.2</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1453" w:type="dxa"/>
            <w:noWrap/>
            <w:vAlign w:val="center"/>
          </w:tcPr>
          <w:p>
            <w:pPr>
              <w:pStyle w:val="27"/>
              <w:jc w:val="center"/>
              <w:rPr>
                <w:rFonts w:hint="default" w:ascii="Times New Roman" w:hAnsi="Times New Roman" w:eastAsia="宋体"/>
                <w:sz w:val="18"/>
                <w:szCs w:val="18"/>
                <w:lang w:val="en-US" w:eastAsia="zh-CN"/>
              </w:rPr>
            </w:pPr>
            <w:r>
              <w:rPr>
                <w:rFonts w:hint="eastAsia"/>
                <w:kern w:val="0"/>
                <w:sz w:val="18"/>
                <w:szCs w:val="18"/>
                <w:lang w:val="en-US" w:eastAsia="zh-CN"/>
              </w:rPr>
              <w:t>87.2</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restar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防洪指标</w:t>
            </w: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50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不健康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1453" w:type="dxa"/>
            <w:noWrap/>
            <w:vAlign w:val="center"/>
          </w:tcPr>
          <w:p>
            <w:pPr>
              <w:pStyle w:val="27"/>
              <w:jc w:val="center"/>
              <w:rPr>
                <w:rFonts w:hint="eastAsia"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hint="eastAsia" w:ascii="Times New Roman" w:hAnsi="Times New Roman"/>
                <w:bCs/>
                <w:sz w:val="18"/>
                <w:szCs w:val="18"/>
                <w:lang w:val="en-US" w:eastAsia="zh-CN"/>
              </w:rPr>
              <w:t>劣</w:t>
            </w:r>
            <w:r>
              <w:rPr>
                <w:rFonts w:ascii="Times New Roman" w:hAnsi="Times New Roman"/>
                <w:bCs/>
                <w:sz w:val="18"/>
                <w:szCs w:val="18"/>
                <w:lang w:val="en-US" w:eastAsia="zh-CN"/>
              </w:rPr>
              <w:t>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50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不健康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1453" w:type="dxa"/>
            <w:noWrap/>
            <w:vAlign w:val="center"/>
          </w:tcPr>
          <w:p>
            <w:pPr>
              <w:pStyle w:val="27"/>
              <w:jc w:val="center"/>
              <w:rPr>
                <w:rFonts w:hint="eastAsia"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hint="eastAsia" w:ascii="Times New Roman" w:hAnsi="Times New Roman"/>
                <w:bCs/>
                <w:sz w:val="18"/>
                <w:szCs w:val="18"/>
                <w:lang w:val="en-US" w:eastAsia="zh-CN"/>
              </w:rPr>
              <w:t>劣</w:t>
            </w:r>
            <w:r>
              <w:rPr>
                <w:rFonts w:ascii="Times New Roman" w:hAnsi="Times New Roman"/>
                <w:bCs/>
                <w:sz w:val="18"/>
                <w:szCs w:val="18"/>
                <w:lang w:val="en-US" w:eastAsia="zh-CN"/>
              </w:rPr>
              <w:t>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restart"/>
            <w:noWrap/>
            <w:vAlign w:val="center"/>
          </w:tcPr>
          <w:p>
            <w:pPr>
              <w:widowControl/>
              <w:jc w:val="center"/>
              <w:rPr>
                <w:rFonts w:ascii="Times New Roman" w:hAnsi="Times New Roman" w:cs="宋体"/>
                <w:kern w:val="0"/>
                <w:sz w:val="18"/>
                <w:szCs w:val="18"/>
              </w:rPr>
            </w:pPr>
            <w:r>
              <w:rPr>
                <w:rFonts w:hint="eastAsia" w:ascii="Times New Roman" w:hAnsi="Times New Roman" w:cs="宋体"/>
                <w:kern w:val="0"/>
                <w:sz w:val="18"/>
                <w:szCs w:val="18"/>
                <w:lang w:bidi="ar"/>
              </w:rPr>
              <w:t>供水指标</w:t>
            </w: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75</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restart"/>
            <w:noWrap/>
            <w:vAlign w:val="center"/>
          </w:tcPr>
          <w:p>
            <w:pPr>
              <w:rPr>
                <w:rFonts w:hint="eastAsia" w:ascii="Times New Roman" w:hAnsi="Times New Roman"/>
                <w:sz w:val="18"/>
                <w:szCs w:val="18"/>
              </w:rPr>
            </w:pPr>
            <w:r>
              <w:rPr>
                <w:rFonts w:hint="eastAsia" w:ascii="Times New Roman" w:hAnsi="Times New Roman"/>
                <w:sz w:val="18"/>
                <w:szCs w:val="18"/>
              </w:rPr>
              <w:t>开发利用现状与规划的符合性</w:t>
            </w:r>
          </w:p>
        </w:tc>
        <w:tc>
          <w:tcPr>
            <w:tcW w:w="2625" w:type="dxa"/>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沙溪浩上游段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hint="eastAsia"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9" w:type="dxa"/>
            <w:vMerge w:val="continue"/>
            <w:noWrap w:val="0"/>
            <w:vAlign w:val="center"/>
          </w:tcPr>
          <w:p>
            <w:pPr>
              <w:rPr>
                <w:rFonts w:ascii="Times New Roman" w:hAnsi="Times New Roman"/>
                <w:sz w:val="18"/>
                <w:szCs w:val="18"/>
              </w:rPr>
            </w:pPr>
          </w:p>
        </w:tc>
        <w:tc>
          <w:tcPr>
            <w:tcW w:w="1891" w:type="dxa"/>
            <w:vMerge w:val="continue"/>
            <w:noWrap/>
            <w:vAlign w:val="center"/>
          </w:tcPr>
          <w:p>
            <w:pPr>
              <w:rPr>
                <w:rFonts w:ascii="Times New Roman" w:hAnsi="Times New Roman"/>
                <w:sz w:val="18"/>
                <w:szCs w:val="18"/>
              </w:rPr>
            </w:pPr>
          </w:p>
        </w:tc>
        <w:tc>
          <w:tcPr>
            <w:tcW w:w="2625" w:type="dxa"/>
            <w:noWrap/>
            <w:vAlign w:val="center"/>
          </w:tcPr>
          <w:p>
            <w:pPr>
              <w:pStyle w:val="27"/>
              <w:jc w:val="center"/>
              <w:rPr>
                <w:rFonts w:hint="eastAsia" w:ascii="Times New Roman" w:hAnsi="Times New Roman"/>
                <w:kern w:val="0"/>
                <w:sz w:val="18"/>
                <w:szCs w:val="18"/>
              </w:rPr>
            </w:pPr>
            <w:r>
              <w:rPr>
                <w:rFonts w:hint="eastAsia" w:ascii="宋体" w:hAnsi="宋体" w:cs="宋体"/>
                <w:kern w:val="0"/>
                <w:sz w:val="18"/>
                <w:szCs w:val="18"/>
                <w:lang w:val="en-US" w:eastAsia="zh-CN" w:bidi="ar"/>
              </w:rPr>
              <w:t>沙溪浩下游段</w:t>
            </w:r>
          </w:p>
        </w:tc>
        <w:tc>
          <w:tcPr>
            <w:tcW w:w="1453" w:type="dxa"/>
            <w:noWrap/>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100</w:t>
            </w:r>
          </w:p>
        </w:tc>
        <w:tc>
          <w:tcPr>
            <w:tcW w:w="1393" w:type="dxa"/>
            <w:noWrap w:val="0"/>
            <w:vAlign w:val="top"/>
          </w:tcPr>
          <w:p>
            <w:pPr>
              <w:pStyle w:val="27"/>
              <w:ind w:left="0" w:leftChars="0" w:firstLine="0" w:firstLineChars="0"/>
              <w:jc w:val="center"/>
              <w:rPr>
                <w:rFonts w:ascii="Times New Roman" w:hAnsi="Times New Roman"/>
                <w:kern w:val="0"/>
                <w:sz w:val="18"/>
                <w:szCs w:val="18"/>
              </w:rPr>
            </w:pPr>
            <w:r>
              <w:rPr>
                <w:rFonts w:ascii="Times New Roman" w:hAnsi="Times New Roman"/>
                <w:bCs/>
                <w:sz w:val="18"/>
                <w:szCs w:val="18"/>
                <w:lang w:val="en-US" w:eastAsia="zh-CN"/>
              </w:rPr>
              <w:t>非常健康</w:t>
            </w:r>
          </w:p>
        </w:tc>
      </w:tr>
    </w:tbl>
    <w:p>
      <w:pPr>
        <w:pStyle w:val="6"/>
        <w:widowControl/>
        <w:numPr>
          <w:ilvl w:val="0"/>
          <w:numId w:val="0"/>
        </w:numPr>
        <w:ind w:left="420" w:leftChars="0"/>
        <w:rPr>
          <w:rFonts w:ascii="Times New Roman" w:hAnsi="Times New Roman"/>
          <w:kern w:val="0"/>
          <w:sz w:val="28"/>
          <w:szCs w:val="28"/>
        </w:rPr>
      </w:pPr>
      <w:bookmarkStart w:id="74" w:name="_Toc23304"/>
      <w:r>
        <w:rPr>
          <w:rFonts w:ascii="Times New Roman" w:hAnsi="Times New Roman"/>
          <w:kern w:val="0"/>
          <w:sz w:val="28"/>
          <w:szCs w:val="28"/>
        </w:rPr>
        <w:t>5</w:t>
      </w:r>
      <w:r>
        <w:rPr>
          <w:rFonts w:hint="eastAsia" w:ascii="Times New Roman" w:hAnsi="Times New Roman"/>
          <w:kern w:val="0"/>
          <w:sz w:val="28"/>
          <w:szCs w:val="28"/>
        </w:rPr>
        <w:t>、综合评价</w:t>
      </w:r>
      <w:bookmarkEnd w:id="74"/>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1933"/>
        <w:gridCol w:w="1454"/>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9" w:type="pct"/>
            <w:tcBorders>
              <w:top w:val="single" w:color="auto" w:sz="4" w:space="0"/>
              <w:left w:val="single" w:color="auto" w:sz="4" w:space="0"/>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评价河段</w:t>
            </w:r>
          </w:p>
        </w:tc>
        <w:tc>
          <w:tcPr>
            <w:tcW w:w="1134"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宋体" w:hAnsi="宋体" w:cs="宋体"/>
                <w:kern w:val="0"/>
                <w:sz w:val="18"/>
                <w:szCs w:val="18"/>
                <w:lang w:bidi="ar"/>
              </w:rPr>
              <w:t>长度（</w:t>
            </w:r>
            <w:r>
              <w:rPr>
                <w:rFonts w:ascii="Times New Roman" w:hAnsi="Times New Roman"/>
                <w:kern w:val="0"/>
                <w:sz w:val="18"/>
                <w:szCs w:val="18"/>
                <w:lang w:bidi="ar"/>
              </w:rPr>
              <w:t>km</w:t>
            </w:r>
            <w:r>
              <w:rPr>
                <w:rFonts w:hint="eastAsia" w:ascii="宋体" w:hAnsi="宋体" w:cs="宋体"/>
                <w:kern w:val="0"/>
                <w:sz w:val="18"/>
                <w:szCs w:val="18"/>
                <w:lang w:bidi="ar"/>
              </w:rPr>
              <w:t>）</w:t>
            </w:r>
          </w:p>
        </w:tc>
        <w:tc>
          <w:tcPr>
            <w:tcW w:w="853"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cs="宋体"/>
                <w:kern w:val="0"/>
                <w:sz w:val="21"/>
                <w:szCs w:val="21"/>
                <w:lang w:bidi="ar"/>
              </w:rPr>
              <w:t>得分</w:t>
            </w:r>
          </w:p>
        </w:tc>
        <w:tc>
          <w:tcPr>
            <w:tcW w:w="902" w:type="pct"/>
            <w:tcBorders>
              <w:top w:val="single" w:color="auto" w:sz="4" w:space="0"/>
              <w:left w:val="nil"/>
              <w:bottom w:val="single" w:color="auto" w:sz="4" w:space="0"/>
              <w:right w:val="single" w:color="auto" w:sz="4" w:space="0"/>
            </w:tcBorders>
            <w:noWrap w:val="0"/>
            <w:vAlign w:val="top"/>
          </w:tcPr>
          <w:p>
            <w:pPr>
              <w:pStyle w:val="27"/>
              <w:jc w:val="center"/>
              <w:rPr>
                <w:rFonts w:ascii="Times New Roman" w:hAnsi="Times New Roman"/>
                <w:kern w:val="0"/>
                <w:sz w:val="18"/>
                <w:szCs w:val="18"/>
              </w:rPr>
            </w:pPr>
            <w:r>
              <w:rPr>
                <w:rFonts w:hint="eastAsia" w:ascii="Times New Roman" w:hAnsi="Times New Roman" w:cs="宋体"/>
                <w:kern w:val="0"/>
                <w:sz w:val="21"/>
                <w:szCs w:val="21"/>
                <w:lang w:bidi="ar"/>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9" w:type="pct"/>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kern w:val="0"/>
                <w:sz w:val="18"/>
                <w:szCs w:val="18"/>
              </w:rPr>
            </w:pPr>
            <w:r>
              <w:rPr>
                <w:rFonts w:hint="eastAsia" w:ascii="Times New Roman" w:hAnsi="Times New Roman"/>
                <w:kern w:val="0"/>
                <w:sz w:val="18"/>
                <w:szCs w:val="18"/>
                <w:lang w:val="en-US" w:eastAsia="zh-CN" w:bidi="ar"/>
              </w:rPr>
              <w:t>碾子沟水库段</w:t>
            </w:r>
          </w:p>
        </w:tc>
        <w:tc>
          <w:tcPr>
            <w:tcW w:w="1134" w:type="pct"/>
            <w:tcBorders>
              <w:top w:val="single" w:color="auto" w:sz="4" w:space="0"/>
              <w:left w:val="nil"/>
              <w:bottom w:val="single" w:color="auto" w:sz="4" w:space="0"/>
              <w:right w:val="single" w:color="auto" w:sz="4" w:space="0"/>
            </w:tcBorders>
            <w:noWrap w:val="0"/>
            <w:vAlign w:val="top"/>
          </w:tcPr>
          <w:p>
            <w:pPr>
              <w:jc w:val="center"/>
              <w:rPr>
                <w:rFonts w:ascii="Times New Roman" w:hAnsi="Times New Roman"/>
                <w:kern w:val="0"/>
                <w:sz w:val="18"/>
                <w:szCs w:val="18"/>
              </w:rPr>
            </w:pPr>
            <w:r>
              <w:rPr>
                <w:rFonts w:hint="eastAsia"/>
                <w:sz w:val="18"/>
                <w:szCs w:val="18"/>
                <w:vertAlign w:val="baseline"/>
                <w:lang w:val="en-US" w:eastAsia="zh-CN"/>
              </w:rPr>
              <w:t>1.189</w:t>
            </w:r>
          </w:p>
        </w:tc>
        <w:tc>
          <w:tcPr>
            <w:tcW w:w="853"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w:t>
            </w:r>
            <w:r>
              <w:rPr>
                <w:rFonts w:hint="eastAsia"/>
                <w:kern w:val="0"/>
                <w:sz w:val="18"/>
                <w:szCs w:val="18"/>
                <w:lang w:val="en-US" w:eastAsia="zh-CN"/>
              </w:rPr>
              <w:t>3.01</w:t>
            </w:r>
          </w:p>
        </w:tc>
        <w:tc>
          <w:tcPr>
            <w:tcW w:w="902" w:type="pct"/>
            <w:tcBorders>
              <w:top w:val="single" w:color="auto" w:sz="4" w:space="0"/>
              <w:left w:val="nil"/>
              <w:bottom w:val="single" w:color="auto" w:sz="4" w:space="0"/>
              <w:right w:val="single" w:color="auto" w:sz="4" w:space="0"/>
            </w:tcBorders>
            <w:noWrap w:val="0"/>
            <w:vAlign w:val="top"/>
          </w:tcPr>
          <w:p>
            <w:pPr>
              <w:pStyle w:val="27"/>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9" w:type="pct"/>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kern w:val="0"/>
                <w:sz w:val="18"/>
                <w:szCs w:val="18"/>
              </w:rPr>
            </w:pPr>
            <w:r>
              <w:rPr>
                <w:rFonts w:hint="eastAsia" w:ascii="Times New Roman" w:hAnsi="Times New Roman"/>
                <w:kern w:val="0"/>
                <w:sz w:val="18"/>
                <w:szCs w:val="18"/>
                <w:lang w:val="en-US" w:eastAsia="zh-CN" w:bidi="ar"/>
              </w:rPr>
              <w:t>大洋沟水库段</w:t>
            </w:r>
          </w:p>
        </w:tc>
        <w:tc>
          <w:tcPr>
            <w:tcW w:w="1134" w:type="pct"/>
            <w:tcBorders>
              <w:top w:val="single" w:color="auto" w:sz="4" w:space="0"/>
              <w:left w:val="nil"/>
              <w:bottom w:val="single" w:color="auto" w:sz="4" w:space="0"/>
              <w:right w:val="single" w:color="auto" w:sz="4" w:space="0"/>
            </w:tcBorders>
            <w:noWrap w:val="0"/>
            <w:vAlign w:val="top"/>
          </w:tcPr>
          <w:p>
            <w:pPr>
              <w:jc w:val="center"/>
              <w:rPr>
                <w:rFonts w:ascii="Times New Roman" w:hAnsi="Times New Roman"/>
                <w:kern w:val="0"/>
                <w:sz w:val="18"/>
                <w:szCs w:val="18"/>
              </w:rPr>
            </w:pPr>
            <w:r>
              <w:rPr>
                <w:rFonts w:hint="eastAsia"/>
                <w:sz w:val="18"/>
                <w:szCs w:val="18"/>
                <w:vertAlign w:val="baseline"/>
                <w:lang w:val="en-US" w:eastAsia="zh-CN"/>
              </w:rPr>
              <w:t>3.5</w:t>
            </w:r>
          </w:p>
        </w:tc>
        <w:tc>
          <w:tcPr>
            <w:tcW w:w="853"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ascii="Times New Roman" w:hAnsi="Times New Roman"/>
                <w:kern w:val="0"/>
                <w:sz w:val="18"/>
                <w:szCs w:val="18"/>
                <w:lang w:val="en-US" w:eastAsia="zh-CN"/>
              </w:rPr>
              <w:t>8</w:t>
            </w:r>
            <w:r>
              <w:rPr>
                <w:rFonts w:hint="eastAsia"/>
                <w:kern w:val="0"/>
                <w:sz w:val="18"/>
                <w:szCs w:val="18"/>
                <w:lang w:val="en-US" w:eastAsia="zh-CN"/>
              </w:rPr>
              <w:t>6.51</w:t>
            </w:r>
          </w:p>
        </w:tc>
        <w:tc>
          <w:tcPr>
            <w:tcW w:w="902" w:type="pct"/>
            <w:tcBorders>
              <w:top w:val="single" w:color="auto" w:sz="4" w:space="0"/>
              <w:left w:val="nil"/>
              <w:bottom w:val="single" w:color="auto" w:sz="4" w:space="0"/>
              <w:right w:val="single" w:color="auto" w:sz="4" w:space="0"/>
            </w:tcBorders>
            <w:noWrap w:val="0"/>
            <w:vAlign w:val="top"/>
          </w:tcPr>
          <w:p>
            <w:pPr>
              <w:pStyle w:val="27"/>
              <w:jc w:val="center"/>
              <w:rPr>
                <w:rFonts w:ascii="Times New Roman" w:hAnsi="Times New Roman"/>
                <w:kern w:val="0"/>
                <w:sz w:val="18"/>
                <w:szCs w:val="18"/>
              </w:rPr>
            </w:pPr>
            <w:r>
              <w:rPr>
                <w:rFonts w:ascii="Times New Roman" w:hAnsi="Times New Roman"/>
                <w:bCs/>
                <w:sz w:val="18"/>
                <w:szCs w:val="18"/>
                <w:lang w:val="en-US" w:eastAsia="zh-CN"/>
              </w:rPr>
              <w:t>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09" w:type="pct"/>
            <w:tcBorders>
              <w:top w:val="single" w:color="auto" w:sz="4" w:space="0"/>
              <w:left w:val="single" w:color="auto" w:sz="4" w:space="0"/>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kern w:val="0"/>
                <w:sz w:val="18"/>
                <w:szCs w:val="18"/>
                <w:lang w:eastAsia="zh-CN" w:bidi="ar"/>
              </w:rPr>
              <w:t>沙溪浩</w:t>
            </w:r>
            <w:r>
              <w:rPr>
                <w:rFonts w:hint="eastAsia" w:ascii="Times New Roman" w:hAnsi="Times New Roman"/>
                <w:kern w:val="0"/>
                <w:sz w:val="18"/>
                <w:szCs w:val="18"/>
                <w:lang w:bidi="ar"/>
              </w:rPr>
              <w:t>全河段综合评价</w:t>
            </w:r>
          </w:p>
        </w:tc>
        <w:tc>
          <w:tcPr>
            <w:tcW w:w="1134"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sz w:val="18"/>
                <w:szCs w:val="18"/>
                <w:vertAlign w:val="baseline"/>
                <w:lang w:val="en-US" w:eastAsia="zh-CN"/>
              </w:rPr>
              <w:t>21.689</w:t>
            </w:r>
          </w:p>
        </w:tc>
        <w:tc>
          <w:tcPr>
            <w:tcW w:w="853" w:type="pct"/>
            <w:tcBorders>
              <w:top w:val="single" w:color="auto" w:sz="4" w:space="0"/>
              <w:left w:val="nil"/>
              <w:bottom w:val="single" w:color="auto" w:sz="4" w:space="0"/>
              <w:right w:val="single" w:color="auto" w:sz="4" w:space="0"/>
            </w:tcBorders>
            <w:noWrap w:val="0"/>
            <w:vAlign w:val="center"/>
          </w:tcPr>
          <w:p>
            <w:pPr>
              <w:pStyle w:val="27"/>
              <w:jc w:val="center"/>
              <w:rPr>
                <w:rFonts w:hint="default" w:ascii="Times New Roman" w:hAnsi="Times New Roman" w:eastAsia="宋体"/>
                <w:kern w:val="0"/>
                <w:sz w:val="18"/>
                <w:szCs w:val="18"/>
                <w:lang w:val="en-US" w:eastAsia="zh-CN"/>
              </w:rPr>
            </w:pPr>
            <w:r>
              <w:rPr>
                <w:rFonts w:hint="eastAsia"/>
                <w:kern w:val="0"/>
                <w:sz w:val="18"/>
                <w:szCs w:val="18"/>
                <w:lang w:val="en-US" w:eastAsia="zh-CN"/>
              </w:rPr>
              <w:t>84.46</w:t>
            </w:r>
          </w:p>
        </w:tc>
        <w:tc>
          <w:tcPr>
            <w:tcW w:w="902" w:type="pct"/>
            <w:tcBorders>
              <w:top w:val="single" w:color="auto" w:sz="4" w:space="0"/>
              <w:left w:val="nil"/>
              <w:bottom w:val="single" w:color="auto" w:sz="4" w:space="0"/>
              <w:right w:val="single" w:color="auto" w:sz="4" w:space="0"/>
            </w:tcBorders>
            <w:noWrap w:val="0"/>
            <w:vAlign w:val="top"/>
          </w:tcPr>
          <w:p>
            <w:pPr>
              <w:pStyle w:val="27"/>
              <w:jc w:val="center"/>
              <w:rPr>
                <w:rFonts w:ascii="Times New Roman" w:hAnsi="Times New Roman"/>
                <w:kern w:val="0"/>
                <w:sz w:val="18"/>
                <w:szCs w:val="18"/>
              </w:rPr>
            </w:pPr>
            <w:r>
              <w:rPr>
                <w:rFonts w:ascii="Times New Roman" w:hAnsi="Times New Roman"/>
                <w:bCs/>
                <w:sz w:val="18"/>
                <w:szCs w:val="18"/>
                <w:lang w:val="en-US" w:eastAsia="zh-CN"/>
              </w:rPr>
              <w:t>健康</w:t>
            </w:r>
          </w:p>
        </w:tc>
      </w:tr>
    </w:tbl>
    <w:p>
      <w:pPr>
        <w:pStyle w:val="6"/>
        <w:widowControl/>
        <w:numPr>
          <w:ilvl w:val="0"/>
          <w:numId w:val="0"/>
        </w:numPr>
        <w:ind w:left="420" w:leftChars="0"/>
        <w:rPr>
          <w:rFonts w:ascii="Times New Roman" w:hAnsi="Times New Roman"/>
          <w:kern w:val="0"/>
          <w:sz w:val="28"/>
          <w:szCs w:val="28"/>
        </w:rPr>
      </w:pPr>
      <w:bookmarkStart w:id="75" w:name="_Toc14134"/>
      <w:r>
        <w:rPr>
          <w:rFonts w:ascii="Times New Roman" w:hAnsi="Times New Roman"/>
          <w:kern w:val="0"/>
          <w:sz w:val="28"/>
          <w:szCs w:val="28"/>
        </w:rPr>
        <w:t>6</w:t>
      </w:r>
      <w:r>
        <w:rPr>
          <w:rFonts w:hint="eastAsia" w:ascii="Times New Roman" w:hAnsi="Times New Roman"/>
          <w:kern w:val="0"/>
          <w:sz w:val="28"/>
          <w:szCs w:val="28"/>
        </w:rPr>
        <w:t>、既往问题</w:t>
      </w:r>
      <w:r>
        <w:rPr>
          <w:rFonts w:hint="eastAsia" w:ascii="黑体" w:hAnsi="宋体" w:cs="黑体"/>
          <w:kern w:val="0"/>
          <w:sz w:val="28"/>
          <w:szCs w:val="28"/>
        </w:rPr>
        <w:t>指标</w:t>
      </w:r>
      <w:bookmarkEnd w:id="75"/>
    </w:p>
    <w:p>
      <w:pPr>
        <w:pStyle w:val="27"/>
        <w:spacing w:line="360" w:lineRule="auto"/>
        <w:ind w:firstLine="560" w:firstLineChars="200"/>
        <w:rPr>
          <w:rFonts w:hint="eastAsia" w:ascii="宋体" w:hAnsi="宋体" w:cs="宋体"/>
          <w:sz w:val="28"/>
          <w:szCs w:val="28"/>
          <w:lang w:bidi="ar"/>
        </w:rPr>
      </w:pPr>
      <w:r>
        <w:rPr>
          <w:rFonts w:hint="eastAsia" w:ascii="Times New Roman" w:hAnsi="Times New Roman"/>
          <w:sz w:val="28"/>
          <w:szCs w:val="28"/>
          <w:lang w:bidi="ar"/>
        </w:rPr>
        <w:t>本次是</w:t>
      </w:r>
      <w:r>
        <w:rPr>
          <w:rFonts w:hint="eastAsia" w:ascii="宋体" w:hAnsi="宋体" w:cs="宋体"/>
          <w:sz w:val="28"/>
          <w:szCs w:val="28"/>
          <w:lang w:val="en-US" w:eastAsia="zh-CN" w:bidi="ar"/>
        </w:rPr>
        <w:t>沙溪浩</w:t>
      </w:r>
      <w:r>
        <w:rPr>
          <w:rFonts w:hint="eastAsia" w:ascii="宋体" w:hAnsi="宋体" w:cs="宋体"/>
          <w:sz w:val="28"/>
          <w:szCs w:val="28"/>
          <w:lang w:bidi="ar"/>
        </w:rPr>
        <w:t>第一次</w:t>
      </w:r>
      <w:r>
        <w:rPr>
          <w:rFonts w:hint="eastAsia" w:ascii="Times New Roman" w:hAnsi="Times New Roman"/>
          <w:sz w:val="28"/>
          <w:szCs w:val="28"/>
          <w:lang w:bidi="ar"/>
        </w:rPr>
        <w:t>开展河湖健康评价</w:t>
      </w:r>
      <w:r>
        <w:rPr>
          <w:rFonts w:hint="eastAsia" w:ascii="宋体" w:hAnsi="宋体" w:cs="宋体"/>
          <w:sz w:val="28"/>
          <w:szCs w:val="28"/>
          <w:lang w:bidi="ar"/>
        </w:rPr>
        <w:t>，</w:t>
      </w:r>
      <w:r>
        <w:rPr>
          <w:rFonts w:hint="eastAsia" w:ascii="Times New Roman" w:hAnsi="Times New Roman"/>
          <w:sz w:val="28"/>
          <w:szCs w:val="28"/>
          <w:lang w:bidi="ar"/>
        </w:rPr>
        <w:t>无</w:t>
      </w:r>
      <w:r>
        <w:rPr>
          <w:rFonts w:hint="eastAsia" w:ascii="宋体" w:hAnsi="宋体" w:cs="宋体"/>
          <w:sz w:val="28"/>
          <w:szCs w:val="28"/>
          <w:lang w:bidi="ar"/>
        </w:rPr>
        <w:t>既往</w:t>
      </w:r>
      <w:r>
        <w:rPr>
          <w:rFonts w:hint="eastAsia" w:ascii="Times New Roman" w:hAnsi="Times New Roman"/>
          <w:sz w:val="28"/>
          <w:szCs w:val="28"/>
          <w:lang w:bidi="ar"/>
        </w:rPr>
        <w:t>问题指标，本次评价</w:t>
      </w:r>
      <w:r>
        <w:rPr>
          <w:rFonts w:hint="eastAsia" w:ascii="宋体" w:hAnsi="宋体" w:cs="宋体"/>
          <w:sz w:val="28"/>
          <w:szCs w:val="28"/>
          <w:lang w:bidi="ar"/>
        </w:rPr>
        <w:t>结果可</w:t>
      </w:r>
      <w:r>
        <w:rPr>
          <w:rFonts w:hint="eastAsia" w:ascii="Times New Roman" w:hAnsi="Times New Roman"/>
          <w:sz w:val="28"/>
          <w:szCs w:val="28"/>
          <w:lang w:bidi="ar"/>
        </w:rPr>
        <w:t>供</w:t>
      </w:r>
      <w:r>
        <w:rPr>
          <w:rFonts w:hint="eastAsia" w:ascii="宋体" w:hAnsi="宋体" w:cs="宋体"/>
          <w:sz w:val="28"/>
          <w:szCs w:val="28"/>
          <w:lang w:bidi="ar"/>
        </w:rPr>
        <w:t>下次</w:t>
      </w:r>
      <w:r>
        <w:rPr>
          <w:rFonts w:hint="eastAsia" w:ascii="Times New Roman" w:hAnsi="Times New Roman"/>
          <w:sz w:val="28"/>
          <w:szCs w:val="28"/>
          <w:lang w:bidi="ar"/>
        </w:rPr>
        <w:t>评价</w:t>
      </w:r>
      <w:r>
        <w:rPr>
          <w:rFonts w:hint="eastAsia" w:ascii="宋体" w:hAnsi="宋体" w:cs="宋体"/>
          <w:sz w:val="28"/>
          <w:szCs w:val="28"/>
          <w:lang w:bidi="ar"/>
        </w:rPr>
        <w:t>参考。</w:t>
      </w:r>
    </w:p>
    <w:p>
      <w:pPr>
        <w:pStyle w:val="4"/>
        <w:widowControl/>
        <w:numPr>
          <w:ilvl w:val="0"/>
          <w:numId w:val="0"/>
        </w:numPr>
        <w:ind w:leftChars="0"/>
        <w:jc w:val="center"/>
        <w:rPr>
          <w:rFonts w:hint="eastAsia" w:ascii="宋体" w:hAnsi="宋体" w:cs="宋体"/>
          <w:sz w:val="28"/>
          <w:szCs w:val="28"/>
          <w:lang w:bidi="ar"/>
        </w:rPr>
      </w:pPr>
      <w:bookmarkStart w:id="76" w:name="_Toc31916"/>
      <w:r>
        <w:rPr>
          <w:rFonts w:hint="eastAsia" w:ascii="Times New Roman" w:hAnsi="Times New Roman"/>
          <w:b/>
          <w:sz w:val="28"/>
          <w:szCs w:val="28"/>
        </w:rPr>
        <w:t>三、评价</w:t>
      </w:r>
      <w:r>
        <w:rPr>
          <w:rFonts w:hint="eastAsia" w:ascii="黑体" w:hAnsi="宋体" w:cs="黑体"/>
          <w:b/>
          <w:sz w:val="28"/>
          <w:szCs w:val="28"/>
        </w:rPr>
        <w:t>结论及</w:t>
      </w:r>
      <w:r>
        <w:rPr>
          <w:rFonts w:hint="eastAsia" w:ascii="Times New Roman" w:hAnsi="Times New Roman"/>
          <w:b/>
          <w:sz w:val="28"/>
          <w:szCs w:val="28"/>
        </w:rPr>
        <w:t>问题</w:t>
      </w:r>
      <w:r>
        <w:rPr>
          <w:rFonts w:hint="eastAsia" w:ascii="黑体" w:hAnsi="宋体" w:cs="黑体"/>
          <w:b/>
          <w:sz w:val="28"/>
          <w:szCs w:val="28"/>
        </w:rPr>
        <w:t>建议</w:t>
      </w:r>
      <w:bookmarkEnd w:id="76"/>
    </w:p>
    <w:p>
      <w:pPr>
        <w:pStyle w:val="6"/>
        <w:widowControl/>
        <w:numPr>
          <w:ilvl w:val="0"/>
          <w:numId w:val="0"/>
        </w:numPr>
        <w:ind w:left="420" w:leftChars="0"/>
        <w:rPr>
          <w:rFonts w:ascii="Times New Roman" w:hAnsi="Times New Roman"/>
          <w:kern w:val="0"/>
          <w:sz w:val="28"/>
          <w:szCs w:val="28"/>
        </w:rPr>
      </w:pPr>
      <w:bookmarkStart w:id="77" w:name="_Toc22459"/>
      <w:r>
        <w:rPr>
          <w:rFonts w:ascii="Times New Roman" w:hAnsi="Times New Roman"/>
          <w:kern w:val="0"/>
          <w:sz w:val="28"/>
          <w:szCs w:val="28"/>
        </w:rPr>
        <w:t>1</w:t>
      </w:r>
      <w:r>
        <w:rPr>
          <w:rFonts w:hint="eastAsia" w:ascii="Times New Roman" w:hAnsi="Times New Roman"/>
          <w:kern w:val="0"/>
          <w:sz w:val="28"/>
          <w:szCs w:val="28"/>
        </w:rPr>
        <w:t>、评价结论</w:t>
      </w:r>
      <w:bookmarkEnd w:id="77"/>
    </w:p>
    <w:p>
      <w:pPr>
        <w:bidi w:val="0"/>
        <w:rPr>
          <w:rFonts w:hint="eastAsia"/>
          <w:sz w:val="28"/>
          <w:szCs w:val="28"/>
        </w:rPr>
      </w:pPr>
      <w:r>
        <w:rPr>
          <w:rFonts w:hint="eastAsia"/>
          <w:b/>
          <w:bCs/>
          <w:sz w:val="28"/>
          <w:szCs w:val="28"/>
          <w:lang w:val="en-US" w:eastAsia="zh-CN"/>
        </w:rPr>
        <w:t>碾子沟水库段</w:t>
      </w:r>
      <w:r>
        <w:rPr>
          <w:rFonts w:hint="eastAsia"/>
          <w:b/>
          <w:bCs/>
          <w:sz w:val="28"/>
          <w:szCs w:val="28"/>
        </w:rPr>
        <w:t>：</w:t>
      </w:r>
      <w:r>
        <w:rPr>
          <w:rFonts w:hint="eastAsia"/>
          <w:sz w:val="28"/>
          <w:szCs w:val="28"/>
        </w:rPr>
        <w:t>水质总体优良、水文水资源情况良好、供水、开发利用及规划符合性方面优良</w:t>
      </w:r>
      <w:r>
        <w:rPr>
          <w:rFonts w:hint="eastAsia"/>
          <w:sz w:val="28"/>
          <w:szCs w:val="28"/>
          <w:lang w:eastAsia="zh-CN"/>
        </w:rPr>
        <w:t>、</w:t>
      </w:r>
      <w:r>
        <w:rPr>
          <w:rFonts w:hint="eastAsia"/>
          <w:sz w:val="28"/>
          <w:szCs w:val="28"/>
          <w:lang w:val="en-US" w:eastAsia="zh-CN"/>
        </w:rPr>
        <w:t>防洪指标较差</w:t>
      </w:r>
      <w:r>
        <w:rPr>
          <w:rFonts w:hint="eastAsia"/>
          <w:sz w:val="28"/>
          <w:szCs w:val="28"/>
        </w:rPr>
        <w:t>，河岸带稳定性和河流纵向连通性相对较差。</w:t>
      </w:r>
    </w:p>
    <w:p>
      <w:pPr>
        <w:jc w:val="center"/>
      </w:pPr>
      <w:r>
        <w:drawing>
          <wp:inline distT="0" distB="0" distL="114300" distR="114300">
            <wp:extent cx="4572000" cy="2743200"/>
            <wp:effectExtent l="4445" t="4445" r="10795" b="10795"/>
            <wp:docPr id="4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pPr>
        <w:bidi w:val="0"/>
        <w:rPr>
          <w:rFonts w:hint="eastAsia"/>
          <w:sz w:val="28"/>
          <w:szCs w:val="28"/>
        </w:rPr>
      </w:pPr>
    </w:p>
    <w:p>
      <w:pPr>
        <w:bidi w:val="0"/>
        <w:rPr>
          <w:rFonts w:hint="default"/>
          <w:sz w:val="28"/>
          <w:szCs w:val="28"/>
          <w:lang w:val="en-US" w:eastAsia="zh-CN"/>
        </w:rPr>
      </w:pPr>
      <w:r>
        <w:rPr>
          <w:rFonts w:hint="eastAsia"/>
          <w:b/>
          <w:bCs/>
          <w:sz w:val="28"/>
          <w:szCs w:val="28"/>
          <w:lang w:val="en-US" w:eastAsia="zh-CN"/>
        </w:rPr>
        <w:t>大洋沟水库</w:t>
      </w:r>
      <w:r>
        <w:rPr>
          <w:rFonts w:hint="eastAsia"/>
          <w:b/>
          <w:bCs/>
          <w:sz w:val="28"/>
          <w:szCs w:val="28"/>
        </w:rPr>
        <w:t>段：</w:t>
      </w:r>
      <w:r>
        <w:rPr>
          <w:rFonts w:hint="eastAsia"/>
          <w:sz w:val="28"/>
          <w:szCs w:val="28"/>
        </w:rPr>
        <w:t>水质总体优良、水文水资源情况良好、供水、开发利用及规划符合性方面</w:t>
      </w:r>
      <w:r>
        <w:rPr>
          <w:rFonts w:hint="eastAsia"/>
          <w:sz w:val="28"/>
          <w:szCs w:val="28"/>
          <w:lang w:val="en-US" w:eastAsia="zh-CN"/>
        </w:rPr>
        <w:t>优良</w:t>
      </w:r>
      <w:r>
        <w:rPr>
          <w:rFonts w:hint="eastAsia"/>
          <w:sz w:val="28"/>
          <w:szCs w:val="28"/>
        </w:rPr>
        <w:t>、</w:t>
      </w:r>
      <w:r>
        <w:rPr>
          <w:rFonts w:hint="eastAsia"/>
          <w:sz w:val="28"/>
          <w:szCs w:val="28"/>
          <w:lang w:val="en-US" w:eastAsia="zh-CN"/>
        </w:rPr>
        <w:t>防洪指标较差、</w:t>
      </w:r>
      <w:r>
        <w:rPr>
          <w:rFonts w:hint="eastAsia"/>
          <w:sz w:val="28"/>
          <w:szCs w:val="28"/>
        </w:rPr>
        <w:t>河岸带基本稳定，河流纵向连通性</w:t>
      </w:r>
      <w:r>
        <w:rPr>
          <w:rFonts w:hint="eastAsia"/>
          <w:sz w:val="28"/>
          <w:szCs w:val="28"/>
          <w:lang w:val="en-US" w:eastAsia="zh-CN"/>
        </w:rPr>
        <w:t>相对较差</w:t>
      </w:r>
      <w:r>
        <w:rPr>
          <w:rFonts w:hint="eastAsia"/>
          <w:sz w:val="28"/>
          <w:szCs w:val="28"/>
        </w:rPr>
        <w:t>。</w:t>
      </w:r>
      <w:r>
        <w:rPr>
          <w:rFonts w:hint="eastAsia"/>
          <w:sz w:val="28"/>
          <w:szCs w:val="28"/>
          <w:lang w:val="en-US" w:eastAsia="zh-CN"/>
        </w:rPr>
        <w:t>总体情况良好。</w:t>
      </w:r>
    </w:p>
    <w:p>
      <w:pPr>
        <w:pStyle w:val="2"/>
        <w:ind w:left="0" w:leftChars="0" w:firstLine="420" w:firstLineChars="200"/>
      </w:pPr>
      <w:r>
        <w:drawing>
          <wp:inline distT="0" distB="0" distL="114300" distR="114300">
            <wp:extent cx="4572000" cy="2743200"/>
            <wp:effectExtent l="4445" t="4445" r="10795" b="10795"/>
            <wp:docPr id="5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pPr>
        <w:bidi w:val="0"/>
        <w:rPr>
          <w:rFonts w:hint="eastAsia"/>
          <w:sz w:val="28"/>
          <w:szCs w:val="28"/>
        </w:rPr>
      </w:pPr>
      <w:r>
        <w:rPr>
          <w:rFonts w:hint="eastAsia"/>
          <w:b/>
          <w:bCs/>
          <w:sz w:val="28"/>
          <w:szCs w:val="28"/>
          <w:lang w:val="en-US" w:eastAsia="zh-CN"/>
        </w:rPr>
        <w:t>沙溪浩全</w:t>
      </w:r>
      <w:r>
        <w:rPr>
          <w:rFonts w:hint="eastAsia"/>
          <w:b/>
          <w:bCs/>
          <w:sz w:val="28"/>
          <w:szCs w:val="28"/>
        </w:rPr>
        <w:t>段：</w:t>
      </w:r>
      <w:r>
        <w:rPr>
          <w:rFonts w:hint="eastAsia"/>
          <w:sz w:val="28"/>
          <w:szCs w:val="28"/>
        </w:rPr>
        <w:t>水质总体优良、水文水资源情况良好、供水、开发利用及规划符合性方面良好、</w:t>
      </w:r>
      <w:r>
        <w:rPr>
          <w:rFonts w:hint="eastAsia"/>
          <w:sz w:val="28"/>
          <w:szCs w:val="28"/>
          <w:lang w:val="en-US" w:eastAsia="zh-CN"/>
        </w:rPr>
        <w:t>防洪指标较差、</w:t>
      </w:r>
      <w:r>
        <w:rPr>
          <w:rFonts w:hint="eastAsia"/>
          <w:sz w:val="28"/>
          <w:szCs w:val="28"/>
        </w:rPr>
        <w:t>河岸带基本稳定，河流纵向连通性</w:t>
      </w:r>
      <w:r>
        <w:rPr>
          <w:rFonts w:hint="eastAsia"/>
          <w:sz w:val="28"/>
          <w:szCs w:val="28"/>
          <w:lang w:val="en-US" w:eastAsia="zh-CN"/>
        </w:rPr>
        <w:t>优良</w:t>
      </w:r>
      <w:r>
        <w:rPr>
          <w:rFonts w:hint="eastAsia"/>
          <w:sz w:val="28"/>
          <w:szCs w:val="28"/>
        </w:rPr>
        <w:t>。</w:t>
      </w:r>
    </w:p>
    <w:p>
      <w:pPr>
        <w:pStyle w:val="2"/>
        <w:ind w:left="0" w:leftChars="0" w:firstLine="420" w:firstLineChars="200"/>
      </w:pPr>
      <w:r>
        <w:drawing>
          <wp:inline distT="0" distB="0" distL="114300" distR="114300">
            <wp:extent cx="5271135" cy="4503420"/>
            <wp:effectExtent l="0" t="0" r="5715" b="11430"/>
            <wp:docPr id="1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7"/>
                    <pic:cNvPicPr>
                      <a:picLocks noChangeAspect="1"/>
                    </pic:cNvPicPr>
                  </pic:nvPicPr>
                  <pic:blipFill>
                    <a:blip r:embed="rId112"/>
                    <a:stretch>
                      <a:fillRect/>
                    </a:stretch>
                  </pic:blipFill>
                  <pic:spPr>
                    <a:xfrm>
                      <a:off x="0" y="0"/>
                      <a:ext cx="5271135" cy="4503420"/>
                    </a:xfrm>
                    <a:prstGeom prst="rect">
                      <a:avLst/>
                    </a:prstGeom>
                    <a:noFill/>
                    <a:ln>
                      <a:noFill/>
                    </a:ln>
                  </pic:spPr>
                </pic:pic>
              </a:graphicData>
            </a:graphic>
          </wp:inline>
        </w:drawing>
      </w:r>
    </w:p>
    <w:p>
      <w:pPr>
        <w:bidi w:val="0"/>
        <w:rPr>
          <w:rFonts w:hint="eastAsia"/>
          <w:sz w:val="28"/>
          <w:szCs w:val="28"/>
        </w:rPr>
      </w:pPr>
      <w:r>
        <w:rPr>
          <w:rFonts w:hint="eastAsia"/>
          <w:sz w:val="28"/>
          <w:szCs w:val="28"/>
        </w:rPr>
        <w:t>总体评价：</w:t>
      </w:r>
      <w:r>
        <w:rPr>
          <w:rFonts w:hint="eastAsia"/>
          <w:sz w:val="28"/>
          <w:szCs w:val="28"/>
          <w:lang w:val="en-US" w:eastAsia="zh-CN"/>
        </w:rPr>
        <w:t>沙溪浩</w:t>
      </w:r>
      <w:r>
        <w:rPr>
          <w:rFonts w:hint="eastAsia"/>
          <w:sz w:val="28"/>
          <w:szCs w:val="28"/>
        </w:rPr>
        <w:t>干流各评价河段及整体状态均为健康。具体指标如下：</w:t>
      </w:r>
    </w:p>
    <w:p>
      <w:pPr>
        <w:bidi w:val="0"/>
        <w:rPr>
          <w:rFonts w:hint="eastAsia"/>
          <w:sz w:val="28"/>
          <w:szCs w:val="28"/>
        </w:rPr>
      </w:pPr>
      <w:r>
        <w:rPr>
          <w:rFonts w:hint="eastAsia"/>
          <w:sz w:val="28"/>
          <w:szCs w:val="28"/>
        </w:rPr>
        <w:t>（1）盆：河流纵向连通性</w:t>
      </w:r>
      <w:r>
        <w:rPr>
          <w:rFonts w:hint="eastAsia"/>
          <w:sz w:val="28"/>
          <w:szCs w:val="28"/>
          <w:lang w:val="en-US" w:eastAsia="zh-CN"/>
        </w:rPr>
        <w:t>较好</w:t>
      </w:r>
      <w:r>
        <w:rPr>
          <w:rFonts w:hint="eastAsia"/>
          <w:sz w:val="28"/>
          <w:szCs w:val="28"/>
        </w:rPr>
        <w:t>，河岸带植被覆盖率较高，河岸整体基本稳定；河流开发利用现状符合规划要求。</w:t>
      </w:r>
    </w:p>
    <w:p>
      <w:pPr>
        <w:bidi w:val="0"/>
        <w:rPr>
          <w:rFonts w:hint="eastAsia"/>
          <w:sz w:val="28"/>
          <w:szCs w:val="28"/>
          <w:lang w:eastAsia="zh-CN"/>
        </w:rPr>
      </w:pPr>
      <w:r>
        <w:rPr>
          <w:rFonts w:hint="eastAsia"/>
          <w:sz w:val="28"/>
          <w:szCs w:val="28"/>
        </w:rPr>
        <w:t>（2）水：水资源开发利用程度较低，生态流量基本能够满足要求，水体整洁度较高，水质情况稳定</w:t>
      </w:r>
      <w:r>
        <w:rPr>
          <w:rFonts w:hint="eastAsia"/>
          <w:sz w:val="28"/>
          <w:szCs w:val="28"/>
          <w:lang w:eastAsia="zh-CN"/>
        </w:rPr>
        <w:t>。</w:t>
      </w:r>
    </w:p>
    <w:p>
      <w:pPr>
        <w:bidi w:val="0"/>
        <w:rPr>
          <w:rFonts w:hint="eastAsia"/>
          <w:sz w:val="28"/>
          <w:szCs w:val="28"/>
        </w:rPr>
      </w:pPr>
      <w:r>
        <w:rPr>
          <w:rFonts w:hint="eastAsia"/>
          <w:sz w:val="28"/>
          <w:szCs w:val="28"/>
        </w:rPr>
        <w:t>（3）生物：河道鱼类种数保有度较高，</w:t>
      </w:r>
      <w:r>
        <w:rPr>
          <w:rFonts w:hint="eastAsia"/>
          <w:sz w:val="28"/>
          <w:szCs w:val="28"/>
          <w:lang w:val="en-US" w:eastAsia="zh-CN"/>
        </w:rPr>
        <w:t>有1-2种</w:t>
      </w:r>
      <w:r>
        <w:rPr>
          <w:rFonts w:hint="eastAsia"/>
          <w:sz w:val="28"/>
          <w:szCs w:val="28"/>
        </w:rPr>
        <w:t>外来水生动植物侵害</w:t>
      </w:r>
      <w:r>
        <w:rPr>
          <w:rFonts w:hint="eastAsia"/>
          <w:sz w:val="28"/>
          <w:szCs w:val="28"/>
          <w:lang w:eastAsia="zh-CN"/>
        </w:rPr>
        <w:t>，</w:t>
      </w:r>
      <w:r>
        <w:rPr>
          <w:rFonts w:hint="eastAsia"/>
          <w:sz w:val="28"/>
          <w:szCs w:val="28"/>
          <w:lang w:val="en-US" w:eastAsia="zh-CN"/>
        </w:rPr>
        <w:t>危害较小</w:t>
      </w:r>
      <w:r>
        <w:rPr>
          <w:rFonts w:hint="eastAsia"/>
          <w:sz w:val="28"/>
          <w:szCs w:val="28"/>
        </w:rPr>
        <w:t>；</w:t>
      </w:r>
    </w:p>
    <w:p>
      <w:pPr>
        <w:bidi w:val="0"/>
        <w:rPr>
          <w:rFonts w:hint="eastAsia"/>
          <w:sz w:val="28"/>
          <w:szCs w:val="28"/>
        </w:rPr>
      </w:pPr>
      <w:r>
        <w:rPr>
          <w:rFonts w:hint="eastAsia"/>
          <w:sz w:val="28"/>
          <w:szCs w:val="28"/>
        </w:rPr>
        <w:t>（4）社会服务功能：公众对河湖环境、水质水量、涉水景观、舒近性及美学价值等方面满意度较高，河流防洪指标</w:t>
      </w:r>
      <w:r>
        <w:rPr>
          <w:rFonts w:hint="eastAsia"/>
          <w:sz w:val="28"/>
          <w:szCs w:val="28"/>
          <w:lang w:val="en-US" w:eastAsia="zh-CN"/>
        </w:rPr>
        <w:t>较差。</w:t>
      </w:r>
      <w:r>
        <w:rPr>
          <w:rFonts w:hint="eastAsia"/>
          <w:sz w:val="28"/>
          <w:szCs w:val="28"/>
        </w:rPr>
        <w:t xml:space="preserve"> </w:t>
      </w:r>
    </w:p>
    <w:p>
      <w:pPr>
        <w:bidi w:val="0"/>
        <w:rPr>
          <w:rFonts w:hint="eastAsia"/>
          <w:sz w:val="28"/>
          <w:szCs w:val="28"/>
        </w:rPr>
      </w:pPr>
      <w:r>
        <w:rPr>
          <w:rFonts w:hint="eastAsia"/>
          <w:sz w:val="28"/>
          <w:szCs w:val="28"/>
          <w:lang w:val="en-US" w:eastAsia="zh-CN"/>
        </w:rPr>
        <w:t>沙溪浩</w:t>
      </w:r>
      <w:r>
        <w:rPr>
          <w:rFonts w:hint="eastAsia"/>
          <w:sz w:val="28"/>
          <w:szCs w:val="28"/>
        </w:rPr>
        <w:t>在物理、化学、生物完整性、社会服务功能可持续性等方面虽有一定程度受损，但仍处于可持续发展的健康状态，应当采用一定的修复、调控以及管理与保护相结合等措施，加强日常管护，持续推进</w:t>
      </w:r>
      <w:r>
        <w:rPr>
          <w:rFonts w:hint="eastAsia"/>
          <w:sz w:val="28"/>
          <w:szCs w:val="28"/>
          <w:lang w:val="en-US" w:eastAsia="zh-CN"/>
        </w:rPr>
        <w:t>沙溪浩</w:t>
      </w:r>
      <w:r>
        <w:rPr>
          <w:rFonts w:hint="eastAsia"/>
          <w:sz w:val="28"/>
          <w:szCs w:val="28"/>
        </w:rPr>
        <w:t>综合治理，使其河流健康状况提档升级。</w:t>
      </w:r>
    </w:p>
    <w:p>
      <w:pPr>
        <w:pStyle w:val="6"/>
        <w:widowControl/>
        <w:numPr>
          <w:ilvl w:val="0"/>
          <w:numId w:val="0"/>
        </w:numPr>
        <w:ind w:left="420" w:leftChars="0"/>
        <w:rPr>
          <w:rFonts w:ascii="Times New Roman" w:hAnsi="Times New Roman"/>
          <w:kern w:val="0"/>
          <w:sz w:val="28"/>
          <w:szCs w:val="28"/>
        </w:rPr>
      </w:pPr>
      <w:bookmarkStart w:id="78" w:name="_Toc22506"/>
      <w:r>
        <w:rPr>
          <w:rFonts w:ascii="Times New Roman" w:hAnsi="Times New Roman"/>
          <w:kern w:val="0"/>
          <w:sz w:val="28"/>
          <w:szCs w:val="28"/>
        </w:rPr>
        <w:t>2</w:t>
      </w:r>
      <w:r>
        <w:rPr>
          <w:rFonts w:hint="eastAsia" w:ascii="Times New Roman" w:hAnsi="Times New Roman"/>
          <w:kern w:val="0"/>
          <w:sz w:val="28"/>
          <w:szCs w:val="28"/>
        </w:rPr>
        <w:t>、问题及建议</w:t>
      </w:r>
      <w:bookmarkEnd w:id="78"/>
    </w:p>
    <w:p>
      <w:pPr>
        <w:bidi w:val="0"/>
        <w:rPr>
          <w:rFonts w:hint="eastAsia"/>
          <w:sz w:val="28"/>
          <w:szCs w:val="28"/>
        </w:rPr>
      </w:pPr>
      <w:r>
        <w:rPr>
          <w:rFonts w:hint="eastAsia"/>
          <w:sz w:val="28"/>
          <w:szCs w:val="28"/>
        </w:rPr>
        <w:t>健康隐患：</w:t>
      </w:r>
    </w:p>
    <w:p>
      <w:pPr>
        <w:bidi w:val="0"/>
        <w:rPr>
          <w:rFonts w:hint="default"/>
          <w:sz w:val="28"/>
          <w:szCs w:val="28"/>
          <w:lang w:val="en-US" w:eastAsia="zh-CN"/>
        </w:rPr>
      </w:pPr>
      <w:r>
        <w:rPr>
          <w:rFonts w:hint="eastAsia"/>
          <w:sz w:val="28"/>
          <w:szCs w:val="28"/>
          <w:lang w:val="en-US" w:eastAsia="zh-CN"/>
        </w:rPr>
        <w:t>（1）沙溪浩周边村落居民较为分散，部分生活污水未经处理直接排放，现状餐饮、住宿、手工作坊等活动所产生的部分生活污水也未经处理直接排放，污染水资源。</w:t>
      </w:r>
    </w:p>
    <w:p>
      <w:pPr>
        <w:bidi w:val="0"/>
        <w:rPr>
          <w:rFonts w:hint="default"/>
          <w:sz w:val="28"/>
          <w:szCs w:val="28"/>
          <w:lang w:val="en-US" w:eastAsia="zh-CN"/>
        </w:rPr>
      </w:pPr>
      <w:r>
        <w:rPr>
          <w:rFonts w:hint="eastAsia"/>
          <w:sz w:val="28"/>
          <w:szCs w:val="28"/>
          <w:lang w:val="en-US" w:eastAsia="zh-CN"/>
        </w:rPr>
        <w:t>（2）村庄农业发展所产生的化肥农药使用不当，可能会加快库区水体的富营养化，后果严重的话，会造成水生生物生存环境的恶化，导致物种多样性的明显下降，甚至破坏了局部水体的生态平衡系统。</w:t>
      </w:r>
    </w:p>
    <w:p>
      <w:pPr>
        <w:bidi w:val="0"/>
        <w:rPr>
          <w:rFonts w:hint="eastAsia"/>
          <w:sz w:val="28"/>
          <w:szCs w:val="28"/>
          <w:lang w:val="en-US" w:eastAsia="zh-CN"/>
        </w:rPr>
      </w:pPr>
      <w:r>
        <w:rPr>
          <w:rFonts w:hint="eastAsia"/>
          <w:sz w:val="28"/>
          <w:szCs w:val="28"/>
          <w:lang w:val="en-US" w:eastAsia="zh-CN"/>
        </w:rPr>
        <w:t>（3）河岸带稳定性方面，局部河段河岸松动裂痕发育趋势明显， 山体环境、自然灾害、人类活动都会河岸带的稳定性造成影响，其中地震滑坡、泥石流河岸冲刷对河岸带的稳定性都会带来较大的破坏。容易发生河岸变形和破坏，中度水土流失。</w:t>
      </w:r>
    </w:p>
    <w:p>
      <w:pPr>
        <w:bidi w:val="0"/>
        <w:rPr>
          <w:rFonts w:hint="default"/>
          <w:sz w:val="28"/>
          <w:szCs w:val="28"/>
          <w:lang w:val="en-US" w:eastAsia="zh-CN"/>
        </w:rPr>
      </w:pPr>
      <w:r>
        <w:rPr>
          <w:rFonts w:hint="eastAsia"/>
          <w:sz w:val="28"/>
          <w:szCs w:val="28"/>
          <w:lang w:val="en-US" w:eastAsia="zh-CN"/>
        </w:rPr>
        <w:t>（</w:t>
      </w:r>
      <w:r>
        <w:rPr>
          <w:rFonts w:hint="default"/>
          <w:sz w:val="28"/>
          <w:szCs w:val="28"/>
          <w:lang w:val="en-US" w:eastAsia="zh-CN"/>
        </w:rPr>
        <w:t>4</w:t>
      </w:r>
      <w:r>
        <w:rPr>
          <w:rFonts w:hint="eastAsia"/>
          <w:sz w:val="28"/>
          <w:szCs w:val="28"/>
          <w:lang w:val="en-US" w:eastAsia="zh-CN"/>
        </w:rPr>
        <w:t>）沿岸部分居民对于水资源、水环境的保护意识淡薄，生活垃圾随意丢弃。</w:t>
      </w:r>
    </w:p>
    <w:p>
      <w:pPr>
        <w:bidi w:val="0"/>
        <w:rPr>
          <w:rFonts w:hint="default"/>
          <w:sz w:val="28"/>
          <w:szCs w:val="28"/>
          <w:lang w:val="en-US" w:eastAsia="zh-CN"/>
        </w:rPr>
      </w:pPr>
      <w:r>
        <w:rPr>
          <w:rFonts w:hint="eastAsia"/>
          <w:sz w:val="28"/>
          <w:szCs w:val="28"/>
          <w:lang w:val="en-US" w:eastAsia="zh-CN"/>
        </w:rPr>
        <w:t>（5）沙溪浩周边</w:t>
      </w:r>
      <w:r>
        <w:rPr>
          <w:rFonts w:hint="default"/>
          <w:sz w:val="28"/>
          <w:szCs w:val="28"/>
          <w:lang w:val="en-US" w:eastAsia="zh-CN"/>
        </w:rPr>
        <w:t>畜禽</w:t>
      </w:r>
      <w:r>
        <w:rPr>
          <w:rFonts w:hint="eastAsia"/>
          <w:sz w:val="28"/>
          <w:szCs w:val="28"/>
          <w:lang w:val="en-US" w:eastAsia="zh-CN"/>
        </w:rPr>
        <w:t>养殖场较为分散且规模不一，部分生产污水未经处理直接排放，污染水源。</w:t>
      </w:r>
    </w:p>
    <w:p>
      <w:pPr>
        <w:bidi w:val="0"/>
        <w:rPr>
          <w:rFonts w:hint="eastAsia"/>
          <w:sz w:val="28"/>
          <w:szCs w:val="28"/>
        </w:rPr>
      </w:pPr>
      <w:r>
        <w:rPr>
          <w:rFonts w:hint="eastAsia"/>
          <w:sz w:val="28"/>
          <w:szCs w:val="28"/>
        </w:rPr>
        <w:t>改进建议：</w:t>
      </w:r>
    </w:p>
    <w:p>
      <w:pPr>
        <w:bidi w:val="0"/>
        <w:rPr>
          <w:rFonts w:hint="eastAsia"/>
          <w:sz w:val="28"/>
          <w:szCs w:val="28"/>
          <w:lang w:eastAsia="zh-CN"/>
        </w:rPr>
      </w:pPr>
      <w:r>
        <w:rPr>
          <w:rFonts w:hint="eastAsia"/>
          <w:sz w:val="28"/>
          <w:szCs w:val="28"/>
        </w:rPr>
        <w:t>（</w:t>
      </w:r>
      <w:r>
        <w:rPr>
          <w:rFonts w:hint="eastAsia"/>
          <w:sz w:val="28"/>
          <w:szCs w:val="28"/>
          <w:lang w:val="en-US" w:eastAsia="zh-CN"/>
        </w:rPr>
        <w:t>1</w:t>
      </w:r>
      <w:r>
        <w:rPr>
          <w:rFonts w:hint="eastAsia"/>
          <w:sz w:val="28"/>
          <w:szCs w:val="28"/>
        </w:rPr>
        <w:t>）通过合作、补偿等方式推广生态农业、有机农业，提倡科学使用有机、绿色肥料，推广使用高效、低毒、低残留的农药与生物农业；同时对库区周边农田径流污染采用生态堤岸工程进行控制，生态堤岸主要通过上层种植乔木、灌木等树种，下层采用框格植草护坡等措施构建。</w:t>
      </w:r>
    </w:p>
    <w:p>
      <w:pPr>
        <w:bidi w:val="0"/>
        <w:rPr>
          <w:rFonts w:hint="eastAsia"/>
          <w:sz w:val="28"/>
          <w:szCs w:val="28"/>
          <w:lang w:eastAsia="zh-CN"/>
        </w:rPr>
      </w:pPr>
      <w:r>
        <w:rPr>
          <w:rFonts w:hint="eastAsia"/>
          <w:sz w:val="28"/>
          <w:szCs w:val="28"/>
        </w:rPr>
        <w:t>（</w:t>
      </w:r>
      <w:r>
        <w:rPr>
          <w:rFonts w:hint="eastAsia"/>
          <w:sz w:val="28"/>
          <w:szCs w:val="28"/>
          <w:lang w:val="en-US" w:eastAsia="zh-CN"/>
        </w:rPr>
        <w:t>2</w:t>
      </w:r>
      <w:r>
        <w:rPr>
          <w:rFonts w:hint="eastAsia"/>
          <w:sz w:val="28"/>
          <w:szCs w:val="28"/>
        </w:rPr>
        <w:t>）结合景观规划，选用本地水生、湿生物种进行植被恢复，增强植被的过滤净水功能，优化水岸景观；采用生态混凝土、土工植草固土网垫，土工网复合技术，土工格栅等生态治理技术；积极开展清淤疏浚、护岸护坡，维护</w:t>
      </w:r>
      <w:r>
        <w:rPr>
          <w:rFonts w:hint="eastAsia"/>
          <w:sz w:val="28"/>
          <w:szCs w:val="28"/>
          <w:lang w:eastAsia="zh-CN"/>
        </w:rPr>
        <w:t>河道</w:t>
      </w:r>
      <w:r>
        <w:rPr>
          <w:rFonts w:hint="eastAsia"/>
          <w:sz w:val="28"/>
          <w:szCs w:val="28"/>
        </w:rPr>
        <w:t>的自然形态。</w:t>
      </w:r>
    </w:p>
    <w:p>
      <w:pPr>
        <w:bidi w:val="0"/>
        <w:rPr>
          <w:rFonts w:hint="default"/>
          <w:sz w:val="28"/>
          <w:szCs w:val="28"/>
        </w:rPr>
      </w:pPr>
      <w:r>
        <w:rPr>
          <w:rFonts w:hint="default"/>
          <w:sz w:val="28"/>
          <w:szCs w:val="28"/>
        </w:rPr>
        <w:t>（</w:t>
      </w:r>
      <w:r>
        <w:rPr>
          <w:rFonts w:hint="eastAsia"/>
          <w:sz w:val="28"/>
          <w:szCs w:val="28"/>
          <w:lang w:val="en-US" w:eastAsia="zh-CN"/>
        </w:rPr>
        <w:t>3</w:t>
      </w:r>
      <w:r>
        <w:rPr>
          <w:rFonts w:hint="default"/>
          <w:sz w:val="28"/>
          <w:szCs w:val="28"/>
        </w:rPr>
        <w:t>）通过推进小流域综合治理，实施生态修复、保土耕作等措施使得重点治理区水土流失得到基本控制。新建生产项目全面落实水土保持方案制度。</w:t>
      </w:r>
    </w:p>
    <w:p>
      <w:pPr>
        <w:bidi w:val="0"/>
        <w:rPr>
          <w:rFonts w:hint="default"/>
          <w:sz w:val="28"/>
          <w:szCs w:val="28"/>
        </w:rPr>
      </w:pPr>
      <w:r>
        <w:rPr>
          <w:rFonts w:hint="default"/>
          <w:sz w:val="28"/>
          <w:szCs w:val="28"/>
        </w:rPr>
        <w:t>（</w:t>
      </w:r>
      <w:r>
        <w:rPr>
          <w:rFonts w:hint="eastAsia"/>
          <w:sz w:val="28"/>
          <w:szCs w:val="28"/>
          <w:lang w:val="en-US" w:eastAsia="zh-CN"/>
        </w:rPr>
        <w:t>4</w:t>
      </w:r>
      <w:r>
        <w:rPr>
          <w:rFonts w:hint="default"/>
          <w:sz w:val="28"/>
          <w:szCs w:val="28"/>
        </w:rPr>
        <w:t xml:space="preserve">）按照保护优先、自然恢复为主的原则开展水生态修复，推进生态功能受损河流的生态修复。保护流域水生态系统的完整性。 </w:t>
      </w:r>
    </w:p>
    <w:p>
      <w:pPr>
        <w:bidi w:val="0"/>
        <w:rPr>
          <w:rFonts w:hint="eastAsia"/>
          <w:sz w:val="28"/>
          <w:szCs w:val="28"/>
        </w:rPr>
      </w:pPr>
      <w:r>
        <w:rPr>
          <w:rFonts w:hint="eastAsia"/>
          <w:sz w:val="28"/>
          <w:szCs w:val="28"/>
        </w:rPr>
        <w:t>（</w:t>
      </w:r>
      <w:r>
        <w:rPr>
          <w:rFonts w:hint="eastAsia"/>
          <w:sz w:val="28"/>
          <w:szCs w:val="28"/>
          <w:lang w:val="en-US" w:eastAsia="zh-CN"/>
        </w:rPr>
        <w:t>5</w:t>
      </w:r>
      <w:r>
        <w:rPr>
          <w:rFonts w:hint="eastAsia"/>
          <w:sz w:val="28"/>
          <w:szCs w:val="28"/>
        </w:rPr>
        <w:t>）加强监测，根据《地表水环境质量标准》（GB3838），对</w:t>
      </w:r>
      <w:r>
        <w:rPr>
          <w:rFonts w:hint="eastAsia"/>
          <w:sz w:val="28"/>
          <w:szCs w:val="28"/>
          <w:lang w:val="en-US" w:eastAsia="zh-CN"/>
        </w:rPr>
        <w:t>沙溪浩</w:t>
      </w:r>
      <w:r>
        <w:rPr>
          <w:rFonts w:hint="eastAsia"/>
          <w:sz w:val="28"/>
          <w:szCs w:val="28"/>
        </w:rPr>
        <w:t>的水质进行取样、分析，建立</w:t>
      </w:r>
      <w:r>
        <w:rPr>
          <w:rFonts w:hint="eastAsia"/>
          <w:sz w:val="28"/>
          <w:szCs w:val="28"/>
          <w:lang w:val="en-US" w:eastAsia="zh-CN"/>
        </w:rPr>
        <w:t>沙溪浩</w:t>
      </w:r>
      <w:r>
        <w:rPr>
          <w:rFonts w:hint="eastAsia"/>
          <w:sz w:val="28"/>
          <w:szCs w:val="28"/>
        </w:rPr>
        <w:t>水环境变化动态数据库，掌握区域内水文、水质的动态变化情况，为风景区水资源、水生态的保护提供科学的依据。</w:t>
      </w:r>
    </w:p>
    <w:p>
      <w:pPr>
        <w:bidi w:val="0"/>
        <w:rPr>
          <w:rFonts w:hint="eastAsia"/>
          <w:sz w:val="28"/>
          <w:szCs w:val="28"/>
        </w:rPr>
      </w:pPr>
      <w:r>
        <w:rPr>
          <w:rFonts w:hint="eastAsia"/>
          <w:sz w:val="28"/>
          <w:szCs w:val="28"/>
          <w:lang w:val="en-US" w:eastAsia="zh-CN"/>
        </w:rPr>
        <w:t>（6）</w:t>
      </w:r>
      <w:r>
        <w:rPr>
          <w:rFonts w:hint="eastAsia"/>
          <w:sz w:val="28"/>
          <w:szCs w:val="28"/>
          <w:lang w:val="zh-CN"/>
        </w:rPr>
        <w:t>加强宣传教育、提高全民环保意识。加强水资源保护宣传教育工作，提高全民水资源保护意识，激发和调动全民参与环境保护工作的积极性和主动性。</w:t>
      </w:r>
    </w:p>
    <w:p>
      <w:pPr>
        <w:bidi w:val="0"/>
        <w:rPr>
          <w:rFonts w:hint="eastAsia"/>
          <w:sz w:val="28"/>
          <w:szCs w:val="28"/>
          <w:lang w:val="en-US" w:eastAsia="zh-CN"/>
        </w:rPr>
      </w:pPr>
      <w:r>
        <w:rPr>
          <w:rFonts w:hint="eastAsia"/>
          <w:sz w:val="28"/>
          <w:szCs w:val="28"/>
          <w:lang w:val="en-US" w:eastAsia="zh-CN"/>
        </w:rPr>
        <w:t>（7）恢复河湖水域岸线生态功能，提升河岸带稳定性，强化水土流失治理工作，保护渔业资源。</w:t>
      </w:r>
    </w:p>
    <w:p>
      <w:pPr>
        <w:bidi w:val="0"/>
        <w:rPr>
          <w:rFonts w:hint="eastAsia"/>
          <w:sz w:val="28"/>
          <w:szCs w:val="28"/>
          <w:lang w:val="en-US" w:eastAsia="zh-CN"/>
        </w:rPr>
      </w:pPr>
      <w:r>
        <w:rPr>
          <w:rFonts w:hint="eastAsia"/>
          <w:sz w:val="28"/>
          <w:szCs w:val="28"/>
          <w:lang w:val="en-US" w:eastAsia="zh-CN"/>
        </w:rPr>
        <w:t>（8）严格落实河湖长制度，强化生态流量保障目标落实。</w:t>
      </w:r>
    </w:p>
    <w:p>
      <w:pPr>
        <w:bidi w:val="0"/>
        <w:rPr>
          <w:rFonts w:hint="default"/>
          <w:sz w:val="28"/>
          <w:szCs w:val="28"/>
          <w:lang w:val="en-US" w:eastAsia="zh-CN"/>
        </w:rPr>
      </w:pPr>
      <w:r>
        <w:rPr>
          <w:rFonts w:hint="eastAsia"/>
          <w:sz w:val="28"/>
          <w:szCs w:val="28"/>
          <w:lang w:val="en-US" w:eastAsia="zh-CN"/>
        </w:rPr>
        <w:t>（9）</w:t>
      </w:r>
      <w:r>
        <w:rPr>
          <w:rFonts w:hint="default"/>
          <w:sz w:val="28"/>
          <w:szCs w:val="28"/>
          <w:lang w:val="en-US" w:eastAsia="zh-CN"/>
        </w:rPr>
        <w:t>全面清理</w:t>
      </w:r>
      <w:r>
        <w:rPr>
          <w:rFonts w:hint="eastAsia"/>
          <w:sz w:val="28"/>
          <w:szCs w:val="28"/>
          <w:lang w:val="en-US" w:eastAsia="zh-CN"/>
        </w:rPr>
        <w:t>沙溪浩</w:t>
      </w:r>
      <w:r>
        <w:rPr>
          <w:rFonts w:hint="default"/>
          <w:sz w:val="28"/>
          <w:szCs w:val="28"/>
          <w:lang w:val="en-US" w:eastAsia="zh-CN"/>
        </w:rPr>
        <w:t>干流违规的岸线开发利用，加强对在</w:t>
      </w:r>
      <w:r>
        <w:rPr>
          <w:rFonts w:hint="eastAsia"/>
          <w:sz w:val="28"/>
          <w:szCs w:val="28"/>
          <w:lang w:val="en-US" w:eastAsia="zh-CN"/>
        </w:rPr>
        <w:t>河道范围内</w:t>
      </w:r>
      <w:r>
        <w:rPr>
          <w:rFonts w:hint="default"/>
          <w:sz w:val="28"/>
          <w:szCs w:val="28"/>
          <w:lang w:val="en-US" w:eastAsia="zh-CN"/>
        </w:rPr>
        <w:t>上设障阻碍行洪、擅自建设防洪工程和其他水工程及其他侵占河道湖泊等突出问题的监督排查。</w:t>
      </w:r>
    </w:p>
    <w:p>
      <w:pPr>
        <w:bidi w:val="0"/>
        <w:rPr>
          <w:rFonts w:hint="default"/>
          <w:sz w:val="28"/>
          <w:szCs w:val="28"/>
          <w:lang w:val="zh-CN" w:eastAsia="zh-CN"/>
        </w:rPr>
        <w:sectPr>
          <w:headerReference r:id="rId14" w:type="default"/>
          <w:pgSz w:w="11906" w:h="16838"/>
          <w:pgMar w:top="1440" w:right="1800" w:bottom="1440" w:left="1800" w:header="851" w:footer="992" w:gutter="0"/>
          <w:pgNumType w:fmt="decimal"/>
          <w:cols w:space="425" w:num="1"/>
          <w:docGrid w:type="lines" w:linePitch="312" w:charSpace="0"/>
        </w:sectPr>
      </w:pPr>
      <w:r>
        <w:rPr>
          <w:rFonts w:hint="eastAsia"/>
          <w:sz w:val="28"/>
          <w:szCs w:val="28"/>
          <w:lang w:val="zh-CN" w:eastAsia="zh-CN"/>
        </w:rPr>
        <w:t>（</w:t>
      </w:r>
      <w:r>
        <w:rPr>
          <w:rFonts w:hint="eastAsia"/>
          <w:sz w:val="28"/>
          <w:szCs w:val="28"/>
          <w:lang w:val="en-US" w:eastAsia="zh-CN"/>
        </w:rPr>
        <w:t>10</w:t>
      </w:r>
      <w:r>
        <w:rPr>
          <w:rFonts w:hint="eastAsia"/>
          <w:sz w:val="28"/>
          <w:szCs w:val="28"/>
          <w:lang w:val="zh-CN" w:eastAsia="zh-CN"/>
        </w:rPr>
        <w:t>）</w:t>
      </w:r>
      <w:r>
        <w:rPr>
          <w:rFonts w:hint="default"/>
          <w:sz w:val="28"/>
          <w:szCs w:val="28"/>
          <w:lang w:val="en-US" w:eastAsia="zh-CN"/>
        </w:rPr>
        <w:t>畜禽养殖污染防治</w:t>
      </w:r>
      <w:r>
        <w:rPr>
          <w:rFonts w:hint="eastAsia"/>
          <w:sz w:val="28"/>
          <w:szCs w:val="28"/>
          <w:lang w:val="en-US" w:eastAsia="zh-CN"/>
        </w:rPr>
        <w:t>。</w:t>
      </w:r>
      <w:r>
        <w:rPr>
          <w:rFonts w:hint="default"/>
          <w:sz w:val="28"/>
          <w:szCs w:val="28"/>
          <w:lang w:val="en-US" w:eastAsia="zh-CN"/>
        </w:rPr>
        <w:t>启动对新建、改建、扩建的规模化畜禽养殖场实施雨污分流、粪便污水资源化利用。优化重要区域规模化畜禽养殖结构和布局，持续加强禁养区巡查、监管，杜绝出现养殖场、养殖专业户，禁养区外实施规模化、标准化建设和改造。加强水库、河塘、滩涂水产养殖监管，大力推广水产绿色养殖。</w:t>
      </w:r>
    </w:p>
    <w:p>
      <w:pPr>
        <w:pStyle w:val="27"/>
        <w:spacing w:line="360" w:lineRule="auto"/>
        <w:rPr>
          <w:rFonts w:ascii="Times New Roman" w:hAnsi="Times New Roman" w:eastAsia="黑体"/>
          <w:b/>
          <w:sz w:val="28"/>
          <w:szCs w:val="28"/>
        </w:rPr>
      </w:pPr>
      <w:r>
        <w:rPr>
          <w:rFonts w:ascii="Times New Roman" w:hAnsi="Times New Roman"/>
          <w:sz w:val="28"/>
          <w:szCs w:val="28"/>
          <w:lang w:bidi="ar"/>
        </w:rPr>
        <w:t xml:space="preserve"> </w:t>
      </w:r>
      <w:r>
        <w:rPr>
          <w:rFonts w:hint="eastAsia" w:ascii="Times New Roman" w:hAnsi="Times New Roman" w:eastAsia="黑体"/>
          <w:b/>
          <w:sz w:val="28"/>
          <w:szCs w:val="28"/>
        </w:rPr>
        <w:t>指标</w:t>
      </w:r>
      <w:r>
        <w:rPr>
          <w:rFonts w:hint="eastAsia" w:ascii="黑体" w:hAnsi="宋体" w:eastAsia="黑体" w:cs="黑体"/>
          <w:b/>
          <w:sz w:val="28"/>
          <w:szCs w:val="28"/>
        </w:rPr>
        <w:t>解读</w:t>
      </w:r>
    </w:p>
    <w:p>
      <w:pPr>
        <w:pStyle w:val="6"/>
        <w:widowControl/>
        <w:numPr>
          <w:ilvl w:val="0"/>
          <w:numId w:val="5"/>
        </w:numPr>
        <w:rPr>
          <w:rFonts w:ascii="Times New Roman" w:hAnsi="Times New Roman"/>
          <w:kern w:val="0"/>
          <w:sz w:val="28"/>
          <w:szCs w:val="28"/>
        </w:rPr>
      </w:pPr>
      <w:bookmarkStart w:id="79" w:name="_Toc10297"/>
      <w:r>
        <w:rPr>
          <w:rFonts w:hint="eastAsia" w:ascii="Times New Roman" w:hAnsi="Times New Roman"/>
          <w:kern w:val="0"/>
          <w:sz w:val="28"/>
          <w:szCs w:val="28"/>
        </w:rPr>
        <w:t>水文</w:t>
      </w:r>
      <w:r>
        <w:rPr>
          <w:rFonts w:hint="eastAsia" w:ascii="黑体" w:hAnsi="宋体" w:cs="黑体"/>
          <w:kern w:val="0"/>
          <w:sz w:val="28"/>
          <w:szCs w:val="28"/>
        </w:rPr>
        <w:t>水资源</w:t>
      </w:r>
      <w:r>
        <w:rPr>
          <w:rFonts w:hint="eastAsia" w:ascii="Times New Roman" w:hAnsi="Times New Roman"/>
          <w:kern w:val="0"/>
          <w:sz w:val="28"/>
          <w:szCs w:val="28"/>
        </w:rPr>
        <w:t>：</w:t>
      </w:r>
      <w:bookmarkEnd w:id="79"/>
    </w:p>
    <w:p>
      <w:pPr>
        <w:bidi w:val="0"/>
        <w:rPr>
          <w:rFonts w:hint="eastAsia"/>
          <w:sz w:val="28"/>
          <w:szCs w:val="28"/>
        </w:rPr>
      </w:pPr>
      <w:r>
        <w:rPr>
          <w:rFonts w:hint="eastAsia"/>
          <w:sz w:val="28"/>
          <w:szCs w:val="28"/>
        </w:rPr>
        <w:t>水资源开发利用率：河道外用水量及跨流域调水量占评价河湖下断面上游地表水资源量的百分比。</w:t>
      </w:r>
    </w:p>
    <w:p>
      <w:pPr>
        <w:bidi w:val="0"/>
        <w:rPr>
          <w:rFonts w:hint="eastAsia"/>
          <w:sz w:val="28"/>
          <w:szCs w:val="28"/>
        </w:rPr>
      </w:pPr>
      <w:r>
        <w:rPr>
          <w:rFonts w:hint="eastAsia"/>
          <w:sz w:val="28"/>
          <w:szCs w:val="28"/>
        </w:rPr>
        <w:t>生态用水满足程度：河流生态流量是指为维持河流生态系统的结构、功能而必须维持的最小水量。评估河流流量过程生态适宜程度，分别计算不同水期最小日均流量占多年平均流量的百分比。</w:t>
      </w:r>
    </w:p>
    <w:p>
      <w:pPr>
        <w:pStyle w:val="6"/>
        <w:widowControl/>
        <w:numPr>
          <w:ilvl w:val="0"/>
          <w:numId w:val="5"/>
        </w:numPr>
        <w:rPr>
          <w:rFonts w:ascii="Times New Roman" w:hAnsi="Times New Roman"/>
          <w:kern w:val="0"/>
          <w:sz w:val="28"/>
          <w:szCs w:val="28"/>
        </w:rPr>
      </w:pPr>
      <w:bookmarkStart w:id="80" w:name="_Toc30188"/>
      <w:r>
        <w:rPr>
          <w:rFonts w:hint="eastAsia" w:ascii="Times New Roman" w:hAnsi="Times New Roman"/>
          <w:kern w:val="0"/>
          <w:sz w:val="28"/>
          <w:szCs w:val="28"/>
        </w:rPr>
        <w:t>物理</w:t>
      </w:r>
      <w:r>
        <w:rPr>
          <w:rFonts w:hint="eastAsia" w:ascii="黑体" w:hAnsi="宋体" w:cs="黑体"/>
          <w:kern w:val="0"/>
          <w:sz w:val="28"/>
          <w:szCs w:val="28"/>
        </w:rPr>
        <w:t>结构：</w:t>
      </w:r>
      <w:bookmarkEnd w:id="80"/>
    </w:p>
    <w:p>
      <w:pPr>
        <w:bidi w:val="0"/>
        <w:rPr>
          <w:rFonts w:hint="eastAsia"/>
          <w:sz w:val="28"/>
          <w:szCs w:val="28"/>
        </w:rPr>
      </w:pPr>
      <w:r>
        <w:rPr>
          <w:rFonts w:hint="eastAsia"/>
          <w:sz w:val="28"/>
          <w:szCs w:val="28"/>
        </w:rPr>
        <w:t>河岸带稳定性指标：根据河岸坡侵蚀现状（包括已经发生的或潜在发生的河岸侵蚀）进行评估，评价要素包括：岸坡倾角、河岸高度、基质特征、岸坡植被覆盖度和坡脚冲刷强度。</w:t>
      </w:r>
    </w:p>
    <w:p>
      <w:pPr>
        <w:bidi w:val="0"/>
        <w:rPr>
          <w:rFonts w:hint="eastAsia"/>
          <w:sz w:val="28"/>
          <w:szCs w:val="28"/>
        </w:rPr>
      </w:pPr>
      <w:r>
        <w:rPr>
          <w:rFonts w:hint="eastAsia"/>
          <w:sz w:val="28"/>
          <w:szCs w:val="28"/>
        </w:rPr>
        <w:t>河流纵向连通性指数：根据单位河长内影响河流连通性的建筑物或设施数量进行评估，有过鱼设施的不在统计范围之列。</w:t>
      </w:r>
    </w:p>
    <w:p>
      <w:pPr>
        <w:pStyle w:val="6"/>
        <w:widowControl/>
        <w:numPr>
          <w:ilvl w:val="0"/>
          <w:numId w:val="5"/>
        </w:numPr>
        <w:rPr>
          <w:rFonts w:ascii="Times New Roman" w:hAnsi="Times New Roman"/>
          <w:kern w:val="0"/>
          <w:sz w:val="28"/>
          <w:szCs w:val="28"/>
        </w:rPr>
      </w:pPr>
      <w:bookmarkStart w:id="81" w:name="_Toc32097"/>
      <w:r>
        <w:rPr>
          <w:rFonts w:hint="eastAsia" w:ascii="Times New Roman" w:hAnsi="Times New Roman"/>
          <w:kern w:val="0"/>
          <w:sz w:val="28"/>
          <w:szCs w:val="28"/>
        </w:rPr>
        <w:t>水质</w:t>
      </w:r>
      <w:r>
        <w:rPr>
          <w:rFonts w:hint="eastAsia" w:ascii="黑体" w:hAnsi="宋体" w:cs="黑体"/>
          <w:kern w:val="0"/>
          <w:sz w:val="28"/>
          <w:szCs w:val="28"/>
        </w:rPr>
        <w:t>：</w:t>
      </w:r>
      <w:bookmarkEnd w:id="81"/>
    </w:p>
    <w:p>
      <w:pPr>
        <w:bidi w:val="0"/>
        <w:rPr>
          <w:rFonts w:hint="eastAsia"/>
          <w:sz w:val="28"/>
          <w:szCs w:val="28"/>
        </w:rPr>
      </w:pPr>
      <w:r>
        <w:rPr>
          <w:rFonts w:hint="eastAsia"/>
          <w:sz w:val="28"/>
          <w:szCs w:val="28"/>
        </w:rPr>
        <w:t>水体整洁程度：水体整洁程度根据河流水域感官状况评估，评估内容有嗅和味、漂浮废弃物。</w:t>
      </w:r>
    </w:p>
    <w:p>
      <w:pPr>
        <w:bidi w:val="0"/>
        <w:rPr>
          <w:rFonts w:hint="eastAsia"/>
          <w:sz w:val="28"/>
          <w:szCs w:val="28"/>
        </w:rPr>
      </w:pPr>
      <w:r>
        <w:rPr>
          <w:rFonts w:hint="eastAsia"/>
          <w:sz w:val="28"/>
          <w:szCs w:val="28"/>
        </w:rPr>
        <w:t>水质优劣程度：按照河流水质类别比例赋分。水质类别比例根据《地表水资源质量评价技术规程》（SL395-2007）进行评估，河流按照河长统计。</w:t>
      </w:r>
    </w:p>
    <w:p>
      <w:pPr>
        <w:bidi w:val="0"/>
        <w:rPr>
          <w:rFonts w:hint="eastAsia"/>
          <w:sz w:val="28"/>
          <w:szCs w:val="28"/>
        </w:rPr>
      </w:pPr>
      <w:r>
        <w:rPr>
          <w:rFonts w:hint="eastAsia"/>
          <w:sz w:val="28"/>
          <w:szCs w:val="28"/>
        </w:rPr>
        <w:t>水质变化趋势：收集近几年水质监测资料，对水质类别及主要污染因子变化趋势进行评价，主要污染因子含：高锰酸盐指数、总磷、氨氮。</w:t>
      </w:r>
    </w:p>
    <w:p>
      <w:pPr>
        <w:pStyle w:val="6"/>
        <w:widowControl/>
        <w:numPr>
          <w:ilvl w:val="0"/>
          <w:numId w:val="5"/>
        </w:numPr>
        <w:rPr>
          <w:rFonts w:ascii="Times New Roman" w:hAnsi="Times New Roman"/>
          <w:kern w:val="0"/>
          <w:sz w:val="28"/>
          <w:szCs w:val="28"/>
        </w:rPr>
      </w:pPr>
      <w:bookmarkStart w:id="82" w:name="_Toc20484"/>
      <w:r>
        <w:rPr>
          <w:rFonts w:hint="eastAsia" w:ascii="Times New Roman" w:hAnsi="Times New Roman"/>
          <w:kern w:val="0"/>
          <w:sz w:val="28"/>
          <w:szCs w:val="28"/>
        </w:rPr>
        <w:t>生物</w:t>
      </w:r>
      <w:r>
        <w:rPr>
          <w:rFonts w:hint="eastAsia" w:ascii="黑体" w:hAnsi="宋体" w:cs="黑体"/>
          <w:kern w:val="0"/>
          <w:sz w:val="28"/>
          <w:szCs w:val="28"/>
        </w:rPr>
        <w:t>：</w:t>
      </w:r>
      <w:bookmarkEnd w:id="82"/>
    </w:p>
    <w:p>
      <w:pPr>
        <w:bidi w:val="0"/>
        <w:rPr>
          <w:rFonts w:hint="eastAsia"/>
          <w:sz w:val="28"/>
          <w:szCs w:val="28"/>
        </w:rPr>
      </w:pPr>
      <w:r>
        <w:rPr>
          <w:rFonts w:hint="eastAsia"/>
          <w:sz w:val="28"/>
          <w:szCs w:val="28"/>
        </w:rPr>
        <w:t>鱼类保有指数：现有鱼类种类与历史参考点鱼类种类的差异状况。</w:t>
      </w:r>
    </w:p>
    <w:p>
      <w:pPr>
        <w:bidi w:val="0"/>
        <w:rPr>
          <w:rFonts w:hint="eastAsia"/>
          <w:sz w:val="28"/>
          <w:szCs w:val="28"/>
        </w:rPr>
      </w:pPr>
      <w:r>
        <w:rPr>
          <w:rFonts w:hint="eastAsia"/>
          <w:sz w:val="28"/>
          <w:szCs w:val="28"/>
        </w:rPr>
        <w:t>外来水生动植物：收集或调查历史及现状水生动植物情况，调查是否存在外来水生动植物及其种类、规模。</w:t>
      </w:r>
    </w:p>
    <w:p>
      <w:pPr>
        <w:pStyle w:val="6"/>
        <w:widowControl/>
        <w:numPr>
          <w:ilvl w:val="0"/>
          <w:numId w:val="5"/>
        </w:numPr>
        <w:rPr>
          <w:rFonts w:ascii="Times New Roman" w:hAnsi="Times New Roman"/>
          <w:kern w:val="0"/>
          <w:sz w:val="28"/>
          <w:szCs w:val="28"/>
        </w:rPr>
      </w:pPr>
      <w:bookmarkStart w:id="83" w:name="_Toc11523"/>
      <w:r>
        <w:rPr>
          <w:rFonts w:hint="eastAsia" w:ascii="Times New Roman" w:hAnsi="Times New Roman"/>
          <w:kern w:val="0"/>
          <w:sz w:val="28"/>
          <w:szCs w:val="28"/>
        </w:rPr>
        <w:t>河湖管理</w:t>
      </w:r>
      <w:r>
        <w:rPr>
          <w:rFonts w:hint="eastAsia" w:ascii="黑体" w:hAnsi="宋体" w:cs="黑体"/>
          <w:kern w:val="0"/>
          <w:sz w:val="28"/>
          <w:szCs w:val="28"/>
        </w:rPr>
        <w:t>与社会服务功能：</w:t>
      </w:r>
      <w:bookmarkEnd w:id="83"/>
    </w:p>
    <w:p>
      <w:pPr>
        <w:bidi w:val="0"/>
        <w:rPr>
          <w:sz w:val="28"/>
          <w:szCs w:val="28"/>
        </w:rPr>
      </w:pPr>
      <w:r>
        <w:rPr>
          <w:rFonts w:hint="eastAsia"/>
          <w:sz w:val="28"/>
          <w:szCs w:val="28"/>
        </w:rPr>
        <w:t>公众满意度：采用调查方法评估公众对河湖环境、水质水量、涉水景观、舒适性、亲水性等的满意程度。</w:t>
      </w:r>
    </w:p>
    <w:p>
      <w:pPr>
        <w:bidi w:val="0"/>
        <w:rPr>
          <w:sz w:val="28"/>
          <w:szCs w:val="28"/>
        </w:rPr>
      </w:pPr>
      <w:r>
        <w:rPr>
          <w:rFonts w:hint="eastAsia"/>
          <w:sz w:val="28"/>
          <w:szCs w:val="28"/>
        </w:rPr>
        <w:t>防洪指标：已达到的防洪标准的堤防长度占堤防总长度的比例。</w:t>
      </w:r>
    </w:p>
    <w:p>
      <w:pPr>
        <w:bidi w:val="0"/>
        <w:rPr>
          <w:sz w:val="28"/>
          <w:szCs w:val="28"/>
        </w:rPr>
      </w:pPr>
      <w:r>
        <w:rPr>
          <w:rFonts w:hint="eastAsia"/>
          <w:sz w:val="28"/>
          <w:szCs w:val="28"/>
        </w:rPr>
        <w:t>供水指标：河湖所有供水工程的供水保证率。</w:t>
      </w:r>
    </w:p>
    <w:p>
      <w:pPr>
        <w:bidi w:val="0"/>
        <w:rPr>
          <w:sz w:val="28"/>
          <w:szCs w:val="28"/>
        </w:rPr>
      </w:pPr>
      <w:r>
        <w:rPr>
          <w:rFonts w:hint="eastAsia"/>
          <w:sz w:val="28"/>
          <w:szCs w:val="28"/>
        </w:rPr>
        <w:t>开发利用状况与规划的符合性：复核河（库）开发利用现状（发电、采砂、供水、堤防等）是否符合其规划。</w:t>
      </w:r>
    </w:p>
    <w:p>
      <w:pPr>
        <w:pStyle w:val="6"/>
        <w:widowControl/>
        <w:numPr>
          <w:ilvl w:val="0"/>
          <w:numId w:val="5"/>
        </w:numPr>
        <w:rPr>
          <w:rFonts w:ascii="Times New Roman" w:hAnsi="Times New Roman"/>
          <w:kern w:val="0"/>
          <w:sz w:val="28"/>
          <w:szCs w:val="28"/>
        </w:rPr>
      </w:pPr>
      <w:bookmarkStart w:id="84" w:name="_Toc10116"/>
      <w:r>
        <w:rPr>
          <w:rFonts w:hint="eastAsia" w:ascii="Times New Roman" w:hAnsi="Times New Roman"/>
          <w:kern w:val="0"/>
          <w:sz w:val="28"/>
          <w:szCs w:val="28"/>
        </w:rPr>
        <w:t>得分及对应健康分级</w:t>
      </w:r>
      <w:r>
        <w:rPr>
          <w:rFonts w:hint="eastAsia" w:ascii="黑体" w:hAnsi="宋体" w:cs="黑体"/>
          <w:kern w:val="0"/>
          <w:sz w:val="28"/>
          <w:szCs w:val="28"/>
        </w:rPr>
        <w:t>：</w:t>
      </w:r>
      <w:bookmarkEnd w:id="84"/>
    </w:p>
    <w:tbl>
      <w:tblPr>
        <w:tblStyle w:val="28"/>
        <w:tblW w:w="5000" w:type="pct"/>
        <w:tblInd w:w="108" w:type="dxa"/>
        <w:tblLayout w:type="autofit"/>
        <w:tblCellMar>
          <w:top w:w="0" w:type="dxa"/>
          <w:left w:w="0" w:type="dxa"/>
          <w:bottom w:w="0" w:type="dxa"/>
          <w:right w:w="0" w:type="dxa"/>
        </w:tblCellMar>
      </w:tblPr>
      <w:tblGrid>
        <w:gridCol w:w="2076"/>
        <w:gridCol w:w="2079"/>
        <w:gridCol w:w="2079"/>
        <w:gridCol w:w="2082"/>
      </w:tblGrid>
      <w:tr>
        <w:tblPrEx>
          <w:tblCellMar>
            <w:top w:w="0" w:type="dxa"/>
            <w:left w:w="0" w:type="dxa"/>
            <w:bottom w:w="0" w:type="dxa"/>
            <w:right w:w="0" w:type="dxa"/>
          </w:tblCellMar>
        </w:tblPrEx>
        <w:trPr>
          <w:trHeight w:val="397" w:hRule="atLeast"/>
        </w:trPr>
        <w:tc>
          <w:tcPr>
            <w:tcW w:w="1248" w:type="pct"/>
            <w:tcBorders>
              <w:top w:val="single" w:color="000000" w:sz="4" w:space="0"/>
              <w:left w:val="single" w:color="000000" w:sz="4" w:space="0"/>
              <w:bottom w:val="single" w:color="000000" w:sz="4" w:space="0"/>
              <w:right w:val="single" w:color="000000"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得分范围</w:t>
            </w:r>
          </w:p>
        </w:tc>
        <w:tc>
          <w:tcPr>
            <w:tcW w:w="1250" w:type="pct"/>
            <w:tcBorders>
              <w:top w:val="single" w:color="000000" w:sz="4" w:space="0"/>
              <w:left w:val="nil"/>
              <w:bottom w:val="single" w:color="000000" w:sz="4" w:space="0"/>
              <w:right w:val="single" w:color="000000"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评价结论</w:t>
            </w:r>
          </w:p>
        </w:tc>
        <w:tc>
          <w:tcPr>
            <w:tcW w:w="2502" w:type="pct"/>
            <w:gridSpan w:val="2"/>
            <w:tcBorders>
              <w:top w:val="single" w:color="000000" w:sz="4" w:space="0"/>
              <w:left w:val="nil"/>
              <w:bottom w:val="single" w:color="auto" w:sz="4" w:space="0"/>
              <w:right w:val="single" w:color="000000"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颜色</w:t>
            </w:r>
          </w:p>
        </w:tc>
      </w:tr>
      <w:tr>
        <w:tblPrEx>
          <w:tblCellMar>
            <w:top w:w="0" w:type="dxa"/>
            <w:left w:w="0" w:type="dxa"/>
            <w:bottom w:w="0" w:type="dxa"/>
            <w:right w:w="0" w:type="dxa"/>
          </w:tblCellMar>
        </w:tblPrEx>
        <w:trPr>
          <w:trHeight w:val="397" w:hRule="atLeast"/>
        </w:trPr>
        <w:tc>
          <w:tcPr>
            <w:tcW w:w="1248" w:type="pct"/>
            <w:tcBorders>
              <w:top w:val="single" w:color="000000" w:sz="4" w:space="0"/>
              <w:left w:val="single" w:color="000000" w:sz="4" w:space="0"/>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t>90≤HI≤100</w:t>
            </w:r>
          </w:p>
        </w:tc>
        <w:tc>
          <w:tcPr>
            <w:tcW w:w="1250" w:type="pct"/>
            <w:tcBorders>
              <w:top w:val="single" w:color="000000" w:sz="4" w:space="0"/>
              <w:left w:val="nil"/>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非常健康</w:t>
            </w:r>
          </w:p>
        </w:tc>
        <w:tc>
          <w:tcPr>
            <w:tcW w:w="1250"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蓝</w:t>
            </w:r>
          </w:p>
        </w:tc>
        <w:tc>
          <w:tcPr>
            <w:tcW w:w="1251"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drawing>
                <wp:inline distT="0" distB="0" distL="114300" distR="114300">
                  <wp:extent cx="200025" cy="180975"/>
                  <wp:effectExtent l="0" t="0" r="9525" b="9525"/>
                  <wp:docPr id="73" name="图片 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IMG_260"/>
                          <pic:cNvPicPr>
                            <a:picLocks noChangeAspect="1"/>
                          </pic:cNvPicPr>
                        </pic:nvPicPr>
                        <pic:blipFill>
                          <a:blip r:embed="rId121"/>
                          <a:stretch>
                            <a:fillRect/>
                          </a:stretch>
                        </pic:blipFill>
                        <pic:spPr>
                          <a:xfrm>
                            <a:off x="0" y="0"/>
                            <a:ext cx="200025" cy="180975"/>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397" w:hRule="atLeast"/>
        </w:trPr>
        <w:tc>
          <w:tcPr>
            <w:tcW w:w="1248" w:type="pct"/>
            <w:tcBorders>
              <w:top w:val="single" w:color="000000" w:sz="4" w:space="0"/>
              <w:left w:val="single" w:color="000000" w:sz="4" w:space="0"/>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t>75≤HI</w:t>
            </w:r>
            <w:r>
              <w:rPr>
                <w:rFonts w:hint="eastAsia" w:ascii="Times New Roman" w:hAnsi="Times New Roman"/>
                <w:kern w:val="0"/>
                <w:sz w:val="18"/>
                <w:szCs w:val="18"/>
                <w:lang w:bidi="ar"/>
              </w:rPr>
              <w:t>＜</w:t>
            </w:r>
            <w:r>
              <w:rPr>
                <w:rFonts w:ascii="Times New Roman" w:hAnsi="Times New Roman"/>
                <w:kern w:val="0"/>
                <w:sz w:val="18"/>
                <w:szCs w:val="18"/>
                <w:lang w:bidi="ar"/>
              </w:rPr>
              <w:t>90</w:t>
            </w:r>
          </w:p>
        </w:tc>
        <w:tc>
          <w:tcPr>
            <w:tcW w:w="1250" w:type="pct"/>
            <w:tcBorders>
              <w:top w:val="single" w:color="000000" w:sz="4" w:space="0"/>
              <w:left w:val="nil"/>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健康</w:t>
            </w:r>
          </w:p>
        </w:tc>
        <w:tc>
          <w:tcPr>
            <w:tcW w:w="1250"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绿</w:t>
            </w:r>
          </w:p>
        </w:tc>
        <w:tc>
          <w:tcPr>
            <w:tcW w:w="1251"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drawing>
                <wp:inline distT="0" distB="0" distL="114300" distR="114300">
                  <wp:extent cx="200025" cy="180975"/>
                  <wp:effectExtent l="0" t="0" r="9525" b="9525"/>
                  <wp:docPr id="74" name="图片 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descr="IMG_261"/>
                          <pic:cNvPicPr>
                            <a:picLocks noChangeAspect="1"/>
                          </pic:cNvPicPr>
                        </pic:nvPicPr>
                        <pic:blipFill>
                          <a:blip r:embed="rId122"/>
                          <a:stretch>
                            <a:fillRect/>
                          </a:stretch>
                        </pic:blipFill>
                        <pic:spPr>
                          <a:xfrm>
                            <a:off x="0" y="0"/>
                            <a:ext cx="200025" cy="180975"/>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397" w:hRule="atLeast"/>
        </w:trPr>
        <w:tc>
          <w:tcPr>
            <w:tcW w:w="1248" w:type="pct"/>
            <w:tcBorders>
              <w:top w:val="single" w:color="000000" w:sz="4" w:space="0"/>
              <w:left w:val="single" w:color="000000" w:sz="4" w:space="0"/>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t>60≤HI</w:t>
            </w:r>
            <w:r>
              <w:rPr>
                <w:rFonts w:hint="eastAsia" w:ascii="Times New Roman" w:hAnsi="Times New Roman"/>
                <w:kern w:val="0"/>
                <w:sz w:val="18"/>
                <w:szCs w:val="18"/>
                <w:lang w:bidi="ar"/>
              </w:rPr>
              <w:t>＜</w:t>
            </w:r>
            <w:r>
              <w:rPr>
                <w:rFonts w:ascii="Times New Roman" w:hAnsi="Times New Roman"/>
                <w:kern w:val="0"/>
                <w:sz w:val="18"/>
                <w:szCs w:val="18"/>
                <w:lang w:bidi="ar"/>
              </w:rPr>
              <w:t>75</w:t>
            </w:r>
          </w:p>
        </w:tc>
        <w:tc>
          <w:tcPr>
            <w:tcW w:w="1250" w:type="pct"/>
            <w:tcBorders>
              <w:top w:val="single" w:color="000000" w:sz="4" w:space="0"/>
              <w:left w:val="nil"/>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亚健康</w:t>
            </w:r>
          </w:p>
        </w:tc>
        <w:tc>
          <w:tcPr>
            <w:tcW w:w="1250"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黄</w:t>
            </w:r>
          </w:p>
        </w:tc>
        <w:tc>
          <w:tcPr>
            <w:tcW w:w="1251"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drawing>
                <wp:inline distT="0" distB="0" distL="114300" distR="114300">
                  <wp:extent cx="209550" cy="180975"/>
                  <wp:effectExtent l="0" t="0" r="0" b="9525"/>
                  <wp:docPr id="75" name="图片 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descr="IMG_262"/>
                          <pic:cNvPicPr>
                            <a:picLocks noChangeAspect="1"/>
                          </pic:cNvPicPr>
                        </pic:nvPicPr>
                        <pic:blipFill>
                          <a:blip r:embed="rId123"/>
                          <a:stretch>
                            <a:fillRect/>
                          </a:stretch>
                        </pic:blipFill>
                        <pic:spPr>
                          <a:xfrm>
                            <a:off x="0" y="0"/>
                            <a:ext cx="209550" cy="180975"/>
                          </a:xfrm>
                          <a:prstGeom prst="rect">
                            <a:avLst/>
                          </a:prstGeom>
                          <a:noFill/>
                          <a:ln>
                            <a:noFill/>
                          </a:ln>
                        </pic:spPr>
                      </pic:pic>
                    </a:graphicData>
                  </a:graphic>
                </wp:inline>
              </w:drawing>
            </w:r>
          </w:p>
        </w:tc>
      </w:tr>
      <w:tr>
        <w:trPr>
          <w:trHeight w:val="397" w:hRule="atLeast"/>
        </w:trPr>
        <w:tc>
          <w:tcPr>
            <w:tcW w:w="1248" w:type="pct"/>
            <w:tcBorders>
              <w:top w:val="single" w:color="000000" w:sz="4" w:space="0"/>
              <w:left w:val="single" w:color="000000" w:sz="4" w:space="0"/>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t>40≤HI</w:t>
            </w:r>
            <w:r>
              <w:rPr>
                <w:rFonts w:hint="eastAsia" w:ascii="Times New Roman" w:hAnsi="Times New Roman"/>
                <w:kern w:val="0"/>
                <w:sz w:val="18"/>
                <w:szCs w:val="18"/>
                <w:lang w:bidi="ar"/>
              </w:rPr>
              <w:t>＜</w:t>
            </w:r>
            <w:r>
              <w:rPr>
                <w:rFonts w:ascii="Times New Roman" w:hAnsi="Times New Roman"/>
                <w:kern w:val="0"/>
                <w:sz w:val="18"/>
                <w:szCs w:val="18"/>
                <w:lang w:bidi="ar"/>
              </w:rPr>
              <w:t>60</w:t>
            </w:r>
          </w:p>
        </w:tc>
        <w:tc>
          <w:tcPr>
            <w:tcW w:w="1250" w:type="pct"/>
            <w:tcBorders>
              <w:top w:val="single" w:color="000000" w:sz="4" w:space="0"/>
              <w:left w:val="nil"/>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不健康</w:t>
            </w:r>
          </w:p>
        </w:tc>
        <w:tc>
          <w:tcPr>
            <w:tcW w:w="1250"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橙</w:t>
            </w:r>
          </w:p>
        </w:tc>
        <w:tc>
          <w:tcPr>
            <w:tcW w:w="1251"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drawing>
                <wp:inline distT="0" distB="0" distL="114300" distR="114300">
                  <wp:extent cx="209550" cy="180975"/>
                  <wp:effectExtent l="0" t="0" r="0" b="9525"/>
                  <wp:docPr id="76" name="图片 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 descr="IMG_263"/>
                          <pic:cNvPicPr>
                            <a:picLocks noChangeAspect="1"/>
                          </pic:cNvPicPr>
                        </pic:nvPicPr>
                        <pic:blipFill>
                          <a:blip r:embed="rId124"/>
                          <a:stretch>
                            <a:fillRect/>
                          </a:stretch>
                        </pic:blipFill>
                        <pic:spPr>
                          <a:xfrm>
                            <a:off x="0" y="0"/>
                            <a:ext cx="209550" cy="180975"/>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397" w:hRule="atLeast"/>
        </w:trPr>
        <w:tc>
          <w:tcPr>
            <w:tcW w:w="1248" w:type="pct"/>
            <w:tcBorders>
              <w:top w:val="single" w:color="000000" w:sz="4" w:space="0"/>
              <w:left w:val="single" w:color="000000" w:sz="4" w:space="0"/>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t>0≤HI</w:t>
            </w:r>
            <w:r>
              <w:rPr>
                <w:rFonts w:hint="eastAsia" w:ascii="Times New Roman" w:hAnsi="Times New Roman"/>
                <w:kern w:val="0"/>
                <w:sz w:val="18"/>
                <w:szCs w:val="18"/>
                <w:lang w:bidi="ar"/>
              </w:rPr>
              <w:t>＜</w:t>
            </w:r>
            <w:r>
              <w:rPr>
                <w:rFonts w:ascii="Times New Roman" w:hAnsi="Times New Roman"/>
                <w:kern w:val="0"/>
                <w:sz w:val="18"/>
                <w:szCs w:val="18"/>
                <w:lang w:bidi="ar"/>
              </w:rPr>
              <w:t>40</w:t>
            </w:r>
          </w:p>
        </w:tc>
        <w:tc>
          <w:tcPr>
            <w:tcW w:w="1250" w:type="pct"/>
            <w:tcBorders>
              <w:top w:val="single" w:color="000000" w:sz="4" w:space="0"/>
              <w:left w:val="nil"/>
              <w:bottom w:val="single" w:color="000000"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劣态</w:t>
            </w:r>
          </w:p>
        </w:tc>
        <w:tc>
          <w:tcPr>
            <w:tcW w:w="1250"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hint="eastAsia" w:ascii="Times New Roman" w:hAnsi="Times New Roman"/>
                <w:kern w:val="0"/>
                <w:sz w:val="18"/>
                <w:szCs w:val="18"/>
                <w:lang w:bidi="ar"/>
              </w:rPr>
              <w:t>红</w:t>
            </w:r>
          </w:p>
        </w:tc>
        <w:tc>
          <w:tcPr>
            <w:tcW w:w="1251" w:type="pct"/>
            <w:tcBorders>
              <w:top w:val="single" w:color="auto" w:sz="4" w:space="0"/>
              <w:left w:val="nil"/>
              <w:bottom w:val="single" w:color="auto" w:sz="4" w:space="0"/>
              <w:right w:val="single" w:color="auto" w:sz="4" w:space="0"/>
            </w:tcBorders>
            <w:noWrap w:val="0"/>
            <w:vAlign w:val="center"/>
          </w:tcPr>
          <w:p>
            <w:pPr>
              <w:pStyle w:val="27"/>
              <w:jc w:val="center"/>
              <w:rPr>
                <w:rFonts w:ascii="Times New Roman" w:hAnsi="Times New Roman"/>
                <w:kern w:val="0"/>
                <w:sz w:val="18"/>
                <w:szCs w:val="18"/>
              </w:rPr>
            </w:pPr>
            <w:r>
              <w:rPr>
                <w:rFonts w:ascii="Times New Roman" w:hAnsi="Times New Roman"/>
                <w:kern w:val="0"/>
                <w:sz w:val="18"/>
                <w:szCs w:val="18"/>
                <w:lang w:bidi="ar"/>
              </w:rPr>
              <w:drawing>
                <wp:inline distT="0" distB="0" distL="114300" distR="114300">
                  <wp:extent cx="209550" cy="180975"/>
                  <wp:effectExtent l="0" t="0" r="0" b="9525"/>
                  <wp:docPr id="77" name="图片 5"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5" descr="IMG_264"/>
                          <pic:cNvPicPr>
                            <a:picLocks noChangeAspect="1"/>
                          </pic:cNvPicPr>
                        </pic:nvPicPr>
                        <pic:blipFill>
                          <a:blip r:embed="rId125"/>
                          <a:stretch>
                            <a:fillRect/>
                          </a:stretch>
                        </pic:blipFill>
                        <pic:spPr>
                          <a:xfrm>
                            <a:off x="0" y="0"/>
                            <a:ext cx="209550" cy="180975"/>
                          </a:xfrm>
                          <a:prstGeom prst="rect">
                            <a:avLst/>
                          </a:prstGeom>
                          <a:noFill/>
                          <a:ln>
                            <a:noFill/>
                          </a:ln>
                        </pic:spPr>
                      </pic:pic>
                    </a:graphicData>
                  </a:graphic>
                </wp:inline>
              </w:drawing>
            </w:r>
          </w:p>
        </w:tc>
      </w:tr>
    </w:tbl>
    <w:p>
      <w:pPr>
        <w:pStyle w:val="16"/>
        <w:rPr>
          <w:rFonts w:hint="default"/>
          <w:lang w:val="en-US" w:eastAsia="zh-CN"/>
        </w:rPr>
      </w:pPr>
    </w:p>
    <w:sectPr>
      <w:headerReference r:id="rId1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方正姚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ind w:firstLine="0" w:firstLineChars="0"/>
      <w:rPr>
        <w:rFonts w:hint="default" w:eastAsia="宋体"/>
        <w:u w:val="single"/>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ind w:firstLine="0" w:firstLineChars="0"/>
      <w:rPr>
        <w:rFonts w:hint="default" w:eastAsia="宋体"/>
        <w:u w:val="single"/>
        <w:lang w:val="en-US" w:eastAsia="zh-CN"/>
      </w:rPr>
    </w:pPr>
    <w:r>
      <w:rPr>
        <w:rFonts w:hint="eastAsia"/>
        <w:u w:val="single"/>
        <w:lang w:eastAsia="zh-CN"/>
      </w:rPr>
      <w:t>苍溪县沙溪浩健康评价报告</w:t>
    </w:r>
    <w:r>
      <w:rPr>
        <w:rFonts w:hint="eastAsia"/>
        <w:u w:val="single"/>
        <w:lang w:val="en-US" w:eastAsia="zh-CN"/>
      </w:rPr>
      <w:t xml:space="preserve">                                                            基本情况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ind w:firstLine="0" w:firstLineChars="0"/>
      <w:jc w:val="both"/>
      <w:rPr>
        <w:rFonts w:hint="eastAsia" w:eastAsia="宋体"/>
        <w:sz w:val="18"/>
        <w:szCs w:val="18"/>
        <w:u w:val="single"/>
        <w:lang w:eastAsia="zh-CN"/>
      </w:rPr>
    </w:pPr>
    <w:r>
      <w:rPr>
        <w:rFonts w:hint="eastAsia"/>
        <w:sz w:val="18"/>
        <w:szCs w:val="18"/>
        <w:u w:val="single"/>
      </w:rPr>
      <w:t>苍溪县</w:t>
    </w:r>
    <w:r>
      <w:rPr>
        <w:rFonts w:hint="eastAsia"/>
        <w:sz w:val="18"/>
        <w:szCs w:val="18"/>
        <w:u w:val="single"/>
        <w:lang w:eastAsia="zh-CN"/>
      </w:rPr>
      <w:t>沙溪浩</w:t>
    </w:r>
    <w:r>
      <w:rPr>
        <w:rFonts w:hint="eastAsia"/>
        <w:sz w:val="18"/>
        <w:szCs w:val="18"/>
        <w:u w:val="single"/>
      </w:rPr>
      <w:t xml:space="preserve">健康评价报告                               </w:t>
    </w:r>
    <w:r>
      <w:rPr>
        <w:rFonts w:hint="eastAsia"/>
        <w:sz w:val="18"/>
        <w:szCs w:val="18"/>
        <w:u w:val="single"/>
        <w:lang w:val="en-US" w:eastAsia="zh-CN"/>
      </w:rPr>
      <w:t xml:space="preserve">                                         基本情况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ind w:firstLine="0" w:firstLineChars="0"/>
      <w:jc w:val="both"/>
      <w:rPr>
        <w:rFonts w:hint="eastAsia" w:eastAsia="宋体"/>
        <w:sz w:val="18"/>
        <w:szCs w:val="18"/>
        <w:u w:val="single"/>
        <w:lang w:eastAsia="zh-CN"/>
      </w:rPr>
    </w:pPr>
    <w:r>
      <w:rPr>
        <w:rFonts w:hint="eastAsia"/>
        <w:sz w:val="18"/>
        <w:szCs w:val="18"/>
        <w:u w:val="single"/>
      </w:rPr>
      <w:t>苍溪县</w:t>
    </w:r>
    <w:r>
      <w:rPr>
        <w:rFonts w:hint="eastAsia"/>
        <w:sz w:val="18"/>
        <w:szCs w:val="18"/>
        <w:u w:val="single"/>
        <w:lang w:eastAsia="zh-CN"/>
      </w:rPr>
      <w:t>沙溪浩</w:t>
    </w:r>
    <w:r>
      <w:rPr>
        <w:rFonts w:hint="eastAsia"/>
        <w:sz w:val="18"/>
        <w:szCs w:val="18"/>
        <w:u w:val="single"/>
      </w:rPr>
      <w:t xml:space="preserve">健康评价报告                               </w:t>
    </w:r>
    <w:r>
      <w:rPr>
        <w:rFonts w:hint="eastAsia"/>
        <w:sz w:val="18"/>
        <w:szCs w:val="18"/>
        <w:u w:val="single"/>
        <w:lang w:val="en-US" w:eastAsia="zh-CN"/>
      </w:rPr>
      <w:t xml:space="preserve">                                         评价方案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left="0" w:leftChars="0" w:firstLine="0" w:firstLineChars="0"/>
      <w:jc w:val="left"/>
      <w:rPr>
        <w:rFonts w:hint="default" w:eastAsia="宋体"/>
        <w:u w:val="single"/>
        <w:lang w:val="en-US" w:eastAsia="zh-CN"/>
      </w:rPr>
    </w:pPr>
    <w:r>
      <w:rPr>
        <w:rFonts w:hint="eastAsia"/>
        <w:u w:val="single"/>
        <w:lang w:eastAsia="zh-CN"/>
      </w:rPr>
      <w:t>苍溪县沙溪浩健康评价报告</w:t>
    </w:r>
    <w:r>
      <w:rPr>
        <w:rFonts w:hint="eastAsia"/>
        <w:u w:val="single"/>
        <w:lang w:val="en-US" w:eastAsia="zh-CN"/>
      </w:rPr>
      <w:t xml:space="preserve">                                                            调查监测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left="0" w:leftChars="0" w:firstLine="0" w:firstLineChars="0"/>
      <w:jc w:val="left"/>
      <w:rPr>
        <w:rFonts w:hint="default" w:eastAsia="宋体"/>
        <w:u w:val="single"/>
        <w:lang w:val="en-US" w:eastAsia="zh-CN"/>
      </w:rPr>
    </w:pPr>
    <w:r>
      <w:rPr>
        <w:rFonts w:hint="eastAsia"/>
        <w:u w:val="single"/>
        <w:lang w:eastAsia="zh-CN"/>
      </w:rPr>
      <w:t>苍溪县沙溪浩健康评价报告</w:t>
    </w:r>
    <w:r>
      <w:rPr>
        <w:rFonts w:hint="eastAsia"/>
        <w:u w:val="single"/>
        <w:lang w:val="en-US" w:eastAsia="zh-CN"/>
      </w:rPr>
      <w:t xml:space="preserve">                                                  问题分析与保护对策</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left="0" w:leftChars="0" w:firstLine="0" w:firstLineChars="0"/>
      <w:jc w:val="left"/>
      <w:rPr>
        <w:rFonts w:hint="default" w:eastAsia="宋体"/>
        <w:u w:val="single"/>
        <w:lang w:val="en-US" w:eastAsia="zh-CN"/>
      </w:rPr>
    </w:pPr>
    <w:r>
      <w:rPr>
        <w:rFonts w:hint="eastAsia"/>
        <w:u w:val="single"/>
        <w:lang w:eastAsia="zh-CN"/>
      </w:rPr>
      <w:t>苍溪县沙溪浩健康评价报告</w:t>
    </w:r>
    <w:r>
      <w:rPr>
        <w:rFonts w:hint="eastAsia"/>
        <w:u w:val="single"/>
        <w:lang w:val="en-US" w:eastAsia="zh-CN"/>
      </w:rPr>
      <w:t xml:space="preserve">                                                  问题分析与保护对策</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left="0" w:leftChars="0" w:firstLine="0" w:firstLineChars="0"/>
      <w:jc w:val="left"/>
      <w:rPr>
        <w:rFonts w:hint="default" w:eastAsia="宋体"/>
        <w:u w:val="single"/>
        <w:lang w:val="en-US" w:eastAsia="zh-CN"/>
      </w:rPr>
    </w:pPr>
    <w:r>
      <w:rPr>
        <w:rFonts w:hint="eastAsia"/>
        <w:u w:val="single"/>
        <w:lang w:eastAsia="zh-CN"/>
      </w:rPr>
      <w:t>苍溪县沙溪浩健康评价报告</w:t>
    </w:r>
    <w:r>
      <w:rPr>
        <w:rFonts w:hint="eastAsia"/>
        <w:u w:val="single"/>
        <w:lang w:val="en-US" w:eastAsia="zh-CN"/>
      </w:rPr>
      <w:t xml:space="preserve">                                                  问题分析与保护对策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1A15F7"/>
    <w:multiLevelType w:val="multilevel"/>
    <w:tmpl w:val="C61A15F7"/>
    <w:lvl w:ilvl="0" w:tentative="0">
      <w:start w:val="1"/>
      <w:numFmt w:val="decimal"/>
      <w:pStyle w:val="4"/>
      <w:lvlText w:val="%1"/>
      <w:lvlJc w:val="left"/>
      <w:pPr>
        <w:ind w:left="3792" w:hanging="432"/>
      </w:pPr>
      <w:rPr>
        <w:rFonts w:hint="default" w:ascii="宋体" w:hAnsi="宋体" w:eastAsia="宋体" w:cs="宋体"/>
      </w:rPr>
    </w:lvl>
    <w:lvl w:ilvl="1" w:tentative="0">
      <w:start w:val="1"/>
      <w:numFmt w:val="decimal"/>
      <w:pStyle w:val="6"/>
      <w:lvlText w:val="%1.%2"/>
      <w:lvlJc w:val="left"/>
      <w:pPr>
        <w:ind w:left="575" w:hanging="575"/>
      </w:pPr>
      <w:rPr>
        <w:rFonts w:hint="default" w:ascii="宋体" w:hAnsi="宋体" w:eastAsia="宋体" w:cs="宋体"/>
      </w:rPr>
    </w:lvl>
    <w:lvl w:ilvl="2" w:tentative="0">
      <w:start w:val="1"/>
      <w:numFmt w:val="decimal"/>
      <w:pStyle w:val="7"/>
      <w:lvlText w:val="%1.%2.%3"/>
      <w:lvlJc w:val="left"/>
      <w:pPr>
        <w:ind w:left="720" w:hanging="720"/>
      </w:pPr>
      <w:rPr>
        <w:rFonts w:hint="default" w:ascii="宋体" w:hAnsi="宋体" w:eastAsia="宋体" w:cs="宋体"/>
      </w:rPr>
    </w:lvl>
    <w:lvl w:ilvl="3" w:tentative="0">
      <w:start w:val="1"/>
      <w:numFmt w:val="decimal"/>
      <w:pStyle w:val="10"/>
      <w:lvlText w:val="%1.%2.%3.%4"/>
      <w:lvlJc w:val="left"/>
      <w:pPr>
        <w:ind w:left="864" w:hanging="864"/>
      </w:pPr>
      <w:rPr>
        <w:rFonts w:hint="default" w:ascii="宋体" w:hAnsi="宋体" w:eastAsia="宋体" w:cs="宋体"/>
      </w:rPr>
    </w:lvl>
    <w:lvl w:ilvl="4" w:tentative="0">
      <w:start w:val="1"/>
      <w:numFmt w:val="decimal"/>
      <w:pStyle w:val="11"/>
      <w:lvlText w:val="%1.%2.%3.%4.%5"/>
      <w:lvlJc w:val="left"/>
      <w:pPr>
        <w:ind w:left="1008" w:hanging="1008"/>
      </w:pPr>
      <w:rPr>
        <w:rFonts w:hint="default" w:ascii="宋体" w:hAnsi="宋体" w:eastAsia="宋体" w:cs="宋体"/>
      </w:rPr>
    </w:lvl>
    <w:lvl w:ilvl="5" w:tentative="0">
      <w:start w:val="1"/>
      <w:numFmt w:val="decimal"/>
      <w:pStyle w:val="12"/>
      <w:lvlText w:val="%1.%2.%3.%4.%5.%6"/>
      <w:lvlJc w:val="left"/>
      <w:pPr>
        <w:ind w:left="1151" w:hanging="1151"/>
      </w:pPr>
      <w:rPr>
        <w:rFonts w:hint="default" w:ascii="宋体" w:hAnsi="宋体" w:eastAsia="宋体" w:cs="宋体"/>
      </w:rPr>
    </w:lvl>
    <w:lvl w:ilvl="6" w:tentative="0">
      <w:start w:val="1"/>
      <w:numFmt w:val="decimal"/>
      <w:pStyle w:val="13"/>
      <w:lvlText w:val="%1.%2.%3.%4.%5.%6.%7"/>
      <w:lvlJc w:val="left"/>
      <w:pPr>
        <w:ind w:left="1296" w:hanging="1296"/>
      </w:pPr>
      <w:rPr>
        <w:rFonts w:hint="default" w:ascii="宋体" w:hAnsi="宋体" w:eastAsia="宋体" w:cs="宋体"/>
      </w:rPr>
    </w:lvl>
    <w:lvl w:ilvl="7" w:tentative="0">
      <w:start w:val="1"/>
      <w:numFmt w:val="decimal"/>
      <w:pStyle w:val="14"/>
      <w:lvlText w:val="%1.%2.%3.%4.%5.%6.%7.%8"/>
      <w:lvlJc w:val="left"/>
      <w:pPr>
        <w:ind w:left="1440" w:hanging="1440"/>
      </w:pPr>
      <w:rPr>
        <w:rFonts w:hint="default" w:ascii="宋体" w:hAnsi="宋体" w:eastAsia="宋体" w:cs="宋体"/>
      </w:rPr>
    </w:lvl>
    <w:lvl w:ilvl="8" w:tentative="0">
      <w:start w:val="1"/>
      <w:numFmt w:val="decimal"/>
      <w:pStyle w:val="15"/>
      <w:lvlText w:val="%1.%2.%3.%4.%5.%6.%7.%8.%9"/>
      <w:lvlJc w:val="left"/>
      <w:pPr>
        <w:ind w:left="1583" w:hanging="1583"/>
      </w:pPr>
      <w:rPr>
        <w:rFonts w:hint="default" w:ascii="宋体" w:hAnsi="宋体" w:eastAsia="宋体" w:cs="宋体"/>
      </w:rPr>
    </w:lvl>
  </w:abstractNum>
  <w:abstractNum w:abstractNumId="1">
    <w:nsid w:val="019C83E1"/>
    <w:multiLevelType w:val="singleLevel"/>
    <w:tmpl w:val="019C83E1"/>
    <w:lvl w:ilvl="0" w:tentative="0">
      <w:start w:val="2"/>
      <w:numFmt w:val="decimal"/>
      <w:suff w:val="nothing"/>
      <w:lvlText w:val="%1、"/>
      <w:lvlJc w:val="left"/>
      <w:pPr>
        <w:ind w:left="254"/>
      </w:pPr>
    </w:lvl>
  </w:abstractNum>
  <w:abstractNum w:abstractNumId="2">
    <w:nsid w:val="3B7F7BD9"/>
    <w:multiLevelType w:val="multilevel"/>
    <w:tmpl w:val="3B7F7BD9"/>
    <w:lvl w:ilvl="0" w:tentative="0">
      <w:start w:val="1"/>
      <w:numFmt w:val="bullet"/>
      <w:lvlText w:val=""/>
      <w:lvlJc w:val="left"/>
      <w:pPr>
        <w:ind w:left="420" w:firstLine="0"/>
      </w:pPr>
      <w:rPr>
        <w:rFonts w:hint="default" w:ascii="Wingdings" w:hAnsi="Wingdings" w:cs="Wingdings"/>
      </w:rPr>
    </w:lvl>
    <w:lvl w:ilvl="1" w:tentative="0">
      <w:start w:val="1"/>
      <w:numFmt w:val="bullet"/>
      <w:lvlText w:val=""/>
      <w:lvlJc w:val="left"/>
      <w:pPr>
        <w:ind w:left="840" w:firstLine="0"/>
      </w:pPr>
      <w:rPr>
        <w:rFonts w:hint="default" w:ascii="Wingdings" w:hAnsi="Wingdings" w:cs="Wingdings"/>
      </w:rPr>
    </w:lvl>
    <w:lvl w:ilvl="2" w:tentative="0">
      <w:start w:val="1"/>
      <w:numFmt w:val="bullet"/>
      <w:lvlText w:val=""/>
      <w:lvlJc w:val="left"/>
      <w:pPr>
        <w:ind w:left="1260" w:firstLine="0"/>
      </w:pPr>
      <w:rPr>
        <w:rFonts w:hint="default" w:ascii="Wingdings" w:hAnsi="Wingdings" w:cs="Wingdings"/>
      </w:rPr>
    </w:lvl>
    <w:lvl w:ilvl="3" w:tentative="0">
      <w:start w:val="1"/>
      <w:numFmt w:val="bullet"/>
      <w:lvlText w:val=""/>
      <w:lvlJc w:val="left"/>
      <w:pPr>
        <w:ind w:left="1680" w:firstLine="0"/>
      </w:pPr>
      <w:rPr>
        <w:rFonts w:hint="default" w:ascii="Wingdings" w:hAnsi="Wingdings" w:cs="Wingdings"/>
      </w:rPr>
    </w:lvl>
    <w:lvl w:ilvl="4" w:tentative="0">
      <w:start w:val="1"/>
      <w:numFmt w:val="bullet"/>
      <w:lvlText w:val=""/>
      <w:lvlJc w:val="left"/>
      <w:pPr>
        <w:ind w:left="2100" w:firstLine="0"/>
      </w:pPr>
      <w:rPr>
        <w:rFonts w:hint="default" w:ascii="Wingdings" w:hAnsi="Wingdings" w:cs="Wingdings"/>
      </w:rPr>
    </w:lvl>
    <w:lvl w:ilvl="5" w:tentative="0">
      <w:start w:val="1"/>
      <w:numFmt w:val="bullet"/>
      <w:lvlText w:val=""/>
      <w:lvlJc w:val="left"/>
      <w:pPr>
        <w:ind w:left="2520" w:firstLine="0"/>
      </w:pPr>
      <w:rPr>
        <w:rFonts w:hint="default" w:ascii="Wingdings" w:hAnsi="Wingdings" w:cs="Wingdings"/>
      </w:rPr>
    </w:lvl>
    <w:lvl w:ilvl="6" w:tentative="0">
      <w:start w:val="1"/>
      <w:numFmt w:val="bullet"/>
      <w:lvlText w:val=""/>
      <w:lvlJc w:val="left"/>
      <w:pPr>
        <w:ind w:left="2940" w:firstLine="0"/>
      </w:pPr>
      <w:rPr>
        <w:rFonts w:hint="default" w:ascii="Wingdings" w:hAnsi="Wingdings" w:cs="Wingdings"/>
      </w:rPr>
    </w:lvl>
    <w:lvl w:ilvl="7" w:tentative="0">
      <w:start w:val="1"/>
      <w:numFmt w:val="bullet"/>
      <w:lvlText w:val=""/>
      <w:lvlJc w:val="left"/>
      <w:pPr>
        <w:ind w:left="3360" w:firstLine="0"/>
      </w:pPr>
      <w:rPr>
        <w:rFonts w:hint="default" w:ascii="Wingdings" w:hAnsi="Wingdings" w:cs="Wingdings"/>
      </w:rPr>
    </w:lvl>
    <w:lvl w:ilvl="8" w:tentative="0">
      <w:start w:val="1"/>
      <w:numFmt w:val="bullet"/>
      <w:lvlText w:val=""/>
      <w:lvlJc w:val="left"/>
      <w:pPr>
        <w:ind w:left="3780" w:firstLine="0"/>
      </w:pPr>
      <w:rPr>
        <w:rFonts w:hint="default" w:ascii="Wingdings" w:hAnsi="Wingdings" w:cs="Wingdings"/>
      </w:rPr>
    </w:lvl>
  </w:abstractNum>
  <w:abstractNum w:abstractNumId="3">
    <w:nsid w:val="76CEAE87"/>
    <w:multiLevelType w:val="singleLevel"/>
    <w:tmpl w:val="76CEAE87"/>
    <w:lvl w:ilvl="0" w:tentative="0">
      <w:start w:val="4"/>
      <w:numFmt w:val="chineseCounting"/>
      <w:suff w:val="space"/>
      <w:lvlText w:val="第%1章"/>
      <w:lvlJc w:val="left"/>
      <w:rPr>
        <w:rFonts w:hint="eastAsia"/>
      </w:rPr>
    </w:lvl>
  </w:abstractNum>
  <w:abstractNum w:abstractNumId="4">
    <w:nsid w:val="7B00B52E"/>
    <w:multiLevelType w:val="singleLevel"/>
    <w:tmpl w:val="7B00B52E"/>
    <w:lvl w:ilvl="0" w:tentative="0">
      <w:start w:val="2"/>
      <w:numFmt w:val="decimal"/>
      <w:suff w:val="nothing"/>
      <w:lvlText w:val="%1、"/>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2NTFlYjU5NmVjNDlmZjY3ZWM1NWUwY2ZiYTc4ZGYifQ=="/>
  </w:docVars>
  <w:rsids>
    <w:rsidRoot w:val="00000000"/>
    <w:rsid w:val="006C70EA"/>
    <w:rsid w:val="02B427D7"/>
    <w:rsid w:val="05A73457"/>
    <w:rsid w:val="05DF7FA2"/>
    <w:rsid w:val="06C071C4"/>
    <w:rsid w:val="08F716DF"/>
    <w:rsid w:val="09564BF3"/>
    <w:rsid w:val="0CFD25F3"/>
    <w:rsid w:val="0EC773F5"/>
    <w:rsid w:val="10FE012F"/>
    <w:rsid w:val="12A4404A"/>
    <w:rsid w:val="155C252E"/>
    <w:rsid w:val="183F3E3F"/>
    <w:rsid w:val="1CA002BC"/>
    <w:rsid w:val="1F2130DF"/>
    <w:rsid w:val="2141297E"/>
    <w:rsid w:val="227E1D29"/>
    <w:rsid w:val="23D67498"/>
    <w:rsid w:val="24C4280E"/>
    <w:rsid w:val="25036A85"/>
    <w:rsid w:val="268125EE"/>
    <w:rsid w:val="2C667AC5"/>
    <w:rsid w:val="2F5B6DC9"/>
    <w:rsid w:val="33496331"/>
    <w:rsid w:val="335B7E41"/>
    <w:rsid w:val="345467F0"/>
    <w:rsid w:val="36385FD1"/>
    <w:rsid w:val="37033DCC"/>
    <w:rsid w:val="374C008E"/>
    <w:rsid w:val="3D52609F"/>
    <w:rsid w:val="428505CE"/>
    <w:rsid w:val="47A30ECE"/>
    <w:rsid w:val="4DFD0BD0"/>
    <w:rsid w:val="526D04B6"/>
    <w:rsid w:val="53363B8A"/>
    <w:rsid w:val="557103B9"/>
    <w:rsid w:val="56084EDE"/>
    <w:rsid w:val="571D69BD"/>
    <w:rsid w:val="5A161056"/>
    <w:rsid w:val="5B6065F6"/>
    <w:rsid w:val="64671EE7"/>
    <w:rsid w:val="64D8557D"/>
    <w:rsid w:val="654673D6"/>
    <w:rsid w:val="66DE0119"/>
    <w:rsid w:val="6707593D"/>
    <w:rsid w:val="67940B15"/>
    <w:rsid w:val="70AB4986"/>
    <w:rsid w:val="70E577A6"/>
    <w:rsid w:val="7812558A"/>
    <w:rsid w:val="7C990EB6"/>
    <w:rsid w:val="7F6F7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pacing w:line="360" w:lineRule="auto"/>
      <w:ind w:firstLine="200" w:firstLineChars="200"/>
      <w:jc w:val="both"/>
    </w:pPr>
    <w:rPr>
      <w:rFonts w:ascii="Times New Roman" w:hAnsi="Times New Roman" w:eastAsia="宋体" w:cs="Times New Roman"/>
      <w:sz w:val="24"/>
      <w:szCs w:val="28"/>
      <w:lang w:val="en-US" w:eastAsia="zh-CN" w:bidi="ar-SA"/>
    </w:rPr>
  </w:style>
  <w:style w:type="paragraph" w:styleId="4">
    <w:name w:val="heading 1"/>
    <w:basedOn w:val="5"/>
    <w:next w:val="1"/>
    <w:link w:val="41"/>
    <w:qFormat/>
    <w:uiPriority w:val="0"/>
    <w:pPr>
      <w:keepNext/>
      <w:keepLines/>
      <w:numPr>
        <w:ilvl w:val="0"/>
        <w:numId w:val="1"/>
      </w:numPr>
      <w:spacing w:before="340" w:after="330" w:line="578" w:lineRule="auto"/>
      <w:ind w:left="432" w:hanging="432" w:firstLineChars="0"/>
      <w:jc w:val="center"/>
      <w:outlineLvl w:val="0"/>
    </w:pPr>
    <w:rPr>
      <w:rFonts w:ascii="Times New Roman" w:hAnsi="Times New Roman" w:eastAsia="宋体" w:cs="Times New Roman"/>
      <w:b/>
      <w:bCs/>
      <w:kern w:val="44"/>
      <w:sz w:val="48"/>
      <w:szCs w:val="44"/>
    </w:rPr>
  </w:style>
  <w:style w:type="paragraph" w:styleId="6">
    <w:name w:val="heading 2"/>
    <w:basedOn w:val="1"/>
    <w:next w:val="1"/>
    <w:unhideWhenUsed/>
    <w:qFormat/>
    <w:uiPriority w:val="0"/>
    <w:pPr>
      <w:keepNext/>
      <w:keepLines/>
      <w:numPr>
        <w:ilvl w:val="1"/>
        <w:numId w:val="1"/>
      </w:numPr>
      <w:tabs>
        <w:tab w:val="left" w:pos="420"/>
      </w:tabs>
      <w:spacing w:before="260" w:beforeLines="0" w:beforeAutospacing="0" w:after="260" w:afterLines="0" w:afterAutospacing="0" w:line="413" w:lineRule="auto"/>
      <w:ind w:left="575" w:hanging="575" w:firstLineChars="0"/>
      <w:outlineLvl w:val="1"/>
    </w:pPr>
    <w:rPr>
      <w:rFonts w:ascii="Arial" w:hAnsi="Arial" w:eastAsia="黑体"/>
      <w:b/>
      <w:sz w:val="32"/>
    </w:rPr>
  </w:style>
  <w:style w:type="paragraph" w:styleId="7">
    <w:name w:val="heading 3"/>
    <w:basedOn w:val="8"/>
    <w:next w:val="1"/>
    <w:unhideWhenUsed/>
    <w:qFormat/>
    <w:uiPriority w:val="0"/>
    <w:pPr>
      <w:keepNext/>
      <w:keepLines/>
      <w:numPr>
        <w:ilvl w:val="2"/>
        <w:numId w:val="1"/>
      </w:numPr>
      <w:spacing w:before="260" w:beforeLines="0" w:beforeAutospacing="0" w:after="260" w:afterLines="0" w:afterAutospacing="0" w:line="413" w:lineRule="auto"/>
      <w:ind w:left="720" w:hanging="720" w:firstLineChars="0"/>
      <w:outlineLvl w:val="2"/>
    </w:pPr>
    <w:rPr>
      <w:b/>
      <w:sz w:val="32"/>
    </w:rPr>
  </w:style>
  <w:style w:type="paragraph" w:styleId="10">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11">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12">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13">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14">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5">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30">
    <w:name w:val="Default Paragraph Font"/>
    <w:unhideWhenUsed/>
    <w:qFormat/>
    <w:uiPriority w:val="1"/>
  </w:style>
  <w:style w:type="table" w:default="1" w:styleId="2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spacing w:after="120"/>
      <w:ind w:left="420" w:leftChars="200" w:firstLine="420" w:firstLineChars="200"/>
      <w:jc w:val="both"/>
    </w:pPr>
    <w:rPr>
      <w:rFonts w:ascii="Times New Roman" w:hAnsi="Times New Roman" w:eastAsia="宋体" w:cs="Times New Roman"/>
      <w:sz w:val="21"/>
      <w:szCs w:val="21"/>
      <w:lang w:val="en-US" w:eastAsia="zh-CN" w:bidi="ar-SA"/>
    </w:rPr>
  </w:style>
  <w:style w:type="paragraph" w:styleId="3">
    <w:name w:val="Body Text Indent"/>
    <w:basedOn w:val="1"/>
    <w:qFormat/>
    <w:uiPriority w:val="0"/>
    <w:pPr>
      <w:autoSpaceDE w:val="0"/>
      <w:autoSpaceDN w:val="0"/>
      <w:adjustRightInd w:val="0"/>
      <w:snapToGrid w:val="0"/>
      <w:spacing w:after="120" w:line="360" w:lineRule="auto"/>
      <w:ind w:left="420" w:leftChars="200" w:firstLine="480" w:firstLineChars="200"/>
    </w:pPr>
    <w:rPr>
      <w:rFonts w:eastAsia="仿宋_GB2312"/>
      <w:sz w:val="24"/>
    </w:rPr>
  </w:style>
  <w:style w:type="paragraph" w:customStyle="1" w:styleId="5">
    <w:name w:val="报告正文"/>
    <w:basedOn w:val="1"/>
    <w:qFormat/>
    <w:uiPriority w:val="0"/>
    <w:pPr>
      <w:spacing w:line="360" w:lineRule="auto"/>
      <w:ind w:firstLine="480" w:firstLineChars="200"/>
    </w:pPr>
    <w:rPr>
      <w:kern w:val="2"/>
      <w:sz w:val="24"/>
    </w:rPr>
  </w:style>
  <w:style w:type="paragraph" w:customStyle="1" w:styleId="8">
    <w:name w:val="指南正文"/>
    <w:basedOn w:val="9"/>
    <w:qFormat/>
    <w:uiPriority w:val="0"/>
    <w:pPr>
      <w:spacing w:line="360" w:lineRule="auto"/>
    </w:pPr>
    <w:rPr>
      <w:bCs w:val="0"/>
    </w:rPr>
  </w:style>
  <w:style w:type="paragraph" w:customStyle="1" w:styleId="9">
    <w:name w:val="表格下空行"/>
    <w:basedOn w:val="1"/>
    <w:qFormat/>
    <w:uiPriority w:val="10"/>
    <w:pPr>
      <w:snapToGrid w:val="0"/>
      <w:ind w:firstLine="560" w:firstLineChars="200"/>
    </w:pPr>
    <w:rPr>
      <w:rFonts w:ascii="Times New Roman" w:hAnsi="Times New Roman"/>
      <w:bCs/>
      <w:sz w:val="28"/>
      <w:szCs w:val="28"/>
    </w:rPr>
  </w:style>
  <w:style w:type="paragraph" w:styleId="16">
    <w:name w:val="Normal Indent"/>
    <w:basedOn w:val="1"/>
    <w:qFormat/>
    <w:uiPriority w:val="0"/>
    <w:pPr>
      <w:ind w:firstLine="420"/>
    </w:pPr>
    <w:rPr>
      <w:szCs w:val="20"/>
    </w:rPr>
  </w:style>
  <w:style w:type="paragraph" w:styleId="17">
    <w:name w:val="annotation text"/>
    <w:basedOn w:val="1"/>
    <w:unhideWhenUsed/>
    <w:qFormat/>
    <w:uiPriority w:val="0"/>
    <w:pPr>
      <w:jc w:val="left"/>
    </w:pPr>
  </w:style>
  <w:style w:type="paragraph" w:styleId="18">
    <w:name w:val="Body Text"/>
    <w:basedOn w:val="1"/>
    <w:next w:val="19"/>
    <w:qFormat/>
    <w:uiPriority w:val="99"/>
    <w:rPr>
      <w:rFonts w:ascii="宋体" w:hAnsi="宋体" w:cs="宋体"/>
      <w:sz w:val="24"/>
      <w:szCs w:val="24"/>
      <w:lang w:val="zh-CN" w:bidi="zh-CN"/>
    </w:rPr>
  </w:style>
  <w:style w:type="paragraph" w:styleId="19">
    <w:name w:val="Body Text First Indent"/>
    <w:basedOn w:val="18"/>
    <w:unhideWhenUsed/>
    <w:qFormat/>
    <w:uiPriority w:val="99"/>
    <w:pPr>
      <w:ind w:firstLine="420" w:firstLineChars="100"/>
    </w:pPr>
    <w:rPr>
      <w:rFonts w:asciiTheme="minorHAnsi" w:hAnsiTheme="minorHAnsi" w:eastAsiaTheme="minorEastAsia"/>
    </w:rPr>
  </w:style>
  <w:style w:type="paragraph" w:styleId="20">
    <w:name w:val="toc 3"/>
    <w:basedOn w:val="1"/>
    <w:next w:val="1"/>
    <w:qFormat/>
    <w:uiPriority w:val="0"/>
    <w:pPr>
      <w:ind w:left="840" w:leftChars="400"/>
    </w:pPr>
  </w:style>
  <w:style w:type="paragraph" w:styleId="21">
    <w:name w:val="Plain Text"/>
    <w:basedOn w:val="1"/>
    <w:semiHidden/>
    <w:unhideWhenUsed/>
    <w:qFormat/>
    <w:uiPriority w:val="99"/>
    <w:rPr>
      <w:rFonts w:ascii="宋体" w:hAnsi="Courier New" w:cs="Courier New"/>
      <w:szCs w:val="21"/>
    </w:rPr>
  </w:style>
  <w:style w:type="paragraph" w:styleId="22">
    <w:name w:val="Body Text Indent 2"/>
    <w:basedOn w:val="1"/>
    <w:qFormat/>
    <w:uiPriority w:val="0"/>
    <w:pPr>
      <w:widowControl/>
      <w:ind w:firstLine="532" w:firstLineChars="190"/>
    </w:pPr>
    <w:rPr>
      <w:rFonts w:ascii="仿宋_GB2312" w:eastAsia="仿宋_GB2312"/>
      <w:kern w:val="0"/>
      <w:sz w:val="28"/>
    </w:rPr>
  </w:style>
  <w:style w:type="paragraph" w:styleId="23">
    <w:name w:val="footer"/>
    <w:basedOn w:val="1"/>
    <w:unhideWhenUsed/>
    <w:qFormat/>
    <w:uiPriority w:val="99"/>
    <w:pPr>
      <w:tabs>
        <w:tab w:val="center" w:pos="4153"/>
        <w:tab w:val="right" w:pos="8306"/>
      </w:tabs>
      <w:snapToGrid w:val="0"/>
      <w:jc w:val="left"/>
    </w:pPr>
    <w:rPr>
      <w:rFonts w:ascii="Calibri" w:hAnsi="Calibri"/>
      <w:sz w:val="18"/>
      <w:szCs w:val="18"/>
    </w:rPr>
  </w:style>
  <w:style w:type="paragraph" w:styleId="2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5">
    <w:name w:val="toc 1"/>
    <w:basedOn w:val="1"/>
    <w:next w:val="1"/>
    <w:qFormat/>
    <w:uiPriority w:val="0"/>
  </w:style>
  <w:style w:type="paragraph" w:styleId="26">
    <w:name w:val="toc 2"/>
    <w:basedOn w:val="1"/>
    <w:next w:val="1"/>
    <w:qFormat/>
    <w:uiPriority w:val="0"/>
    <w:pPr>
      <w:ind w:left="420" w:leftChars="200"/>
    </w:pPr>
  </w:style>
  <w:style w:type="paragraph" w:styleId="27">
    <w:name w:val="Normal (Web)"/>
    <w:basedOn w:val="1"/>
    <w:qFormat/>
    <w:uiPriority w:val="0"/>
    <w:pPr>
      <w:spacing w:before="0" w:beforeAutospacing="1" w:after="0" w:afterAutospacing="1"/>
      <w:ind w:left="0" w:right="0"/>
      <w:jc w:val="left"/>
    </w:pPr>
    <w:rPr>
      <w:kern w:val="0"/>
      <w:sz w:val="24"/>
      <w:lang w:val="en-US" w:eastAsia="zh-CN" w:bidi="ar"/>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bCs/>
    </w:rPr>
  </w:style>
  <w:style w:type="character" w:styleId="32">
    <w:name w:val="FollowedHyperlink"/>
    <w:basedOn w:val="30"/>
    <w:qFormat/>
    <w:uiPriority w:val="0"/>
    <w:rPr>
      <w:color w:val="338DE6"/>
      <w:u w:val="none"/>
    </w:rPr>
  </w:style>
  <w:style w:type="character" w:styleId="33">
    <w:name w:val="Emphasis"/>
    <w:basedOn w:val="30"/>
    <w:qFormat/>
    <w:uiPriority w:val="0"/>
  </w:style>
  <w:style w:type="character" w:styleId="34">
    <w:name w:val="HTML Definition"/>
    <w:basedOn w:val="30"/>
    <w:qFormat/>
    <w:uiPriority w:val="0"/>
  </w:style>
  <w:style w:type="character" w:styleId="35">
    <w:name w:val="HTML Variable"/>
    <w:basedOn w:val="30"/>
    <w:qFormat/>
    <w:uiPriority w:val="0"/>
  </w:style>
  <w:style w:type="character" w:styleId="36">
    <w:name w:val="Hyperlink"/>
    <w:basedOn w:val="30"/>
    <w:qFormat/>
    <w:uiPriority w:val="0"/>
    <w:rPr>
      <w:color w:val="338DE6"/>
      <w:u w:val="none"/>
    </w:rPr>
  </w:style>
  <w:style w:type="character" w:styleId="37">
    <w:name w:val="HTML Code"/>
    <w:basedOn w:val="30"/>
    <w:qFormat/>
    <w:uiPriority w:val="0"/>
    <w:rPr>
      <w:rFonts w:ascii="serif" w:hAnsi="serif" w:eastAsia="serif" w:cs="serif"/>
      <w:sz w:val="21"/>
      <w:szCs w:val="21"/>
    </w:rPr>
  </w:style>
  <w:style w:type="character" w:styleId="38">
    <w:name w:val="HTML Cite"/>
    <w:basedOn w:val="30"/>
    <w:qFormat/>
    <w:uiPriority w:val="0"/>
  </w:style>
  <w:style w:type="character" w:styleId="39">
    <w:name w:val="HTML Keyboard"/>
    <w:basedOn w:val="30"/>
    <w:qFormat/>
    <w:uiPriority w:val="0"/>
    <w:rPr>
      <w:rFonts w:hint="default" w:ascii="serif" w:hAnsi="serif" w:eastAsia="serif" w:cs="serif"/>
      <w:sz w:val="21"/>
      <w:szCs w:val="21"/>
    </w:rPr>
  </w:style>
  <w:style w:type="character" w:styleId="40">
    <w:name w:val="HTML Sample"/>
    <w:basedOn w:val="30"/>
    <w:qFormat/>
    <w:uiPriority w:val="0"/>
    <w:rPr>
      <w:rFonts w:hint="default" w:ascii="serif" w:hAnsi="serif" w:eastAsia="serif" w:cs="serif"/>
      <w:sz w:val="21"/>
      <w:szCs w:val="21"/>
    </w:rPr>
  </w:style>
  <w:style w:type="character" w:customStyle="1" w:styleId="41">
    <w:name w:val="标题 1 Char"/>
    <w:basedOn w:val="30"/>
    <w:link w:val="4"/>
    <w:qFormat/>
    <w:uiPriority w:val="9"/>
    <w:rPr>
      <w:rFonts w:ascii="Times New Roman" w:hAnsi="Times New Roman" w:eastAsia="宋体" w:cs="Times New Roman"/>
      <w:b/>
      <w:bCs/>
      <w:kern w:val="44"/>
      <w:sz w:val="48"/>
      <w:szCs w:val="44"/>
    </w:rPr>
  </w:style>
  <w:style w:type="paragraph" w:customStyle="1" w:styleId="42">
    <w:name w:val="样式 小三 黑色 首行缩进:  2 字符"/>
    <w:basedOn w:val="1"/>
    <w:qFormat/>
    <w:uiPriority w:val="0"/>
    <w:pPr>
      <w:adjustRightInd w:val="0"/>
      <w:spacing w:line="560" w:lineRule="exact"/>
      <w:ind w:firstLine="200" w:firstLineChars="200"/>
    </w:pPr>
    <w:rPr>
      <w:rFonts w:ascii="仿宋_GB2312" w:hAnsi="Times New Roman" w:eastAsia="仿宋_GB2312" w:cs="宋体"/>
      <w:color w:val="000000"/>
      <w:sz w:val="28"/>
      <w:szCs w:val="20"/>
    </w:rPr>
  </w:style>
  <w:style w:type="paragraph" w:customStyle="1" w:styleId="43">
    <w:name w:val="表格标题"/>
    <w:basedOn w:val="8"/>
    <w:qFormat/>
    <w:uiPriority w:val="0"/>
    <w:pPr>
      <w:snapToGrid w:val="0"/>
      <w:spacing w:line="240" w:lineRule="auto"/>
      <w:jc w:val="center"/>
    </w:pPr>
    <w:rPr>
      <w:b/>
      <w:szCs w:val="24"/>
      <w:lang w:val="en-GB"/>
    </w:rPr>
  </w:style>
  <w:style w:type="paragraph" w:customStyle="1" w:styleId="44">
    <w:name w:val="无间隔"/>
    <w:qFormat/>
    <w:uiPriority w:val="0"/>
    <w:pPr>
      <w:widowControl w:val="0"/>
      <w:jc w:val="both"/>
    </w:pPr>
    <w:rPr>
      <w:rFonts w:ascii="Calibri" w:hAnsi="Calibri" w:eastAsia="宋体" w:cs="Times New Roman"/>
      <w:kern w:val="2"/>
      <w:sz w:val="21"/>
      <w:szCs w:val="22"/>
      <w:lang w:val="en-US" w:eastAsia="zh-CN" w:bidi="ar-SA"/>
    </w:rPr>
  </w:style>
  <w:style w:type="table" w:customStyle="1" w:styleId="45">
    <w:name w:val="网格型5"/>
    <w:basedOn w:val="2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46">
    <w:name w:val="表文"/>
    <w:basedOn w:val="1"/>
    <w:qFormat/>
    <w:uiPriority w:val="0"/>
    <w:pPr>
      <w:jc w:val="center"/>
    </w:pPr>
    <w:rPr>
      <w:sz w:val="18"/>
      <w:szCs w:val="32"/>
    </w:rPr>
  </w:style>
  <w:style w:type="paragraph" w:customStyle="1" w:styleId="47">
    <w:name w:val="插图标题"/>
    <w:basedOn w:val="9"/>
    <w:qFormat/>
    <w:uiPriority w:val="10"/>
    <w:pPr>
      <w:adjustRightInd w:val="0"/>
      <w:spacing w:before="312" w:beforeLines="100"/>
      <w:ind w:firstLine="0" w:firstLineChars="0"/>
      <w:jc w:val="center"/>
    </w:pPr>
    <w:rPr>
      <w:rFonts w:eastAsia="黑体"/>
      <w:sz w:val="21"/>
    </w:rPr>
  </w:style>
  <w:style w:type="paragraph" w:customStyle="1" w:styleId="48">
    <w:name w:val="TabHead"/>
    <w:basedOn w:val="1"/>
    <w:qFormat/>
    <w:uiPriority w:val="0"/>
    <w:pPr>
      <w:adjustRightInd w:val="0"/>
      <w:snapToGrid w:val="0"/>
      <w:spacing w:beforeLines="100"/>
      <w:jc w:val="center"/>
    </w:pPr>
    <w:rPr>
      <w:rFonts w:ascii="黑体" w:hAnsi="黑体" w:eastAsia="黑体"/>
      <w:szCs w:val="21"/>
    </w:rPr>
  </w:style>
  <w:style w:type="character" w:customStyle="1" w:styleId="49">
    <w:name w:val="font21"/>
    <w:basedOn w:val="30"/>
    <w:qFormat/>
    <w:uiPriority w:val="0"/>
    <w:rPr>
      <w:rFonts w:hint="default" w:ascii="Times New Roman" w:hAnsi="Times New Roman" w:cs="Times New Roman"/>
      <w:color w:val="000000"/>
      <w:sz w:val="18"/>
      <w:szCs w:val="18"/>
      <w:u w:val="none"/>
    </w:rPr>
  </w:style>
  <w:style w:type="character" w:customStyle="1" w:styleId="50">
    <w:name w:val="font01"/>
    <w:basedOn w:val="30"/>
    <w:qFormat/>
    <w:uiPriority w:val="0"/>
    <w:rPr>
      <w:rFonts w:hint="eastAsia" w:ascii="宋体" w:hAnsi="宋体" w:eastAsia="宋体" w:cs="宋体"/>
      <w:color w:val="000000"/>
      <w:sz w:val="18"/>
      <w:szCs w:val="18"/>
      <w:u w:val="none"/>
    </w:rPr>
  </w:style>
  <w:style w:type="paragraph" w:customStyle="1" w:styleId="51">
    <w:name w:val="表内字体"/>
    <w:basedOn w:val="1"/>
    <w:qFormat/>
    <w:uiPriority w:val="0"/>
    <w:pPr>
      <w:autoSpaceDE/>
      <w:autoSpaceDN/>
      <w:adjustRightInd/>
      <w:spacing w:line="300" w:lineRule="exact"/>
      <w:ind w:firstLine="0" w:firstLineChars="0"/>
      <w:jc w:val="center"/>
    </w:pPr>
    <w:rPr>
      <w:rFonts w:ascii="宋体"/>
      <w:kern w:val="2"/>
      <w:sz w:val="21"/>
      <w:szCs w:val="18"/>
    </w:rPr>
  </w:style>
  <w:style w:type="paragraph" w:customStyle="1" w:styleId="52">
    <w:name w:val="表头"/>
    <w:basedOn w:val="21"/>
    <w:next w:val="1"/>
    <w:qFormat/>
    <w:uiPriority w:val="0"/>
    <w:pPr>
      <w:spacing w:line="360" w:lineRule="auto"/>
      <w:ind w:firstLine="0" w:firstLineChars="0"/>
      <w:jc w:val="center"/>
    </w:pPr>
    <w:rPr>
      <w:rFonts w:ascii="Times New Roman" w:hAnsi="Times New Roman" w:eastAsia="宋体" w:cstheme="minorBidi"/>
      <w:b/>
    </w:rPr>
  </w:style>
  <w:style w:type="paragraph" w:customStyle="1" w:styleId="53">
    <w:name w:val="666表格格式"/>
    <w:basedOn w:val="1"/>
    <w:qFormat/>
    <w:uiPriority w:val="0"/>
    <w:pPr>
      <w:widowControl/>
      <w:spacing w:line="240" w:lineRule="auto"/>
      <w:ind w:firstLine="0" w:firstLineChars="0"/>
      <w:jc w:val="center"/>
    </w:pPr>
    <w:rPr>
      <w:rFonts w:ascii="Times New Roman" w:hAnsi="Times New Roman" w:eastAsia="宋体"/>
      <w:kern w:val="0"/>
      <w:sz w:val="21"/>
    </w:rPr>
  </w:style>
  <w:style w:type="character" w:customStyle="1" w:styleId="54">
    <w:name w:val="trumbowyg-msg-error"/>
    <w:basedOn w:val="30"/>
    <w:qFormat/>
    <w:uiPriority w:val="0"/>
    <w:rPr>
      <w:color w:val="E74C3C"/>
    </w:rPr>
  </w:style>
  <w:style w:type="character" w:customStyle="1" w:styleId="55">
    <w:name w:val="trumbowyg-msg-error1"/>
    <w:basedOn w:val="30"/>
    <w:qFormat/>
    <w:uiPriority w:val="0"/>
    <w:rPr>
      <w:color w:val="E74C3C"/>
    </w:rPr>
  </w:style>
  <w:style w:type="character" w:customStyle="1" w:styleId="56">
    <w:name w:val="one-lines"/>
    <w:basedOn w:val="30"/>
    <w:qFormat/>
    <w:uiPriority w:val="0"/>
  </w:style>
  <w:style w:type="character" w:customStyle="1" w:styleId="57">
    <w:name w:val="fontborder"/>
    <w:basedOn w:val="30"/>
    <w:qFormat/>
    <w:uiPriority w:val="0"/>
    <w:rPr>
      <w:bdr w:val="single" w:color="000000" w:sz="6" w:space="0"/>
    </w:rPr>
  </w:style>
  <w:style w:type="character" w:customStyle="1" w:styleId="58">
    <w:name w:val="two-lines"/>
    <w:basedOn w:val="30"/>
    <w:qFormat/>
    <w:uiPriority w:val="0"/>
  </w:style>
  <w:style w:type="character" w:customStyle="1" w:styleId="59">
    <w:name w:val="fontstrikethrough"/>
    <w:basedOn w:val="30"/>
    <w:qFormat/>
    <w:uiPriority w:val="0"/>
    <w:rPr>
      <w:strike/>
    </w:rPr>
  </w:style>
  <w:style w:type="character" w:customStyle="1" w:styleId="60">
    <w:name w:val="hidden4"/>
    <w:basedOn w:val="30"/>
    <w:qFormat/>
    <w:uiPriority w:val="0"/>
    <w:rPr>
      <w:vanish/>
    </w:rPr>
  </w:style>
  <w:style w:type="character" w:customStyle="1" w:styleId="61">
    <w:name w:val="hidden"/>
    <w:basedOn w:val="30"/>
    <w:qFormat/>
    <w:uiPriority w:val="0"/>
    <w:rPr>
      <w:vanish/>
    </w:rPr>
  </w:style>
  <w:style w:type="paragraph" w:customStyle="1" w:styleId="62">
    <w:name w:val="WPSOffice手动目录 1"/>
    <w:qFormat/>
    <w:uiPriority w:val="0"/>
    <w:pPr>
      <w:ind w:leftChars="0"/>
    </w:pPr>
    <w:rPr>
      <w:rFonts w:ascii="Times New Roman" w:hAnsi="Times New Roman" w:eastAsia="宋体" w:cs="Times New Roman"/>
      <w:sz w:val="20"/>
      <w:szCs w:val="20"/>
    </w:rPr>
  </w:style>
  <w:style w:type="paragraph" w:customStyle="1" w:styleId="63">
    <w:name w:val="WPSOffice手动目录 2"/>
    <w:qFormat/>
    <w:uiPriority w:val="0"/>
    <w:pPr>
      <w:ind w:leftChars="200"/>
    </w:pPr>
    <w:rPr>
      <w:rFonts w:ascii="Times New Roman" w:hAnsi="Times New Roman" w:eastAsia="宋体" w:cs="Times New Roman"/>
      <w:sz w:val="20"/>
      <w:szCs w:val="20"/>
    </w:rPr>
  </w:style>
  <w:style w:type="paragraph" w:customStyle="1" w:styleId="64">
    <w:name w:val="WPSOffice手动目录 3"/>
    <w:qFormat/>
    <w:uiPriority w:val="0"/>
    <w:pPr>
      <w:ind w:leftChars="400"/>
    </w:pPr>
    <w:rPr>
      <w:rFonts w:ascii="Times New Roman" w:hAnsi="Times New Roman" w:eastAsia="宋体" w:cs="Times New Roman"/>
      <w:sz w:val="20"/>
      <w:szCs w:val="20"/>
    </w:rPr>
  </w:style>
  <w:style w:type="paragraph" w:customStyle="1" w:styleId="65">
    <w:name w:val="样式4"/>
    <w:basedOn w:val="1"/>
    <w:next w:val="17"/>
    <w:qFormat/>
    <w:uiPriority w:val="0"/>
    <w:pPr>
      <w:ind w:firstLine="480" w:firstLineChars="200"/>
    </w:pPr>
    <w:rPr>
      <w:rFonts w:eastAsia="华文中宋"/>
      <w:color w:val="000000"/>
      <w:kern w:val="0"/>
      <w:sz w:val="24"/>
      <w:szCs w:val="24"/>
    </w:rPr>
  </w:style>
  <w:style w:type="paragraph" w:customStyle="1" w:styleId="66">
    <w:name w:val="表格内容"/>
    <w:basedOn w:val="1"/>
    <w:qFormat/>
    <w:uiPriority w:val="0"/>
    <w:pPr>
      <w:spacing w:line="0" w:lineRule="atLeast"/>
      <w:jc w:val="center"/>
    </w:pPr>
    <w:rPr>
      <w:rFonts w:ascii="Times New Roman" w:hAnsi="Times New Roman"/>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45.wmf"/><Relationship Id="rId98" Type="http://schemas.openxmlformats.org/officeDocument/2006/relationships/oleObject" Target="embeddings/oleObject38.bin"/><Relationship Id="rId97" Type="http://schemas.openxmlformats.org/officeDocument/2006/relationships/image" Target="media/image44.wmf"/><Relationship Id="rId96" Type="http://schemas.openxmlformats.org/officeDocument/2006/relationships/oleObject" Target="embeddings/oleObject37.bin"/><Relationship Id="rId95" Type="http://schemas.openxmlformats.org/officeDocument/2006/relationships/image" Target="media/image43.png"/><Relationship Id="rId94" Type="http://schemas.openxmlformats.org/officeDocument/2006/relationships/image" Target="media/image42.wmf"/><Relationship Id="rId93" Type="http://schemas.openxmlformats.org/officeDocument/2006/relationships/oleObject" Target="embeddings/oleObject36.bin"/><Relationship Id="rId92" Type="http://schemas.openxmlformats.org/officeDocument/2006/relationships/image" Target="media/image41.wmf"/><Relationship Id="rId91" Type="http://schemas.openxmlformats.org/officeDocument/2006/relationships/oleObject" Target="embeddings/oleObject35.bin"/><Relationship Id="rId90" Type="http://schemas.openxmlformats.org/officeDocument/2006/relationships/image" Target="media/image40.wmf"/><Relationship Id="rId9" Type="http://schemas.openxmlformats.org/officeDocument/2006/relationships/footer" Target="footer2.xml"/><Relationship Id="rId89" Type="http://schemas.openxmlformats.org/officeDocument/2006/relationships/oleObject" Target="embeddings/oleObject34.bin"/><Relationship Id="rId88" Type="http://schemas.openxmlformats.org/officeDocument/2006/relationships/image" Target="media/image39.png"/><Relationship Id="rId87" Type="http://schemas.openxmlformats.org/officeDocument/2006/relationships/image" Target="media/image38.png"/><Relationship Id="rId86" Type="http://schemas.openxmlformats.org/officeDocument/2006/relationships/image" Target="media/image37.png"/><Relationship Id="rId85" Type="http://schemas.openxmlformats.org/officeDocument/2006/relationships/image" Target="media/image36.jpeg"/><Relationship Id="rId84" Type="http://schemas.openxmlformats.org/officeDocument/2006/relationships/image" Target="media/image35.jpeg"/><Relationship Id="rId83" Type="http://schemas.openxmlformats.org/officeDocument/2006/relationships/image" Target="media/image34.jpeg"/><Relationship Id="rId82" Type="http://schemas.openxmlformats.org/officeDocument/2006/relationships/image" Target="media/image33.jpeg"/><Relationship Id="rId81" Type="http://schemas.openxmlformats.org/officeDocument/2006/relationships/image" Target="media/image32.jpeg"/><Relationship Id="rId80" Type="http://schemas.openxmlformats.org/officeDocument/2006/relationships/image" Target="media/image31.jpeg"/><Relationship Id="rId8" Type="http://schemas.openxmlformats.org/officeDocument/2006/relationships/header" Target="header3.xml"/><Relationship Id="rId79" Type="http://schemas.openxmlformats.org/officeDocument/2006/relationships/image" Target="media/image30.wmf"/><Relationship Id="rId78" Type="http://schemas.openxmlformats.org/officeDocument/2006/relationships/oleObject" Target="embeddings/oleObject33.bin"/><Relationship Id="rId77" Type="http://schemas.openxmlformats.org/officeDocument/2006/relationships/image" Target="media/image29.wmf"/><Relationship Id="rId76" Type="http://schemas.openxmlformats.org/officeDocument/2006/relationships/oleObject" Target="embeddings/oleObject32.bin"/><Relationship Id="rId75" Type="http://schemas.openxmlformats.org/officeDocument/2006/relationships/image" Target="media/image28.wmf"/><Relationship Id="rId74" Type="http://schemas.openxmlformats.org/officeDocument/2006/relationships/oleObject" Target="embeddings/oleObject31.bin"/><Relationship Id="rId73" Type="http://schemas.openxmlformats.org/officeDocument/2006/relationships/image" Target="media/image27.wmf"/><Relationship Id="rId72" Type="http://schemas.openxmlformats.org/officeDocument/2006/relationships/oleObject" Target="embeddings/oleObject30.bin"/><Relationship Id="rId71" Type="http://schemas.openxmlformats.org/officeDocument/2006/relationships/image" Target="media/image26.wmf"/><Relationship Id="rId70" Type="http://schemas.openxmlformats.org/officeDocument/2006/relationships/oleObject" Target="embeddings/oleObject29.bin"/><Relationship Id="rId7" Type="http://schemas.openxmlformats.org/officeDocument/2006/relationships/footer" Target="footer1.xml"/><Relationship Id="rId69" Type="http://schemas.openxmlformats.org/officeDocument/2006/relationships/image" Target="media/image25.wmf"/><Relationship Id="rId68" Type="http://schemas.openxmlformats.org/officeDocument/2006/relationships/oleObject" Target="embeddings/oleObject28.bin"/><Relationship Id="rId67" Type="http://schemas.openxmlformats.org/officeDocument/2006/relationships/image" Target="media/image24.wmf"/><Relationship Id="rId66" Type="http://schemas.openxmlformats.org/officeDocument/2006/relationships/oleObject" Target="embeddings/oleObject27.bin"/><Relationship Id="rId65" Type="http://schemas.openxmlformats.org/officeDocument/2006/relationships/image" Target="media/image23.wmf"/><Relationship Id="rId64" Type="http://schemas.openxmlformats.org/officeDocument/2006/relationships/oleObject" Target="embeddings/oleObject26.bin"/><Relationship Id="rId63" Type="http://schemas.openxmlformats.org/officeDocument/2006/relationships/image" Target="media/image22.wmf"/><Relationship Id="rId62" Type="http://schemas.openxmlformats.org/officeDocument/2006/relationships/oleObject" Target="embeddings/oleObject25.bin"/><Relationship Id="rId61" Type="http://schemas.openxmlformats.org/officeDocument/2006/relationships/oleObject" Target="embeddings/oleObject24.bin"/><Relationship Id="rId60" Type="http://schemas.openxmlformats.org/officeDocument/2006/relationships/image" Target="media/image21.wmf"/><Relationship Id="rId6" Type="http://schemas.openxmlformats.org/officeDocument/2006/relationships/header" Target="header2.xml"/><Relationship Id="rId59" Type="http://schemas.openxmlformats.org/officeDocument/2006/relationships/oleObject" Target="embeddings/oleObject23.bin"/><Relationship Id="rId58" Type="http://schemas.openxmlformats.org/officeDocument/2006/relationships/image" Target="media/image20.wmf"/><Relationship Id="rId57" Type="http://schemas.openxmlformats.org/officeDocument/2006/relationships/oleObject" Target="embeddings/oleObject22.bin"/><Relationship Id="rId56" Type="http://schemas.openxmlformats.org/officeDocument/2006/relationships/image" Target="media/image19.wmf"/><Relationship Id="rId55" Type="http://schemas.openxmlformats.org/officeDocument/2006/relationships/oleObject" Target="embeddings/oleObject21.bin"/><Relationship Id="rId54" Type="http://schemas.openxmlformats.org/officeDocument/2006/relationships/image" Target="media/image18.wmf"/><Relationship Id="rId53" Type="http://schemas.openxmlformats.org/officeDocument/2006/relationships/oleObject" Target="embeddings/oleObject20.bin"/><Relationship Id="rId52" Type="http://schemas.openxmlformats.org/officeDocument/2006/relationships/image" Target="media/image17.wmf"/><Relationship Id="rId51" Type="http://schemas.openxmlformats.org/officeDocument/2006/relationships/oleObject" Target="embeddings/oleObject19.bin"/><Relationship Id="rId50" Type="http://schemas.openxmlformats.org/officeDocument/2006/relationships/image" Target="media/image16.wmf"/><Relationship Id="rId5" Type="http://schemas.openxmlformats.org/officeDocument/2006/relationships/header" Target="header1.xml"/><Relationship Id="rId49" Type="http://schemas.openxmlformats.org/officeDocument/2006/relationships/oleObject" Target="embeddings/oleObject18.bin"/><Relationship Id="rId48" Type="http://schemas.openxmlformats.org/officeDocument/2006/relationships/image" Target="media/image15.wmf"/><Relationship Id="rId47" Type="http://schemas.openxmlformats.org/officeDocument/2006/relationships/oleObject" Target="embeddings/oleObject17.bin"/><Relationship Id="rId46" Type="http://schemas.openxmlformats.org/officeDocument/2006/relationships/image" Target="media/image14.wmf"/><Relationship Id="rId45" Type="http://schemas.openxmlformats.org/officeDocument/2006/relationships/oleObject" Target="embeddings/oleObject16.bin"/><Relationship Id="rId44" Type="http://schemas.openxmlformats.org/officeDocument/2006/relationships/image" Target="media/image13.wmf"/><Relationship Id="rId43" Type="http://schemas.openxmlformats.org/officeDocument/2006/relationships/oleObject" Target="embeddings/oleObject15.bin"/><Relationship Id="rId42" Type="http://schemas.openxmlformats.org/officeDocument/2006/relationships/oleObject" Target="embeddings/oleObject14.bin"/><Relationship Id="rId41" Type="http://schemas.openxmlformats.org/officeDocument/2006/relationships/oleObject" Target="embeddings/oleObject13.bin"/><Relationship Id="rId40" Type="http://schemas.openxmlformats.org/officeDocument/2006/relationships/image" Target="media/image12.wmf"/><Relationship Id="rId4" Type="http://schemas.openxmlformats.org/officeDocument/2006/relationships/endnotes" Target="endnotes.xml"/><Relationship Id="rId39" Type="http://schemas.openxmlformats.org/officeDocument/2006/relationships/oleObject" Target="embeddings/oleObject12.bin"/><Relationship Id="rId38" Type="http://schemas.openxmlformats.org/officeDocument/2006/relationships/image" Target="media/image11.wmf"/><Relationship Id="rId37" Type="http://schemas.openxmlformats.org/officeDocument/2006/relationships/oleObject" Target="embeddings/oleObject11.bin"/><Relationship Id="rId36" Type="http://schemas.openxmlformats.org/officeDocument/2006/relationships/image" Target="media/image10.wmf"/><Relationship Id="rId35" Type="http://schemas.openxmlformats.org/officeDocument/2006/relationships/oleObject" Target="embeddings/oleObject10.bin"/><Relationship Id="rId34" Type="http://schemas.openxmlformats.org/officeDocument/2006/relationships/image" Target="media/image9.wmf"/><Relationship Id="rId33" Type="http://schemas.openxmlformats.org/officeDocument/2006/relationships/oleObject" Target="embeddings/oleObject9.bin"/><Relationship Id="rId32" Type="http://schemas.openxmlformats.org/officeDocument/2006/relationships/image" Target="media/image8.wmf"/><Relationship Id="rId31" Type="http://schemas.openxmlformats.org/officeDocument/2006/relationships/oleObject" Target="embeddings/oleObject8.bin"/><Relationship Id="rId30" Type="http://schemas.openxmlformats.org/officeDocument/2006/relationships/image" Target="media/image7.wmf"/><Relationship Id="rId3" Type="http://schemas.openxmlformats.org/officeDocument/2006/relationships/footnotes" Target="footnotes.xml"/><Relationship Id="rId29" Type="http://schemas.openxmlformats.org/officeDocument/2006/relationships/oleObject" Target="embeddings/oleObject7.bin"/><Relationship Id="rId28" Type="http://schemas.openxmlformats.org/officeDocument/2006/relationships/image" Target="media/image6.wmf"/><Relationship Id="rId27" Type="http://schemas.openxmlformats.org/officeDocument/2006/relationships/oleObject" Target="embeddings/oleObject6.bin"/><Relationship Id="rId26" Type="http://schemas.openxmlformats.org/officeDocument/2006/relationships/image" Target="media/image5.wmf"/><Relationship Id="rId25" Type="http://schemas.openxmlformats.org/officeDocument/2006/relationships/oleObject" Target="embeddings/oleObject5.bin"/><Relationship Id="rId24" Type="http://schemas.openxmlformats.org/officeDocument/2006/relationships/image" Target="media/image4.wmf"/><Relationship Id="rId23" Type="http://schemas.openxmlformats.org/officeDocument/2006/relationships/oleObject" Target="embeddings/oleObject4.bin"/><Relationship Id="rId22" Type="http://schemas.openxmlformats.org/officeDocument/2006/relationships/oleObject" Target="embeddings/oleObject3.bin"/><Relationship Id="rId21" Type="http://schemas.openxmlformats.org/officeDocument/2006/relationships/image" Target="media/image3.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1.bin"/><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8" Type="http://schemas.openxmlformats.org/officeDocument/2006/relationships/fontTable" Target="fontTable.xml"/><Relationship Id="rId127" Type="http://schemas.openxmlformats.org/officeDocument/2006/relationships/numbering" Target="numbering.xml"/><Relationship Id="rId126" Type="http://schemas.openxmlformats.org/officeDocument/2006/relationships/customXml" Target="../customXml/item1.xml"/><Relationship Id="rId125" Type="http://schemas.openxmlformats.org/officeDocument/2006/relationships/image" Target="media/image63.jpeg"/><Relationship Id="rId124" Type="http://schemas.openxmlformats.org/officeDocument/2006/relationships/image" Target="media/image62.jpeg"/><Relationship Id="rId123" Type="http://schemas.openxmlformats.org/officeDocument/2006/relationships/image" Target="media/image61.jpeg"/><Relationship Id="rId122" Type="http://schemas.openxmlformats.org/officeDocument/2006/relationships/image" Target="media/image60.jpeg"/><Relationship Id="rId121" Type="http://schemas.openxmlformats.org/officeDocument/2006/relationships/image" Target="media/image59.jpeg"/><Relationship Id="rId120" Type="http://schemas.openxmlformats.org/officeDocument/2006/relationships/chart" Target="charts/chart4.xml"/><Relationship Id="rId12" Type="http://schemas.openxmlformats.org/officeDocument/2006/relationships/header" Target="header6.xml"/><Relationship Id="rId119" Type="http://schemas.openxmlformats.org/officeDocument/2006/relationships/chart" Target="charts/chart3.xml"/><Relationship Id="rId118" Type="http://schemas.openxmlformats.org/officeDocument/2006/relationships/chart" Target="charts/chart2.xml"/><Relationship Id="rId117" Type="http://schemas.openxmlformats.org/officeDocument/2006/relationships/image" Target="media/image58.wmf"/><Relationship Id="rId116" Type="http://schemas.openxmlformats.org/officeDocument/2006/relationships/oleObject" Target="embeddings/oleObject42.bin"/><Relationship Id="rId115" Type="http://schemas.openxmlformats.org/officeDocument/2006/relationships/chart" Target="charts/chart1.xml"/><Relationship Id="rId114" Type="http://schemas.openxmlformats.org/officeDocument/2006/relationships/image" Target="media/image57.wmf"/><Relationship Id="rId113" Type="http://schemas.openxmlformats.org/officeDocument/2006/relationships/oleObject" Target="embeddings/oleObject41.bin"/><Relationship Id="rId112" Type="http://schemas.openxmlformats.org/officeDocument/2006/relationships/image" Target="media/image56.png"/><Relationship Id="rId111" Type="http://schemas.openxmlformats.org/officeDocument/2006/relationships/oleObject" Target="embeddings/oleObject40.bin"/><Relationship Id="rId110" Type="http://schemas.openxmlformats.org/officeDocument/2006/relationships/image" Target="media/image55.jpeg"/><Relationship Id="rId11" Type="http://schemas.openxmlformats.org/officeDocument/2006/relationships/header" Target="header5.xml"/><Relationship Id="rId109" Type="http://schemas.openxmlformats.org/officeDocument/2006/relationships/image" Target="media/image54.png"/><Relationship Id="rId108" Type="http://schemas.openxmlformats.org/officeDocument/2006/relationships/image" Target="media/image53.jpeg"/><Relationship Id="rId107" Type="http://schemas.openxmlformats.org/officeDocument/2006/relationships/image" Target="media/image52.jpeg"/><Relationship Id="rId106" Type="http://schemas.openxmlformats.org/officeDocument/2006/relationships/oleObject" Target="embeddings/oleObject39.bin"/><Relationship Id="rId105" Type="http://schemas.openxmlformats.org/officeDocument/2006/relationships/image" Target="media/image51.png"/><Relationship Id="rId104" Type="http://schemas.openxmlformats.org/officeDocument/2006/relationships/image" Target="media/image50.png"/><Relationship Id="rId103" Type="http://schemas.openxmlformats.org/officeDocument/2006/relationships/image" Target="media/image49.png"/><Relationship Id="rId102" Type="http://schemas.openxmlformats.org/officeDocument/2006/relationships/image" Target="media/image48.png"/><Relationship Id="rId101" Type="http://schemas.openxmlformats.org/officeDocument/2006/relationships/image" Target="media/image47.png"/><Relationship Id="rId100" Type="http://schemas.openxmlformats.org/officeDocument/2006/relationships/image" Target="media/image46.png"/><Relationship Id="rId10" Type="http://schemas.openxmlformats.org/officeDocument/2006/relationships/header" Target="head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0975;\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0975;\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0975;\Desktop\&#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0975;\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dLbls>
            <c:delete val="1"/>
          </c:dLbls>
          <c:cat>
            <c:strRef>
              <c:f>'[新建 XLSX 工作表.xlsx]Sheet1'!$B$25:$B$33</c:f>
              <c:strCache>
                <c:ptCount val="9"/>
                <c:pt idx="0">
                  <c:v>岸带稳定性指标</c:v>
                </c:pt>
                <c:pt idx="1">
                  <c:v>水体整洁程度</c:v>
                </c:pt>
                <c:pt idx="2">
                  <c:v>水质优劣程度</c:v>
                </c:pt>
                <c:pt idx="3">
                  <c:v>水质变化趋势</c:v>
                </c:pt>
                <c:pt idx="4">
                  <c:v>外来水生动植物</c:v>
                </c:pt>
                <c:pt idx="5">
                  <c:v>公众满意度</c:v>
                </c:pt>
                <c:pt idx="6">
                  <c:v>防洪指标</c:v>
                </c:pt>
                <c:pt idx="7">
                  <c:v>供水指标</c:v>
                </c:pt>
                <c:pt idx="8">
                  <c:v>开发利用现状与规划的符合性</c:v>
                </c:pt>
              </c:strCache>
            </c:strRef>
          </c:cat>
          <c:val>
            <c:numRef>
              <c:f>'[新建 XLSX 工作表.xlsx]Sheet1'!$C$25:$C$33</c:f>
              <c:numCache>
                <c:formatCode>General</c:formatCode>
                <c:ptCount val="9"/>
                <c:pt idx="0">
                  <c:v>75</c:v>
                </c:pt>
                <c:pt idx="1">
                  <c:v>100</c:v>
                </c:pt>
                <c:pt idx="2">
                  <c:v>80</c:v>
                </c:pt>
                <c:pt idx="3">
                  <c:v>100</c:v>
                </c:pt>
                <c:pt idx="4">
                  <c:v>100</c:v>
                </c:pt>
                <c:pt idx="5">
                  <c:v>87.2</c:v>
                </c:pt>
                <c:pt idx="6">
                  <c:v>50</c:v>
                </c:pt>
                <c:pt idx="7">
                  <c:v>100</c:v>
                </c:pt>
                <c:pt idx="8">
                  <c:v>100</c:v>
                </c:pt>
              </c:numCache>
            </c:numRef>
          </c:val>
        </c:ser>
        <c:dLbls>
          <c:showLegendKey val="0"/>
          <c:showVal val="0"/>
          <c:showCatName val="0"/>
          <c:showSerName val="0"/>
          <c:showPercent val="0"/>
          <c:showBubbleSize val="0"/>
        </c:dLbls>
        <c:axId val="547714585"/>
        <c:axId val="764874064"/>
      </c:radarChart>
      <c:catAx>
        <c:axId val="5477145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4874064"/>
        <c:crosses val="autoZero"/>
        <c:auto val="1"/>
        <c:lblAlgn val="ctr"/>
        <c:lblOffset val="100"/>
        <c:noMultiLvlLbl val="0"/>
      </c:catAx>
      <c:valAx>
        <c:axId val="76487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771458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dLbls>
            <c:delete val="1"/>
          </c:dLbls>
          <c:cat>
            <c:strRef>
              <c:f>'[新建 XLSX 工作表.xlsx]Sheet1'!$C$57:$C$65</c:f>
              <c:strCache>
                <c:ptCount val="9"/>
                <c:pt idx="0">
                  <c:v>岸带稳定性指标</c:v>
                </c:pt>
                <c:pt idx="1">
                  <c:v>水体整洁程度</c:v>
                </c:pt>
                <c:pt idx="2">
                  <c:v>水质优劣程度</c:v>
                </c:pt>
                <c:pt idx="3">
                  <c:v>水质变化趋势</c:v>
                </c:pt>
                <c:pt idx="4">
                  <c:v>外来水生动植物</c:v>
                </c:pt>
                <c:pt idx="5">
                  <c:v>公众满意度</c:v>
                </c:pt>
                <c:pt idx="6">
                  <c:v>防洪指标</c:v>
                </c:pt>
                <c:pt idx="7">
                  <c:v>供水指标</c:v>
                </c:pt>
                <c:pt idx="8">
                  <c:v>开发利用现状与规划的符合性</c:v>
                </c:pt>
              </c:strCache>
            </c:strRef>
          </c:cat>
          <c:val>
            <c:numRef>
              <c:f>'[新建 XLSX 工作表.xlsx]Sheet1'!$D$57:$D$65</c:f>
              <c:numCache>
                <c:formatCode>General</c:formatCode>
                <c:ptCount val="9"/>
                <c:pt idx="0">
                  <c:v>84</c:v>
                </c:pt>
                <c:pt idx="1">
                  <c:v>100</c:v>
                </c:pt>
                <c:pt idx="2">
                  <c:v>100</c:v>
                </c:pt>
                <c:pt idx="3">
                  <c:v>100</c:v>
                </c:pt>
                <c:pt idx="4">
                  <c:v>100</c:v>
                </c:pt>
                <c:pt idx="5">
                  <c:v>87.2</c:v>
                </c:pt>
                <c:pt idx="6">
                  <c:v>50</c:v>
                </c:pt>
                <c:pt idx="7">
                  <c:v>100</c:v>
                </c:pt>
                <c:pt idx="8">
                  <c:v>100</c:v>
                </c:pt>
              </c:numCache>
            </c:numRef>
          </c:val>
        </c:ser>
        <c:dLbls>
          <c:showLegendKey val="0"/>
          <c:showVal val="0"/>
          <c:showCatName val="0"/>
          <c:showSerName val="0"/>
          <c:showPercent val="0"/>
          <c:showBubbleSize val="0"/>
        </c:dLbls>
        <c:axId val="534261391"/>
        <c:axId val="337366615"/>
      </c:radarChart>
      <c:catAx>
        <c:axId val="5342613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366615"/>
        <c:crosses val="autoZero"/>
        <c:auto val="1"/>
        <c:lblAlgn val="ctr"/>
        <c:lblOffset val="100"/>
        <c:noMultiLvlLbl val="0"/>
      </c:catAx>
      <c:valAx>
        <c:axId val="337366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261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dLbls>
            <c:delete val="1"/>
          </c:dLbls>
          <c:cat>
            <c:strRef>
              <c:f>'[新建 XLSX 工作表.xlsx]Sheet1'!$C$94:$C$107</c:f>
              <c:strCache>
                <c:ptCount val="14"/>
                <c:pt idx="0">
                  <c:v>河岸带稳定性指标</c:v>
                </c:pt>
                <c:pt idx="1">
                  <c:v>违规开发利用水域岸线程度</c:v>
                </c:pt>
                <c:pt idx="2">
                  <c:v>河流纵向连通性指数</c:v>
                </c:pt>
                <c:pt idx="3">
                  <c:v>生态流量/水位满足程度</c:v>
                </c:pt>
                <c:pt idx="4">
                  <c:v>水资源开发利用率</c:v>
                </c:pt>
                <c:pt idx="5">
                  <c:v>水体整洁程度</c:v>
                </c:pt>
                <c:pt idx="6">
                  <c:v>水质优劣程度</c:v>
                </c:pt>
                <c:pt idx="7">
                  <c:v>水质变化趋势</c:v>
                </c:pt>
                <c:pt idx="8">
                  <c:v>鱼类保有指数</c:v>
                </c:pt>
                <c:pt idx="9">
                  <c:v>外来水生动植物</c:v>
                </c:pt>
                <c:pt idx="10">
                  <c:v>公众满意度</c:v>
                </c:pt>
                <c:pt idx="11">
                  <c:v>防洪指标</c:v>
                </c:pt>
                <c:pt idx="12">
                  <c:v>供水指标</c:v>
                </c:pt>
                <c:pt idx="13">
                  <c:v>开发利用现状与规划的符合性</c:v>
                </c:pt>
              </c:strCache>
            </c:strRef>
          </c:cat>
          <c:val>
            <c:numRef>
              <c:f>'[新建 XLSX 工作表.xlsx]Sheet1'!$D$94:$D$107</c:f>
              <c:numCache>
                <c:formatCode>General</c:formatCode>
                <c:ptCount val="14"/>
                <c:pt idx="0">
                  <c:v>75</c:v>
                </c:pt>
                <c:pt idx="1">
                  <c:v>100</c:v>
                </c:pt>
                <c:pt idx="2">
                  <c:v>40</c:v>
                </c:pt>
                <c:pt idx="3">
                  <c:v>80</c:v>
                </c:pt>
                <c:pt idx="4">
                  <c:v>100</c:v>
                </c:pt>
                <c:pt idx="5">
                  <c:v>100</c:v>
                </c:pt>
                <c:pt idx="6">
                  <c:v>80</c:v>
                </c:pt>
                <c:pt idx="7">
                  <c:v>100</c:v>
                </c:pt>
                <c:pt idx="8">
                  <c:v>100</c:v>
                </c:pt>
                <c:pt idx="9">
                  <c:v>100</c:v>
                </c:pt>
                <c:pt idx="10">
                  <c:v>87.2</c:v>
                </c:pt>
                <c:pt idx="11">
                  <c:v>0</c:v>
                </c:pt>
                <c:pt idx="12">
                  <c:v>100</c:v>
                </c:pt>
                <c:pt idx="13">
                  <c:v>100</c:v>
                </c:pt>
              </c:numCache>
            </c:numRef>
          </c:val>
        </c:ser>
        <c:dLbls>
          <c:showLegendKey val="0"/>
          <c:showVal val="0"/>
          <c:showCatName val="0"/>
          <c:showSerName val="0"/>
          <c:showPercent val="0"/>
          <c:showBubbleSize val="0"/>
        </c:dLbls>
        <c:axId val="387898138"/>
        <c:axId val="212865451"/>
      </c:radarChart>
      <c:catAx>
        <c:axId val="38789813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2865451"/>
        <c:crosses val="autoZero"/>
        <c:auto val="1"/>
        <c:lblAlgn val="ctr"/>
        <c:lblOffset val="100"/>
        <c:noMultiLvlLbl val="0"/>
      </c:catAx>
      <c:valAx>
        <c:axId val="2128654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789813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dLbls>
            <c:delete val="1"/>
          </c:dLbls>
          <c:cat>
            <c:strRef>
              <c:f>'[新建 XLSX 工作表.xlsx]Sheet1'!$G$94:$G$107</c:f>
              <c:strCache>
                <c:ptCount val="14"/>
                <c:pt idx="0">
                  <c:v>河岸带稳定性指标</c:v>
                </c:pt>
                <c:pt idx="1">
                  <c:v>违规开发利用水域岸线程度</c:v>
                </c:pt>
                <c:pt idx="2">
                  <c:v>河流纵向连通性指数</c:v>
                </c:pt>
                <c:pt idx="3">
                  <c:v>生态流量/水位满足程度</c:v>
                </c:pt>
                <c:pt idx="4">
                  <c:v>水资源开发利用率</c:v>
                </c:pt>
                <c:pt idx="5">
                  <c:v>水体整洁程度</c:v>
                </c:pt>
                <c:pt idx="6">
                  <c:v>水质优劣程度</c:v>
                </c:pt>
                <c:pt idx="7">
                  <c:v>水质变化趋势</c:v>
                </c:pt>
                <c:pt idx="8">
                  <c:v>鱼类保有指数</c:v>
                </c:pt>
                <c:pt idx="9">
                  <c:v>外来水生动植物</c:v>
                </c:pt>
                <c:pt idx="10">
                  <c:v>公众满意度</c:v>
                </c:pt>
                <c:pt idx="11">
                  <c:v>防洪指标</c:v>
                </c:pt>
                <c:pt idx="12">
                  <c:v>供水指标</c:v>
                </c:pt>
                <c:pt idx="13">
                  <c:v>开发利用现状与规划的符合性</c:v>
                </c:pt>
              </c:strCache>
            </c:strRef>
          </c:cat>
          <c:val>
            <c:numRef>
              <c:f>'[新建 XLSX 工作表.xlsx]Sheet1'!$H$94:$H$107</c:f>
              <c:numCache>
                <c:formatCode>General</c:formatCode>
                <c:ptCount val="14"/>
                <c:pt idx="0">
                  <c:v>84</c:v>
                </c:pt>
                <c:pt idx="1">
                  <c:v>100</c:v>
                </c:pt>
                <c:pt idx="2">
                  <c:v>60</c:v>
                </c:pt>
                <c:pt idx="3">
                  <c:v>80</c:v>
                </c:pt>
                <c:pt idx="4">
                  <c:v>100</c:v>
                </c:pt>
                <c:pt idx="5">
                  <c:v>100</c:v>
                </c:pt>
                <c:pt idx="6">
                  <c:v>100</c:v>
                </c:pt>
                <c:pt idx="7">
                  <c:v>100</c:v>
                </c:pt>
                <c:pt idx="8">
                  <c:v>100</c:v>
                </c:pt>
                <c:pt idx="9">
                  <c:v>100</c:v>
                </c:pt>
                <c:pt idx="10">
                  <c:v>87.2</c:v>
                </c:pt>
                <c:pt idx="11">
                  <c:v>0</c:v>
                </c:pt>
                <c:pt idx="12">
                  <c:v>100</c:v>
                </c:pt>
                <c:pt idx="13">
                  <c:v>100</c:v>
                </c:pt>
              </c:numCache>
            </c:numRef>
          </c:val>
        </c:ser>
        <c:dLbls>
          <c:showLegendKey val="0"/>
          <c:showVal val="0"/>
          <c:showCatName val="0"/>
          <c:showSerName val="0"/>
          <c:showPercent val="0"/>
          <c:showBubbleSize val="0"/>
        </c:dLbls>
        <c:axId val="765431187"/>
        <c:axId val="603471160"/>
      </c:radarChart>
      <c:catAx>
        <c:axId val="76543118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3471160"/>
        <c:crosses val="autoZero"/>
        <c:auto val="1"/>
        <c:lblAlgn val="ctr"/>
        <c:lblOffset val="100"/>
        <c:noMultiLvlLbl val="0"/>
      </c:catAx>
      <c:valAx>
        <c:axId val="603471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54311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99</Pages>
  <Words>35911</Words>
  <Characters>45389</Characters>
  <Lines>0</Lines>
  <Paragraphs>0</Paragraphs>
  <TotalTime>3</TotalTime>
  <ScaleCrop>false</ScaleCrop>
  <LinksUpToDate>false</LinksUpToDate>
  <CharactersWithSpaces>46707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2021-05-24T01:19:00Z</dcterms:created>
  <dc:creator>Administrator</dc:creator>
  <cp:lastModifiedBy>lotus_seed</cp:lastModifiedBy>
  <dcterms:modified xsi:type="dcterms:W3CDTF">2022-11-26T07:26:35Z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CF58ADCC05BD483AA008F8380B1274E7</vt:lpwstr>
  </property>
</Properties>
</file>