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31FA4">
      <w:pPr>
        <w:pStyle w:val="6"/>
        <w:spacing w:line="400" w:lineRule="atLeast"/>
        <w:ind w:firstLine="0" w:firstLineChars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bookmarkEnd w:id="0"/>
    <w:p w14:paraId="23C2B301">
      <w:pPr>
        <w:pStyle w:val="6"/>
        <w:spacing w:line="400" w:lineRule="atLeast"/>
        <w:ind w:firstLine="0" w:firstLineChars="0"/>
        <w:jc w:val="center"/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苍溪县</w:t>
      </w:r>
      <w:r>
        <w:rPr>
          <w:rStyle w:val="12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2024</w:t>
      </w:r>
      <w:r>
        <w:rPr>
          <w:rStyle w:val="13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年省级财政衔接推进乡村振兴补助资金（以工代赈任务）投资计划表</w:t>
      </w:r>
    </w:p>
    <w:p w14:paraId="26A6BDA6">
      <w:pPr>
        <w:pStyle w:val="6"/>
        <w:spacing w:line="400" w:lineRule="atLeast"/>
        <w:ind w:firstLine="0" w:firstLineChars="0"/>
        <w:jc w:val="both"/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</w:t>
      </w:r>
    </w:p>
    <w:p w14:paraId="001449C5">
      <w:pPr>
        <w:pStyle w:val="6"/>
        <w:spacing w:line="400" w:lineRule="atLeast"/>
        <w:ind w:firstLine="0" w:firstLineChars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单位：万元</w:t>
      </w:r>
    </w:p>
    <w:tbl>
      <w:tblPr>
        <w:tblStyle w:val="7"/>
        <w:tblW w:w="5694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876"/>
        <w:gridCol w:w="876"/>
        <w:gridCol w:w="1913"/>
        <w:gridCol w:w="931"/>
        <w:gridCol w:w="3689"/>
        <w:gridCol w:w="1067"/>
        <w:gridCol w:w="924"/>
        <w:gridCol w:w="696"/>
        <w:gridCol w:w="1260"/>
        <w:gridCol w:w="1548"/>
        <w:gridCol w:w="763"/>
      </w:tblGrid>
      <w:tr w14:paraId="179AED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24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787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75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2877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6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329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项目名称及代码</w:t>
            </w:r>
          </w:p>
        </w:tc>
        <w:tc>
          <w:tcPr>
            <w:tcW w:w="30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443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建设 </w:t>
            </w:r>
          </w:p>
          <w:p w14:paraId="480B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121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82A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建设规模</w:t>
            </w:r>
          </w:p>
        </w:tc>
        <w:tc>
          <w:tcPr>
            <w:tcW w:w="35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173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</w:t>
            </w:r>
          </w:p>
          <w:p w14:paraId="4B0E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FA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拟建成</w:t>
            </w:r>
          </w:p>
          <w:p w14:paraId="53A9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5F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计划发放劳务报酬（万元）</w:t>
            </w:r>
          </w:p>
        </w:tc>
        <w:tc>
          <w:tcPr>
            <w:tcW w:w="50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A40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预计带动当地农村群众务工情况（人）</w:t>
            </w:r>
          </w:p>
        </w:tc>
        <w:tc>
          <w:tcPr>
            <w:tcW w:w="25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0E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20E87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24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C6E0A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tcBorders>
              <w:tl2br w:val="nil"/>
              <w:tr2bl w:val="nil"/>
            </w:tcBorders>
            <w:noWrap/>
            <w:vAlign w:val="center"/>
          </w:tcPr>
          <w:p w14:paraId="3964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</w:p>
        </w:tc>
        <w:tc>
          <w:tcPr>
            <w:tcW w:w="287" w:type="pct"/>
            <w:tcBorders>
              <w:tl2br w:val="nil"/>
              <w:tr2bl w:val="nil"/>
            </w:tcBorders>
            <w:noWrap/>
            <w:vAlign w:val="center"/>
          </w:tcPr>
          <w:p w14:paraId="61B5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12DA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C871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7A48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7C17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086F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3151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413" w:type="pct"/>
            <w:tcBorders>
              <w:tl2br w:val="nil"/>
              <w:tr2bl w:val="nil"/>
            </w:tcBorders>
            <w:noWrap w:val="0"/>
            <w:vAlign w:val="center"/>
          </w:tcPr>
          <w:p w14:paraId="0636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劳务报酬发放占比</w:t>
            </w:r>
          </w:p>
        </w:tc>
        <w:tc>
          <w:tcPr>
            <w:tcW w:w="5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EB3B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9E16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5B49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224" w:type="pct"/>
            <w:tcBorders>
              <w:tl2br w:val="nil"/>
              <w:tr2bl w:val="nil"/>
            </w:tcBorders>
            <w:noWrap/>
            <w:vAlign w:val="center"/>
          </w:tcPr>
          <w:p w14:paraId="650F0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tcBorders>
              <w:tl2br w:val="nil"/>
              <w:tr2bl w:val="nil"/>
            </w:tcBorders>
            <w:noWrap/>
            <w:vAlign w:val="center"/>
          </w:tcPr>
          <w:p w14:paraId="03247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87" w:type="pct"/>
            <w:tcBorders>
              <w:tl2br w:val="nil"/>
              <w:tr2bl w:val="nil"/>
            </w:tcBorders>
            <w:noWrap/>
            <w:vAlign w:val="center"/>
          </w:tcPr>
          <w:p w14:paraId="2ECE6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石马镇</w:t>
            </w:r>
          </w:p>
        </w:tc>
        <w:tc>
          <w:tcPr>
            <w:tcW w:w="628" w:type="pct"/>
            <w:tcBorders>
              <w:tl2br w:val="nil"/>
              <w:tr2bl w:val="nil"/>
            </w:tcBorders>
            <w:noWrap w:val="0"/>
            <w:vAlign w:val="center"/>
          </w:tcPr>
          <w:p w14:paraId="66681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苍溪县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2024年省级财政以工代赈任务项目</w:t>
            </w:r>
          </w:p>
          <w:p w14:paraId="1096D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2308-510824-04-01-562104</w:t>
            </w:r>
          </w:p>
        </w:tc>
        <w:tc>
          <w:tcPr>
            <w:tcW w:w="305" w:type="pct"/>
            <w:tcBorders>
              <w:tl2br w:val="nil"/>
              <w:tr2bl w:val="nil"/>
            </w:tcBorders>
            <w:noWrap w:val="0"/>
            <w:vAlign w:val="center"/>
          </w:tcPr>
          <w:p w14:paraId="506AD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noWrap w:val="0"/>
            <w:vAlign w:val="center"/>
          </w:tcPr>
          <w:p w14:paraId="640A10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改建道路4.4公里，其中，改建（宽3.5米、厚 0.18米 C30 砼）道路3.2公里，改建（宽3米、厚0.18米C30砼）道路1.2公里。</w:t>
            </w:r>
          </w:p>
          <w:p w14:paraId="532F63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3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改建渠道0.9千米（0.4米*0.4米）。</w:t>
            </w:r>
          </w:p>
          <w:p w14:paraId="5516FF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3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（三）整治山坪塘3口（2.3万立方米）。</w:t>
            </w:r>
          </w:p>
        </w:tc>
        <w:tc>
          <w:tcPr>
            <w:tcW w:w="350" w:type="pct"/>
            <w:tcBorders>
              <w:tl2br w:val="nil"/>
              <w:tr2bl w:val="nil"/>
            </w:tcBorders>
            <w:noWrap w:val="0"/>
            <w:vAlign w:val="center"/>
          </w:tcPr>
          <w:p w14:paraId="45974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626B2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549D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114</w:t>
            </w:r>
          </w:p>
        </w:tc>
        <w:tc>
          <w:tcPr>
            <w:tcW w:w="413" w:type="pct"/>
            <w:tcBorders>
              <w:tl2br w:val="nil"/>
              <w:tr2bl w:val="nil"/>
            </w:tcBorders>
            <w:noWrap w:val="0"/>
            <w:vAlign w:val="center"/>
          </w:tcPr>
          <w:p w14:paraId="0E931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 w14:paraId="40AF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l2br w:val="nil"/>
              <w:tr2bl w:val="nil"/>
            </w:tcBorders>
            <w:noWrap/>
            <w:vAlign w:val="center"/>
          </w:tcPr>
          <w:p w14:paraId="29977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4C96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footerReference r:id="rId3" w:type="default"/>
      <w:pgSz w:w="16838" w:h="11905" w:orient="landscape"/>
      <w:pgMar w:top="1587" w:right="2098" w:bottom="1474" w:left="1587" w:header="851" w:footer="1417" w:gutter="0"/>
      <w:cols w:space="0" w:num="1"/>
      <w:titlePg/>
      <w:rtlGutter w:val="0"/>
      <w:docGrid w:type="linesAndChars" w:linePitch="328" w:charSpace="1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EB7C7B-5285-4EDC-89E6-0A3E6B664A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DCFB1A2-6E72-4E7A-B74C-0CF1BECF546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41E9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771525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21717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B5B378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7.1pt;width:60.75pt;mso-position-horizontal:outside;mso-position-horizontal-relative:margin;z-index:251659264;mso-width-relative:page;mso-height-relative:page;" filled="f" stroked="f" coordsize="21600,21600" o:gfxdata="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WGSqbWAAAABwEAAA8AAAAAAAAAAQAgAAAAIgAAAGRycy9kb3ducmV2Lnht&#10;bFBLAQIUABQAAAAIAIdO4kB/Q77BwgEAAHsDAAAOAAAAAAAAAAEAIAAAACUBAABkcnMvZTJvRG9j&#10;LnhtbFBLBQYAAAAABgAGAFkBAABZ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0B5B378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D89D9B"/>
    <w:multiLevelType w:val="singleLevel"/>
    <w:tmpl w:val="EBD89D9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8"/>
  <w:drawingGridVerticalSpacing w:val="16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WYxYzEyMDk1YTQ4MGM4ZWY0ZjMxNWI5MDg1NmUifQ=="/>
  </w:docVars>
  <w:rsids>
    <w:rsidRoot w:val="2F1253E6"/>
    <w:rsid w:val="0D335069"/>
    <w:rsid w:val="0DD856C5"/>
    <w:rsid w:val="0EB775D4"/>
    <w:rsid w:val="0F756408"/>
    <w:rsid w:val="137115EA"/>
    <w:rsid w:val="18F71640"/>
    <w:rsid w:val="248D10AB"/>
    <w:rsid w:val="25A76F89"/>
    <w:rsid w:val="2B273A3E"/>
    <w:rsid w:val="2CB11666"/>
    <w:rsid w:val="2F1253E6"/>
    <w:rsid w:val="317A6513"/>
    <w:rsid w:val="389F2071"/>
    <w:rsid w:val="390B5DB2"/>
    <w:rsid w:val="3BEF3E1B"/>
    <w:rsid w:val="40053F18"/>
    <w:rsid w:val="50131BB5"/>
    <w:rsid w:val="51591A3F"/>
    <w:rsid w:val="515A781D"/>
    <w:rsid w:val="51F6353C"/>
    <w:rsid w:val="5A323700"/>
    <w:rsid w:val="5A85077B"/>
    <w:rsid w:val="668C53CC"/>
    <w:rsid w:val="6C07248C"/>
    <w:rsid w:val="6DB70BA4"/>
    <w:rsid w:val="71D14293"/>
    <w:rsid w:val="734737A0"/>
    <w:rsid w:val="75846F2D"/>
    <w:rsid w:val="772067E2"/>
    <w:rsid w:val="782D7332"/>
    <w:rsid w:val="786C3BC6"/>
    <w:rsid w:val="79096D75"/>
    <w:rsid w:val="79CB6C5E"/>
    <w:rsid w:val="7A037C0D"/>
    <w:rsid w:val="7F4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napToGrid w:val="0"/>
      <w:spacing w:line="376" w:lineRule="auto"/>
      <w:ind w:firstLine="930" w:firstLineChars="300"/>
    </w:pPr>
    <w:rPr>
      <w:rFonts w:hint="default" w:eastAsia="仿宋_GB2312"/>
      <w:sz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able of figures"/>
    <w:basedOn w:val="1"/>
    <w:next w:val="1"/>
    <w:autoRedefine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</w:rPr>
  </w:style>
  <w:style w:type="paragraph" w:styleId="6">
    <w:name w:val="Body Text First Indent 2"/>
    <w:basedOn w:val="2"/>
    <w:autoRedefine/>
    <w:qFormat/>
    <w:uiPriority w:val="0"/>
    <w:pPr>
      <w:ind w:firstLine="420" w:firstLineChars="200"/>
    </w:p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unhideWhenUsed/>
    <w:qFormat/>
    <w:uiPriority w:val="0"/>
    <w:pPr>
      <w:widowControl w:val="0"/>
      <w:autoSpaceDE w:val="0"/>
      <w:autoSpaceDN w:val="0"/>
      <w:adjustRightInd w:val="0"/>
      <w:ind w:firstLine="200" w:firstLineChars="200"/>
    </w:pPr>
    <w:rPr>
      <w:rFonts w:hint="eastAsia" w:ascii="仿宋_GB2312" w:hAnsi="仿宋_GB2312" w:eastAsia="仿宋_GB2312" w:cs="Times New Roman"/>
      <w:color w:val="000000"/>
      <w:sz w:val="28"/>
      <w:lang w:val="en-US" w:eastAsia="zh-CN" w:bidi="ar-SA"/>
    </w:rPr>
  </w:style>
  <w:style w:type="character" w:customStyle="1" w:styleId="12">
    <w:name w:val="font21"/>
    <w:basedOn w:val="8"/>
    <w:autoRedefine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微软雅黑" w:hAnsi="微软雅黑" w:eastAsia="微软雅黑" w:cs="微软雅黑"/>
      <w:color w:val="000000"/>
      <w:sz w:val="40"/>
      <w:szCs w:val="40"/>
      <w:u w:val="none"/>
    </w:rPr>
  </w:style>
  <w:style w:type="paragraph" w:customStyle="1" w:styleId="14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822</Words>
  <Characters>978</Characters>
  <Lines>0</Lines>
  <Paragraphs>0</Paragraphs>
  <TotalTime>33</TotalTime>
  <ScaleCrop>false</ScaleCrop>
  <LinksUpToDate>false</LinksUpToDate>
  <CharactersWithSpaces>1091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2023-12-27T02:59:00Z</dcterms:created>
  <dc:creator>淡雅清幽</dc:creator>
  <cp:lastModifiedBy>哦火</cp:lastModifiedBy>
  <dcterms:modified xsi:type="dcterms:W3CDTF">2024-07-30T01:04:32Z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67B56795556A42F5B0C6666C8D2A7FEA_13</vt:lpwstr>
  </property>
</Properties>
</file>