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mbeddings/Microsoft_Visio_2003-2010___1.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1" w:firstLineChars="38"/>
        <w:rPr>
          <w:rFonts w:eastAsia="华文细黑"/>
          <w:snapToGrid w:val="0"/>
          <w:kern w:val="40"/>
          <w:sz w:val="52"/>
          <w:highlight w:val="none"/>
        </w:rPr>
      </w:pPr>
      <w:bookmarkStart w:id="105" w:name="_GoBack"/>
      <w:bookmarkEnd w:id="105"/>
      <w:bookmarkStart w:id="0" w:name="_Toc154518122"/>
      <w:r>
        <w:rPr>
          <w:highlight w:val="none"/>
        </w:rPr>
        <w:drawing>
          <wp:anchor distT="0" distB="0" distL="114300" distR="114300" simplePos="0" relativeHeight="251661312" behindDoc="0" locked="0" layoutInCell="1" allowOverlap="1">
            <wp:simplePos x="0" y="0"/>
            <wp:positionH relativeFrom="column">
              <wp:posOffset>7620</wp:posOffset>
            </wp:positionH>
            <wp:positionV relativeFrom="paragraph">
              <wp:posOffset>0</wp:posOffset>
            </wp:positionV>
            <wp:extent cx="1308735" cy="374650"/>
            <wp:effectExtent l="0" t="0" r="0" b="6350"/>
            <wp:wrapNone/>
            <wp:docPr id="9" name="图片 9"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文本&#10;&#10;描述已自动生成"/>
                    <pic:cNvPicPr>
                      <a:picLocks noChangeAspect="1" noChangeArrowheads="1"/>
                    </pic:cNvPicPr>
                  </pic:nvPicPr>
                  <pic:blipFill>
                    <a:blip r:embed="rId34" cstate="print"/>
                    <a:srcRect/>
                    <a:stretch>
                      <a:fillRect/>
                    </a:stretch>
                  </pic:blipFill>
                  <pic:spPr>
                    <a:xfrm>
                      <a:off x="0" y="0"/>
                      <a:ext cx="1323848" cy="378715"/>
                    </a:xfrm>
                    <a:prstGeom prst="rect">
                      <a:avLst/>
                    </a:prstGeom>
                    <a:noFill/>
                    <a:ln>
                      <a:noFill/>
                    </a:ln>
                  </pic:spPr>
                </pic:pic>
              </a:graphicData>
            </a:graphic>
          </wp:anchor>
        </w:drawing>
      </w:r>
    </w:p>
    <w:p>
      <w:pPr>
        <w:ind w:firstLine="217" w:firstLineChars="38"/>
        <w:rPr>
          <w:rFonts w:hint="eastAsia" w:ascii="黑体" w:hAnsi="黑体" w:eastAsia="黑体"/>
          <w:spacing w:val="9"/>
          <w:w w:val="99"/>
          <w:kern w:val="0"/>
          <w:sz w:val="56"/>
          <w:szCs w:val="56"/>
          <w:highlight w:val="none"/>
        </w:rPr>
      </w:pPr>
      <w:r>
        <w:rPr>
          <w:rFonts w:hint="eastAsia" w:ascii="黑体" w:hAnsi="黑体" w:eastAsia="黑体"/>
          <w:spacing w:val="9"/>
          <w:w w:val="99"/>
          <w:kern w:val="0"/>
          <w:sz w:val="56"/>
          <w:szCs w:val="56"/>
          <w:highlight w:val="none"/>
        </w:rPr>
        <w:t>苍溪县百利工业园区（先期启动区）产业发展规划（2024-2030年）</w:t>
      </w:r>
    </w:p>
    <w:p>
      <w:pPr>
        <w:spacing w:before="312" w:beforeLines="100" w:after="312" w:afterLines="100" w:line="240" w:lineRule="auto"/>
        <w:ind w:firstLine="0" w:firstLineChars="0"/>
        <w:jc w:val="center"/>
        <w:rPr>
          <w:rFonts w:ascii="黑体" w:hAnsi="黑体" w:eastAsia="黑体"/>
          <w:b/>
          <w:bCs/>
          <w:kern w:val="0"/>
          <w:sz w:val="90"/>
          <w:szCs w:val="24"/>
          <w:highlight w:val="none"/>
        </w:rPr>
      </w:pPr>
      <w:r>
        <w:rPr>
          <w:rFonts w:ascii="黑体" w:hAnsi="黑体" w:eastAsia="黑体"/>
          <w:b/>
          <w:bCs/>
          <w:kern w:val="0"/>
          <w:sz w:val="90"/>
          <w:szCs w:val="24"/>
          <w:highlight w:val="none"/>
        </w:rPr>
        <mc:AlternateContent>
          <mc:Choice Requires="wps">
            <w:drawing>
              <wp:anchor distT="0" distB="0" distL="114300" distR="114300" simplePos="0" relativeHeight="251660288" behindDoc="0" locked="0" layoutInCell="1" allowOverlap="1">
                <wp:simplePos x="0" y="0"/>
                <wp:positionH relativeFrom="column">
                  <wp:posOffset>73660</wp:posOffset>
                </wp:positionH>
                <wp:positionV relativeFrom="paragraph">
                  <wp:posOffset>57785</wp:posOffset>
                </wp:positionV>
                <wp:extent cx="5109845" cy="0"/>
                <wp:effectExtent l="0" t="31750" r="14605" b="44450"/>
                <wp:wrapNone/>
                <wp:docPr id="10" name="直接连接符 1"/>
                <wp:cNvGraphicFramePr/>
                <a:graphic xmlns:a="http://schemas.openxmlformats.org/drawingml/2006/main">
                  <a:graphicData uri="http://schemas.microsoft.com/office/word/2010/wordprocessingShape">
                    <wps:wsp>
                      <wps:cNvCnPr/>
                      <wps:spPr>
                        <a:xfrm>
                          <a:off x="0" y="0"/>
                          <a:ext cx="5109845" cy="0"/>
                        </a:xfrm>
                        <a:prstGeom prst="line">
                          <a:avLst/>
                        </a:prstGeom>
                        <a:ln w="63500" cap="flat" cmpd="thinThick">
                          <a:solidFill>
                            <a:srgbClr val="000000"/>
                          </a:solidFill>
                          <a:prstDash val="solid"/>
                          <a:headEnd type="none" w="med" len="med"/>
                          <a:tailEnd type="none" w="med" len="med"/>
                        </a:ln>
                        <a:effectLst/>
                      </wps:spPr>
                      <wps:bodyPr/>
                    </wps:wsp>
                  </a:graphicData>
                </a:graphic>
              </wp:anchor>
            </w:drawing>
          </mc:Choice>
          <mc:Fallback>
            <w:pict>
              <v:line id="直接连接符 1" o:spid="_x0000_s1026" o:spt="20" style="position:absolute;left:0pt;margin-left:5.8pt;margin-top:4.55pt;height:0pt;width:402.35pt;z-index:251660288;mso-width-relative:page;mso-height-relative:page;" filled="f" stroked="t" coordsize="21600,21600" o:gfxdata="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7mjkdIAAAAGAQAADwAAAAAAAAABACAAAAAiAAAAZHJzL2Rvd25yZXYueG1sUEsBAhQA&#10;FAAAAAgAh07iQIHKDcv4AQAA7gMAAA4AAAAAAAAAAQAgAAAAIQEAAGRycy9lMm9Eb2MueG1sUEsF&#10;BgAAAAAGAAYAWQEAAIsFAAAAAA==&#10;">
                <v:fill on="f" focussize="0,0"/>
                <v:stroke weight="5pt" color="#000000" linestyle="thinThick" joinstyle="round"/>
                <v:imagedata o:title=""/>
                <o:lock v:ext="edit" aspectratio="f"/>
              </v:line>
            </w:pict>
          </mc:Fallback>
        </mc:AlternateContent>
      </w:r>
      <w:r>
        <w:rPr>
          <w:rFonts w:hint="eastAsia" w:ascii="黑体" w:hAnsi="黑体" w:eastAsia="黑体"/>
          <w:b/>
          <w:bCs/>
          <w:spacing w:val="153"/>
          <w:kern w:val="0"/>
          <w:sz w:val="90"/>
          <w:szCs w:val="24"/>
          <w:highlight w:val="none"/>
          <w:fitText w:val="8136" w:id="1635648593"/>
        </w:rPr>
        <w:t>环境影响报告</w:t>
      </w:r>
      <w:r>
        <w:rPr>
          <w:rFonts w:hint="eastAsia" w:ascii="黑体" w:hAnsi="黑体" w:eastAsia="黑体"/>
          <w:b/>
          <w:bCs/>
          <w:spacing w:val="0"/>
          <w:kern w:val="0"/>
          <w:sz w:val="90"/>
          <w:szCs w:val="24"/>
          <w:highlight w:val="none"/>
          <w:fitText w:val="8136" w:id="1635648593"/>
        </w:rPr>
        <w:t>书</w:t>
      </w:r>
    </w:p>
    <w:p>
      <w:pPr>
        <w:ind w:firstLine="0" w:firstLineChars="0"/>
        <w:jc w:val="center"/>
        <w:rPr>
          <w:rFonts w:ascii="黑体" w:hAnsi="黑体" w:eastAsia="黑体"/>
          <w:bCs/>
          <w:snapToGrid w:val="0"/>
          <w:kern w:val="0"/>
          <w:sz w:val="36"/>
          <w:szCs w:val="36"/>
          <w:highlight w:val="none"/>
        </w:rPr>
      </w:pPr>
      <w:r>
        <w:rPr>
          <w:rFonts w:hint="eastAsia" w:ascii="黑体" w:hAnsi="黑体" w:eastAsia="黑体"/>
          <w:bCs/>
          <w:snapToGrid w:val="0"/>
          <w:kern w:val="0"/>
          <w:sz w:val="36"/>
          <w:szCs w:val="36"/>
          <w:highlight w:val="none"/>
        </w:rPr>
        <w:t>（征求意见稿）</w:t>
      </w:r>
    </w:p>
    <w:p>
      <w:pPr>
        <w:spacing w:line="240" w:lineRule="auto"/>
        <w:ind w:firstLine="430" w:firstLineChars="205"/>
        <w:rPr>
          <w:rFonts w:ascii="宋体" w:hAnsi="宋体"/>
          <w:snapToGrid w:val="0"/>
          <w:kern w:val="0"/>
          <w:sz w:val="21"/>
          <w:szCs w:val="24"/>
          <w:highlight w:val="none"/>
        </w:rPr>
      </w:pPr>
    </w:p>
    <w:p>
      <w:pPr>
        <w:spacing w:line="240" w:lineRule="auto"/>
        <w:ind w:firstLine="430" w:firstLineChars="205"/>
        <w:rPr>
          <w:rFonts w:ascii="宋体" w:hAnsi="宋体"/>
          <w:snapToGrid w:val="0"/>
          <w:kern w:val="0"/>
          <w:sz w:val="21"/>
          <w:szCs w:val="24"/>
          <w:highlight w:val="none"/>
        </w:rPr>
      </w:pPr>
    </w:p>
    <w:p>
      <w:pPr>
        <w:spacing w:line="240" w:lineRule="auto"/>
        <w:ind w:firstLine="430" w:firstLineChars="205"/>
        <w:rPr>
          <w:rFonts w:ascii="宋体" w:hAnsi="宋体"/>
          <w:snapToGrid w:val="0"/>
          <w:kern w:val="0"/>
          <w:sz w:val="21"/>
          <w:szCs w:val="24"/>
          <w:highlight w:val="none"/>
        </w:rPr>
      </w:pPr>
    </w:p>
    <w:p>
      <w:pPr>
        <w:spacing w:line="240" w:lineRule="auto"/>
        <w:ind w:firstLine="430" w:firstLineChars="205"/>
        <w:rPr>
          <w:rFonts w:ascii="宋体" w:hAnsi="宋体"/>
          <w:snapToGrid w:val="0"/>
          <w:kern w:val="0"/>
          <w:sz w:val="21"/>
          <w:szCs w:val="24"/>
          <w:highlight w:val="none"/>
        </w:rPr>
      </w:pPr>
    </w:p>
    <w:p>
      <w:pPr>
        <w:spacing w:line="240" w:lineRule="auto"/>
        <w:ind w:firstLine="430" w:firstLineChars="205"/>
        <w:rPr>
          <w:rFonts w:ascii="宋体" w:hAnsi="宋体"/>
          <w:snapToGrid w:val="0"/>
          <w:kern w:val="0"/>
          <w:sz w:val="21"/>
          <w:szCs w:val="24"/>
          <w:highlight w:val="none"/>
        </w:rPr>
      </w:pPr>
    </w:p>
    <w:p>
      <w:pPr>
        <w:spacing w:line="240" w:lineRule="auto"/>
        <w:ind w:firstLine="430" w:firstLineChars="205"/>
        <w:rPr>
          <w:rFonts w:ascii="宋体" w:hAnsi="宋体"/>
          <w:snapToGrid w:val="0"/>
          <w:kern w:val="0"/>
          <w:sz w:val="21"/>
          <w:szCs w:val="24"/>
          <w:highlight w:val="none"/>
        </w:rPr>
      </w:pPr>
    </w:p>
    <w:p>
      <w:pPr>
        <w:spacing w:line="240" w:lineRule="auto"/>
        <w:ind w:firstLine="430" w:firstLineChars="205"/>
        <w:rPr>
          <w:rFonts w:ascii="宋体" w:hAnsi="宋体"/>
          <w:snapToGrid w:val="0"/>
          <w:kern w:val="0"/>
          <w:sz w:val="21"/>
          <w:szCs w:val="24"/>
          <w:highlight w:val="none"/>
        </w:rPr>
      </w:pPr>
    </w:p>
    <w:p>
      <w:pPr>
        <w:spacing w:line="240" w:lineRule="auto"/>
        <w:ind w:firstLine="430" w:firstLineChars="205"/>
        <w:rPr>
          <w:rFonts w:ascii="宋体" w:hAnsi="宋体"/>
          <w:snapToGrid w:val="0"/>
          <w:kern w:val="0"/>
          <w:sz w:val="21"/>
          <w:szCs w:val="24"/>
          <w:highlight w:val="none"/>
        </w:rPr>
      </w:pPr>
    </w:p>
    <w:p>
      <w:pPr>
        <w:pStyle w:val="12"/>
        <w:ind w:firstLine="360"/>
        <w:rPr>
          <w:highlight w:val="none"/>
        </w:rPr>
      </w:pPr>
    </w:p>
    <w:p>
      <w:pPr>
        <w:pStyle w:val="12"/>
        <w:ind w:firstLine="360"/>
        <w:rPr>
          <w:highlight w:val="none"/>
        </w:rPr>
      </w:pPr>
    </w:p>
    <w:p>
      <w:pPr>
        <w:pStyle w:val="12"/>
        <w:ind w:firstLine="360"/>
        <w:rPr>
          <w:highlight w:val="none"/>
        </w:rPr>
      </w:pPr>
    </w:p>
    <w:p>
      <w:pPr>
        <w:spacing w:line="240" w:lineRule="auto"/>
        <w:ind w:firstLine="430" w:firstLineChars="205"/>
        <w:rPr>
          <w:rFonts w:ascii="宋体" w:hAnsi="宋体"/>
          <w:snapToGrid w:val="0"/>
          <w:kern w:val="0"/>
          <w:sz w:val="21"/>
          <w:szCs w:val="24"/>
          <w:highlight w:val="none"/>
        </w:rPr>
      </w:pPr>
    </w:p>
    <w:p>
      <w:pPr>
        <w:spacing w:line="240" w:lineRule="auto"/>
        <w:ind w:firstLine="430" w:firstLineChars="205"/>
        <w:rPr>
          <w:rFonts w:ascii="宋体" w:hAnsi="宋体"/>
          <w:snapToGrid w:val="0"/>
          <w:kern w:val="0"/>
          <w:sz w:val="21"/>
          <w:szCs w:val="24"/>
          <w:highlight w:val="none"/>
        </w:rPr>
      </w:pPr>
    </w:p>
    <w:p>
      <w:pPr>
        <w:pStyle w:val="12"/>
        <w:ind w:firstLine="360"/>
        <w:rPr>
          <w:highlight w:val="none"/>
        </w:rPr>
      </w:pPr>
    </w:p>
    <w:p>
      <w:pPr>
        <w:pStyle w:val="12"/>
        <w:ind w:firstLine="360"/>
        <w:rPr>
          <w:highlight w:val="none"/>
        </w:rPr>
      </w:pPr>
    </w:p>
    <w:p>
      <w:pPr>
        <w:pStyle w:val="12"/>
        <w:ind w:firstLine="360"/>
        <w:rPr>
          <w:highlight w:val="none"/>
        </w:rPr>
      </w:pPr>
    </w:p>
    <w:p>
      <w:pPr>
        <w:pStyle w:val="12"/>
        <w:ind w:firstLine="360"/>
        <w:rPr>
          <w:highlight w:val="none"/>
        </w:rPr>
      </w:pPr>
    </w:p>
    <w:p>
      <w:pPr>
        <w:spacing w:line="240" w:lineRule="auto"/>
        <w:ind w:firstLine="430" w:firstLineChars="205"/>
        <w:rPr>
          <w:rFonts w:ascii="宋体" w:hAnsi="宋体"/>
          <w:snapToGrid w:val="0"/>
          <w:kern w:val="0"/>
          <w:sz w:val="21"/>
          <w:szCs w:val="24"/>
          <w:highlight w:val="none"/>
        </w:rPr>
      </w:pPr>
    </w:p>
    <w:p>
      <w:pPr>
        <w:spacing w:line="240" w:lineRule="auto"/>
        <w:ind w:left="420" w:firstLine="420" w:firstLineChars="0"/>
        <w:rPr>
          <w:rFonts w:ascii="黑体" w:hAnsi="黑体" w:eastAsia="黑体"/>
          <w:sz w:val="32"/>
          <w:szCs w:val="24"/>
          <w:highlight w:val="none"/>
        </w:rPr>
      </w:pPr>
      <w:r>
        <w:rPr>
          <w:rFonts w:hint="eastAsia" w:ascii="黑体" w:hAnsi="黑体" w:eastAsia="黑体"/>
          <w:sz w:val="32"/>
          <w:szCs w:val="24"/>
          <w:highlight w:val="none"/>
        </w:rPr>
        <w:t>规划编制单位：苍溪县经济和信息化局</w:t>
      </w:r>
    </w:p>
    <w:p>
      <w:pPr>
        <w:spacing w:line="240" w:lineRule="auto"/>
        <w:ind w:firstLine="845" w:firstLineChars="159"/>
        <w:rPr>
          <w:rFonts w:ascii="黑体" w:hAnsi="黑体" w:eastAsia="黑体"/>
          <w:sz w:val="32"/>
          <w:szCs w:val="24"/>
          <w:highlight w:val="none"/>
        </w:rPr>
      </w:pPr>
      <w:r>
        <w:rPr>
          <w:rFonts w:hint="eastAsia" w:ascii="黑体" w:hAnsi="黑体" w:eastAsia="黑体"/>
          <w:spacing w:val="106"/>
          <w:kern w:val="0"/>
          <w:sz w:val="32"/>
          <w:szCs w:val="24"/>
          <w:highlight w:val="none"/>
          <w:fitText w:val="1920" w:id="1592787244"/>
        </w:rPr>
        <w:t>评价单</w:t>
      </w:r>
      <w:r>
        <w:rPr>
          <w:rFonts w:hint="eastAsia" w:ascii="黑体" w:hAnsi="黑体" w:eastAsia="黑体"/>
          <w:spacing w:val="2"/>
          <w:kern w:val="0"/>
          <w:sz w:val="32"/>
          <w:szCs w:val="24"/>
          <w:highlight w:val="none"/>
          <w:fitText w:val="1920" w:id="1592787244"/>
        </w:rPr>
        <w:t>位</w:t>
      </w:r>
      <w:r>
        <w:rPr>
          <w:rFonts w:hint="eastAsia" w:ascii="黑体" w:hAnsi="黑体" w:eastAsia="黑体"/>
          <w:sz w:val="32"/>
          <w:szCs w:val="24"/>
          <w:highlight w:val="none"/>
        </w:rPr>
        <w:t>：四川锦美环保股份有限公司</w:t>
      </w:r>
    </w:p>
    <w:p>
      <w:pPr>
        <w:spacing w:line="240" w:lineRule="auto"/>
        <w:ind w:firstLine="198" w:firstLineChars="62"/>
        <w:jc w:val="center"/>
        <w:rPr>
          <w:rFonts w:ascii="宋体" w:hAnsi="宋体"/>
          <w:sz w:val="32"/>
          <w:szCs w:val="2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r>
        <w:rPr>
          <w:rFonts w:hint="eastAsia" w:ascii="黑体" w:hAnsi="黑体" w:eastAsia="黑体"/>
          <w:sz w:val="32"/>
          <w:szCs w:val="24"/>
          <w:highlight w:val="none"/>
        </w:rPr>
        <w:t>二〇二四年三月</w:t>
      </w:r>
    </w:p>
    <w:p>
      <w:pPr>
        <w:pStyle w:val="2"/>
        <w:spacing w:before="163" w:after="163"/>
        <w:ind w:left="440" w:hanging="440"/>
        <w:rPr>
          <w:highlight w:val="none"/>
        </w:rPr>
      </w:pPr>
      <w:r>
        <w:rPr>
          <w:rFonts w:hint="eastAsia"/>
          <w:highlight w:val="none"/>
        </w:rPr>
        <w:t>总则</w:t>
      </w:r>
      <w:bookmarkEnd w:id="0"/>
    </w:p>
    <w:p>
      <w:pPr>
        <w:pStyle w:val="3"/>
        <w:bidi w:val="0"/>
        <w:rPr>
          <w:highlight w:val="none"/>
        </w:rPr>
      </w:pPr>
      <w:bookmarkStart w:id="1" w:name="_Toc154518123"/>
      <w:r>
        <w:rPr>
          <w:rFonts w:hint="eastAsia"/>
          <w:highlight w:val="none"/>
        </w:rPr>
        <w:t>规划背景</w:t>
      </w:r>
      <w:bookmarkEnd w:id="1"/>
    </w:p>
    <w:p>
      <w:pPr>
        <w:pStyle w:val="4"/>
        <w:rPr>
          <w:highlight w:val="none"/>
        </w:rPr>
      </w:pPr>
      <w:r>
        <w:rPr>
          <w:rFonts w:hint="eastAsia"/>
          <w:highlight w:val="none"/>
        </w:rPr>
        <w:t>规划由来</w:t>
      </w:r>
    </w:p>
    <w:p>
      <w:pPr>
        <w:pStyle w:val="89"/>
        <w:ind w:firstLine="480"/>
        <w:rPr>
          <w:highlight w:val="none"/>
        </w:rPr>
      </w:pPr>
      <w:r>
        <w:rPr>
          <w:rFonts w:hint="eastAsia"/>
          <w:highlight w:val="none"/>
        </w:rPr>
        <w:t>苍溪县地处四川盆地北缘，大巴山南麓之低、中山丘陵地带，隶属广元市。苍溪县是革命老区、国家现代农业示范县、中国雪梨之乡、中国红心猕猴桃之乡、全国首批文化工作先进县和四川省首批文明、卫生县城，入选全国首批自然资源节约集约示范县（市）名单。</w:t>
      </w:r>
    </w:p>
    <w:p>
      <w:pPr>
        <w:adjustRightInd w:val="0"/>
        <w:snapToGrid w:val="0"/>
        <w:ind w:firstLine="480"/>
        <w:rPr>
          <w:highlight w:val="none"/>
        </w:rPr>
      </w:pPr>
      <w:r>
        <w:rPr>
          <w:rFonts w:hint="eastAsia"/>
          <w:highlight w:val="none"/>
        </w:rPr>
        <w:t>工业是推动地方经济高质量发展的必由之路。苍溪县清洁能源、食品医药、机电轻工三大主导产业强劲发展。全县主要工业产品有植物油、罐头、饮料酒、眼镜、甲醛、涂料、人造板、商品混凝土等。聚力工业园区拓面升级，不断优化工业生产布局。两年来，紫云工业园开发全面完成、基础设施配套完善，古梁工业园正在加快完善各类设施，元坝工业园开发进程加快，初步形成“一区三园”的工业发展格局。2023年1月，中共苍溪县委决定“大力实施工业强县首位发展战略”，将2018年启动建设的百利新区转变为以制造业为主的工业园区，纳入四川苍溪经济开发区管理，全面构建“一区四园”工业发展格局。</w:t>
      </w:r>
    </w:p>
    <w:p>
      <w:pPr>
        <w:adjustRightInd w:val="0"/>
        <w:snapToGrid w:val="0"/>
        <w:ind w:firstLine="480"/>
        <w:rPr>
          <w:highlight w:val="none"/>
        </w:rPr>
      </w:pPr>
      <w:r>
        <w:rPr>
          <w:rFonts w:hint="eastAsia"/>
          <w:highlight w:val="none"/>
        </w:rPr>
        <w:t>未来五到十年，按照省委十二届二次三次全会、市委八届五次六次全会和县委十四届三次四次全会精神，聚焦市委“1345”发展战略，大力实施“543”发展战略，坚定完成“345”工作任务，在全面建设社会主义现代化国家新征程上奋力谱写苍溪发展新篇章。坚定不移实施工业强县首位发展战略，始终把经济增长超过全国全省全市水平作为首要目标。到2025年，地区生产总值达到300亿元，制造业增加值占GDP比重高于全省水平。到2027年，工业总产值达到200亿元，规模以上工业企业达到120户。到2030年，经济总量和城乡居民可支配收入再上新台阶；工业强县基本建成，现代产业体系总体形成，生态环境更加优美，基本实现治理体系和治理能力现代化，人民共同富裕取得实质性进展。围绕上述发展目标，着眼现有资源和交通区位优势，苍溪县百利工业园区将牢固树立“创新、协调、绿色、开放、共享”新发展理念，加快推进以产兴城、产城一体进程，坚持产业集中集群集约发展，突破发展硅基新材料产业，培育发展以新型建材、鞋服、机械电子等为主的轻工产业，协调发展现代服务业，强化创新驱动，推动全链发展，加快建设产业大区、经济强区、和谐新区，打造苍溪工业发展新亮点。根据《四川省“十四五”制造业高质量发展规划》《四川省开发区发展规划（2023—2027年）》《广元市“十四五”新型工业化发展规划（修订）》和《苍溪县国民经济和社会发展第十四个五年规划和二〇三五年远景目标纲要》等要求，为加快把苍溪县百利工业园区建设成为全国硅基新材料产业绿色发展基地核心区，特编制和实施本产业发展规划。</w:t>
      </w:r>
    </w:p>
    <w:p>
      <w:pPr>
        <w:adjustRightInd w:val="0"/>
        <w:snapToGrid w:val="0"/>
        <w:ind w:firstLine="480"/>
        <w:rPr>
          <w:highlight w:val="none"/>
        </w:rPr>
      </w:pPr>
      <w:r>
        <w:rPr>
          <w:rFonts w:hint="eastAsia"/>
          <w:highlight w:val="none"/>
        </w:rPr>
        <w:t>2023年6月，苍溪县人民政府以苍府函</w:t>
      </w:r>
      <w:r>
        <w:rPr>
          <w:rFonts w:hint="eastAsia" w:asciiTheme="minorEastAsia" w:hAnsiTheme="minorEastAsia"/>
          <w:highlight w:val="none"/>
        </w:rPr>
        <w:t>〔</w:t>
      </w:r>
      <w:r>
        <w:rPr>
          <w:rFonts w:hint="eastAsia"/>
          <w:highlight w:val="none"/>
        </w:rPr>
        <w:t>2023</w:t>
      </w:r>
      <w:r>
        <w:rPr>
          <w:rFonts w:hint="eastAsia" w:ascii="宋体" w:hAnsi="宋体" w:eastAsia="宋体"/>
          <w:highlight w:val="none"/>
        </w:rPr>
        <w:t>〕</w:t>
      </w:r>
      <w:r>
        <w:rPr>
          <w:rFonts w:hint="eastAsia"/>
          <w:highlight w:val="none"/>
        </w:rPr>
        <w:t>72号文出具了关于设立百利工业园区的批复，同意设立百利工业园区，重点发展硅基新材料、轻纺产业，协同布局装备制造产业。苍溪县百利工业园区北至百利镇镇江村老君堂接赵家山片区，东至嘉陵江岸线范围内，南至嘉陵江元山子沟口，西至兰海高速东侧，总规划面积688.81公顷。</w:t>
      </w:r>
    </w:p>
    <w:p>
      <w:pPr>
        <w:adjustRightInd w:val="0"/>
        <w:snapToGrid w:val="0"/>
        <w:ind w:firstLine="482"/>
        <w:rPr>
          <w:b/>
          <w:bCs/>
          <w:highlight w:val="none"/>
        </w:rPr>
      </w:pPr>
      <w:r>
        <w:rPr>
          <w:rFonts w:hint="eastAsia"/>
          <w:b/>
          <w:bCs/>
          <w:highlight w:val="none"/>
        </w:rPr>
        <w:t>根据苍溪县国土空间总体规划和全县三线划定成果，本次规划百利工业园区（先期启动区）范围为城市开发边界范围内136.64公顷。</w:t>
      </w:r>
    </w:p>
    <w:p>
      <w:pPr>
        <w:pStyle w:val="4"/>
        <w:rPr>
          <w:highlight w:val="none"/>
        </w:rPr>
      </w:pPr>
      <w:r>
        <w:rPr>
          <w:rFonts w:hint="eastAsia"/>
          <w:highlight w:val="none"/>
        </w:rPr>
        <w:t>园区</w:t>
      </w:r>
      <w:r>
        <w:rPr>
          <w:highlight w:val="none"/>
        </w:rPr>
        <w:t>规划简介</w:t>
      </w:r>
    </w:p>
    <w:p>
      <w:pPr>
        <w:autoSpaceDE w:val="0"/>
        <w:autoSpaceDN w:val="0"/>
        <w:adjustRightInd w:val="0"/>
        <w:snapToGrid w:val="0"/>
        <w:ind w:firstLine="480"/>
        <w:rPr>
          <w:highlight w:val="none"/>
        </w:rPr>
      </w:pPr>
      <w:r>
        <w:rPr>
          <w:rFonts w:hint="eastAsia"/>
          <w:highlight w:val="none"/>
        </w:rPr>
        <w:t>为落实广元市政府和苍溪县委、政府对百利工业园区发展要求，合理利用资源环境条件，综合协调内外部发展关系，统筹安排园区的各项建设活动，规范与指导项目建设与发展，为加速重构苍溪现代化产业体系，实现战略材料领航，建设百利园区成为全国硅基新材料产业绿色发展基地核心区，实现振兴苍溪，苍溪县经信局特组织编制本规划。</w:t>
      </w:r>
    </w:p>
    <w:p>
      <w:pPr>
        <w:autoSpaceDE w:val="0"/>
        <w:autoSpaceDN w:val="0"/>
        <w:adjustRightInd w:val="0"/>
        <w:snapToGrid w:val="0"/>
        <w:ind w:firstLine="482"/>
        <w:rPr>
          <w:highlight w:val="none"/>
        </w:rPr>
      </w:pPr>
      <w:r>
        <w:rPr>
          <w:rFonts w:hint="eastAsia"/>
          <w:b/>
          <w:bCs/>
          <w:highlight w:val="none"/>
        </w:rPr>
        <w:t>园区规划范围</w:t>
      </w:r>
      <w:r>
        <w:rPr>
          <w:rFonts w:hint="eastAsia"/>
          <w:highlight w:val="none"/>
        </w:rPr>
        <w:t>：本次国土空间详细规划的规划范围与城镇开发边界所确定的范围一致，规划范围面积为136.64公顷。西至张家湾东侧山脚，北侧至百利大桥北侧嘉陵江湿地公园，东至嘉陵江岸线范围以内，南至嘉陵江元山子沟口。</w:t>
      </w:r>
    </w:p>
    <w:p>
      <w:pPr>
        <w:autoSpaceDE w:val="0"/>
        <w:autoSpaceDN w:val="0"/>
        <w:adjustRightInd w:val="0"/>
        <w:snapToGrid w:val="0"/>
        <w:ind w:firstLine="482"/>
        <w:rPr>
          <w:highlight w:val="none"/>
        </w:rPr>
      </w:pPr>
      <w:r>
        <w:rPr>
          <w:rFonts w:hint="eastAsia"/>
          <w:b/>
          <w:bCs/>
          <w:highlight w:val="none"/>
        </w:rPr>
        <w:t>园区发展定位</w:t>
      </w:r>
      <w:r>
        <w:rPr>
          <w:rFonts w:hint="eastAsia"/>
          <w:highlight w:val="none"/>
        </w:rPr>
        <w:t>：园区以打造硅基新材料产业集群为引领,建成园区为全国硅基新材料产业绿色发展基地核心区。发挥新型工业主导作用，突破发展硅基新材料，培育发展以超薄电子工业玻璃、光伏玻璃、高性能玻璃纤维以及电子级玻璃纤维为主的新型产业，加快形成百利工业园区发展新亮点，构建特色鲜明的现代化产业体系。</w:t>
      </w:r>
    </w:p>
    <w:p>
      <w:pPr>
        <w:autoSpaceDE w:val="0"/>
        <w:autoSpaceDN w:val="0"/>
        <w:adjustRightInd w:val="0"/>
        <w:snapToGrid w:val="0"/>
        <w:ind w:firstLine="482"/>
        <w:rPr>
          <w:highlight w:val="none"/>
        </w:rPr>
      </w:pPr>
      <w:r>
        <w:rPr>
          <w:rFonts w:hint="eastAsia"/>
          <w:b/>
          <w:bCs/>
          <w:highlight w:val="none"/>
        </w:rPr>
        <w:t>规划期限</w:t>
      </w:r>
      <w:r>
        <w:rPr>
          <w:rFonts w:hint="eastAsia"/>
          <w:highlight w:val="none"/>
        </w:rPr>
        <w:t>：规划基准年为2023年，规划期限2024-2030年。</w:t>
      </w:r>
    </w:p>
    <w:p>
      <w:pPr>
        <w:pStyle w:val="3"/>
        <w:ind w:left="300" w:hanging="300"/>
        <w:rPr>
          <w:highlight w:val="none"/>
        </w:rPr>
      </w:pPr>
      <w:bookmarkStart w:id="2" w:name="_Toc154518124"/>
      <w:r>
        <w:rPr>
          <w:rFonts w:hint="eastAsia"/>
          <w:highlight w:val="none"/>
        </w:rPr>
        <w:t>评价目的和原则</w:t>
      </w:r>
      <w:bookmarkEnd w:id="2"/>
    </w:p>
    <w:p>
      <w:pPr>
        <w:pStyle w:val="4"/>
        <w:rPr>
          <w:highlight w:val="none"/>
        </w:rPr>
      </w:pPr>
      <w:r>
        <w:rPr>
          <w:rFonts w:hint="eastAsia"/>
          <w:highlight w:val="none"/>
        </w:rPr>
        <w:t>评价目的</w:t>
      </w:r>
    </w:p>
    <w:p>
      <w:pPr>
        <w:ind w:firstLine="480"/>
        <w:rPr>
          <w:highlight w:val="none"/>
        </w:rPr>
      </w:pPr>
      <w:r>
        <w:rPr>
          <w:rFonts w:hint="eastAsia"/>
          <w:highlight w:val="none"/>
        </w:rPr>
        <w:t>以改善环境质量和保障生态安全为目标，论证规划方案的生态环境合理性和环境效益，提出规划优化调整建议；明确不良生态环境影响的减缓措施，提出生态环境保护建议和管控要求，为规划决策和规划实施过程中的生态环境管理提供依据。</w:t>
      </w:r>
    </w:p>
    <w:p>
      <w:pPr>
        <w:ind w:firstLine="480"/>
        <w:rPr>
          <w:highlight w:val="none"/>
        </w:rPr>
      </w:pPr>
      <w:r>
        <w:rPr>
          <w:rFonts w:hint="eastAsia"/>
          <w:highlight w:val="none"/>
        </w:rPr>
        <w:t>（1）根据苍溪县及规划区域社会经济发展状况及资源、环境现状及变化趋势等，分析规划区发展面临的主要生态、环境问题，明确区域需要保护的环境敏感目标、主要资源及环境制约因素。</w:t>
      </w:r>
    </w:p>
    <w:p>
      <w:pPr>
        <w:ind w:firstLine="480"/>
        <w:rPr>
          <w:highlight w:val="none"/>
        </w:rPr>
      </w:pPr>
      <w:r>
        <w:rPr>
          <w:rFonts w:hint="eastAsia"/>
          <w:highlight w:val="none"/>
        </w:rPr>
        <w:t>（2）分析区域资源承载力（土地资源、水资源、能源、生态资源等），从资源承载力、区域环境容量、总量控制等方面，全面宏观地评价规划实施可能导致的环境问题，从环境保护角度为决策部门提供决策依据。</w:t>
      </w:r>
    </w:p>
    <w:p>
      <w:pPr>
        <w:ind w:firstLine="480"/>
        <w:rPr>
          <w:highlight w:val="none"/>
        </w:rPr>
      </w:pPr>
      <w:r>
        <w:rPr>
          <w:rFonts w:hint="eastAsia"/>
          <w:highlight w:val="none"/>
        </w:rPr>
        <w:t>（3）针对规划方案，分析规划功能定位、发展目标、发展规模、空间布局、产业定位、重大项目选址、基础设施布局及其资源利用的环境合理性。</w:t>
      </w:r>
    </w:p>
    <w:p>
      <w:pPr>
        <w:ind w:firstLine="480"/>
        <w:rPr>
          <w:highlight w:val="none"/>
        </w:rPr>
      </w:pPr>
      <w:r>
        <w:rPr>
          <w:rFonts w:hint="eastAsia"/>
          <w:highlight w:val="none"/>
        </w:rPr>
        <w:t>（4）预测规划实施对区域资源、环境等要素的影响范围和程度，评价规划实施后当地的环境变化趋势和可能引发的环境风险；特别是涉及资源、环境问题的有关政策、发展战略等所面临的环境问题。</w:t>
      </w:r>
    </w:p>
    <w:p>
      <w:pPr>
        <w:ind w:firstLine="480"/>
        <w:rPr>
          <w:highlight w:val="none"/>
        </w:rPr>
      </w:pPr>
      <w:r>
        <w:rPr>
          <w:rFonts w:hint="eastAsia"/>
          <w:highlight w:val="none"/>
        </w:rPr>
        <w:t>（5）根据区域主要污染物的类型、排放总量、主要污染源的分布以及污染物处置设施的处理能力等，分析规划确定的环境保护对策、措施及技术的合理性；分析规划环境目标的可达性与合理性。</w:t>
      </w:r>
    </w:p>
    <w:p>
      <w:pPr>
        <w:adjustRightInd w:val="0"/>
        <w:snapToGrid w:val="0"/>
        <w:ind w:firstLine="480"/>
        <w:rPr>
          <w:highlight w:val="none"/>
        </w:rPr>
      </w:pPr>
      <w:r>
        <w:rPr>
          <w:rFonts w:hint="eastAsia"/>
          <w:highlight w:val="none"/>
        </w:rPr>
        <w:t>（6）提出规划优化调整建议及不良环境影响的减缓措施，从而保障区域可持续发展。</w:t>
      </w:r>
    </w:p>
    <w:p>
      <w:pPr>
        <w:pStyle w:val="4"/>
        <w:rPr>
          <w:highlight w:val="none"/>
        </w:rPr>
      </w:pPr>
      <w:r>
        <w:rPr>
          <w:rFonts w:hint="eastAsia"/>
          <w:highlight w:val="none"/>
        </w:rPr>
        <w:t>评价原则</w:t>
      </w:r>
    </w:p>
    <w:p>
      <w:pPr>
        <w:pStyle w:val="89"/>
        <w:ind w:firstLine="482"/>
        <w:rPr>
          <w:b/>
          <w:bCs w:val="0"/>
          <w:highlight w:val="none"/>
        </w:rPr>
      </w:pPr>
      <w:r>
        <w:rPr>
          <w:rFonts w:hint="eastAsia"/>
          <w:b/>
          <w:bCs w:val="0"/>
          <w:highlight w:val="none"/>
        </w:rPr>
        <w:t>1、全程互动</w:t>
      </w:r>
    </w:p>
    <w:p>
      <w:pPr>
        <w:pStyle w:val="89"/>
        <w:ind w:firstLine="480"/>
        <w:rPr>
          <w:highlight w:val="none"/>
        </w:rPr>
      </w:pPr>
      <w:r>
        <w:rPr>
          <w:rFonts w:hint="eastAsia"/>
          <w:highlight w:val="none"/>
        </w:rPr>
        <w:t>评价应在规划编制的早期阶段介入，并全程互动，确定公众参与及会商对象，吸纳各方意见，优化规划。</w:t>
      </w:r>
    </w:p>
    <w:p>
      <w:pPr>
        <w:pStyle w:val="89"/>
        <w:ind w:firstLine="482"/>
        <w:rPr>
          <w:b/>
          <w:bCs w:val="0"/>
          <w:highlight w:val="none"/>
        </w:rPr>
      </w:pPr>
      <w:r>
        <w:rPr>
          <w:rFonts w:hint="eastAsia"/>
          <w:b/>
          <w:bCs w:val="0"/>
          <w:highlight w:val="none"/>
        </w:rPr>
        <w:t>2、统筹协调</w:t>
      </w:r>
    </w:p>
    <w:p>
      <w:pPr>
        <w:pStyle w:val="89"/>
        <w:ind w:firstLine="480"/>
        <w:rPr>
          <w:highlight w:val="none"/>
        </w:rPr>
      </w:pPr>
      <w:r>
        <w:rPr>
          <w:rFonts w:hint="eastAsia"/>
          <w:highlight w:val="none"/>
        </w:rPr>
        <w:t>协调好产业发展与区域、产业园区环境保护关系，统筹产业园区减污降碳协同共治、资源集约节约及循环化利用、能源智慧高效利用、环境风险防控等重大事项，引导产业园区生态化、低碳化、绿色化发展。</w:t>
      </w:r>
    </w:p>
    <w:p>
      <w:pPr>
        <w:pStyle w:val="89"/>
        <w:ind w:firstLine="482"/>
        <w:rPr>
          <w:b/>
          <w:bCs w:val="0"/>
          <w:highlight w:val="none"/>
        </w:rPr>
      </w:pPr>
      <w:r>
        <w:rPr>
          <w:b/>
          <w:bCs w:val="0"/>
          <w:highlight w:val="none"/>
        </w:rPr>
        <w:t>3</w:t>
      </w:r>
      <w:r>
        <w:rPr>
          <w:rFonts w:hint="eastAsia"/>
          <w:b/>
          <w:bCs w:val="0"/>
          <w:highlight w:val="none"/>
        </w:rPr>
        <w:t>、协同联动</w:t>
      </w:r>
    </w:p>
    <w:p>
      <w:pPr>
        <w:pStyle w:val="89"/>
        <w:ind w:firstLine="480"/>
        <w:rPr>
          <w:highlight w:val="none"/>
        </w:rPr>
      </w:pPr>
      <w:r>
        <w:rPr>
          <w:rFonts w:hint="eastAsia"/>
          <w:highlight w:val="none"/>
        </w:rPr>
        <w:t xml:space="preserve">衔接区域生态环境分区管控成果，细化产业园区环境准入，指导建设项目环境准入及其环境影响评价内容简化，实现区域、产业园区、建设项目环境影响评价的系统衔接和协同管理。 </w:t>
      </w:r>
    </w:p>
    <w:p>
      <w:pPr>
        <w:pStyle w:val="89"/>
        <w:ind w:firstLine="482"/>
        <w:rPr>
          <w:b/>
          <w:bCs w:val="0"/>
          <w:highlight w:val="none"/>
        </w:rPr>
      </w:pPr>
      <w:r>
        <w:rPr>
          <w:rFonts w:hint="eastAsia"/>
          <w:b/>
          <w:bCs w:val="0"/>
          <w:highlight w:val="none"/>
        </w:rPr>
        <w:t>4、突出重点</w:t>
      </w:r>
    </w:p>
    <w:p>
      <w:pPr>
        <w:pStyle w:val="89"/>
        <w:ind w:firstLine="480"/>
        <w:rPr>
          <w:highlight w:val="none"/>
        </w:rPr>
      </w:pPr>
      <w:r>
        <w:rPr>
          <w:rFonts w:hint="eastAsia"/>
          <w:highlight w:val="none"/>
        </w:rPr>
        <w:t>立足规划方案重点和特点以及区域资源生态环境特征，充分利用区域空间生态环境评价的数据资料及成果，对规划实施的主要影响进行分析评价，并重点关注制约区域生态环境改善的主要环境影响因子和重大环境风险因子。</w:t>
      </w:r>
    </w:p>
    <w:p>
      <w:pPr>
        <w:pStyle w:val="3"/>
        <w:ind w:left="300" w:hanging="300"/>
        <w:rPr>
          <w:highlight w:val="none"/>
        </w:rPr>
      </w:pPr>
      <w:bookmarkStart w:id="3" w:name="_Toc154518125"/>
      <w:r>
        <w:rPr>
          <w:rFonts w:hint="eastAsia"/>
          <w:highlight w:val="none"/>
        </w:rPr>
        <w:t>编制依据</w:t>
      </w:r>
      <w:bookmarkEnd w:id="3"/>
    </w:p>
    <w:p>
      <w:pPr>
        <w:pStyle w:val="4"/>
        <w:rPr>
          <w:highlight w:val="none"/>
        </w:rPr>
      </w:pPr>
      <w:r>
        <w:rPr>
          <w:rFonts w:hint="eastAsia"/>
          <w:highlight w:val="none"/>
        </w:rPr>
        <w:t>国家环境保护法律、法规及政策文件</w:t>
      </w:r>
    </w:p>
    <w:p>
      <w:pPr>
        <w:numPr>
          <w:ilvl w:val="0"/>
          <w:numId w:val="2"/>
        </w:numPr>
        <w:adjustRightInd w:val="0"/>
        <w:snapToGrid w:val="0"/>
        <w:ind w:firstLine="480"/>
        <w:rPr>
          <w:highlight w:val="none"/>
        </w:rPr>
      </w:pPr>
      <w:r>
        <w:rPr>
          <w:highlight w:val="none"/>
        </w:rPr>
        <w:t>《中华人民共和国环境保护法》</w:t>
      </w:r>
      <w:r>
        <w:rPr>
          <w:rFonts w:hint="eastAsia"/>
          <w:highlight w:val="none"/>
        </w:rPr>
        <w:t>，</w:t>
      </w:r>
      <w:r>
        <w:rPr>
          <w:highlight w:val="none"/>
        </w:rPr>
        <w:t>2015年1月1日</w:t>
      </w:r>
      <w:r>
        <w:rPr>
          <w:rFonts w:hint="eastAsia"/>
          <w:highlight w:val="none"/>
        </w:rPr>
        <w:t>起施行</w:t>
      </w:r>
      <w:r>
        <w:rPr>
          <w:highlight w:val="none"/>
        </w:rPr>
        <w:t>；</w:t>
      </w:r>
    </w:p>
    <w:p>
      <w:pPr>
        <w:numPr>
          <w:ilvl w:val="0"/>
          <w:numId w:val="2"/>
        </w:numPr>
        <w:adjustRightInd w:val="0"/>
        <w:snapToGrid w:val="0"/>
        <w:ind w:firstLine="480"/>
        <w:rPr>
          <w:highlight w:val="none"/>
        </w:rPr>
      </w:pPr>
      <w:r>
        <w:rPr>
          <w:highlight w:val="none"/>
        </w:rPr>
        <w:t>《中华人民共和国环境影响评价法》</w:t>
      </w:r>
      <w:r>
        <w:rPr>
          <w:rFonts w:hint="eastAsia"/>
          <w:highlight w:val="none"/>
        </w:rPr>
        <w:t>，2003年9月1日起施行，2018年12月29日修订</w:t>
      </w:r>
      <w:r>
        <w:rPr>
          <w:highlight w:val="none"/>
        </w:rPr>
        <w:t>；</w:t>
      </w:r>
    </w:p>
    <w:p>
      <w:pPr>
        <w:numPr>
          <w:ilvl w:val="0"/>
          <w:numId w:val="2"/>
        </w:numPr>
        <w:adjustRightInd w:val="0"/>
        <w:snapToGrid w:val="0"/>
        <w:ind w:firstLine="480"/>
        <w:rPr>
          <w:highlight w:val="none"/>
        </w:rPr>
      </w:pPr>
      <w:r>
        <w:rPr>
          <w:highlight w:val="none"/>
        </w:rPr>
        <w:t>《中华人民共和国大气污染防治法》</w:t>
      </w:r>
      <w:r>
        <w:rPr>
          <w:rFonts w:hint="eastAsia"/>
          <w:highlight w:val="none"/>
        </w:rPr>
        <w:t>，2016年1月1日起施行，2018年10月26日修订</w:t>
      </w:r>
      <w:r>
        <w:rPr>
          <w:highlight w:val="none"/>
        </w:rPr>
        <w:t>；</w:t>
      </w:r>
    </w:p>
    <w:p>
      <w:pPr>
        <w:numPr>
          <w:ilvl w:val="0"/>
          <w:numId w:val="2"/>
        </w:numPr>
        <w:adjustRightInd w:val="0"/>
        <w:snapToGrid w:val="0"/>
        <w:ind w:firstLine="480"/>
        <w:rPr>
          <w:highlight w:val="none"/>
        </w:rPr>
      </w:pPr>
      <w:r>
        <w:rPr>
          <w:highlight w:val="none"/>
        </w:rPr>
        <w:t>《中华人民共和国水污染防治法》，</w:t>
      </w:r>
      <w:r>
        <w:rPr>
          <w:rFonts w:hint="eastAsia"/>
          <w:highlight w:val="none"/>
        </w:rPr>
        <w:t>2008年6月1日起施行，2017年6月27日修订</w:t>
      </w:r>
      <w:r>
        <w:rPr>
          <w:highlight w:val="none"/>
        </w:rPr>
        <w:t xml:space="preserve">； </w:t>
      </w:r>
    </w:p>
    <w:p>
      <w:pPr>
        <w:numPr>
          <w:ilvl w:val="0"/>
          <w:numId w:val="2"/>
        </w:numPr>
        <w:adjustRightInd w:val="0"/>
        <w:snapToGrid w:val="0"/>
        <w:ind w:firstLine="480"/>
        <w:rPr>
          <w:rFonts w:cs="Times New Roman"/>
          <w:highlight w:val="none"/>
        </w:rPr>
      </w:pPr>
      <w:r>
        <w:rPr>
          <w:rFonts w:cs="Times New Roman"/>
          <w:highlight w:val="none"/>
        </w:rPr>
        <w:t>《中华人民共和国固体废物污染环境防治法》，</w:t>
      </w:r>
      <w:r>
        <w:rPr>
          <w:rFonts w:eastAsia="宋体" w:cs="Times New Roman"/>
          <w:kern w:val="0"/>
          <w:szCs w:val="24"/>
          <w:highlight w:val="none"/>
        </w:rPr>
        <w:t>2020年4月29日修订，2020年9月1日起施行</w:t>
      </w:r>
      <w:r>
        <w:rPr>
          <w:rFonts w:cs="Times New Roman"/>
          <w:highlight w:val="none"/>
        </w:rPr>
        <w:t>；</w:t>
      </w:r>
    </w:p>
    <w:p>
      <w:pPr>
        <w:numPr>
          <w:ilvl w:val="0"/>
          <w:numId w:val="2"/>
        </w:numPr>
        <w:adjustRightInd w:val="0"/>
        <w:snapToGrid w:val="0"/>
        <w:ind w:firstLine="480"/>
        <w:rPr>
          <w:highlight w:val="none"/>
        </w:rPr>
      </w:pPr>
      <w:r>
        <w:rPr>
          <w:highlight w:val="none"/>
        </w:rPr>
        <w:t>《中华人民共和国噪声污染防治法》</w:t>
      </w:r>
      <w:r>
        <w:rPr>
          <w:rFonts w:hint="eastAsia"/>
          <w:highlight w:val="none"/>
        </w:rPr>
        <w:t>，2022年6月5日起施行</w:t>
      </w:r>
      <w:r>
        <w:rPr>
          <w:highlight w:val="none"/>
        </w:rPr>
        <w:t>；</w:t>
      </w:r>
    </w:p>
    <w:p>
      <w:pPr>
        <w:numPr>
          <w:ilvl w:val="0"/>
          <w:numId w:val="2"/>
        </w:numPr>
        <w:adjustRightInd w:val="0"/>
        <w:snapToGrid w:val="0"/>
        <w:ind w:firstLine="480"/>
        <w:rPr>
          <w:highlight w:val="none"/>
        </w:rPr>
      </w:pPr>
      <w:r>
        <w:rPr>
          <w:highlight w:val="none"/>
        </w:rPr>
        <w:t>《中华人民共和国土壤污染防治法》，2019年1月1日起施行；</w:t>
      </w:r>
    </w:p>
    <w:p>
      <w:pPr>
        <w:numPr>
          <w:ilvl w:val="0"/>
          <w:numId w:val="2"/>
        </w:numPr>
        <w:adjustRightInd w:val="0"/>
        <w:snapToGrid w:val="0"/>
        <w:ind w:firstLine="480"/>
        <w:rPr>
          <w:highlight w:val="none"/>
        </w:rPr>
      </w:pPr>
      <w:r>
        <w:rPr>
          <w:highlight w:val="none"/>
        </w:rPr>
        <w:t>《中华人民共和国城乡规划法》</w:t>
      </w:r>
      <w:r>
        <w:rPr>
          <w:rFonts w:hint="eastAsia"/>
          <w:highlight w:val="none"/>
        </w:rPr>
        <w:t>，</w:t>
      </w:r>
      <w:r>
        <w:rPr>
          <w:highlight w:val="none"/>
        </w:rPr>
        <w:t>2008年1月1日实施</w:t>
      </w:r>
      <w:r>
        <w:rPr>
          <w:rFonts w:hint="eastAsia"/>
          <w:highlight w:val="none"/>
        </w:rPr>
        <w:t>，2019年4月23日修订；</w:t>
      </w:r>
    </w:p>
    <w:p>
      <w:pPr>
        <w:numPr>
          <w:ilvl w:val="0"/>
          <w:numId w:val="2"/>
        </w:numPr>
        <w:adjustRightInd w:val="0"/>
        <w:snapToGrid w:val="0"/>
        <w:ind w:firstLine="480"/>
        <w:rPr>
          <w:highlight w:val="none"/>
        </w:rPr>
      </w:pPr>
      <w:r>
        <w:rPr>
          <w:highlight w:val="none"/>
        </w:rPr>
        <w:t>《中华人民共和国土地管理法》，</w:t>
      </w:r>
      <w:r>
        <w:rPr>
          <w:rFonts w:hint="eastAsia"/>
          <w:highlight w:val="none"/>
        </w:rPr>
        <w:t>1999年1月1日起施行，2019年8月26日修订；</w:t>
      </w:r>
    </w:p>
    <w:p>
      <w:pPr>
        <w:numPr>
          <w:ilvl w:val="0"/>
          <w:numId w:val="2"/>
        </w:numPr>
        <w:adjustRightInd w:val="0"/>
        <w:snapToGrid w:val="0"/>
        <w:ind w:firstLine="480"/>
        <w:rPr>
          <w:highlight w:val="none"/>
        </w:rPr>
      </w:pPr>
      <w:r>
        <w:rPr>
          <w:highlight w:val="none"/>
        </w:rPr>
        <w:t>《中华人民共和国水法》</w:t>
      </w:r>
      <w:r>
        <w:rPr>
          <w:rFonts w:hint="eastAsia"/>
          <w:highlight w:val="none"/>
        </w:rPr>
        <w:t>，</w:t>
      </w:r>
      <w:r>
        <w:rPr>
          <w:highlight w:val="none"/>
        </w:rPr>
        <w:t>2002年10月1日</w:t>
      </w:r>
      <w:r>
        <w:rPr>
          <w:rFonts w:hint="eastAsia"/>
          <w:highlight w:val="none"/>
        </w:rPr>
        <w:t>起施行，2016年7月2日修订</w:t>
      </w:r>
      <w:r>
        <w:rPr>
          <w:highlight w:val="none"/>
        </w:rPr>
        <w:t>；</w:t>
      </w:r>
    </w:p>
    <w:p>
      <w:pPr>
        <w:numPr>
          <w:ilvl w:val="0"/>
          <w:numId w:val="2"/>
        </w:numPr>
        <w:adjustRightInd w:val="0"/>
        <w:snapToGrid w:val="0"/>
        <w:ind w:firstLine="480"/>
        <w:rPr>
          <w:highlight w:val="none"/>
        </w:rPr>
      </w:pPr>
      <w:r>
        <w:rPr>
          <w:highlight w:val="none"/>
        </w:rPr>
        <w:t>《中华人民共和国水土</w:t>
      </w:r>
      <w:r>
        <w:rPr>
          <w:rFonts w:hint="eastAsia"/>
          <w:highlight w:val="none"/>
        </w:rPr>
        <w:t>保持法</w:t>
      </w:r>
      <w:r>
        <w:rPr>
          <w:highlight w:val="none"/>
        </w:rPr>
        <w:t>》</w:t>
      </w:r>
      <w:r>
        <w:rPr>
          <w:rFonts w:hint="eastAsia"/>
          <w:highlight w:val="none"/>
        </w:rPr>
        <w:t>，2011年3月1日起施行</w:t>
      </w:r>
      <w:r>
        <w:rPr>
          <w:highlight w:val="none"/>
        </w:rPr>
        <w:t>；</w:t>
      </w:r>
    </w:p>
    <w:p>
      <w:pPr>
        <w:numPr>
          <w:ilvl w:val="0"/>
          <w:numId w:val="2"/>
        </w:numPr>
        <w:adjustRightInd w:val="0"/>
        <w:snapToGrid w:val="0"/>
        <w:ind w:firstLine="480"/>
        <w:rPr>
          <w:highlight w:val="none"/>
        </w:rPr>
      </w:pPr>
      <w:r>
        <w:rPr>
          <w:highlight w:val="none"/>
        </w:rPr>
        <w:t>《中华人民共和国清洁生产促进法》</w:t>
      </w:r>
      <w:r>
        <w:rPr>
          <w:rFonts w:hint="eastAsia"/>
          <w:highlight w:val="none"/>
        </w:rPr>
        <w:t>，2012年7月1日起施行</w:t>
      </w:r>
      <w:r>
        <w:rPr>
          <w:highlight w:val="none"/>
        </w:rPr>
        <w:t>；</w:t>
      </w:r>
    </w:p>
    <w:p>
      <w:pPr>
        <w:numPr>
          <w:ilvl w:val="0"/>
          <w:numId w:val="2"/>
        </w:numPr>
        <w:adjustRightInd w:val="0"/>
        <w:snapToGrid w:val="0"/>
        <w:ind w:firstLine="480"/>
        <w:rPr>
          <w:highlight w:val="none"/>
        </w:rPr>
      </w:pPr>
      <w:r>
        <w:rPr>
          <w:highlight w:val="none"/>
        </w:rPr>
        <w:t>《中华人民共和国循环经济促进法》，</w:t>
      </w:r>
      <w:r>
        <w:rPr>
          <w:rFonts w:hint="eastAsia"/>
          <w:highlight w:val="none"/>
        </w:rPr>
        <w:t>2009年1月1日起施行，</w:t>
      </w:r>
      <w:r>
        <w:rPr>
          <w:highlight w:val="none"/>
        </w:rPr>
        <w:t>2018年10月26日修正；</w:t>
      </w:r>
    </w:p>
    <w:p>
      <w:pPr>
        <w:numPr>
          <w:ilvl w:val="0"/>
          <w:numId w:val="2"/>
        </w:numPr>
        <w:adjustRightInd w:val="0"/>
        <w:snapToGrid w:val="0"/>
        <w:ind w:firstLine="480"/>
        <w:rPr>
          <w:highlight w:val="none"/>
        </w:rPr>
      </w:pPr>
      <w:r>
        <w:rPr>
          <w:highlight w:val="none"/>
        </w:rPr>
        <w:t>《中华人民共和国节约能源法》，</w:t>
      </w:r>
      <w:r>
        <w:rPr>
          <w:rFonts w:hint="eastAsia"/>
          <w:highlight w:val="none"/>
        </w:rPr>
        <w:t>2008年4月1日起施行，</w:t>
      </w:r>
      <w:r>
        <w:rPr>
          <w:highlight w:val="none"/>
        </w:rPr>
        <w:t>2018年10月26日修正；</w:t>
      </w:r>
    </w:p>
    <w:p>
      <w:pPr>
        <w:numPr>
          <w:ilvl w:val="0"/>
          <w:numId w:val="2"/>
        </w:numPr>
        <w:adjustRightInd w:val="0"/>
        <w:snapToGrid w:val="0"/>
        <w:ind w:firstLine="480"/>
        <w:rPr>
          <w:highlight w:val="none"/>
        </w:rPr>
      </w:pPr>
      <w:r>
        <w:rPr>
          <w:rFonts w:hint="eastAsia"/>
          <w:highlight w:val="none"/>
        </w:rPr>
        <w:t>《关于印发大气污染防治行动计划的通知》（国发〔2013〕37号）；</w:t>
      </w:r>
    </w:p>
    <w:p>
      <w:pPr>
        <w:numPr>
          <w:ilvl w:val="0"/>
          <w:numId w:val="2"/>
        </w:numPr>
        <w:adjustRightInd w:val="0"/>
        <w:snapToGrid w:val="0"/>
        <w:ind w:firstLine="480"/>
        <w:rPr>
          <w:highlight w:val="none"/>
        </w:rPr>
      </w:pPr>
      <w:r>
        <w:rPr>
          <w:rFonts w:hint="eastAsia"/>
          <w:highlight w:val="none"/>
        </w:rPr>
        <w:t>《关于印发水污染防治行动计划的通知》（国发〔2015〕17号）；</w:t>
      </w:r>
    </w:p>
    <w:p>
      <w:pPr>
        <w:numPr>
          <w:ilvl w:val="0"/>
          <w:numId w:val="2"/>
        </w:numPr>
        <w:adjustRightInd w:val="0"/>
        <w:snapToGrid w:val="0"/>
        <w:ind w:firstLine="480"/>
        <w:rPr>
          <w:highlight w:val="none"/>
        </w:rPr>
      </w:pPr>
      <w:r>
        <w:rPr>
          <w:rFonts w:hint="eastAsia"/>
          <w:highlight w:val="none"/>
        </w:rPr>
        <w:t>《关于印发土壤污染防治行动计划的通知》（国发〔2016〕31号）；</w:t>
      </w:r>
    </w:p>
    <w:p>
      <w:pPr>
        <w:numPr>
          <w:ilvl w:val="0"/>
          <w:numId w:val="2"/>
        </w:numPr>
        <w:adjustRightInd w:val="0"/>
        <w:snapToGrid w:val="0"/>
        <w:ind w:firstLine="480"/>
        <w:rPr>
          <w:highlight w:val="none"/>
        </w:rPr>
      </w:pPr>
      <w:r>
        <w:rPr>
          <w:highlight w:val="none"/>
        </w:rPr>
        <w:t>《规划环境影响评价条例》</w:t>
      </w:r>
      <w:r>
        <w:rPr>
          <w:rFonts w:hint="eastAsia"/>
          <w:highlight w:val="none"/>
        </w:rPr>
        <w:t>（</w:t>
      </w:r>
      <w:r>
        <w:rPr>
          <w:highlight w:val="none"/>
        </w:rPr>
        <w:t>国务院令559号</w:t>
      </w:r>
      <w:r>
        <w:rPr>
          <w:rFonts w:hint="eastAsia"/>
          <w:highlight w:val="none"/>
        </w:rPr>
        <w:t>）</w:t>
      </w:r>
      <w:r>
        <w:rPr>
          <w:highlight w:val="none"/>
        </w:rPr>
        <w:t>，2009年10月1日起施行；</w:t>
      </w:r>
    </w:p>
    <w:p>
      <w:pPr>
        <w:pStyle w:val="90"/>
        <w:numPr>
          <w:ilvl w:val="0"/>
          <w:numId w:val="2"/>
        </w:numPr>
        <w:ind w:firstLineChars="0"/>
        <w:rPr>
          <w:highlight w:val="none"/>
        </w:rPr>
      </w:pPr>
      <w:r>
        <w:rPr>
          <w:highlight w:val="none"/>
        </w:rPr>
        <w:t>《建设项目环境保护管理条例》（国务院令第253号</w:t>
      </w:r>
      <w:r>
        <w:rPr>
          <w:rFonts w:hint="eastAsia"/>
          <w:highlight w:val="none"/>
        </w:rPr>
        <w:t>），</w:t>
      </w:r>
      <w:r>
        <w:rPr>
          <w:highlight w:val="none"/>
        </w:rPr>
        <w:t>自2017年10月1日起施行；</w:t>
      </w:r>
    </w:p>
    <w:p>
      <w:pPr>
        <w:pStyle w:val="90"/>
        <w:numPr>
          <w:ilvl w:val="0"/>
          <w:numId w:val="2"/>
        </w:numPr>
        <w:ind w:firstLineChars="0"/>
        <w:rPr>
          <w:highlight w:val="none"/>
        </w:rPr>
      </w:pPr>
      <w:r>
        <w:rPr>
          <w:highlight w:val="none"/>
        </w:rPr>
        <w:t>《基本农田保护条例》</w:t>
      </w:r>
      <w:r>
        <w:rPr>
          <w:rFonts w:hint="eastAsia"/>
          <w:highlight w:val="none"/>
        </w:rPr>
        <w:t>（</w:t>
      </w:r>
      <w:r>
        <w:rPr>
          <w:highlight w:val="none"/>
        </w:rPr>
        <w:t>国务院令257号</w:t>
      </w:r>
      <w:r>
        <w:rPr>
          <w:rFonts w:hint="eastAsia"/>
          <w:highlight w:val="none"/>
        </w:rPr>
        <w:t>，国务院令2013年 第638号）</w:t>
      </w:r>
      <w:r>
        <w:rPr>
          <w:highlight w:val="none"/>
        </w:rPr>
        <w:t>，</w:t>
      </w:r>
      <w:r>
        <w:rPr>
          <w:rFonts w:hint="eastAsia"/>
          <w:highlight w:val="none"/>
        </w:rPr>
        <w:t>1</w:t>
      </w:r>
      <w:r>
        <w:rPr>
          <w:highlight w:val="none"/>
        </w:rPr>
        <w:t>991</w:t>
      </w:r>
      <w:r>
        <w:rPr>
          <w:rFonts w:hint="eastAsia"/>
          <w:highlight w:val="none"/>
        </w:rPr>
        <w:t>年1月1日起施行，</w:t>
      </w:r>
      <w:r>
        <w:rPr>
          <w:highlight w:val="none"/>
        </w:rPr>
        <w:t>2011年1月8日修订；</w:t>
      </w:r>
    </w:p>
    <w:p>
      <w:pPr>
        <w:pStyle w:val="90"/>
        <w:numPr>
          <w:ilvl w:val="0"/>
          <w:numId w:val="2"/>
        </w:numPr>
        <w:ind w:firstLineChars="0"/>
        <w:rPr>
          <w:highlight w:val="none"/>
        </w:rPr>
      </w:pPr>
      <w:r>
        <w:rPr>
          <w:highlight w:val="none"/>
        </w:rPr>
        <w:t>《排污许可管理条例》</w:t>
      </w:r>
      <w:r>
        <w:rPr>
          <w:rFonts w:hint="eastAsia"/>
          <w:highlight w:val="none"/>
        </w:rPr>
        <w:t>（</w:t>
      </w:r>
      <w:r>
        <w:rPr>
          <w:highlight w:val="none"/>
        </w:rPr>
        <w:t>国务院令第736号</w:t>
      </w:r>
      <w:r>
        <w:rPr>
          <w:rFonts w:hint="eastAsia"/>
          <w:highlight w:val="none"/>
        </w:rPr>
        <w:t>）</w:t>
      </w:r>
      <w:r>
        <w:rPr>
          <w:highlight w:val="none"/>
        </w:rPr>
        <w:t>，2021年3月1日起施行；</w:t>
      </w:r>
    </w:p>
    <w:p>
      <w:pPr>
        <w:pStyle w:val="90"/>
        <w:numPr>
          <w:ilvl w:val="0"/>
          <w:numId w:val="2"/>
        </w:numPr>
        <w:ind w:firstLineChars="0"/>
        <w:rPr>
          <w:highlight w:val="none"/>
        </w:rPr>
      </w:pPr>
      <w:r>
        <w:rPr>
          <w:rFonts w:hint="eastAsia"/>
          <w:highlight w:val="none"/>
        </w:rPr>
        <w:t>《排污许可管理办法（试行）》（部令 第48号），</w:t>
      </w:r>
      <w:r>
        <w:rPr>
          <w:szCs w:val="28"/>
          <w:highlight w:val="none"/>
        </w:rPr>
        <w:t>2018年1月10日</w:t>
      </w:r>
      <w:r>
        <w:rPr>
          <w:rFonts w:hint="eastAsia"/>
          <w:szCs w:val="28"/>
          <w:highlight w:val="none"/>
        </w:rPr>
        <w:t>施行，</w:t>
      </w:r>
      <w:r>
        <w:rPr>
          <w:rFonts w:hint="eastAsia"/>
          <w:highlight w:val="none"/>
        </w:rPr>
        <w:t>2019年8月月22日修订；</w:t>
      </w:r>
    </w:p>
    <w:p>
      <w:pPr>
        <w:pStyle w:val="90"/>
        <w:numPr>
          <w:ilvl w:val="0"/>
          <w:numId w:val="2"/>
        </w:numPr>
        <w:ind w:firstLineChars="0"/>
        <w:rPr>
          <w:highlight w:val="none"/>
        </w:rPr>
      </w:pPr>
      <w:r>
        <w:rPr>
          <w:highlight w:val="none"/>
        </w:rPr>
        <w:t>《关于划定并严守生态保护红线的若干意见》</w:t>
      </w:r>
      <w:r>
        <w:rPr>
          <w:rFonts w:hint="eastAsia"/>
          <w:highlight w:val="none"/>
        </w:rPr>
        <w:t>（厅字〔2017〕2号）</w:t>
      </w:r>
      <w:r>
        <w:rPr>
          <w:highlight w:val="none"/>
        </w:rPr>
        <w:t>，2017年2月7日起施行；</w:t>
      </w:r>
    </w:p>
    <w:p>
      <w:pPr>
        <w:pStyle w:val="90"/>
        <w:numPr>
          <w:ilvl w:val="0"/>
          <w:numId w:val="2"/>
        </w:numPr>
        <w:ind w:firstLineChars="0"/>
        <w:rPr>
          <w:highlight w:val="none"/>
        </w:rPr>
      </w:pPr>
      <w:r>
        <w:rPr>
          <w:highlight w:val="none"/>
        </w:rPr>
        <w:t>中共中央办公厅</w:t>
      </w:r>
      <w:r>
        <w:rPr>
          <w:rFonts w:hint="eastAsia"/>
          <w:highlight w:val="none"/>
        </w:rPr>
        <w:t xml:space="preserve"> </w:t>
      </w:r>
      <w:r>
        <w:rPr>
          <w:highlight w:val="none"/>
        </w:rPr>
        <w:t>国务院办公厅印发《关于构建现代环境治理体系的指导意见》，2020年3月3日起施行；</w:t>
      </w:r>
    </w:p>
    <w:p>
      <w:pPr>
        <w:pStyle w:val="90"/>
        <w:numPr>
          <w:ilvl w:val="0"/>
          <w:numId w:val="2"/>
        </w:numPr>
        <w:ind w:firstLineChars="0"/>
        <w:rPr>
          <w:highlight w:val="none"/>
        </w:rPr>
      </w:pPr>
      <w:r>
        <w:rPr>
          <w:rFonts w:hint="eastAsia"/>
          <w:highlight w:val="none"/>
        </w:rPr>
        <w:t>《</w:t>
      </w:r>
      <w:r>
        <w:rPr>
          <w:highlight w:val="none"/>
        </w:rPr>
        <w:t>关于印发强化危险废物监管和利用处置能力改革实施方案的通知</w:t>
      </w:r>
      <w:r>
        <w:rPr>
          <w:rFonts w:hint="eastAsia"/>
          <w:highlight w:val="none"/>
        </w:rPr>
        <w:t>》（</w:t>
      </w:r>
      <w:r>
        <w:rPr>
          <w:highlight w:val="none"/>
        </w:rPr>
        <w:t>国办函</w:t>
      </w:r>
      <w:r>
        <w:rPr>
          <w:rFonts w:hint="eastAsia"/>
          <w:highlight w:val="none"/>
        </w:rPr>
        <w:t>〔2021〕</w:t>
      </w:r>
      <w:r>
        <w:rPr>
          <w:highlight w:val="none"/>
        </w:rPr>
        <w:t>47号</w:t>
      </w:r>
      <w:r>
        <w:rPr>
          <w:rFonts w:hint="eastAsia"/>
          <w:highlight w:val="none"/>
        </w:rPr>
        <w:t>）</w:t>
      </w:r>
      <w:r>
        <w:rPr>
          <w:highlight w:val="none"/>
        </w:rPr>
        <w:t>；</w:t>
      </w:r>
    </w:p>
    <w:p>
      <w:pPr>
        <w:pStyle w:val="90"/>
        <w:numPr>
          <w:ilvl w:val="0"/>
          <w:numId w:val="2"/>
        </w:numPr>
        <w:ind w:firstLineChars="0"/>
        <w:rPr>
          <w:highlight w:val="none"/>
        </w:rPr>
      </w:pPr>
      <w:r>
        <w:rPr>
          <w:rFonts w:hint="eastAsia"/>
          <w:highlight w:val="none"/>
        </w:rPr>
        <w:t>《关于印发&lt;规划环境影响跟踪评价技术指南（试行）&gt;的通知》（环办环评〔2019〕20号）；</w:t>
      </w:r>
    </w:p>
    <w:p>
      <w:pPr>
        <w:pStyle w:val="90"/>
        <w:numPr>
          <w:ilvl w:val="0"/>
          <w:numId w:val="2"/>
        </w:numPr>
        <w:ind w:firstLineChars="0"/>
        <w:rPr>
          <w:highlight w:val="none"/>
        </w:rPr>
      </w:pPr>
      <w:r>
        <w:rPr>
          <w:highlight w:val="none"/>
        </w:rPr>
        <w:t>《</w:t>
      </w:r>
      <w:r>
        <w:rPr>
          <w:rFonts w:hint="eastAsia"/>
          <w:highlight w:val="none"/>
        </w:rPr>
        <w:t>环境影响评价公众参与办法</w:t>
      </w:r>
      <w:r>
        <w:rPr>
          <w:highlight w:val="none"/>
        </w:rPr>
        <w:t>》（</w:t>
      </w:r>
      <w:r>
        <w:rPr>
          <w:rFonts w:hint="eastAsia"/>
          <w:highlight w:val="none"/>
        </w:rPr>
        <w:t>生态</w:t>
      </w:r>
      <w:r>
        <w:rPr>
          <w:highlight w:val="none"/>
        </w:rPr>
        <w:t>环境部令第</w:t>
      </w:r>
      <w:r>
        <w:rPr>
          <w:rFonts w:hint="eastAsia"/>
          <w:highlight w:val="none"/>
        </w:rPr>
        <w:t>4号</w:t>
      </w:r>
      <w:r>
        <w:rPr>
          <w:highlight w:val="none"/>
        </w:rPr>
        <w:t>，自2019年1月1日起施行）；</w:t>
      </w:r>
    </w:p>
    <w:p>
      <w:pPr>
        <w:pStyle w:val="90"/>
        <w:numPr>
          <w:ilvl w:val="0"/>
          <w:numId w:val="2"/>
        </w:numPr>
        <w:ind w:firstLineChars="0"/>
        <w:rPr>
          <w:highlight w:val="none"/>
        </w:rPr>
      </w:pPr>
      <w:r>
        <w:rPr>
          <w:highlight w:val="none"/>
        </w:rPr>
        <w:t>《突发环境事件应急管理办法》（环境保护部部令第34号），2015年6月5日起施行；</w:t>
      </w:r>
    </w:p>
    <w:p>
      <w:pPr>
        <w:pStyle w:val="90"/>
        <w:numPr>
          <w:ilvl w:val="0"/>
          <w:numId w:val="2"/>
        </w:numPr>
        <w:ind w:firstLineChars="0"/>
        <w:rPr>
          <w:highlight w:val="none"/>
        </w:rPr>
      </w:pPr>
      <w:r>
        <w:rPr>
          <w:highlight w:val="none"/>
        </w:rPr>
        <w:t>《关于进一步加强规划环境影响评价工作的通知》</w:t>
      </w:r>
      <w:r>
        <w:rPr>
          <w:rFonts w:hint="eastAsia"/>
          <w:highlight w:val="none"/>
        </w:rPr>
        <w:t>（</w:t>
      </w:r>
      <w:r>
        <w:rPr>
          <w:highlight w:val="none"/>
        </w:rPr>
        <w:t>环发</w:t>
      </w:r>
      <w:r>
        <w:rPr>
          <w:rFonts w:hint="eastAsia"/>
          <w:highlight w:val="none"/>
        </w:rPr>
        <w:t>〔201</w:t>
      </w:r>
      <w:r>
        <w:rPr>
          <w:highlight w:val="none"/>
        </w:rPr>
        <w:t>1</w:t>
      </w:r>
      <w:r>
        <w:rPr>
          <w:rFonts w:hint="eastAsia"/>
          <w:highlight w:val="none"/>
        </w:rPr>
        <w:t>〕</w:t>
      </w:r>
      <w:r>
        <w:rPr>
          <w:highlight w:val="none"/>
        </w:rPr>
        <w:t>99号</w:t>
      </w:r>
      <w:r>
        <w:rPr>
          <w:rFonts w:hint="eastAsia"/>
          <w:highlight w:val="none"/>
        </w:rPr>
        <w:t>）</w:t>
      </w:r>
      <w:r>
        <w:rPr>
          <w:highlight w:val="none"/>
        </w:rPr>
        <w:t>；</w:t>
      </w:r>
    </w:p>
    <w:p>
      <w:pPr>
        <w:pStyle w:val="90"/>
        <w:numPr>
          <w:ilvl w:val="0"/>
          <w:numId w:val="2"/>
        </w:numPr>
        <w:ind w:firstLineChars="0"/>
        <w:rPr>
          <w:highlight w:val="none"/>
        </w:rPr>
      </w:pPr>
      <w:r>
        <w:rPr>
          <w:rFonts w:hint="eastAsia"/>
          <w:highlight w:val="none"/>
        </w:rPr>
        <w:t>《关于加强规划环境影响评价与建设项目环境影响评价联动工作的意见》（环发〔2015〕178号）；</w:t>
      </w:r>
    </w:p>
    <w:p>
      <w:pPr>
        <w:pStyle w:val="90"/>
        <w:numPr>
          <w:ilvl w:val="0"/>
          <w:numId w:val="2"/>
        </w:numPr>
        <w:ind w:firstLineChars="0"/>
        <w:rPr>
          <w:highlight w:val="none"/>
        </w:rPr>
      </w:pPr>
      <w:r>
        <w:rPr>
          <w:rFonts w:hint="eastAsia"/>
          <w:highlight w:val="none"/>
        </w:rPr>
        <w:t>《关于开展规划环境影响评价会商的指导意见（试行）》（环发〔2015〕179号）；</w:t>
      </w:r>
    </w:p>
    <w:p>
      <w:pPr>
        <w:pStyle w:val="90"/>
        <w:numPr>
          <w:ilvl w:val="0"/>
          <w:numId w:val="2"/>
        </w:numPr>
        <w:ind w:firstLineChars="0"/>
        <w:rPr>
          <w:highlight w:val="none"/>
        </w:rPr>
      </w:pPr>
      <w:r>
        <w:rPr>
          <w:rFonts w:hint="eastAsia"/>
          <w:highlight w:val="none"/>
        </w:rPr>
        <w:t>《关于规划环境影响评价加强空间管制、总量管控和环境准入的指导意见（试行）》（环办环评〔201</w:t>
      </w:r>
      <w:r>
        <w:rPr>
          <w:highlight w:val="none"/>
        </w:rPr>
        <w:t>6</w:t>
      </w:r>
      <w:r>
        <w:rPr>
          <w:rFonts w:hint="eastAsia"/>
          <w:highlight w:val="none"/>
        </w:rPr>
        <w:t>〕14号）；</w:t>
      </w:r>
    </w:p>
    <w:p>
      <w:pPr>
        <w:pStyle w:val="90"/>
        <w:numPr>
          <w:ilvl w:val="0"/>
          <w:numId w:val="2"/>
        </w:numPr>
        <w:ind w:firstLineChars="0"/>
        <w:rPr>
          <w:highlight w:val="none"/>
        </w:rPr>
      </w:pPr>
      <w:r>
        <w:rPr>
          <w:rFonts w:hint="eastAsia"/>
          <w:highlight w:val="none"/>
        </w:rPr>
        <w:t>《关于以改善环境质量为核心加强环境影响评价管理的通知》（环环评〔201</w:t>
      </w:r>
      <w:r>
        <w:rPr>
          <w:highlight w:val="none"/>
        </w:rPr>
        <w:t>6</w:t>
      </w:r>
      <w:r>
        <w:rPr>
          <w:rFonts w:hint="eastAsia"/>
          <w:highlight w:val="none"/>
        </w:rPr>
        <w:t>〕150号）；</w:t>
      </w:r>
    </w:p>
    <w:p>
      <w:pPr>
        <w:pStyle w:val="90"/>
        <w:numPr>
          <w:ilvl w:val="0"/>
          <w:numId w:val="2"/>
        </w:numPr>
        <w:ind w:firstLineChars="0"/>
        <w:rPr>
          <w:highlight w:val="none"/>
        </w:rPr>
      </w:pPr>
      <w:r>
        <w:rPr>
          <w:rFonts w:hint="eastAsia"/>
          <w:highlight w:val="none"/>
        </w:rPr>
        <w:t>《关于进一步加强环境影响评价管理防范环境风险的通知》（环发〔2012〕77号）；</w:t>
      </w:r>
    </w:p>
    <w:p>
      <w:pPr>
        <w:pStyle w:val="90"/>
        <w:numPr>
          <w:ilvl w:val="0"/>
          <w:numId w:val="2"/>
        </w:numPr>
        <w:ind w:firstLineChars="0"/>
        <w:rPr>
          <w:highlight w:val="none"/>
        </w:rPr>
      </w:pPr>
      <w:r>
        <w:rPr>
          <w:rFonts w:hint="eastAsia"/>
          <w:highlight w:val="none"/>
        </w:rPr>
        <w:t>《关于切实加强风险防范严格环境影响评价管理的通知》（环发〔2012〕98号）；</w:t>
      </w:r>
    </w:p>
    <w:p>
      <w:pPr>
        <w:pStyle w:val="90"/>
        <w:numPr>
          <w:ilvl w:val="0"/>
          <w:numId w:val="2"/>
        </w:numPr>
        <w:ind w:firstLineChars="0"/>
        <w:rPr>
          <w:highlight w:val="none"/>
        </w:rPr>
      </w:pPr>
      <w:r>
        <w:rPr>
          <w:rFonts w:hint="eastAsia"/>
          <w:highlight w:val="none"/>
        </w:rPr>
        <w:t>《关于进一步加强产业园区规划环境影响评价工作的意见》（环环评〔2020〕65号）；</w:t>
      </w:r>
    </w:p>
    <w:p>
      <w:pPr>
        <w:pStyle w:val="90"/>
        <w:numPr>
          <w:ilvl w:val="0"/>
          <w:numId w:val="2"/>
        </w:numPr>
        <w:ind w:firstLineChars="0"/>
        <w:rPr>
          <w:highlight w:val="none"/>
        </w:rPr>
      </w:pPr>
      <w:r>
        <w:rPr>
          <w:rFonts w:hint="eastAsia"/>
          <w:highlight w:val="none"/>
        </w:rPr>
        <w:t>《</w:t>
      </w:r>
      <w:r>
        <w:rPr>
          <w:highlight w:val="none"/>
        </w:rPr>
        <w:t>关于进一步规范城镇（园区）污水处理环境管理的通知</w:t>
      </w:r>
      <w:r>
        <w:rPr>
          <w:rFonts w:hint="eastAsia"/>
          <w:highlight w:val="none"/>
        </w:rPr>
        <w:t>》（</w:t>
      </w:r>
      <w:r>
        <w:rPr>
          <w:highlight w:val="none"/>
        </w:rPr>
        <w:t>环水体</w:t>
      </w:r>
      <w:r>
        <w:rPr>
          <w:rFonts w:hint="eastAsia"/>
          <w:highlight w:val="none"/>
        </w:rPr>
        <w:t>〔</w:t>
      </w:r>
      <w:r>
        <w:rPr>
          <w:highlight w:val="none"/>
        </w:rPr>
        <w:t>2020</w:t>
      </w:r>
      <w:r>
        <w:rPr>
          <w:rFonts w:hint="eastAsia"/>
          <w:highlight w:val="none"/>
        </w:rPr>
        <w:t>〕</w:t>
      </w:r>
      <w:r>
        <w:rPr>
          <w:highlight w:val="none"/>
        </w:rPr>
        <w:t>71号</w:t>
      </w:r>
      <w:r>
        <w:rPr>
          <w:rFonts w:hint="eastAsia"/>
          <w:highlight w:val="none"/>
        </w:rPr>
        <w:t>）</w:t>
      </w:r>
      <w:r>
        <w:rPr>
          <w:highlight w:val="none"/>
        </w:rPr>
        <w:t>；</w:t>
      </w:r>
    </w:p>
    <w:p>
      <w:pPr>
        <w:pStyle w:val="90"/>
        <w:numPr>
          <w:ilvl w:val="0"/>
          <w:numId w:val="2"/>
        </w:numPr>
        <w:ind w:firstLineChars="0"/>
        <w:rPr>
          <w:highlight w:val="none"/>
        </w:rPr>
      </w:pPr>
      <w:r>
        <w:rPr>
          <w:rFonts w:hint="eastAsia"/>
          <w:highlight w:val="none"/>
        </w:rPr>
        <w:t>《关于推进污水资源化利用的指导意见》（发改环资〔2021〕13号）；</w:t>
      </w:r>
    </w:p>
    <w:p>
      <w:pPr>
        <w:pStyle w:val="90"/>
        <w:numPr>
          <w:ilvl w:val="0"/>
          <w:numId w:val="2"/>
        </w:numPr>
        <w:ind w:firstLineChars="0"/>
        <w:rPr>
          <w:highlight w:val="none"/>
        </w:rPr>
      </w:pPr>
      <w:r>
        <w:rPr>
          <w:highlight w:val="none"/>
        </w:rPr>
        <w:t>《产业结构调整指导目录（</w:t>
      </w:r>
      <w:r>
        <w:rPr>
          <w:rFonts w:hint="eastAsia"/>
          <w:highlight w:val="none"/>
        </w:rPr>
        <w:t>2019年本</w:t>
      </w:r>
      <w:r>
        <w:rPr>
          <w:highlight w:val="none"/>
        </w:rPr>
        <w:t>）》</w:t>
      </w:r>
      <w:r>
        <w:rPr>
          <w:rFonts w:hint="eastAsia"/>
          <w:szCs w:val="28"/>
          <w:highlight w:val="none"/>
        </w:rPr>
        <w:t>（2021修订版）</w:t>
      </w:r>
      <w:r>
        <w:rPr>
          <w:highlight w:val="none"/>
        </w:rPr>
        <w:t>；</w:t>
      </w:r>
    </w:p>
    <w:p>
      <w:pPr>
        <w:pStyle w:val="90"/>
        <w:numPr>
          <w:ilvl w:val="0"/>
          <w:numId w:val="2"/>
        </w:numPr>
        <w:ind w:firstLineChars="0"/>
        <w:rPr>
          <w:highlight w:val="none"/>
        </w:rPr>
      </w:pPr>
      <w:r>
        <w:rPr>
          <w:highlight w:val="none"/>
        </w:rPr>
        <w:t>《西部地区鼓励类产业目录（2020年本）》；</w:t>
      </w:r>
    </w:p>
    <w:p>
      <w:pPr>
        <w:pStyle w:val="90"/>
        <w:numPr>
          <w:ilvl w:val="0"/>
          <w:numId w:val="2"/>
        </w:numPr>
        <w:ind w:firstLineChars="0"/>
        <w:rPr>
          <w:highlight w:val="none"/>
        </w:rPr>
      </w:pPr>
      <w:r>
        <w:rPr>
          <w:rFonts w:hint="eastAsia"/>
          <w:highlight w:val="none"/>
        </w:rPr>
        <w:t>《鼓励外商投资产业目录（2022年版）》；</w:t>
      </w:r>
    </w:p>
    <w:p>
      <w:pPr>
        <w:pStyle w:val="90"/>
        <w:numPr>
          <w:ilvl w:val="0"/>
          <w:numId w:val="2"/>
        </w:numPr>
        <w:ind w:firstLineChars="0"/>
        <w:rPr>
          <w:highlight w:val="none"/>
        </w:rPr>
      </w:pPr>
      <w:r>
        <w:rPr>
          <w:highlight w:val="none"/>
        </w:rPr>
        <w:t>《建设项目环境影响评价分类管理名录</w:t>
      </w:r>
      <w:r>
        <w:rPr>
          <w:rFonts w:hint="eastAsia"/>
          <w:highlight w:val="none"/>
        </w:rPr>
        <w:t>（2</w:t>
      </w:r>
      <w:r>
        <w:rPr>
          <w:highlight w:val="none"/>
        </w:rPr>
        <w:t>021</w:t>
      </w:r>
      <w:r>
        <w:rPr>
          <w:rFonts w:hint="eastAsia"/>
          <w:highlight w:val="none"/>
        </w:rPr>
        <w:t>年版）</w:t>
      </w:r>
      <w:r>
        <w:rPr>
          <w:highlight w:val="none"/>
        </w:rPr>
        <w:t>》；</w:t>
      </w:r>
    </w:p>
    <w:p>
      <w:pPr>
        <w:pStyle w:val="90"/>
        <w:numPr>
          <w:ilvl w:val="0"/>
          <w:numId w:val="2"/>
        </w:numPr>
        <w:ind w:firstLineChars="0"/>
        <w:rPr>
          <w:szCs w:val="28"/>
          <w:highlight w:val="none"/>
        </w:rPr>
      </w:pPr>
      <w:r>
        <w:rPr>
          <w:highlight w:val="none"/>
        </w:rPr>
        <w:t>《</w:t>
      </w:r>
      <w:r>
        <w:rPr>
          <w:rFonts w:hint="eastAsia"/>
          <w:highlight w:val="none"/>
        </w:rPr>
        <w:t>国家危险废物名录（2021年版）</w:t>
      </w:r>
      <w:r>
        <w:rPr>
          <w:highlight w:val="none"/>
        </w:rPr>
        <w:t>》</w:t>
      </w:r>
      <w:r>
        <w:rPr>
          <w:rFonts w:hint="eastAsia"/>
          <w:highlight w:val="none"/>
        </w:rPr>
        <w:t>。</w:t>
      </w:r>
    </w:p>
    <w:p>
      <w:pPr>
        <w:pStyle w:val="4"/>
        <w:rPr>
          <w:highlight w:val="none"/>
        </w:rPr>
      </w:pPr>
      <w:r>
        <w:rPr>
          <w:rFonts w:hint="eastAsia"/>
          <w:highlight w:val="none"/>
        </w:rPr>
        <w:t>地方法规、规章及政策文件</w:t>
      </w:r>
    </w:p>
    <w:p>
      <w:pPr>
        <w:pStyle w:val="90"/>
        <w:numPr>
          <w:ilvl w:val="0"/>
          <w:numId w:val="3"/>
        </w:numPr>
        <w:ind w:firstLineChars="0"/>
        <w:rPr>
          <w:highlight w:val="none"/>
        </w:rPr>
      </w:pPr>
      <w:r>
        <w:rPr>
          <w:highlight w:val="none"/>
        </w:rPr>
        <w:t>《四川省环境保护条例》，</w:t>
      </w:r>
      <w:r>
        <w:rPr>
          <w:rFonts w:hint="eastAsia"/>
          <w:highlight w:val="none"/>
        </w:rPr>
        <w:t>2018年1月1日施行；</w:t>
      </w:r>
    </w:p>
    <w:p>
      <w:pPr>
        <w:pStyle w:val="90"/>
        <w:numPr>
          <w:ilvl w:val="0"/>
          <w:numId w:val="3"/>
        </w:numPr>
        <w:ind w:firstLineChars="0"/>
        <w:rPr>
          <w:highlight w:val="none"/>
        </w:rPr>
      </w:pPr>
      <w:r>
        <w:rPr>
          <w:rFonts w:hint="eastAsia"/>
          <w:highlight w:val="none"/>
        </w:rPr>
        <w:t>《四川省&lt;中华人民共和国环境影响评价法&gt;实施办法（2019年修正）》，2008年1月1日起施行，2019年9月26日修订；</w:t>
      </w:r>
    </w:p>
    <w:p>
      <w:pPr>
        <w:pStyle w:val="90"/>
        <w:numPr>
          <w:ilvl w:val="0"/>
          <w:numId w:val="3"/>
        </w:numPr>
        <w:ind w:firstLineChars="0"/>
        <w:rPr>
          <w:highlight w:val="none"/>
        </w:rPr>
      </w:pPr>
      <w:r>
        <w:rPr>
          <w:highlight w:val="none"/>
        </w:rPr>
        <w:t>《四川省自然保护区管理条例》，</w:t>
      </w:r>
      <w:r>
        <w:rPr>
          <w:rFonts w:hint="eastAsia"/>
          <w:highlight w:val="none"/>
        </w:rPr>
        <w:t>2000年1月1日起施行</w:t>
      </w:r>
      <w:r>
        <w:rPr>
          <w:highlight w:val="none"/>
        </w:rPr>
        <w:t>，2018年9月30日</w:t>
      </w:r>
      <w:r>
        <w:rPr>
          <w:rFonts w:hint="eastAsia"/>
          <w:highlight w:val="none"/>
        </w:rPr>
        <w:t>修订</w:t>
      </w:r>
      <w:r>
        <w:rPr>
          <w:highlight w:val="none"/>
        </w:rPr>
        <w:t>；</w:t>
      </w:r>
    </w:p>
    <w:p>
      <w:pPr>
        <w:pStyle w:val="90"/>
        <w:numPr>
          <w:ilvl w:val="0"/>
          <w:numId w:val="3"/>
        </w:numPr>
        <w:ind w:firstLineChars="0"/>
        <w:rPr>
          <w:highlight w:val="none"/>
        </w:rPr>
      </w:pPr>
      <w:r>
        <w:rPr>
          <w:highlight w:val="none"/>
        </w:rPr>
        <w:t>《四川省天然林保护条例》，2009年3月27日起施行；</w:t>
      </w:r>
    </w:p>
    <w:p>
      <w:pPr>
        <w:pStyle w:val="90"/>
        <w:numPr>
          <w:ilvl w:val="0"/>
          <w:numId w:val="3"/>
        </w:numPr>
        <w:ind w:firstLineChars="0"/>
        <w:rPr>
          <w:highlight w:val="none"/>
        </w:rPr>
      </w:pPr>
      <w:r>
        <w:rPr>
          <w:highlight w:val="none"/>
        </w:rPr>
        <w:t>《四川省饮用水水源保护管理条例》，</w:t>
      </w:r>
      <w:r>
        <w:rPr>
          <w:rFonts w:hint="eastAsia"/>
          <w:highlight w:val="none"/>
        </w:rPr>
        <w:t>2012年1月1日起施行</w:t>
      </w:r>
      <w:r>
        <w:rPr>
          <w:highlight w:val="none"/>
        </w:rPr>
        <w:t>，2019年9月26日</w:t>
      </w:r>
      <w:r>
        <w:rPr>
          <w:rFonts w:hint="eastAsia"/>
          <w:highlight w:val="none"/>
        </w:rPr>
        <w:t>修订</w:t>
      </w:r>
      <w:r>
        <w:rPr>
          <w:highlight w:val="none"/>
        </w:rPr>
        <w:t>；</w:t>
      </w:r>
    </w:p>
    <w:p>
      <w:pPr>
        <w:pStyle w:val="90"/>
        <w:numPr>
          <w:ilvl w:val="0"/>
          <w:numId w:val="3"/>
        </w:numPr>
        <w:ind w:firstLineChars="0"/>
        <w:rPr>
          <w:highlight w:val="none"/>
        </w:rPr>
      </w:pPr>
      <w:r>
        <w:rPr>
          <w:highlight w:val="none"/>
        </w:rPr>
        <w:t>《四川省固体废物污染环境防治条例》，</w:t>
      </w:r>
      <w:r>
        <w:rPr>
          <w:rFonts w:hint="eastAsia"/>
          <w:highlight w:val="none"/>
        </w:rPr>
        <w:t>2022年6月9日修订，2022年9月1日起施行</w:t>
      </w:r>
      <w:r>
        <w:rPr>
          <w:highlight w:val="none"/>
        </w:rPr>
        <w:t>；</w:t>
      </w:r>
    </w:p>
    <w:p>
      <w:pPr>
        <w:pStyle w:val="90"/>
        <w:numPr>
          <w:ilvl w:val="0"/>
          <w:numId w:val="3"/>
        </w:numPr>
        <w:ind w:firstLineChars="0"/>
        <w:rPr>
          <w:highlight w:val="none"/>
        </w:rPr>
      </w:pPr>
      <w:r>
        <w:rPr>
          <w:rFonts w:hint="eastAsia"/>
          <w:highlight w:val="none"/>
        </w:rPr>
        <w:t>《</w:t>
      </w:r>
      <w:r>
        <w:rPr>
          <w:highlight w:val="none"/>
        </w:rPr>
        <w:t>四川省</w:t>
      </w:r>
      <w:r>
        <w:rPr>
          <w:rFonts w:hint="eastAsia"/>
          <w:highlight w:val="none"/>
        </w:rPr>
        <w:t>&lt;</w:t>
      </w:r>
      <w:r>
        <w:rPr>
          <w:highlight w:val="none"/>
        </w:rPr>
        <w:t>中华人民共和国环境影响评价法</w:t>
      </w:r>
      <w:r>
        <w:rPr>
          <w:rFonts w:hint="eastAsia"/>
          <w:highlight w:val="none"/>
        </w:rPr>
        <w:t>&gt;</w:t>
      </w:r>
      <w:r>
        <w:rPr>
          <w:highlight w:val="none"/>
        </w:rPr>
        <w:t>实施办法</w:t>
      </w:r>
      <w:r>
        <w:rPr>
          <w:rFonts w:hint="eastAsia"/>
          <w:highlight w:val="none"/>
        </w:rPr>
        <w:t>（2</w:t>
      </w:r>
      <w:r>
        <w:rPr>
          <w:highlight w:val="none"/>
        </w:rPr>
        <w:t>019</w:t>
      </w:r>
      <w:r>
        <w:rPr>
          <w:rFonts w:hint="eastAsia"/>
          <w:highlight w:val="none"/>
        </w:rPr>
        <w:t>年修正）》</w:t>
      </w:r>
      <w:r>
        <w:rPr>
          <w:highlight w:val="none"/>
        </w:rPr>
        <w:t>，</w:t>
      </w:r>
      <w:r>
        <w:rPr>
          <w:rFonts w:hint="eastAsia"/>
          <w:highlight w:val="none"/>
        </w:rPr>
        <w:t>2008 年1月1日起施行</w:t>
      </w:r>
      <w:r>
        <w:rPr>
          <w:highlight w:val="none"/>
        </w:rPr>
        <w:t>，2019年9月26日</w:t>
      </w:r>
      <w:r>
        <w:rPr>
          <w:rFonts w:hint="eastAsia"/>
          <w:highlight w:val="none"/>
        </w:rPr>
        <w:t>修订</w:t>
      </w:r>
      <w:r>
        <w:rPr>
          <w:highlight w:val="none"/>
        </w:rPr>
        <w:t>；</w:t>
      </w:r>
    </w:p>
    <w:p>
      <w:pPr>
        <w:pStyle w:val="90"/>
        <w:numPr>
          <w:ilvl w:val="0"/>
          <w:numId w:val="3"/>
        </w:numPr>
        <w:ind w:firstLineChars="0"/>
        <w:rPr>
          <w:highlight w:val="none"/>
        </w:rPr>
      </w:pPr>
      <w:r>
        <w:rPr>
          <w:rFonts w:hint="eastAsia"/>
          <w:highlight w:val="none"/>
        </w:rPr>
        <w:t>《关于实行最严格水资源管理制度的实施意见》（川府发〔2014〕31号）；</w:t>
      </w:r>
    </w:p>
    <w:p>
      <w:pPr>
        <w:pStyle w:val="90"/>
        <w:numPr>
          <w:ilvl w:val="0"/>
          <w:numId w:val="3"/>
        </w:numPr>
        <w:ind w:firstLineChars="0"/>
        <w:rPr>
          <w:highlight w:val="none"/>
        </w:rPr>
      </w:pPr>
      <w:r>
        <w:rPr>
          <w:highlight w:val="none"/>
        </w:rPr>
        <w:t>《四川省实行最严格水资源管理制度考核办法》（川办发</w:t>
      </w:r>
      <w:r>
        <w:rPr>
          <w:rFonts w:hint="eastAsia"/>
          <w:highlight w:val="none"/>
        </w:rPr>
        <w:t>〔2014〕</w:t>
      </w:r>
      <w:r>
        <w:rPr>
          <w:highlight w:val="none"/>
        </w:rPr>
        <w:t>27号）；</w:t>
      </w:r>
    </w:p>
    <w:p>
      <w:pPr>
        <w:pStyle w:val="90"/>
        <w:numPr>
          <w:ilvl w:val="0"/>
          <w:numId w:val="3"/>
        </w:numPr>
        <w:ind w:firstLineChars="0"/>
        <w:rPr>
          <w:highlight w:val="none"/>
        </w:rPr>
      </w:pPr>
      <w:r>
        <w:rPr>
          <w:rFonts w:hint="eastAsia"/>
          <w:highlight w:val="none"/>
        </w:rPr>
        <w:t>《关于进一步加强规划环境影响评价的意见》（川府发〔2018〕21号）；</w:t>
      </w:r>
    </w:p>
    <w:p>
      <w:pPr>
        <w:pStyle w:val="90"/>
        <w:numPr>
          <w:ilvl w:val="0"/>
          <w:numId w:val="3"/>
        </w:numPr>
        <w:ind w:firstLineChars="0"/>
        <w:rPr>
          <w:highlight w:val="none"/>
        </w:rPr>
      </w:pPr>
      <w:r>
        <w:rPr>
          <w:rFonts w:hint="eastAsia"/>
          <w:highlight w:val="none"/>
        </w:rPr>
        <w:t>《关于落实生态保护红线、环境质量底线、资源利用上线制定生态环境准入清单实施生态环境分区管控的通知》（川府发〔2020〕9号）；</w:t>
      </w:r>
    </w:p>
    <w:p>
      <w:pPr>
        <w:pStyle w:val="90"/>
        <w:numPr>
          <w:ilvl w:val="0"/>
          <w:numId w:val="3"/>
        </w:numPr>
        <w:ind w:firstLineChars="0"/>
        <w:rPr>
          <w:highlight w:val="none"/>
        </w:rPr>
      </w:pPr>
      <w:r>
        <w:rPr>
          <w:rFonts w:hint="eastAsia"/>
          <w:highlight w:val="none"/>
        </w:rPr>
        <w:t>《</w:t>
      </w:r>
      <w:r>
        <w:rPr>
          <w:highlight w:val="none"/>
        </w:rPr>
        <w:t>关于印发四川省生态保护红线方案的通知</w:t>
      </w:r>
      <w:r>
        <w:rPr>
          <w:rFonts w:hint="eastAsia"/>
          <w:highlight w:val="none"/>
        </w:rPr>
        <w:t>》（</w:t>
      </w:r>
      <w:r>
        <w:rPr>
          <w:highlight w:val="none"/>
        </w:rPr>
        <w:t>川府发</w:t>
      </w:r>
      <w:r>
        <w:rPr>
          <w:rFonts w:hint="eastAsia"/>
          <w:highlight w:val="none"/>
        </w:rPr>
        <w:t>〔20</w:t>
      </w:r>
      <w:r>
        <w:rPr>
          <w:highlight w:val="none"/>
        </w:rPr>
        <w:t>18</w:t>
      </w:r>
      <w:r>
        <w:rPr>
          <w:rFonts w:hint="eastAsia"/>
          <w:highlight w:val="none"/>
        </w:rPr>
        <w:t>〕</w:t>
      </w:r>
      <w:r>
        <w:rPr>
          <w:highlight w:val="none"/>
        </w:rPr>
        <w:t>24号</w:t>
      </w:r>
      <w:r>
        <w:rPr>
          <w:rFonts w:hint="eastAsia"/>
          <w:highlight w:val="none"/>
        </w:rPr>
        <w:t>）</w:t>
      </w:r>
      <w:r>
        <w:rPr>
          <w:highlight w:val="none"/>
        </w:rPr>
        <w:t>；</w:t>
      </w:r>
    </w:p>
    <w:p>
      <w:pPr>
        <w:pStyle w:val="90"/>
        <w:numPr>
          <w:ilvl w:val="0"/>
          <w:numId w:val="3"/>
        </w:numPr>
        <w:ind w:firstLineChars="0"/>
        <w:rPr>
          <w:highlight w:val="none"/>
        </w:rPr>
      </w:pPr>
      <w:r>
        <w:rPr>
          <w:rFonts w:hint="eastAsia"/>
          <w:highlight w:val="none"/>
        </w:rPr>
        <w:t>《关于印发&lt;四川省用水定额&gt;的通知》（川府函〔2021〕8号）；</w:t>
      </w:r>
    </w:p>
    <w:p>
      <w:pPr>
        <w:pStyle w:val="90"/>
        <w:numPr>
          <w:ilvl w:val="0"/>
          <w:numId w:val="3"/>
        </w:numPr>
        <w:ind w:firstLineChars="0"/>
        <w:rPr>
          <w:highlight w:val="none"/>
        </w:rPr>
      </w:pPr>
      <w:r>
        <w:rPr>
          <w:rFonts w:hint="eastAsia"/>
          <w:highlight w:val="none"/>
        </w:rPr>
        <w:t>《</w:t>
      </w:r>
      <w:r>
        <w:rPr>
          <w:highlight w:val="none"/>
        </w:rPr>
        <w:t>关于印发四川省城镇生活污水和城乡生活垃圾处理设施建设三年推进总体方案（2021-2023年）的通知</w:t>
      </w:r>
      <w:r>
        <w:rPr>
          <w:rFonts w:hint="eastAsia"/>
          <w:highlight w:val="none"/>
        </w:rPr>
        <w:t>》（川办发〔2020〕86号）</w:t>
      </w:r>
      <w:r>
        <w:rPr>
          <w:highlight w:val="none"/>
        </w:rPr>
        <w:t>；</w:t>
      </w:r>
    </w:p>
    <w:p>
      <w:pPr>
        <w:pStyle w:val="90"/>
        <w:numPr>
          <w:ilvl w:val="0"/>
          <w:numId w:val="3"/>
        </w:numPr>
        <w:ind w:firstLineChars="0"/>
        <w:rPr>
          <w:highlight w:val="none"/>
        </w:rPr>
      </w:pPr>
      <w:r>
        <w:rPr>
          <w:rFonts w:hint="eastAsia"/>
          <w:highlight w:val="none"/>
        </w:rPr>
        <w:t>《</w:t>
      </w:r>
      <w:r>
        <w:rPr>
          <w:highlight w:val="none"/>
        </w:rPr>
        <w:t>关于全面加强生态环境保护坚决打好污染防治攻坚战的实施意见</w:t>
      </w:r>
      <w:r>
        <w:rPr>
          <w:rFonts w:hint="eastAsia"/>
          <w:highlight w:val="none"/>
        </w:rPr>
        <w:t>》</w:t>
      </w:r>
      <w:r>
        <w:rPr>
          <w:highlight w:val="none"/>
        </w:rPr>
        <w:t>，2018年11月16日；</w:t>
      </w:r>
    </w:p>
    <w:p>
      <w:pPr>
        <w:pStyle w:val="90"/>
        <w:numPr>
          <w:ilvl w:val="0"/>
          <w:numId w:val="3"/>
        </w:numPr>
        <w:ind w:firstLineChars="0"/>
        <w:rPr>
          <w:highlight w:val="none"/>
        </w:rPr>
      </w:pPr>
      <w:r>
        <w:rPr>
          <w:rFonts w:hint="eastAsia"/>
          <w:highlight w:val="none"/>
        </w:rPr>
        <w:t>《关于进一步加强我省产业园区规划环境影响评价工作的通知》（川环发〔2017〕44号）；</w:t>
      </w:r>
    </w:p>
    <w:p>
      <w:pPr>
        <w:pStyle w:val="90"/>
        <w:numPr>
          <w:ilvl w:val="0"/>
          <w:numId w:val="3"/>
        </w:numPr>
        <w:ind w:firstLineChars="0"/>
        <w:rPr>
          <w:highlight w:val="none"/>
        </w:rPr>
      </w:pPr>
      <w:r>
        <w:rPr>
          <w:rFonts w:hint="eastAsia"/>
          <w:highlight w:val="none"/>
        </w:rPr>
        <w:t>《关于印发&lt;产业园区规划环评“三线一单”符合性分析技术要点（试行）&gt;和&lt;项目环评“三线一单”符合性分析技术要点（试行）的通知》（川环办函〔2021〕469号）；</w:t>
      </w:r>
    </w:p>
    <w:p>
      <w:pPr>
        <w:pStyle w:val="90"/>
        <w:numPr>
          <w:ilvl w:val="0"/>
          <w:numId w:val="3"/>
        </w:numPr>
        <w:ind w:firstLineChars="0"/>
        <w:rPr>
          <w:highlight w:val="none"/>
        </w:rPr>
      </w:pPr>
      <w:r>
        <w:rPr>
          <w:highlight w:val="none"/>
        </w:rPr>
        <w:t>《四川省污染地块土壤环境管理办法》</w:t>
      </w:r>
      <w:r>
        <w:rPr>
          <w:rFonts w:hint="eastAsia"/>
          <w:highlight w:val="none"/>
        </w:rPr>
        <w:t>（川环发〔2018〕90号）；</w:t>
      </w:r>
    </w:p>
    <w:p>
      <w:pPr>
        <w:pStyle w:val="90"/>
        <w:numPr>
          <w:ilvl w:val="0"/>
          <w:numId w:val="3"/>
        </w:numPr>
        <w:ind w:firstLineChars="0"/>
        <w:rPr>
          <w:highlight w:val="none"/>
        </w:rPr>
      </w:pPr>
      <w:r>
        <w:rPr>
          <w:highlight w:val="none"/>
        </w:rPr>
        <w:t>《四川省节水行动实施方案》，2019年12月3日；</w:t>
      </w:r>
    </w:p>
    <w:p>
      <w:pPr>
        <w:pStyle w:val="90"/>
        <w:numPr>
          <w:ilvl w:val="0"/>
          <w:numId w:val="3"/>
        </w:numPr>
        <w:ind w:firstLineChars="0"/>
        <w:rPr>
          <w:highlight w:val="none"/>
        </w:rPr>
      </w:pPr>
      <w:r>
        <w:rPr>
          <w:rFonts w:hint="eastAsia"/>
          <w:highlight w:val="none"/>
        </w:rPr>
        <w:t>《关于进一步加强总磷污染防治工作的紧急通知》（川流域办〔201</w:t>
      </w:r>
      <w:r>
        <w:rPr>
          <w:highlight w:val="none"/>
        </w:rPr>
        <w:t>5</w:t>
      </w:r>
      <w:r>
        <w:rPr>
          <w:rFonts w:hint="eastAsia"/>
          <w:highlight w:val="none"/>
        </w:rPr>
        <w:t>〕31号）；</w:t>
      </w:r>
    </w:p>
    <w:p>
      <w:pPr>
        <w:pStyle w:val="90"/>
        <w:numPr>
          <w:ilvl w:val="0"/>
          <w:numId w:val="3"/>
        </w:numPr>
        <w:ind w:firstLineChars="0"/>
        <w:rPr>
          <w:highlight w:val="none"/>
        </w:rPr>
      </w:pPr>
      <w:r>
        <w:rPr>
          <w:rFonts w:hint="eastAsia"/>
          <w:highlight w:val="none"/>
        </w:rPr>
        <w:t>《关于优化区域产业布局的指导意见》（川办发〔2018〕92号）；</w:t>
      </w:r>
    </w:p>
    <w:p>
      <w:pPr>
        <w:pStyle w:val="90"/>
        <w:numPr>
          <w:ilvl w:val="0"/>
          <w:numId w:val="3"/>
        </w:numPr>
        <w:ind w:firstLineChars="0"/>
        <w:rPr>
          <w:highlight w:val="none"/>
        </w:rPr>
      </w:pPr>
      <w:r>
        <w:rPr>
          <w:rFonts w:hint="eastAsia"/>
          <w:highlight w:val="none"/>
        </w:rPr>
        <w:t>《关于加快推进成都平原经济区协同发展的实施意见》；</w:t>
      </w:r>
    </w:p>
    <w:p>
      <w:pPr>
        <w:pStyle w:val="90"/>
        <w:numPr>
          <w:ilvl w:val="0"/>
          <w:numId w:val="3"/>
        </w:numPr>
        <w:ind w:firstLineChars="0"/>
        <w:rPr>
          <w:highlight w:val="none"/>
        </w:rPr>
      </w:pPr>
      <w:r>
        <w:rPr>
          <w:rFonts w:hint="eastAsia"/>
          <w:highlight w:val="none"/>
        </w:rPr>
        <w:t>《关于印发四川省打赢蓝天保卫战等九个实施方案的通知》（川府发〔201</w:t>
      </w:r>
      <w:r>
        <w:rPr>
          <w:highlight w:val="none"/>
        </w:rPr>
        <w:t>9</w:t>
      </w:r>
      <w:r>
        <w:rPr>
          <w:rFonts w:hint="eastAsia"/>
          <w:highlight w:val="none"/>
        </w:rPr>
        <w:t>〕4号）；</w:t>
      </w:r>
    </w:p>
    <w:p>
      <w:pPr>
        <w:pStyle w:val="90"/>
        <w:numPr>
          <w:ilvl w:val="0"/>
          <w:numId w:val="3"/>
        </w:numPr>
        <w:ind w:firstLineChars="0"/>
        <w:rPr>
          <w:highlight w:val="none"/>
        </w:rPr>
      </w:pPr>
      <w:r>
        <w:rPr>
          <w:rFonts w:hint="eastAsia"/>
          <w:highlight w:val="none"/>
        </w:rPr>
        <w:t>《四川省生态环境厅关于执行大气污染物特别排放限值的公告》（2</w:t>
      </w:r>
      <w:r>
        <w:rPr>
          <w:highlight w:val="none"/>
        </w:rPr>
        <w:t>020</w:t>
      </w:r>
      <w:r>
        <w:rPr>
          <w:rFonts w:hint="eastAsia"/>
          <w:highlight w:val="none"/>
        </w:rPr>
        <w:t>年 第2号）；</w:t>
      </w:r>
    </w:p>
    <w:p>
      <w:pPr>
        <w:pStyle w:val="90"/>
        <w:numPr>
          <w:ilvl w:val="0"/>
          <w:numId w:val="3"/>
        </w:numPr>
        <w:ind w:firstLineChars="0"/>
        <w:rPr>
          <w:highlight w:val="none"/>
        </w:rPr>
      </w:pPr>
      <w:r>
        <w:rPr>
          <w:highlight w:val="none"/>
        </w:rPr>
        <w:t>《</w:t>
      </w:r>
      <w:r>
        <w:rPr>
          <w:rFonts w:hint="eastAsia"/>
          <w:highlight w:val="none"/>
        </w:rPr>
        <w:t>关于印发</w:t>
      </w:r>
      <w:r>
        <w:rPr>
          <w:highlight w:val="none"/>
        </w:rPr>
        <w:t>四川省巩固污染防治攻坚战成果提升生态环境治理体系和治理能力现代化水平三年行动计划（2021-2023）</w:t>
      </w:r>
      <w:r>
        <w:rPr>
          <w:rFonts w:hint="eastAsia"/>
          <w:highlight w:val="none"/>
        </w:rPr>
        <w:t>的通知</w:t>
      </w:r>
      <w:r>
        <w:rPr>
          <w:highlight w:val="none"/>
        </w:rPr>
        <w:t>》</w:t>
      </w:r>
      <w:r>
        <w:rPr>
          <w:rFonts w:hint="eastAsia"/>
          <w:highlight w:val="none"/>
        </w:rPr>
        <w:t>（川办发〔2021〕82号）</w:t>
      </w:r>
      <w:r>
        <w:rPr>
          <w:highlight w:val="none"/>
        </w:rPr>
        <w:t>；</w:t>
      </w:r>
    </w:p>
    <w:p>
      <w:pPr>
        <w:pStyle w:val="90"/>
        <w:numPr>
          <w:ilvl w:val="0"/>
          <w:numId w:val="3"/>
        </w:numPr>
        <w:ind w:firstLineChars="0"/>
        <w:rPr>
          <w:highlight w:val="none"/>
        </w:rPr>
      </w:pPr>
      <w:r>
        <w:rPr>
          <w:rFonts w:hint="eastAsia"/>
          <w:highlight w:val="none"/>
        </w:rPr>
        <w:t>《关于加强危险废物环境管理的指导意见》（川办发〔2020〕73号）；</w:t>
      </w:r>
    </w:p>
    <w:p>
      <w:pPr>
        <w:pStyle w:val="90"/>
        <w:numPr>
          <w:ilvl w:val="0"/>
          <w:numId w:val="3"/>
        </w:numPr>
        <w:ind w:firstLineChars="0"/>
        <w:rPr>
          <w:highlight w:val="none"/>
        </w:rPr>
      </w:pPr>
      <w:r>
        <w:rPr>
          <w:rFonts w:hint="eastAsia"/>
          <w:highlight w:val="none"/>
        </w:rPr>
        <w:t>《四川省河道管理实施办法》（四川省人民政府令第40号）；</w:t>
      </w:r>
    </w:p>
    <w:p>
      <w:pPr>
        <w:pStyle w:val="90"/>
        <w:numPr>
          <w:ilvl w:val="0"/>
          <w:numId w:val="3"/>
        </w:numPr>
        <w:ind w:firstLineChars="0"/>
        <w:rPr>
          <w:highlight w:val="none"/>
        </w:rPr>
      </w:pPr>
      <w:r>
        <w:rPr>
          <w:rFonts w:hint="eastAsia"/>
          <w:highlight w:val="none"/>
        </w:rPr>
        <w:t>《四川省河道管理范围内建设项目管理暂行办法》（川水发〔</w:t>
      </w:r>
      <w:r>
        <w:rPr>
          <w:highlight w:val="none"/>
        </w:rPr>
        <w:t>2004</w:t>
      </w:r>
      <w:r>
        <w:rPr>
          <w:rFonts w:hint="eastAsia"/>
          <w:highlight w:val="none"/>
        </w:rPr>
        <w:t>〕40号）；</w:t>
      </w:r>
    </w:p>
    <w:p>
      <w:pPr>
        <w:pStyle w:val="90"/>
        <w:numPr>
          <w:ilvl w:val="0"/>
          <w:numId w:val="3"/>
        </w:numPr>
        <w:ind w:firstLineChars="0"/>
        <w:rPr>
          <w:highlight w:val="none"/>
        </w:rPr>
      </w:pPr>
      <w:r>
        <w:rPr>
          <w:rFonts w:hint="eastAsia"/>
          <w:highlight w:val="none"/>
        </w:rPr>
        <w:t>《四川省、重庆市长江经济带发展负面清单实施细则（试行，2022版）》（川长江办〔2022〕17号）；</w:t>
      </w:r>
    </w:p>
    <w:p>
      <w:pPr>
        <w:pStyle w:val="90"/>
        <w:numPr>
          <w:ilvl w:val="0"/>
          <w:numId w:val="3"/>
        </w:numPr>
        <w:ind w:firstLine="480" w:firstLineChars="0"/>
        <w:rPr>
          <w:snapToGrid w:val="0"/>
          <w:kern w:val="0"/>
          <w:highlight w:val="none"/>
        </w:rPr>
      </w:pPr>
      <w:r>
        <w:rPr>
          <w:highlight w:val="none"/>
        </w:rPr>
        <w:t>四川省水利厅关于加强河道管理范围内有关活动管理的通知，2020年3月20日；</w:t>
      </w:r>
    </w:p>
    <w:p>
      <w:pPr>
        <w:pStyle w:val="90"/>
        <w:numPr>
          <w:ilvl w:val="0"/>
          <w:numId w:val="3"/>
        </w:numPr>
        <w:ind w:firstLine="480" w:firstLineChars="0"/>
        <w:rPr>
          <w:highlight w:val="none"/>
        </w:rPr>
      </w:pPr>
      <w:r>
        <w:rPr>
          <w:rFonts w:hint="eastAsia"/>
          <w:highlight w:val="none"/>
        </w:rPr>
        <w:t>《</w:t>
      </w:r>
      <w:r>
        <w:rPr>
          <w:highlight w:val="none"/>
        </w:rPr>
        <w:t>2020年全省河湖管理保护工作要点</w:t>
      </w:r>
      <w:r>
        <w:rPr>
          <w:rFonts w:hint="eastAsia"/>
          <w:highlight w:val="none"/>
        </w:rPr>
        <w:t>》</w:t>
      </w:r>
      <w:r>
        <w:rPr>
          <w:highlight w:val="none"/>
        </w:rPr>
        <w:t>，2020年3月31日；</w:t>
      </w:r>
    </w:p>
    <w:p>
      <w:pPr>
        <w:pStyle w:val="90"/>
        <w:numPr>
          <w:ilvl w:val="0"/>
          <w:numId w:val="3"/>
        </w:numPr>
        <w:ind w:firstLine="480" w:firstLineChars="0"/>
        <w:rPr>
          <w:szCs w:val="32"/>
          <w:highlight w:val="none"/>
        </w:rPr>
      </w:pPr>
      <w:r>
        <w:rPr>
          <w:highlight w:val="none"/>
        </w:rPr>
        <w:t>《四川省重点小流域水环境质量限期达标总体方案》</w:t>
      </w:r>
      <w:r>
        <w:rPr>
          <w:rFonts w:hint="eastAsia"/>
          <w:highlight w:val="none"/>
        </w:rPr>
        <w:t>（</w:t>
      </w:r>
      <w:r>
        <w:rPr>
          <w:highlight w:val="none"/>
        </w:rPr>
        <w:t>川环办发</w:t>
      </w:r>
      <w:r>
        <w:rPr>
          <w:rFonts w:hint="eastAsia"/>
          <w:highlight w:val="none"/>
        </w:rPr>
        <w:t>〔</w:t>
      </w:r>
      <w:r>
        <w:rPr>
          <w:highlight w:val="none"/>
        </w:rPr>
        <w:t>2021</w:t>
      </w:r>
      <w:r>
        <w:rPr>
          <w:rFonts w:hint="eastAsia"/>
          <w:highlight w:val="none"/>
        </w:rPr>
        <w:t>〕</w:t>
      </w:r>
      <w:r>
        <w:rPr>
          <w:highlight w:val="none"/>
        </w:rPr>
        <w:t>15号</w:t>
      </w:r>
      <w:r>
        <w:rPr>
          <w:rFonts w:hint="eastAsia"/>
          <w:highlight w:val="none"/>
        </w:rPr>
        <w:t>）</w:t>
      </w:r>
      <w:r>
        <w:rPr>
          <w:highlight w:val="none"/>
        </w:rPr>
        <w:t>；</w:t>
      </w:r>
    </w:p>
    <w:p>
      <w:pPr>
        <w:pStyle w:val="90"/>
        <w:numPr>
          <w:ilvl w:val="0"/>
          <w:numId w:val="3"/>
        </w:numPr>
        <w:ind w:firstLine="480" w:firstLineChars="0"/>
        <w:rPr>
          <w:highlight w:val="none"/>
        </w:rPr>
      </w:pPr>
      <w:r>
        <w:rPr>
          <w:rFonts w:hint="eastAsia"/>
          <w:highlight w:val="none"/>
        </w:rPr>
        <w:t>《四川省危险废物集中收集贮存试点工作方案》（川环发〔2021〕9号）</w:t>
      </w:r>
      <w:r>
        <w:rPr>
          <w:highlight w:val="none"/>
        </w:rPr>
        <w:t>；</w:t>
      </w:r>
    </w:p>
    <w:p>
      <w:pPr>
        <w:pStyle w:val="90"/>
        <w:numPr>
          <w:ilvl w:val="0"/>
          <w:numId w:val="3"/>
        </w:numPr>
        <w:ind w:firstLine="480" w:firstLineChars="0"/>
        <w:rPr>
          <w:highlight w:val="none"/>
        </w:rPr>
      </w:pPr>
      <w:r>
        <w:rPr>
          <w:rFonts w:hint="eastAsia"/>
          <w:highlight w:val="none"/>
        </w:rPr>
        <w:t>《关于印发&lt;广元市重污染天气应急预案（试行）&gt;的通知》</w:t>
      </w:r>
      <w:r>
        <w:rPr>
          <w:highlight w:val="none"/>
        </w:rPr>
        <w:t>；</w:t>
      </w:r>
    </w:p>
    <w:p>
      <w:pPr>
        <w:pStyle w:val="90"/>
        <w:numPr>
          <w:ilvl w:val="0"/>
          <w:numId w:val="3"/>
        </w:numPr>
        <w:ind w:firstLine="480" w:firstLineChars="0"/>
        <w:rPr>
          <w:highlight w:val="none"/>
        </w:rPr>
      </w:pPr>
      <w:r>
        <w:rPr>
          <w:rFonts w:hint="eastAsia"/>
          <w:highlight w:val="none"/>
        </w:rPr>
        <w:t>《广元市</w:t>
      </w:r>
      <w:r>
        <w:rPr>
          <w:highlight w:val="none"/>
        </w:rPr>
        <w:t>人民政府</w:t>
      </w:r>
      <w:r>
        <w:rPr>
          <w:rFonts w:hint="eastAsia"/>
          <w:highlight w:val="none"/>
        </w:rPr>
        <w:t>关于划定高污染燃料禁燃区的通告》（广府通〔2015〕3号）。</w:t>
      </w:r>
    </w:p>
    <w:p>
      <w:pPr>
        <w:pStyle w:val="4"/>
        <w:rPr>
          <w:highlight w:val="none"/>
        </w:rPr>
      </w:pPr>
      <w:r>
        <w:rPr>
          <w:rFonts w:hint="eastAsia"/>
          <w:highlight w:val="none"/>
        </w:rPr>
        <w:t>评价技术规范</w:t>
      </w:r>
    </w:p>
    <w:p>
      <w:pPr>
        <w:pStyle w:val="90"/>
        <w:numPr>
          <w:ilvl w:val="0"/>
          <w:numId w:val="4"/>
        </w:numPr>
        <w:adjustRightInd/>
        <w:ind w:firstLine="482" w:firstLineChars="0"/>
        <w:rPr>
          <w:highlight w:val="none"/>
        </w:rPr>
      </w:pPr>
      <w:r>
        <w:rPr>
          <w:highlight w:val="none"/>
        </w:rPr>
        <w:t>《</w:t>
      </w:r>
      <w:r>
        <w:rPr>
          <w:rFonts w:hint="eastAsia"/>
          <w:highlight w:val="none"/>
        </w:rPr>
        <w:t>规划</w:t>
      </w:r>
      <w:r>
        <w:rPr>
          <w:highlight w:val="none"/>
        </w:rPr>
        <w:t xml:space="preserve">环境影响评价技术导则 总纲》（HJ </w:t>
      </w:r>
      <w:r>
        <w:rPr>
          <w:rFonts w:hint="eastAsia"/>
          <w:highlight w:val="none"/>
        </w:rPr>
        <w:t>130</w:t>
      </w:r>
      <w:r>
        <w:rPr>
          <w:highlight w:val="none"/>
        </w:rPr>
        <w:t>-2019）；</w:t>
      </w:r>
    </w:p>
    <w:p>
      <w:pPr>
        <w:pStyle w:val="90"/>
        <w:numPr>
          <w:ilvl w:val="0"/>
          <w:numId w:val="4"/>
        </w:numPr>
        <w:adjustRightInd/>
        <w:ind w:firstLine="482" w:firstLineChars="0"/>
        <w:rPr>
          <w:highlight w:val="none"/>
        </w:rPr>
      </w:pPr>
      <w:r>
        <w:rPr>
          <w:rFonts w:hint="eastAsia"/>
          <w:highlight w:val="none"/>
        </w:rPr>
        <w:t>《规划环境影响评价技术导则 产业园区》（HJ 131-2021）；</w:t>
      </w:r>
    </w:p>
    <w:p>
      <w:pPr>
        <w:pStyle w:val="90"/>
        <w:numPr>
          <w:ilvl w:val="0"/>
          <w:numId w:val="4"/>
        </w:numPr>
        <w:adjustRightInd/>
        <w:ind w:firstLine="482" w:firstLineChars="0"/>
        <w:rPr>
          <w:highlight w:val="none"/>
        </w:rPr>
      </w:pPr>
      <w:r>
        <w:rPr>
          <w:rFonts w:hint="eastAsia"/>
          <w:highlight w:val="none"/>
        </w:rPr>
        <w:t>《环境影响评价技术导则</w:t>
      </w:r>
      <w:r>
        <w:rPr>
          <w:highlight w:val="none"/>
        </w:rPr>
        <w:t xml:space="preserve"> </w:t>
      </w:r>
      <w:r>
        <w:rPr>
          <w:rFonts w:hint="eastAsia"/>
          <w:highlight w:val="none"/>
        </w:rPr>
        <w:t>地表水环境》（HJ</w:t>
      </w:r>
      <w:r>
        <w:rPr>
          <w:highlight w:val="none"/>
        </w:rPr>
        <w:t xml:space="preserve"> </w:t>
      </w:r>
      <w:r>
        <w:rPr>
          <w:rFonts w:hint="eastAsia"/>
          <w:highlight w:val="none"/>
        </w:rPr>
        <w:t>2.3-2018）；</w:t>
      </w:r>
    </w:p>
    <w:p>
      <w:pPr>
        <w:pStyle w:val="90"/>
        <w:numPr>
          <w:ilvl w:val="0"/>
          <w:numId w:val="4"/>
        </w:numPr>
        <w:adjustRightInd/>
        <w:ind w:firstLine="482" w:firstLineChars="0"/>
        <w:rPr>
          <w:highlight w:val="none"/>
        </w:rPr>
      </w:pPr>
      <w:r>
        <w:rPr>
          <w:rFonts w:hint="eastAsia"/>
          <w:highlight w:val="none"/>
        </w:rPr>
        <w:t>《环境影响评价技术导则</w:t>
      </w:r>
      <w:r>
        <w:rPr>
          <w:highlight w:val="none"/>
        </w:rPr>
        <w:t xml:space="preserve"> </w:t>
      </w:r>
      <w:r>
        <w:rPr>
          <w:rFonts w:hint="eastAsia"/>
          <w:highlight w:val="none"/>
        </w:rPr>
        <w:t>地下水环境》（HJ</w:t>
      </w:r>
      <w:r>
        <w:rPr>
          <w:highlight w:val="none"/>
        </w:rPr>
        <w:t xml:space="preserve"> </w:t>
      </w:r>
      <w:r>
        <w:rPr>
          <w:rFonts w:hint="eastAsia"/>
          <w:highlight w:val="none"/>
        </w:rPr>
        <w:t>610-2016）；</w:t>
      </w:r>
    </w:p>
    <w:p>
      <w:pPr>
        <w:pStyle w:val="90"/>
        <w:numPr>
          <w:ilvl w:val="0"/>
          <w:numId w:val="4"/>
        </w:numPr>
        <w:adjustRightInd/>
        <w:ind w:firstLine="482" w:firstLineChars="0"/>
        <w:rPr>
          <w:highlight w:val="none"/>
        </w:rPr>
      </w:pPr>
      <w:r>
        <w:rPr>
          <w:rFonts w:hint="eastAsia"/>
          <w:highlight w:val="none"/>
        </w:rPr>
        <w:t>《环境影响评价技术导则</w:t>
      </w:r>
      <w:r>
        <w:rPr>
          <w:highlight w:val="none"/>
        </w:rPr>
        <w:t xml:space="preserve"> </w:t>
      </w:r>
      <w:r>
        <w:rPr>
          <w:rFonts w:hint="eastAsia"/>
          <w:highlight w:val="none"/>
        </w:rPr>
        <w:t>大气环境》（HJ</w:t>
      </w:r>
      <w:r>
        <w:rPr>
          <w:highlight w:val="none"/>
        </w:rPr>
        <w:t xml:space="preserve"> </w:t>
      </w:r>
      <w:r>
        <w:rPr>
          <w:rFonts w:hint="eastAsia"/>
          <w:highlight w:val="none"/>
        </w:rPr>
        <w:t>2.2-2018）；</w:t>
      </w:r>
    </w:p>
    <w:p>
      <w:pPr>
        <w:pStyle w:val="90"/>
        <w:numPr>
          <w:ilvl w:val="0"/>
          <w:numId w:val="4"/>
        </w:numPr>
        <w:adjustRightInd/>
        <w:ind w:firstLine="482" w:firstLineChars="0"/>
        <w:rPr>
          <w:highlight w:val="none"/>
        </w:rPr>
      </w:pPr>
      <w:r>
        <w:rPr>
          <w:rFonts w:hint="eastAsia"/>
          <w:highlight w:val="none"/>
        </w:rPr>
        <w:t>《环境影响评价技术导则</w:t>
      </w:r>
      <w:r>
        <w:rPr>
          <w:highlight w:val="none"/>
        </w:rPr>
        <w:t xml:space="preserve"> </w:t>
      </w:r>
      <w:r>
        <w:rPr>
          <w:rFonts w:hint="eastAsia"/>
          <w:highlight w:val="none"/>
        </w:rPr>
        <w:t>声环境》（HJ</w:t>
      </w:r>
      <w:r>
        <w:rPr>
          <w:highlight w:val="none"/>
        </w:rPr>
        <w:t xml:space="preserve"> </w:t>
      </w:r>
      <w:r>
        <w:rPr>
          <w:rFonts w:hint="eastAsia"/>
          <w:highlight w:val="none"/>
        </w:rPr>
        <w:t>2.4-</w:t>
      </w:r>
      <w:r>
        <w:rPr>
          <w:highlight w:val="none"/>
        </w:rPr>
        <w:t>2021</w:t>
      </w:r>
      <w:r>
        <w:rPr>
          <w:rFonts w:hint="eastAsia"/>
          <w:highlight w:val="none"/>
        </w:rPr>
        <w:t>）；</w:t>
      </w:r>
    </w:p>
    <w:p>
      <w:pPr>
        <w:pStyle w:val="90"/>
        <w:numPr>
          <w:ilvl w:val="0"/>
          <w:numId w:val="4"/>
        </w:numPr>
        <w:adjustRightInd/>
        <w:ind w:firstLine="482" w:firstLineChars="0"/>
        <w:rPr>
          <w:highlight w:val="none"/>
        </w:rPr>
      </w:pPr>
      <w:r>
        <w:rPr>
          <w:rFonts w:hint="eastAsia"/>
          <w:highlight w:val="none"/>
        </w:rPr>
        <w:t>《环境影响评价技术导则</w:t>
      </w:r>
      <w:r>
        <w:rPr>
          <w:highlight w:val="none"/>
        </w:rPr>
        <w:t xml:space="preserve"> </w:t>
      </w:r>
      <w:r>
        <w:rPr>
          <w:rFonts w:hint="eastAsia"/>
          <w:highlight w:val="none"/>
        </w:rPr>
        <w:t>生态影响》（HJ</w:t>
      </w:r>
      <w:r>
        <w:rPr>
          <w:highlight w:val="none"/>
        </w:rPr>
        <w:t xml:space="preserve"> </w:t>
      </w:r>
      <w:r>
        <w:rPr>
          <w:rFonts w:hint="eastAsia"/>
          <w:highlight w:val="none"/>
        </w:rPr>
        <w:t>19-2</w:t>
      </w:r>
      <w:r>
        <w:rPr>
          <w:highlight w:val="none"/>
        </w:rPr>
        <w:t>021</w:t>
      </w:r>
      <w:r>
        <w:rPr>
          <w:rFonts w:hint="eastAsia"/>
          <w:highlight w:val="none"/>
        </w:rPr>
        <w:t>）；</w:t>
      </w:r>
    </w:p>
    <w:p>
      <w:pPr>
        <w:pStyle w:val="90"/>
        <w:numPr>
          <w:ilvl w:val="0"/>
          <w:numId w:val="4"/>
        </w:numPr>
        <w:adjustRightInd/>
        <w:ind w:firstLine="482" w:firstLineChars="0"/>
        <w:rPr>
          <w:highlight w:val="none"/>
        </w:rPr>
      </w:pPr>
      <w:r>
        <w:rPr>
          <w:rFonts w:hint="eastAsia"/>
          <w:highlight w:val="none"/>
        </w:rPr>
        <w:t>《环境影响评价技术导则</w:t>
      </w:r>
      <w:r>
        <w:rPr>
          <w:highlight w:val="none"/>
        </w:rPr>
        <w:t xml:space="preserve"> </w:t>
      </w:r>
      <w:r>
        <w:rPr>
          <w:rFonts w:hint="eastAsia"/>
          <w:highlight w:val="none"/>
        </w:rPr>
        <w:t>土壤环境（试行）》（HJ694-2018）；</w:t>
      </w:r>
    </w:p>
    <w:p>
      <w:pPr>
        <w:pStyle w:val="90"/>
        <w:numPr>
          <w:ilvl w:val="0"/>
          <w:numId w:val="4"/>
        </w:numPr>
        <w:adjustRightInd/>
        <w:ind w:firstLine="482" w:firstLineChars="0"/>
        <w:rPr>
          <w:highlight w:val="none"/>
        </w:rPr>
      </w:pPr>
      <w:r>
        <w:rPr>
          <w:rFonts w:hint="eastAsia"/>
          <w:highlight w:val="none"/>
        </w:rPr>
        <w:t>《建设项目环境风险评价技术导则》（HJ169-2018）</w:t>
      </w:r>
      <w:r>
        <w:rPr>
          <w:rFonts w:hint="eastAsia"/>
          <w:szCs w:val="28"/>
          <w:highlight w:val="none"/>
        </w:rPr>
        <w:t>。</w:t>
      </w:r>
    </w:p>
    <w:p>
      <w:pPr>
        <w:pStyle w:val="4"/>
        <w:rPr>
          <w:highlight w:val="none"/>
        </w:rPr>
      </w:pPr>
      <w:r>
        <w:rPr>
          <w:rFonts w:hint="eastAsia"/>
          <w:highlight w:val="none"/>
        </w:rPr>
        <w:t>相关规划和资料</w:t>
      </w:r>
    </w:p>
    <w:p>
      <w:pPr>
        <w:pStyle w:val="5"/>
        <w:rPr>
          <w:highlight w:val="none"/>
        </w:rPr>
      </w:pPr>
      <w:r>
        <w:rPr>
          <w:rFonts w:hint="eastAsia"/>
          <w:highlight w:val="none"/>
        </w:rPr>
        <w:t>本次评价规划</w:t>
      </w:r>
    </w:p>
    <w:p>
      <w:pPr>
        <w:numPr>
          <w:ilvl w:val="0"/>
          <w:numId w:val="5"/>
        </w:numPr>
        <w:adjustRightInd w:val="0"/>
        <w:snapToGrid w:val="0"/>
        <w:ind w:firstLine="480" w:firstLineChars="0"/>
        <w:rPr>
          <w:highlight w:val="none"/>
        </w:rPr>
      </w:pPr>
      <w:r>
        <w:rPr>
          <w:rFonts w:hint="eastAsia"/>
          <w:highlight w:val="none"/>
        </w:rPr>
        <w:t>《苍溪县百利工业园区（先期启动区）产业发展规划（2024-2030年）》。</w:t>
      </w:r>
    </w:p>
    <w:p>
      <w:pPr>
        <w:pStyle w:val="5"/>
        <w:rPr>
          <w:highlight w:val="none"/>
        </w:rPr>
      </w:pPr>
      <w:r>
        <w:rPr>
          <w:rFonts w:hint="eastAsia"/>
          <w:highlight w:val="none"/>
        </w:rPr>
        <w:t>相关规划及文件</w:t>
      </w:r>
    </w:p>
    <w:p>
      <w:pPr>
        <w:pStyle w:val="63"/>
        <w:numPr>
          <w:ilvl w:val="0"/>
          <w:numId w:val="6"/>
        </w:numPr>
        <w:ind w:firstLineChars="0"/>
        <w:rPr>
          <w:highlight w:val="none"/>
        </w:rPr>
      </w:pPr>
      <w:r>
        <w:rPr>
          <w:rFonts w:hint="eastAsia"/>
          <w:highlight w:val="none"/>
        </w:rPr>
        <w:t>《四川省主体功能区规划》；</w:t>
      </w:r>
    </w:p>
    <w:p>
      <w:pPr>
        <w:pStyle w:val="63"/>
        <w:numPr>
          <w:ilvl w:val="0"/>
          <w:numId w:val="6"/>
        </w:numPr>
        <w:ind w:firstLineChars="0"/>
        <w:rPr>
          <w:highlight w:val="none"/>
        </w:rPr>
      </w:pPr>
      <w:r>
        <w:rPr>
          <w:highlight w:val="none"/>
        </w:rPr>
        <w:t>《四川省生态功能区划》；</w:t>
      </w:r>
    </w:p>
    <w:p>
      <w:pPr>
        <w:pStyle w:val="63"/>
        <w:numPr>
          <w:ilvl w:val="0"/>
          <w:numId w:val="6"/>
        </w:numPr>
        <w:ind w:firstLineChars="0"/>
        <w:rPr>
          <w:highlight w:val="none"/>
        </w:rPr>
      </w:pPr>
      <w:r>
        <w:rPr>
          <w:rFonts w:hint="eastAsia"/>
          <w:highlight w:val="none"/>
        </w:rPr>
        <w:t>《四川省省域城镇体系规划（2014-2030）》；</w:t>
      </w:r>
    </w:p>
    <w:p>
      <w:pPr>
        <w:pStyle w:val="63"/>
        <w:numPr>
          <w:ilvl w:val="0"/>
          <w:numId w:val="6"/>
        </w:numPr>
        <w:ind w:firstLineChars="0"/>
        <w:rPr>
          <w:highlight w:val="none"/>
        </w:rPr>
      </w:pPr>
      <w:r>
        <w:rPr>
          <w:rFonts w:hint="eastAsia"/>
          <w:highlight w:val="none"/>
        </w:rPr>
        <w:t>《四川省国民经济和社会发展第十四个五年规划和二〇三五年远景目标纲要》；</w:t>
      </w:r>
    </w:p>
    <w:p>
      <w:pPr>
        <w:pStyle w:val="63"/>
        <w:numPr>
          <w:ilvl w:val="0"/>
          <w:numId w:val="6"/>
        </w:numPr>
        <w:ind w:firstLineChars="0"/>
        <w:rPr>
          <w:highlight w:val="none"/>
        </w:rPr>
      </w:pPr>
      <w:r>
        <w:rPr>
          <w:rFonts w:hint="eastAsia"/>
          <w:szCs w:val="28"/>
          <w:highlight w:val="none"/>
        </w:rPr>
        <w:t>《四川省土壤污染治理与修复规划》；</w:t>
      </w:r>
    </w:p>
    <w:p>
      <w:pPr>
        <w:pStyle w:val="63"/>
        <w:numPr>
          <w:ilvl w:val="0"/>
          <w:numId w:val="6"/>
        </w:numPr>
        <w:ind w:firstLineChars="0"/>
        <w:rPr>
          <w:highlight w:val="none"/>
        </w:rPr>
      </w:pPr>
      <w:r>
        <w:rPr>
          <w:rFonts w:hint="eastAsia"/>
          <w:highlight w:val="none"/>
        </w:rPr>
        <w:t>《广元市国民经济和社会发展第十四个五年规划和二〇三五年远景目标纲要》；</w:t>
      </w:r>
    </w:p>
    <w:p>
      <w:pPr>
        <w:pStyle w:val="63"/>
        <w:numPr>
          <w:ilvl w:val="0"/>
          <w:numId w:val="6"/>
        </w:numPr>
        <w:ind w:firstLineChars="0"/>
        <w:rPr>
          <w:highlight w:val="none"/>
        </w:rPr>
      </w:pPr>
      <w:r>
        <w:rPr>
          <w:rFonts w:hint="eastAsia"/>
          <w:highlight w:val="none"/>
        </w:rPr>
        <w:t>《广元市苍溪县国民经济和社会发展第十四个五年规划和二〇三五年远景目标纲要》；</w:t>
      </w:r>
    </w:p>
    <w:p>
      <w:pPr>
        <w:pStyle w:val="63"/>
        <w:numPr>
          <w:ilvl w:val="0"/>
          <w:numId w:val="6"/>
        </w:numPr>
        <w:ind w:firstLineChars="0"/>
        <w:rPr>
          <w:highlight w:val="none"/>
        </w:rPr>
      </w:pPr>
      <w:r>
        <w:rPr>
          <w:rFonts w:hint="eastAsia"/>
          <w:highlight w:val="none"/>
        </w:rPr>
        <w:t>《四川省“十四五”生态环境保护规划》；</w:t>
      </w:r>
    </w:p>
    <w:p>
      <w:pPr>
        <w:pStyle w:val="63"/>
        <w:numPr>
          <w:ilvl w:val="0"/>
          <w:numId w:val="6"/>
        </w:numPr>
        <w:ind w:firstLineChars="0"/>
        <w:rPr>
          <w:highlight w:val="none"/>
        </w:rPr>
      </w:pPr>
      <w:r>
        <w:rPr>
          <w:rFonts w:hint="eastAsia"/>
          <w:highlight w:val="none"/>
        </w:rPr>
        <w:t>《广元市“十四五”生态环境保护规划》；</w:t>
      </w:r>
    </w:p>
    <w:p>
      <w:pPr>
        <w:pStyle w:val="63"/>
        <w:numPr>
          <w:ilvl w:val="0"/>
          <w:numId w:val="6"/>
        </w:numPr>
        <w:ind w:firstLineChars="0"/>
        <w:rPr>
          <w:highlight w:val="none"/>
        </w:rPr>
      </w:pPr>
      <w:r>
        <w:rPr>
          <w:rFonts w:hint="eastAsia"/>
          <w:highlight w:val="none"/>
        </w:rPr>
        <w:t>《广元市苍溪县“十四五”生态环境保护规划》；</w:t>
      </w:r>
    </w:p>
    <w:p>
      <w:pPr>
        <w:pStyle w:val="63"/>
        <w:numPr>
          <w:ilvl w:val="0"/>
          <w:numId w:val="6"/>
        </w:numPr>
        <w:ind w:firstLineChars="0"/>
        <w:rPr>
          <w:highlight w:val="none"/>
        </w:rPr>
      </w:pPr>
      <w:r>
        <w:rPr>
          <w:rFonts w:hint="eastAsia"/>
          <w:highlight w:val="none"/>
        </w:rPr>
        <w:t>《广元市国土空间总体规划（20</w:t>
      </w:r>
      <w:r>
        <w:rPr>
          <w:highlight w:val="none"/>
        </w:rPr>
        <w:t>21</w:t>
      </w:r>
      <w:r>
        <w:rPr>
          <w:rFonts w:hint="eastAsia"/>
          <w:highlight w:val="none"/>
        </w:rPr>
        <w:t>-2035年）》；</w:t>
      </w:r>
    </w:p>
    <w:p>
      <w:pPr>
        <w:pStyle w:val="63"/>
        <w:numPr>
          <w:ilvl w:val="0"/>
          <w:numId w:val="6"/>
        </w:numPr>
        <w:ind w:firstLineChars="0"/>
        <w:rPr>
          <w:highlight w:val="none"/>
        </w:rPr>
      </w:pPr>
      <w:r>
        <w:rPr>
          <w:rFonts w:hint="eastAsia"/>
          <w:highlight w:val="none"/>
        </w:rPr>
        <w:t>《苍溪县国土空间总体规划（2021-2035年）》；</w:t>
      </w:r>
    </w:p>
    <w:p>
      <w:pPr>
        <w:pStyle w:val="63"/>
        <w:numPr>
          <w:ilvl w:val="0"/>
          <w:numId w:val="6"/>
        </w:numPr>
        <w:ind w:firstLineChars="0"/>
        <w:rPr>
          <w:highlight w:val="none"/>
        </w:rPr>
      </w:pPr>
      <w:r>
        <w:rPr>
          <w:rFonts w:hint="eastAsia"/>
          <w:highlight w:val="none"/>
        </w:rPr>
        <w:t>《四川省开发区发展规划（2023-2027年）》；</w:t>
      </w:r>
    </w:p>
    <w:p>
      <w:pPr>
        <w:pStyle w:val="63"/>
        <w:numPr>
          <w:ilvl w:val="0"/>
          <w:numId w:val="6"/>
        </w:numPr>
        <w:ind w:firstLineChars="0"/>
        <w:rPr>
          <w:highlight w:val="none"/>
        </w:rPr>
      </w:pPr>
      <w:r>
        <w:rPr>
          <w:rFonts w:hint="eastAsia"/>
          <w:highlight w:val="none"/>
        </w:rPr>
        <w:t>《四川省“十四五”制造业高质量发展规划》；</w:t>
      </w:r>
    </w:p>
    <w:p>
      <w:pPr>
        <w:pStyle w:val="63"/>
        <w:numPr>
          <w:ilvl w:val="0"/>
          <w:numId w:val="6"/>
        </w:numPr>
        <w:snapToGrid w:val="0"/>
        <w:ind w:left="0" w:firstLineChars="0"/>
        <w:rPr>
          <w:highlight w:val="none"/>
        </w:rPr>
      </w:pPr>
      <w:r>
        <w:rPr>
          <w:rFonts w:hint="eastAsia"/>
          <w:highlight w:val="none"/>
        </w:rPr>
        <w:t>《广元市“十四五”新型工业化发展规划（修订）》；</w:t>
      </w:r>
    </w:p>
    <w:p>
      <w:pPr>
        <w:pStyle w:val="63"/>
        <w:numPr>
          <w:ilvl w:val="0"/>
          <w:numId w:val="6"/>
        </w:numPr>
        <w:snapToGrid w:val="0"/>
        <w:ind w:left="0" w:firstLineChars="0"/>
        <w:rPr>
          <w:highlight w:val="none"/>
        </w:rPr>
      </w:pPr>
      <w:r>
        <w:rPr>
          <w:rFonts w:hint="eastAsia"/>
          <w:highlight w:val="none"/>
        </w:rPr>
        <w:t>《广元市硅基新材料产业发展规划(2023-2030年)》；</w:t>
      </w:r>
    </w:p>
    <w:p>
      <w:pPr>
        <w:pStyle w:val="63"/>
        <w:numPr>
          <w:ilvl w:val="0"/>
          <w:numId w:val="6"/>
        </w:numPr>
        <w:snapToGrid w:val="0"/>
        <w:ind w:left="0" w:firstLineChars="0"/>
        <w:rPr>
          <w:highlight w:val="none"/>
        </w:rPr>
      </w:pPr>
      <w:r>
        <w:rPr>
          <w:highlight w:val="none"/>
        </w:rPr>
        <w:t>《</w:t>
      </w:r>
      <w:r>
        <w:rPr>
          <w:rFonts w:hint="eastAsia"/>
          <w:highlight w:val="none"/>
        </w:rPr>
        <w:t>苍溪县</w:t>
      </w:r>
      <w:r>
        <w:rPr>
          <w:highlight w:val="none"/>
        </w:rPr>
        <w:t>环境质量报告书》</w:t>
      </w:r>
      <w:r>
        <w:rPr>
          <w:rFonts w:hint="eastAsia"/>
          <w:highlight w:val="none"/>
        </w:rPr>
        <w:t>；</w:t>
      </w:r>
    </w:p>
    <w:p>
      <w:pPr>
        <w:pStyle w:val="63"/>
        <w:numPr>
          <w:ilvl w:val="0"/>
          <w:numId w:val="6"/>
        </w:numPr>
        <w:snapToGrid w:val="0"/>
        <w:ind w:left="0" w:firstLineChars="0"/>
        <w:rPr>
          <w:highlight w:val="none"/>
        </w:rPr>
      </w:pPr>
      <w:r>
        <w:rPr>
          <w:rFonts w:hint="eastAsia"/>
          <w:highlight w:val="none"/>
        </w:rPr>
        <w:t>苍溪县人民政府关于设立百利工业园区的批复（苍府函〔2023〕72号）；</w:t>
      </w:r>
    </w:p>
    <w:p>
      <w:pPr>
        <w:pStyle w:val="63"/>
        <w:numPr>
          <w:ilvl w:val="0"/>
          <w:numId w:val="6"/>
        </w:numPr>
        <w:snapToGrid w:val="0"/>
        <w:ind w:left="0" w:firstLineChars="0"/>
        <w:rPr>
          <w:highlight w:val="none"/>
        </w:rPr>
      </w:pPr>
      <w:r>
        <w:rPr>
          <w:highlight w:val="none"/>
        </w:rPr>
        <w:t>规划环境影响评价的委托书</w:t>
      </w:r>
      <w:r>
        <w:rPr>
          <w:rFonts w:hint="eastAsia"/>
          <w:highlight w:val="none"/>
        </w:rPr>
        <w:t>；</w:t>
      </w:r>
    </w:p>
    <w:p>
      <w:pPr>
        <w:pStyle w:val="63"/>
        <w:numPr>
          <w:ilvl w:val="0"/>
          <w:numId w:val="6"/>
        </w:numPr>
        <w:snapToGrid w:val="0"/>
        <w:ind w:left="0" w:firstLineChars="0"/>
        <w:rPr>
          <w:highlight w:val="none"/>
        </w:rPr>
      </w:pPr>
      <w:r>
        <w:rPr>
          <w:highlight w:val="none"/>
        </w:rPr>
        <w:t>当地社会、经济、环境、水文、气象资料</w:t>
      </w:r>
      <w:r>
        <w:rPr>
          <w:rFonts w:hint="eastAsia"/>
          <w:highlight w:val="none"/>
        </w:rPr>
        <w:t>；</w:t>
      </w:r>
    </w:p>
    <w:p>
      <w:pPr>
        <w:pStyle w:val="63"/>
        <w:numPr>
          <w:ilvl w:val="0"/>
          <w:numId w:val="6"/>
        </w:numPr>
        <w:snapToGrid w:val="0"/>
        <w:ind w:left="0" w:firstLineChars="0"/>
        <w:rPr>
          <w:highlight w:val="none"/>
        </w:rPr>
      </w:pPr>
      <w:r>
        <w:rPr>
          <w:highlight w:val="none"/>
        </w:rPr>
        <w:t>其他相关资料等</w:t>
      </w:r>
      <w:r>
        <w:rPr>
          <w:rFonts w:hint="eastAsia"/>
          <w:highlight w:val="none"/>
        </w:rPr>
        <w:t>。</w:t>
      </w:r>
    </w:p>
    <w:p>
      <w:pPr>
        <w:pStyle w:val="3"/>
        <w:ind w:left="300" w:hanging="300"/>
        <w:rPr>
          <w:highlight w:val="none"/>
        </w:rPr>
      </w:pPr>
      <w:bookmarkStart w:id="4" w:name="_Toc154518126"/>
      <w:r>
        <w:rPr>
          <w:rFonts w:hint="eastAsia"/>
          <w:highlight w:val="none"/>
        </w:rPr>
        <w:t>环境功能区划及评价标准</w:t>
      </w:r>
      <w:bookmarkEnd w:id="4"/>
    </w:p>
    <w:p>
      <w:pPr>
        <w:pStyle w:val="4"/>
        <w:rPr>
          <w:highlight w:val="none"/>
        </w:rPr>
      </w:pPr>
      <w:r>
        <w:rPr>
          <w:rFonts w:hint="eastAsia"/>
          <w:highlight w:val="none"/>
        </w:rPr>
        <w:t>环境功能区划</w:t>
      </w:r>
    </w:p>
    <w:p>
      <w:pPr>
        <w:pStyle w:val="89"/>
        <w:ind w:firstLine="482"/>
        <w:rPr>
          <w:b/>
          <w:bCs w:val="0"/>
          <w:highlight w:val="none"/>
        </w:rPr>
      </w:pPr>
      <w:r>
        <w:rPr>
          <w:rFonts w:hint="eastAsia"/>
          <w:b/>
          <w:bCs w:val="0"/>
          <w:highlight w:val="none"/>
        </w:rPr>
        <w:t>1、生态功能区划</w:t>
      </w:r>
    </w:p>
    <w:p>
      <w:pPr>
        <w:pStyle w:val="89"/>
        <w:ind w:firstLine="480"/>
        <w:rPr>
          <w:szCs w:val="28"/>
          <w:highlight w:val="none"/>
        </w:rPr>
      </w:pPr>
      <w:r>
        <w:rPr>
          <w:rFonts w:hint="eastAsia"/>
          <w:szCs w:val="28"/>
          <w:highlight w:val="none"/>
        </w:rPr>
        <w:t>根据《全国生态功能区划》（</w:t>
      </w:r>
      <w:r>
        <w:rPr>
          <w:szCs w:val="28"/>
          <w:highlight w:val="none"/>
        </w:rPr>
        <w:t>2015</w:t>
      </w:r>
      <w:r>
        <w:rPr>
          <w:rFonts w:hint="eastAsia"/>
          <w:szCs w:val="28"/>
          <w:highlight w:val="none"/>
        </w:rPr>
        <w:t>年修编），园区地处</w:t>
      </w:r>
      <w:r>
        <w:rPr>
          <w:szCs w:val="28"/>
          <w:highlight w:val="none"/>
        </w:rPr>
        <w:t>“</w:t>
      </w:r>
      <w:r>
        <w:rPr>
          <w:rFonts w:hint="eastAsia"/>
          <w:szCs w:val="28"/>
          <w:highlight w:val="none"/>
        </w:rPr>
        <w:t>II-01-30 四川盆地农产品提供功能区</w:t>
      </w:r>
      <w:r>
        <w:rPr>
          <w:szCs w:val="28"/>
          <w:highlight w:val="none"/>
        </w:rPr>
        <w:t>”</w:t>
      </w:r>
      <w:r>
        <w:rPr>
          <w:rFonts w:hint="eastAsia"/>
          <w:szCs w:val="28"/>
          <w:highlight w:val="none"/>
        </w:rPr>
        <w:t>，不属于全国重要生态功能区。农产品提供功能区的生态保护主要方向：（1）严格保护基本农田，培养土壤肥力。（2）加强农田基本建设，增强抗自然灾害的能力。（3）加强水利建设，大力发展节水农业；种养结合，科学施肥.（4）发展无公害农产品、绿色食品和有机食品；调整农业产业和农村经济结构，合理组织农业生产和农村经济活动。（5）在草地畜牧业区，要科学确定草场载畜量，实行季节畜牧业，实现草畜平衡；草地封育改良相结合，实施大范围轮封轮牧制度。</w:t>
      </w:r>
    </w:p>
    <w:p>
      <w:pPr>
        <w:pStyle w:val="89"/>
        <w:ind w:firstLine="480"/>
        <w:rPr>
          <w:szCs w:val="28"/>
          <w:highlight w:val="none"/>
        </w:rPr>
      </w:pPr>
      <w:r>
        <w:rPr>
          <w:rFonts w:hint="eastAsia"/>
          <w:szCs w:val="28"/>
          <w:highlight w:val="none"/>
        </w:rPr>
        <w:t>根据《四川省生态功能区划》，园区地处“Ⅰ-2</w:t>
      </w:r>
      <w:r>
        <w:rPr>
          <w:szCs w:val="28"/>
          <w:highlight w:val="none"/>
        </w:rPr>
        <w:t>-</w:t>
      </w:r>
      <w:r>
        <w:rPr>
          <w:rFonts w:hint="eastAsia"/>
          <w:szCs w:val="28"/>
          <w:highlight w:val="none"/>
        </w:rPr>
        <w:t>3</w:t>
      </w:r>
      <w:r>
        <w:rPr>
          <w:szCs w:val="28"/>
          <w:highlight w:val="none"/>
        </w:rPr>
        <w:t xml:space="preserve"> </w:t>
      </w:r>
      <w:r>
        <w:rPr>
          <w:rFonts w:hint="eastAsia"/>
          <w:szCs w:val="28"/>
          <w:highlight w:val="none"/>
        </w:rPr>
        <w:t>嘉陵江中下游农业与土壤保持生态功能区”，主要生态服务功能为农产品提供功能，人居保障功能，土壤保持功能。生态保护与发展方向是发挥区域中心城市辐射作用，改善人居环境。巩固长江上游防护林成果。加强水利设施建设，增加保水功能，保护耕地。优化农业结构，发展节水型农业，发展绿色食品产业，发展桑蚕养殖及其加工业。改善农村能源结构，发展沼气等清洁能源。建设现代轻纺、食品、石化工业基地和茶叶生产基地。严防资源开发造成的环境污染和生态破坏，限制高耗水产业，防治农村面源污染和水环境污染，保障饮用水安全。</w:t>
      </w:r>
    </w:p>
    <w:p>
      <w:pPr>
        <w:pStyle w:val="89"/>
        <w:ind w:firstLine="482"/>
        <w:rPr>
          <w:b/>
          <w:bCs w:val="0"/>
          <w:highlight w:val="none"/>
        </w:rPr>
      </w:pPr>
      <w:r>
        <w:rPr>
          <w:rFonts w:hint="eastAsia"/>
          <w:b/>
          <w:bCs w:val="0"/>
          <w:highlight w:val="none"/>
        </w:rPr>
        <w:t>2、环境空气功能区划</w:t>
      </w:r>
    </w:p>
    <w:p>
      <w:pPr>
        <w:pStyle w:val="89"/>
        <w:ind w:firstLine="480"/>
        <w:rPr>
          <w:highlight w:val="none"/>
        </w:rPr>
      </w:pPr>
      <w:r>
        <w:rPr>
          <w:rFonts w:hint="eastAsia"/>
          <w:highlight w:val="none"/>
        </w:rPr>
        <w:t>园区规划范围不涉及</w:t>
      </w:r>
      <w:r>
        <w:rPr>
          <w:rFonts w:hint="eastAsia" w:ascii="仿宋_GB2312" w:hAnsi="方正仿宋简体" w:cs="方正仿宋简体"/>
          <w:szCs w:val="32"/>
          <w:highlight w:val="none"/>
        </w:rPr>
        <w:t>自然保护区、风景名胜区和其他需要特殊保护的地区。</w:t>
      </w:r>
      <w:r>
        <w:rPr>
          <w:rFonts w:hint="eastAsia"/>
          <w:highlight w:val="none"/>
        </w:rPr>
        <w:t>根据《广元市环境空气质量功能区划类规定》，区域环境空气二类功能区。</w:t>
      </w:r>
    </w:p>
    <w:p>
      <w:pPr>
        <w:pStyle w:val="89"/>
        <w:ind w:firstLine="482"/>
        <w:rPr>
          <w:b/>
          <w:bCs w:val="0"/>
          <w:highlight w:val="none"/>
        </w:rPr>
      </w:pPr>
      <w:r>
        <w:rPr>
          <w:rFonts w:hint="eastAsia"/>
          <w:b/>
          <w:bCs w:val="0"/>
          <w:highlight w:val="none"/>
        </w:rPr>
        <w:t>3、水环境功能区划</w:t>
      </w:r>
    </w:p>
    <w:p>
      <w:pPr>
        <w:pStyle w:val="89"/>
        <w:ind w:firstLine="480"/>
        <w:rPr>
          <w:highlight w:val="none"/>
        </w:rPr>
      </w:pPr>
      <w:r>
        <w:rPr>
          <w:rFonts w:hint="eastAsia"/>
          <w:highlight w:val="none"/>
        </w:rPr>
        <w:t>园区规划范围内无河流，园区纳污河流为嘉陵江。根据《广元市地表水水域环境功能划类管理规定》，园区废水接纳污水处理厂的排口不涉及到集中式生活饮用水地表水源地一级保护区的范围。嘉陵江确定为Ⅲ类水域。</w:t>
      </w:r>
    </w:p>
    <w:p>
      <w:pPr>
        <w:pStyle w:val="89"/>
        <w:ind w:firstLine="482"/>
        <w:rPr>
          <w:b/>
          <w:bCs w:val="0"/>
          <w:highlight w:val="none"/>
        </w:rPr>
      </w:pPr>
      <w:r>
        <w:rPr>
          <w:rFonts w:hint="eastAsia"/>
          <w:b/>
          <w:bCs w:val="0"/>
          <w:highlight w:val="none"/>
        </w:rPr>
        <w:t>4、噪声环境功能区划</w:t>
      </w:r>
    </w:p>
    <w:p>
      <w:pPr>
        <w:pStyle w:val="89"/>
        <w:ind w:firstLine="480"/>
        <w:rPr>
          <w:highlight w:val="none"/>
        </w:rPr>
      </w:pPr>
      <w:r>
        <w:rPr>
          <w:rFonts w:hint="eastAsia"/>
          <w:kern w:val="0"/>
          <w:highlight w:val="none"/>
          <w:lang w:val="zh-CN"/>
        </w:rPr>
        <w:t>根据《声环境功能区划分技术规范》（GB</w:t>
      </w:r>
      <w:r>
        <w:rPr>
          <w:kern w:val="0"/>
          <w:highlight w:val="none"/>
          <w:lang w:val="zh-CN"/>
        </w:rPr>
        <w:t>/</w:t>
      </w:r>
      <w:r>
        <w:rPr>
          <w:rFonts w:hint="eastAsia"/>
          <w:kern w:val="0"/>
          <w:highlight w:val="none"/>
          <w:lang w:val="zh-CN"/>
        </w:rPr>
        <w:t>T</w:t>
      </w:r>
      <w:r>
        <w:rPr>
          <w:kern w:val="0"/>
          <w:highlight w:val="none"/>
          <w:lang w:val="zh-CN"/>
        </w:rPr>
        <w:t xml:space="preserve"> </w:t>
      </w:r>
      <w:r>
        <w:rPr>
          <w:rFonts w:hint="eastAsia"/>
          <w:kern w:val="0"/>
          <w:highlight w:val="none"/>
          <w:lang w:val="zh-CN"/>
        </w:rPr>
        <w:t>15190-2014），交通干道两侧区域为4a类声环境功能区；园区内外配套的居住区、学校为2类声环境功能区，其余各片区为3类声环境功能区</w:t>
      </w:r>
      <w:r>
        <w:rPr>
          <w:rFonts w:hint="eastAsia"/>
          <w:kern w:val="0"/>
          <w:highlight w:val="none"/>
        </w:rPr>
        <w:t>。</w:t>
      </w:r>
    </w:p>
    <w:p>
      <w:pPr>
        <w:pStyle w:val="4"/>
        <w:rPr>
          <w:highlight w:val="none"/>
        </w:rPr>
      </w:pPr>
      <w:r>
        <w:rPr>
          <w:rFonts w:hint="eastAsia"/>
          <w:highlight w:val="none"/>
        </w:rPr>
        <w:t>评价标准</w:t>
      </w:r>
    </w:p>
    <w:p>
      <w:pPr>
        <w:pStyle w:val="89"/>
        <w:ind w:firstLine="482"/>
        <w:outlineLvl w:val="4"/>
        <w:rPr>
          <w:b/>
          <w:bCs w:val="0"/>
          <w:highlight w:val="none"/>
        </w:rPr>
      </w:pPr>
      <w:r>
        <w:rPr>
          <w:rFonts w:hint="eastAsia"/>
          <w:b/>
          <w:bCs w:val="0"/>
          <w:highlight w:val="none"/>
        </w:rPr>
        <w:t>1、大气环境</w:t>
      </w:r>
    </w:p>
    <w:p>
      <w:pPr>
        <w:pStyle w:val="89"/>
        <w:ind w:firstLine="480"/>
        <w:rPr>
          <w:highlight w:val="none"/>
        </w:rPr>
      </w:pPr>
      <w:r>
        <w:rPr>
          <w:rFonts w:hint="eastAsia"/>
          <w:highlight w:val="none"/>
        </w:rPr>
        <w:t>（1）环境空气质量标准</w:t>
      </w:r>
    </w:p>
    <w:p>
      <w:pPr>
        <w:pStyle w:val="89"/>
        <w:ind w:firstLine="480"/>
        <w:rPr>
          <w:highlight w:val="none"/>
        </w:rPr>
      </w:pPr>
      <w:r>
        <w:rPr>
          <w:rFonts w:hint="eastAsia"/>
          <w:highlight w:val="none"/>
        </w:rPr>
        <w:t>根据区域环境空气功能区划，</w:t>
      </w:r>
      <w:r>
        <w:rPr>
          <w:highlight w:val="none"/>
        </w:rPr>
        <w:t>执行《环境空气质量标准》（GB3095-2012）中的二级标准</w:t>
      </w:r>
      <w:r>
        <w:rPr>
          <w:rFonts w:hint="eastAsia"/>
          <w:highlight w:val="none"/>
        </w:rPr>
        <w:t>，氨、硫化氢</w:t>
      </w:r>
      <w:r>
        <w:rPr>
          <w:rFonts w:hint="eastAsia"/>
          <w:szCs w:val="24"/>
          <w:highlight w:val="none"/>
        </w:rPr>
        <w:t>和TVOC参照执行《环境影响评价技术导则大气环境》</w:t>
      </w:r>
      <w:r>
        <w:rPr>
          <w:rFonts w:hint="eastAsia"/>
          <w:iCs/>
          <w:sz w:val="22"/>
          <w:szCs w:val="24"/>
          <w:highlight w:val="none"/>
        </w:rPr>
        <w:t>（HJ2.2-2018）</w:t>
      </w:r>
      <w:r>
        <w:rPr>
          <w:rFonts w:hint="eastAsia"/>
          <w:szCs w:val="24"/>
          <w:highlight w:val="none"/>
        </w:rPr>
        <w:t>附录D中规定标准限值；非甲烷总烃参照执行《大气污染物综合排放标准详解》（</w:t>
      </w:r>
      <w:r>
        <w:rPr>
          <w:szCs w:val="24"/>
          <w:highlight w:val="none"/>
        </w:rPr>
        <w:t>GB 16297-1996</w:t>
      </w:r>
      <w:r>
        <w:rPr>
          <w:rFonts w:hint="eastAsia"/>
          <w:szCs w:val="24"/>
          <w:highlight w:val="none"/>
        </w:rPr>
        <w:t>）中规定标准值。</w:t>
      </w:r>
      <w:r>
        <w:rPr>
          <w:highlight w:val="none"/>
        </w:rPr>
        <w:t>主要评价因子标准限值见下表。</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1</w:t>
      </w:r>
      <w:r>
        <w:rPr>
          <w:highlight w:val="none"/>
        </w:rPr>
        <w:fldChar w:fldCharType="end"/>
      </w:r>
      <w:r>
        <w:rPr>
          <w:highlight w:val="none"/>
        </w:rPr>
        <w:t xml:space="preserve">  环境</w:t>
      </w:r>
      <w:r>
        <w:rPr>
          <w:rFonts w:hint="eastAsia"/>
          <w:highlight w:val="none"/>
        </w:rPr>
        <w:t>空气质量标准</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78"/>
        <w:gridCol w:w="2184"/>
        <w:gridCol w:w="2767"/>
        <w:gridCol w:w="24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1011" w:type="pct"/>
            <w:shd w:val="clear" w:color="auto" w:fill="auto"/>
            <w:vAlign w:val="center"/>
          </w:tcPr>
          <w:p>
            <w:pPr>
              <w:pStyle w:val="58"/>
              <w:rPr>
                <w:highlight w:val="none"/>
              </w:rPr>
            </w:pPr>
            <w:bookmarkStart w:id="5" w:name="_Hlk46066996"/>
            <w:r>
              <w:rPr>
                <w:highlight w:val="none"/>
              </w:rPr>
              <w:t>污染物名称</w:t>
            </w:r>
          </w:p>
        </w:tc>
        <w:tc>
          <w:tcPr>
            <w:tcW w:w="1176" w:type="pct"/>
            <w:shd w:val="clear" w:color="auto" w:fill="auto"/>
            <w:vAlign w:val="center"/>
          </w:tcPr>
          <w:p>
            <w:pPr>
              <w:pStyle w:val="58"/>
              <w:rPr>
                <w:highlight w:val="none"/>
              </w:rPr>
            </w:pPr>
            <w:r>
              <w:rPr>
                <w:highlight w:val="none"/>
              </w:rPr>
              <w:t>平均时间</w:t>
            </w:r>
          </w:p>
        </w:tc>
        <w:tc>
          <w:tcPr>
            <w:tcW w:w="1490" w:type="pct"/>
            <w:shd w:val="clear" w:color="auto" w:fill="auto"/>
            <w:vAlign w:val="center"/>
          </w:tcPr>
          <w:p>
            <w:pPr>
              <w:pStyle w:val="58"/>
              <w:rPr>
                <w:highlight w:val="none"/>
              </w:rPr>
            </w:pPr>
            <w:r>
              <w:rPr>
                <w:rFonts w:hint="eastAsia"/>
                <w:highlight w:val="none"/>
              </w:rPr>
              <w:t>浓度限值（</w:t>
            </w:r>
            <w:r>
              <w:rPr>
                <w:highlight w:val="none"/>
              </w:rPr>
              <w:t>µg/m</w:t>
            </w:r>
            <w:r>
              <w:rPr>
                <w:highlight w:val="none"/>
                <w:vertAlign w:val="superscript"/>
              </w:rPr>
              <w:t>3</w:t>
            </w:r>
            <w:r>
              <w:rPr>
                <w:rFonts w:hint="eastAsia"/>
                <w:highlight w:val="none"/>
              </w:rPr>
              <w:t>）</w:t>
            </w:r>
          </w:p>
        </w:tc>
        <w:tc>
          <w:tcPr>
            <w:tcW w:w="1323" w:type="pct"/>
            <w:shd w:val="clear" w:color="auto" w:fill="auto"/>
            <w:vAlign w:val="center"/>
          </w:tcPr>
          <w:p>
            <w:pPr>
              <w:pStyle w:val="58"/>
              <w:rPr>
                <w:highlight w:val="none"/>
              </w:rPr>
            </w:pPr>
            <w:r>
              <w:rPr>
                <w:rFonts w:hint="eastAsia"/>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restart"/>
            <w:shd w:val="clear" w:color="auto" w:fill="auto"/>
            <w:vAlign w:val="center"/>
          </w:tcPr>
          <w:p>
            <w:pPr>
              <w:pStyle w:val="58"/>
              <w:rPr>
                <w:highlight w:val="none"/>
              </w:rPr>
            </w:pPr>
            <w:r>
              <w:rPr>
                <w:highlight w:val="none"/>
              </w:rPr>
              <w:t>SO</w:t>
            </w:r>
            <w:r>
              <w:rPr>
                <w:highlight w:val="none"/>
                <w:vertAlign w:val="subscript"/>
              </w:rPr>
              <w:t>2</w:t>
            </w:r>
          </w:p>
        </w:tc>
        <w:tc>
          <w:tcPr>
            <w:tcW w:w="1176" w:type="pct"/>
            <w:shd w:val="clear" w:color="auto" w:fill="auto"/>
            <w:vAlign w:val="center"/>
          </w:tcPr>
          <w:p>
            <w:pPr>
              <w:pStyle w:val="58"/>
              <w:rPr>
                <w:highlight w:val="none"/>
              </w:rPr>
            </w:pPr>
            <w:r>
              <w:rPr>
                <w:highlight w:val="none"/>
              </w:rPr>
              <w:t>年平均值</w:t>
            </w:r>
          </w:p>
        </w:tc>
        <w:tc>
          <w:tcPr>
            <w:tcW w:w="1490" w:type="pct"/>
            <w:shd w:val="clear" w:color="auto" w:fill="auto"/>
            <w:vAlign w:val="center"/>
          </w:tcPr>
          <w:p>
            <w:pPr>
              <w:pStyle w:val="58"/>
              <w:rPr>
                <w:highlight w:val="none"/>
              </w:rPr>
            </w:pPr>
            <w:r>
              <w:rPr>
                <w:highlight w:val="none"/>
              </w:rPr>
              <w:t>60</w:t>
            </w:r>
          </w:p>
        </w:tc>
        <w:tc>
          <w:tcPr>
            <w:tcW w:w="1323" w:type="pct"/>
            <w:vMerge w:val="restart"/>
            <w:shd w:val="clear" w:color="auto" w:fill="auto"/>
            <w:vAlign w:val="center"/>
          </w:tcPr>
          <w:p>
            <w:pPr>
              <w:pStyle w:val="58"/>
              <w:rPr>
                <w:highlight w:val="none"/>
              </w:rPr>
            </w:pPr>
            <w:r>
              <w:rPr>
                <w:highlight w:val="none"/>
              </w:rPr>
              <w:t>《环境空气质量标准》（GB3095-2012）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continue"/>
            <w:shd w:val="clear" w:color="auto" w:fill="auto"/>
            <w:vAlign w:val="center"/>
          </w:tcPr>
          <w:p>
            <w:pPr>
              <w:pStyle w:val="58"/>
              <w:rPr>
                <w:highlight w:val="none"/>
              </w:rPr>
            </w:pPr>
          </w:p>
        </w:tc>
        <w:tc>
          <w:tcPr>
            <w:tcW w:w="1176" w:type="pct"/>
            <w:shd w:val="clear" w:color="auto" w:fill="auto"/>
            <w:vAlign w:val="center"/>
          </w:tcPr>
          <w:p>
            <w:pPr>
              <w:pStyle w:val="58"/>
              <w:rPr>
                <w:highlight w:val="none"/>
              </w:rPr>
            </w:pPr>
            <w:r>
              <w:rPr>
                <w:highlight w:val="none"/>
              </w:rPr>
              <w:t>日平均值</w:t>
            </w:r>
          </w:p>
        </w:tc>
        <w:tc>
          <w:tcPr>
            <w:tcW w:w="1490" w:type="pct"/>
            <w:shd w:val="clear" w:color="auto" w:fill="auto"/>
            <w:vAlign w:val="center"/>
          </w:tcPr>
          <w:p>
            <w:pPr>
              <w:pStyle w:val="58"/>
              <w:rPr>
                <w:highlight w:val="none"/>
              </w:rPr>
            </w:pPr>
            <w:r>
              <w:rPr>
                <w:highlight w:val="none"/>
              </w:rPr>
              <w:t>150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continue"/>
            <w:shd w:val="clear" w:color="auto" w:fill="auto"/>
            <w:vAlign w:val="center"/>
          </w:tcPr>
          <w:p>
            <w:pPr>
              <w:pStyle w:val="58"/>
              <w:rPr>
                <w:highlight w:val="none"/>
              </w:rPr>
            </w:pPr>
          </w:p>
        </w:tc>
        <w:tc>
          <w:tcPr>
            <w:tcW w:w="1176" w:type="pct"/>
            <w:shd w:val="clear" w:color="auto" w:fill="auto"/>
            <w:vAlign w:val="center"/>
          </w:tcPr>
          <w:p>
            <w:pPr>
              <w:pStyle w:val="58"/>
              <w:rPr>
                <w:highlight w:val="none"/>
              </w:rPr>
            </w:pPr>
            <w:r>
              <w:rPr>
                <w:highlight w:val="none"/>
              </w:rPr>
              <w:t>1小时平均值</w:t>
            </w:r>
          </w:p>
        </w:tc>
        <w:tc>
          <w:tcPr>
            <w:tcW w:w="1490" w:type="pct"/>
            <w:shd w:val="clear" w:color="auto" w:fill="auto"/>
            <w:vAlign w:val="center"/>
          </w:tcPr>
          <w:p>
            <w:pPr>
              <w:pStyle w:val="58"/>
              <w:rPr>
                <w:highlight w:val="none"/>
              </w:rPr>
            </w:pPr>
            <w:r>
              <w:rPr>
                <w:highlight w:val="none"/>
              </w:rPr>
              <w:t>500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restart"/>
            <w:shd w:val="clear" w:color="auto" w:fill="auto"/>
            <w:vAlign w:val="center"/>
          </w:tcPr>
          <w:p>
            <w:pPr>
              <w:pStyle w:val="58"/>
              <w:rPr>
                <w:highlight w:val="none"/>
              </w:rPr>
            </w:pPr>
            <w:r>
              <w:rPr>
                <w:highlight w:val="none"/>
              </w:rPr>
              <w:t>NO</w:t>
            </w:r>
            <w:r>
              <w:rPr>
                <w:highlight w:val="none"/>
                <w:vertAlign w:val="subscript"/>
              </w:rPr>
              <w:t>2</w:t>
            </w:r>
          </w:p>
        </w:tc>
        <w:tc>
          <w:tcPr>
            <w:tcW w:w="1176" w:type="pct"/>
            <w:shd w:val="clear" w:color="auto" w:fill="auto"/>
            <w:vAlign w:val="center"/>
          </w:tcPr>
          <w:p>
            <w:pPr>
              <w:pStyle w:val="58"/>
              <w:rPr>
                <w:highlight w:val="none"/>
              </w:rPr>
            </w:pPr>
            <w:r>
              <w:rPr>
                <w:highlight w:val="none"/>
              </w:rPr>
              <w:t>年平均</w:t>
            </w:r>
          </w:p>
        </w:tc>
        <w:tc>
          <w:tcPr>
            <w:tcW w:w="1490" w:type="pct"/>
            <w:shd w:val="clear" w:color="auto" w:fill="auto"/>
            <w:vAlign w:val="center"/>
          </w:tcPr>
          <w:p>
            <w:pPr>
              <w:pStyle w:val="58"/>
              <w:rPr>
                <w:highlight w:val="none"/>
              </w:rPr>
            </w:pPr>
            <w:r>
              <w:rPr>
                <w:rFonts w:hint="eastAsia"/>
                <w:highlight w:val="none"/>
              </w:rPr>
              <w:t>40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continue"/>
            <w:shd w:val="clear" w:color="auto" w:fill="auto"/>
            <w:vAlign w:val="center"/>
          </w:tcPr>
          <w:p>
            <w:pPr>
              <w:pStyle w:val="58"/>
              <w:rPr>
                <w:highlight w:val="none"/>
              </w:rPr>
            </w:pPr>
          </w:p>
        </w:tc>
        <w:tc>
          <w:tcPr>
            <w:tcW w:w="1176" w:type="pct"/>
            <w:shd w:val="clear" w:color="auto" w:fill="auto"/>
            <w:vAlign w:val="center"/>
          </w:tcPr>
          <w:p>
            <w:pPr>
              <w:pStyle w:val="58"/>
              <w:rPr>
                <w:highlight w:val="none"/>
              </w:rPr>
            </w:pPr>
            <w:r>
              <w:rPr>
                <w:highlight w:val="none"/>
              </w:rPr>
              <w:t>24小时平均</w:t>
            </w:r>
          </w:p>
        </w:tc>
        <w:tc>
          <w:tcPr>
            <w:tcW w:w="1490" w:type="pct"/>
            <w:shd w:val="clear" w:color="auto" w:fill="auto"/>
            <w:vAlign w:val="center"/>
          </w:tcPr>
          <w:p>
            <w:pPr>
              <w:pStyle w:val="58"/>
              <w:rPr>
                <w:highlight w:val="none"/>
              </w:rPr>
            </w:pPr>
            <w:r>
              <w:rPr>
                <w:rFonts w:hint="eastAsia"/>
                <w:highlight w:val="none"/>
              </w:rPr>
              <w:t>80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continue"/>
            <w:shd w:val="clear" w:color="auto" w:fill="auto"/>
            <w:vAlign w:val="center"/>
          </w:tcPr>
          <w:p>
            <w:pPr>
              <w:pStyle w:val="58"/>
              <w:rPr>
                <w:highlight w:val="none"/>
              </w:rPr>
            </w:pPr>
          </w:p>
        </w:tc>
        <w:tc>
          <w:tcPr>
            <w:tcW w:w="1176" w:type="pct"/>
            <w:shd w:val="clear" w:color="auto" w:fill="auto"/>
            <w:vAlign w:val="center"/>
          </w:tcPr>
          <w:p>
            <w:pPr>
              <w:pStyle w:val="58"/>
              <w:rPr>
                <w:highlight w:val="none"/>
              </w:rPr>
            </w:pPr>
            <w:r>
              <w:rPr>
                <w:highlight w:val="none"/>
              </w:rPr>
              <w:t>1小时平均</w:t>
            </w:r>
          </w:p>
        </w:tc>
        <w:tc>
          <w:tcPr>
            <w:tcW w:w="1490" w:type="pct"/>
            <w:shd w:val="clear" w:color="auto" w:fill="auto"/>
            <w:vAlign w:val="center"/>
          </w:tcPr>
          <w:p>
            <w:pPr>
              <w:pStyle w:val="58"/>
              <w:rPr>
                <w:highlight w:val="none"/>
              </w:rPr>
            </w:pPr>
            <w:r>
              <w:rPr>
                <w:rFonts w:hint="eastAsia"/>
                <w:highlight w:val="none"/>
              </w:rPr>
              <w:t>200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restart"/>
            <w:shd w:val="clear" w:color="auto" w:fill="auto"/>
            <w:vAlign w:val="center"/>
          </w:tcPr>
          <w:p>
            <w:pPr>
              <w:pStyle w:val="58"/>
              <w:rPr>
                <w:highlight w:val="none"/>
              </w:rPr>
            </w:pPr>
            <w:r>
              <w:rPr>
                <w:rFonts w:hint="eastAsia"/>
                <w:highlight w:val="none"/>
              </w:rPr>
              <w:t>C</w:t>
            </w:r>
            <w:r>
              <w:rPr>
                <w:highlight w:val="none"/>
              </w:rPr>
              <w:t>O</w:t>
            </w:r>
          </w:p>
        </w:tc>
        <w:tc>
          <w:tcPr>
            <w:tcW w:w="1176" w:type="pct"/>
            <w:shd w:val="clear" w:color="auto" w:fill="auto"/>
            <w:vAlign w:val="center"/>
          </w:tcPr>
          <w:p>
            <w:pPr>
              <w:pStyle w:val="58"/>
              <w:rPr>
                <w:highlight w:val="none"/>
              </w:rPr>
            </w:pPr>
            <w:r>
              <w:rPr>
                <w:highlight w:val="none"/>
              </w:rPr>
              <w:t>24小时平均</w:t>
            </w:r>
          </w:p>
        </w:tc>
        <w:tc>
          <w:tcPr>
            <w:tcW w:w="1490" w:type="pct"/>
            <w:shd w:val="clear" w:color="auto" w:fill="auto"/>
            <w:vAlign w:val="center"/>
          </w:tcPr>
          <w:p>
            <w:pPr>
              <w:pStyle w:val="58"/>
              <w:rPr>
                <w:highlight w:val="none"/>
              </w:rPr>
            </w:pPr>
            <w:r>
              <w:rPr>
                <w:rFonts w:hint="eastAsia"/>
                <w:highlight w:val="none"/>
              </w:rPr>
              <w:t>4</w:t>
            </w:r>
            <w:r>
              <w:rPr>
                <w:highlight w:val="none"/>
              </w:rPr>
              <w:t>000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continue"/>
            <w:shd w:val="clear" w:color="auto" w:fill="auto"/>
            <w:vAlign w:val="center"/>
          </w:tcPr>
          <w:p>
            <w:pPr>
              <w:pStyle w:val="58"/>
              <w:rPr>
                <w:highlight w:val="none"/>
              </w:rPr>
            </w:pPr>
          </w:p>
        </w:tc>
        <w:tc>
          <w:tcPr>
            <w:tcW w:w="1176" w:type="pct"/>
            <w:shd w:val="clear" w:color="auto" w:fill="auto"/>
            <w:vAlign w:val="center"/>
          </w:tcPr>
          <w:p>
            <w:pPr>
              <w:pStyle w:val="58"/>
              <w:rPr>
                <w:highlight w:val="none"/>
              </w:rPr>
            </w:pPr>
            <w:r>
              <w:rPr>
                <w:highlight w:val="none"/>
              </w:rPr>
              <w:t>1小时平均</w:t>
            </w:r>
          </w:p>
        </w:tc>
        <w:tc>
          <w:tcPr>
            <w:tcW w:w="1490" w:type="pct"/>
            <w:shd w:val="clear" w:color="auto" w:fill="auto"/>
            <w:vAlign w:val="center"/>
          </w:tcPr>
          <w:p>
            <w:pPr>
              <w:pStyle w:val="58"/>
              <w:rPr>
                <w:highlight w:val="none"/>
              </w:rPr>
            </w:pPr>
            <w:r>
              <w:rPr>
                <w:rFonts w:hint="eastAsia"/>
                <w:highlight w:val="none"/>
              </w:rPr>
              <w:t>10</w:t>
            </w:r>
            <w:r>
              <w:rPr>
                <w:highlight w:val="none"/>
              </w:rPr>
              <w:t>000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restart"/>
            <w:shd w:val="clear" w:color="auto" w:fill="auto"/>
            <w:vAlign w:val="center"/>
          </w:tcPr>
          <w:p>
            <w:pPr>
              <w:pStyle w:val="58"/>
              <w:rPr>
                <w:highlight w:val="none"/>
              </w:rPr>
            </w:pPr>
            <w:r>
              <w:rPr>
                <w:rFonts w:hint="eastAsia"/>
                <w:highlight w:val="none"/>
              </w:rPr>
              <w:t>O</w:t>
            </w:r>
            <w:r>
              <w:rPr>
                <w:highlight w:val="none"/>
                <w:vertAlign w:val="subscript"/>
              </w:rPr>
              <w:t>3</w:t>
            </w:r>
          </w:p>
        </w:tc>
        <w:tc>
          <w:tcPr>
            <w:tcW w:w="1176" w:type="pct"/>
            <w:shd w:val="clear" w:color="auto" w:fill="auto"/>
            <w:vAlign w:val="center"/>
          </w:tcPr>
          <w:p>
            <w:pPr>
              <w:pStyle w:val="58"/>
              <w:rPr>
                <w:highlight w:val="none"/>
              </w:rPr>
            </w:pPr>
            <w:r>
              <w:rPr>
                <w:rFonts w:hint="eastAsia"/>
                <w:highlight w:val="none"/>
              </w:rPr>
              <w:t>日最大8</w:t>
            </w:r>
            <w:r>
              <w:rPr>
                <w:highlight w:val="none"/>
              </w:rPr>
              <w:t>小时平均</w:t>
            </w:r>
          </w:p>
        </w:tc>
        <w:tc>
          <w:tcPr>
            <w:tcW w:w="1490" w:type="pct"/>
            <w:shd w:val="clear" w:color="auto" w:fill="auto"/>
            <w:vAlign w:val="center"/>
          </w:tcPr>
          <w:p>
            <w:pPr>
              <w:pStyle w:val="58"/>
              <w:rPr>
                <w:highlight w:val="none"/>
              </w:rPr>
            </w:pPr>
            <w:r>
              <w:rPr>
                <w:highlight w:val="none"/>
              </w:rPr>
              <w:t>160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continue"/>
            <w:shd w:val="clear" w:color="auto" w:fill="auto"/>
            <w:vAlign w:val="center"/>
          </w:tcPr>
          <w:p>
            <w:pPr>
              <w:pStyle w:val="58"/>
              <w:rPr>
                <w:highlight w:val="none"/>
              </w:rPr>
            </w:pPr>
          </w:p>
        </w:tc>
        <w:tc>
          <w:tcPr>
            <w:tcW w:w="1176" w:type="pct"/>
            <w:shd w:val="clear" w:color="auto" w:fill="auto"/>
            <w:vAlign w:val="center"/>
          </w:tcPr>
          <w:p>
            <w:pPr>
              <w:pStyle w:val="58"/>
              <w:rPr>
                <w:highlight w:val="none"/>
              </w:rPr>
            </w:pPr>
            <w:r>
              <w:rPr>
                <w:highlight w:val="none"/>
              </w:rPr>
              <w:t>1小时平均</w:t>
            </w:r>
          </w:p>
        </w:tc>
        <w:tc>
          <w:tcPr>
            <w:tcW w:w="1490" w:type="pct"/>
            <w:shd w:val="clear" w:color="auto" w:fill="auto"/>
            <w:vAlign w:val="center"/>
          </w:tcPr>
          <w:p>
            <w:pPr>
              <w:pStyle w:val="58"/>
              <w:rPr>
                <w:highlight w:val="none"/>
              </w:rPr>
            </w:pPr>
            <w:r>
              <w:rPr>
                <w:highlight w:val="none"/>
              </w:rPr>
              <w:t>200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restart"/>
            <w:shd w:val="clear" w:color="auto" w:fill="auto"/>
            <w:vAlign w:val="center"/>
          </w:tcPr>
          <w:p>
            <w:pPr>
              <w:pStyle w:val="58"/>
              <w:rPr>
                <w:highlight w:val="none"/>
              </w:rPr>
            </w:pPr>
            <w:r>
              <w:rPr>
                <w:highlight w:val="none"/>
              </w:rPr>
              <w:t>PM</w:t>
            </w:r>
            <w:r>
              <w:rPr>
                <w:highlight w:val="none"/>
                <w:vertAlign w:val="subscript"/>
              </w:rPr>
              <w:t>2.5</w:t>
            </w:r>
          </w:p>
        </w:tc>
        <w:tc>
          <w:tcPr>
            <w:tcW w:w="1176" w:type="pct"/>
            <w:shd w:val="clear" w:color="auto" w:fill="auto"/>
            <w:vAlign w:val="center"/>
          </w:tcPr>
          <w:p>
            <w:pPr>
              <w:pStyle w:val="58"/>
              <w:rPr>
                <w:highlight w:val="none"/>
              </w:rPr>
            </w:pPr>
            <w:r>
              <w:rPr>
                <w:highlight w:val="none"/>
              </w:rPr>
              <w:t>年平均</w:t>
            </w:r>
          </w:p>
        </w:tc>
        <w:tc>
          <w:tcPr>
            <w:tcW w:w="1490" w:type="pct"/>
            <w:shd w:val="clear" w:color="auto" w:fill="auto"/>
            <w:vAlign w:val="center"/>
          </w:tcPr>
          <w:p>
            <w:pPr>
              <w:pStyle w:val="58"/>
              <w:rPr>
                <w:highlight w:val="none"/>
              </w:rPr>
            </w:pPr>
            <w:r>
              <w:rPr>
                <w:highlight w:val="none"/>
              </w:rPr>
              <w:t>35</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continue"/>
            <w:shd w:val="clear" w:color="auto" w:fill="auto"/>
            <w:vAlign w:val="center"/>
          </w:tcPr>
          <w:p>
            <w:pPr>
              <w:pStyle w:val="58"/>
              <w:rPr>
                <w:highlight w:val="none"/>
              </w:rPr>
            </w:pPr>
          </w:p>
        </w:tc>
        <w:tc>
          <w:tcPr>
            <w:tcW w:w="1176" w:type="pct"/>
            <w:shd w:val="clear" w:color="auto" w:fill="auto"/>
            <w:vAlign w:val="center"/>
          </w:tcPr>
          <w:p>
            <w:pPr>
              <w:pStyle w:val="58"/>
              <w:rPr>
                <w:highlight w:val="none"/>
              </w:rPr>
            </w:pPr>
            <w:r>
              <w:rPr>
                <w:highlight w:val="none"/>
              </w:rPr>
              <w:t>24小时平均</w:t>
            </w:r>
          </w:p>
        </w:tc>
        <w:tc>
          <w:tcPr>
            <w:tcW w:w="1490" w:type="pct"/>
            <w:shd w:val="clear" w:color="auto" w:fill="auto"/>
            <w:vAlign w:val="center"/>
          </w:tcPr>
          <w:p>
            <w:pPr>
              <w:pStyle w:val="58"/>
              <w:rPr>
                <w:highlight w:val="none"/>
              </w:rPr>
            </w:pPr>
            <w:r>
              <w:rPr>
                <w:highlight w:val="none"/>
              </w:rPr>
              <w:t>75</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restart"/>
            <w:shd w:val="clear" w:color="auto" w:fill="auto"/>
            <w:vAlign w:val="center"/>
          </w:tcPr>
          <w:p>
            <w:pPr>
              <w:pStyle w:val="58"/>
              <w:rPr>
                <w:highlight w:val="none"/>
              </w:rPr>
            </w:pPr>
            <w:r>
              <w:rPr>
                <w:highlight w:val="none"/>
              </w:rPr>
              <w:t>PM</w:t>
            </w:r>
            <w:r>
              <w:rPr>
                <w:highlight w:val="none"/>
                <w:vertAlign w:val="subscript"/>
              </w:rPr>
              <w:t>10</w:t>
            </w:r>
          </w:p>
        </w:tc>
        <w:tc>
          <w:tcPr>
            <w:tcW w:w="1176" w:type="pct"/>
            <w:shd w:val="clear" w:color="auto" w:fill="auto"/>
            <w:vAlign w:val="center"/>
          </w:tcPr>
          <w:p>
            <w:pPr>
              <w:pStyle w:val="58"/>
              <w:rPr>
                <w:highlight w:val="none"/>
              </w:rPr>
            </w:pPr>
            <w:r>
              <w:rPr>
                <w:highlight w:val="none"/>
              </w:rPr>
              <w:t>年平均</w:t>
            </w:r>
          </w:p>
        </w:tc>
        <w:tc>
          <w:tcPr>
            <w:tcW w:w="1490" w:type="pct"/>
            <w:shd w:val="clear" w:color="auto" w:fill="auto"/>
            <w:vAlign w:val="center"/>
          </w:tcPr>
          <w:p>
            <w:pPr>
              <w:pStyle w:val="58"/>
              <w:rPr>
                <w:highlight w:val="none"/>
              </w:rPr>
            </w:pPr>
            <w:r>
              <w:rPr>
                <w:highlight w:val="none"/>
              </w:rPr>
              <w:t>70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continue"/>
            <w:shd w:val="clear" w:color="auto" w:fill="auto"/>
            <w:vAlign w:val="center"/>
          </w:tcPr>
          <w:p>
            <w:pPr>
              <w:pStyle w:val="58"/>
              <w:rPr>
                <w:highlight w:val="none"/>
              </w:rPr>
            </w:pPr>
          </w:p>
        </w:tc>
        <w:tc>
          <w:tcPr>
            <w:tcW w:w="1176" w:type="pct"/>
            <w:shd w:val="clear" w:color="auto" w:fill="auto"/>
            <w:vAlign w:val="center"/>
          </w:tcPr>
          <w:p>
            <w:pPr>
              <w:pStyle w:val="58"/>
              <w:rPr>
                <w:highlight w:val="none"/>
              </w:rPr>
            </w:pPr>
            <w:r>
              <w:rPr>
                <w:highlight w:val="none"/>
              </w:rPr>
              <w:t>24小时平均</w:t>
            </w:r>
          </w:p>
        </w:tc>
        <w:tc>
          <w:tcPr>
            <w:tcW w:w="1490" w:type="pct"/>
            <w:shd w:val="clear" w:color="auto" w:fill="auto"/>
            <w:vAlign w:val="center"/>
          </w:tcPr>
          <w:p>
            <w:pPr>
              <w:pStyle w:val="58"/>
              <w:rPr>
                <w:highlight w:val="none"/>
              </w:rPr>
            </w:pPr>
            <w:r>
              <w:rPr>
                <w:highlight w:val="none"/>
              </w:rPr>
              <w:t>1</w:t>
            </w:r>
            <w:r>
              <w:rPr>
                <w:rFonts w:hint="eastAsia"/>
                <w:highlight w:val="none"/>
              </w:rPr>
              <w:t>50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restart"/>
            <w:shd w:val="clear" w:color="auto" w:fill="auto"/>
            <w:vAlign w:val="center"/>
          </w:tcPr>
          <w:p>
            <w:pPr>
              <w:pStyle w:val="58"/>
              <w:rPr>
                <w:highlight w:val="none"/>
              </w:rPr>
            </w:pPr>
            <w:r>
              <w:rPr>
                <w:rFonts w:hint="eastAsia"/>
                <w:highlight w:val="none"/>
              </w:rPr>
              <w:t>T</w:t>
            </w:r>
            <w:r>
              <w:rPr>
                <w:highlight w:val="none"/>
              </w:rPr>
              <w:t>SP</w:t>
            </w:r>
          </w:p>
        </w:tc>
        <w:tc>
          <w:tcPr>
            <w:tcW w:w="1176" w:type="pct"/>
            <w:shd w:val="clear" w:color="auto" w:fill="auto"/>
            <w:vAlign w:val="center"/>
          </w:tcPr>
          <w:p>
            <w:pPr>
              <w:pStyle w:val="58"/>
              <w:rPr>
                <w:highlight w:val="none"/>
              </w:rPr>
            </w:pPr>
            <w:r>
              <w:rPr>
                <w:highlight w:val="none"/>
              </w:rPr>
              <w:t>年平均</w:t>
            </w:r>
          </w:p>
        </w:tc>
        <w:tc>
          <w:tcPr>
            <w:tcW w:w="1490" w:type="pct"/>
            <w:shd w:val="clear" w:color="auto" w:fill="auto"/>
            <w:vAlign w:val="center"/>
          </w:tcPr>
          <w:p>
            <w:pPr>
              <w:pStyle w:val="58"/>
              <w:rPr>
                <w:highlight w:val="none"/>
              </w:rPr>
            </w:pPr>
            <w:r>
              <w:rPr>
                <w:highlight w:val="none"/>
              </w:rPr>
              <w:t>200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continue"/>
            <w:shd w:val="clear" w:color="auto" w:fill="auto"/>
            <w:vAlign w:val="center"/>
          </w:tcPr>
          <w:p>
            <w:pPr>
              <w:pStyle w:val="58"/>
              <w:rPr>
                <w:highlight w:val="none"/>
              </w:rPr>
            </w:pPr>
          </w:p>
        </w:tc>
        <w:tc>
          <w:tcPr>
            <w:tcW w:w="1176" w:type="pct"/>
            <w:shd w:val="clear" w:color="auto" w:fill="auto"/>
            <w:vAlign w:val="center"/>
          </w:tcPr>
          <w:p>
            <w:pPr>
              <w:pStyle w:val="58"/>
              <w:rPr>
                <w:highlight w:val="none"/>
              </w:rPr>
            </w:pPr>
            <w:r>
              <w:rPr>
                <w:highlight w:val="none"/>
              </w:rPr>
              <w:t>24小时平均</w:t>
            </w:r>
          </w:p>
        </w:tc>
        <w:tc>
          <w:tcPr>
            <w:tcW w:w="1490" w:type="pct"/>
            <w:shd w:val="clear" w:color="auto" w:fill="auto"/>
            <w:vAlign w:val="center"/>
          </w:tcPr>
          <w:p>
            <w:pPr>
              <w:pStyle w:val="58"/>
              <w:rPr>
                <w:highlight w:val="none"/>
              </w:rPr>
            </w:pPr>
            <w:r>
              <w:rPr>
                <w:highlight w:val="none"/>
              </w:rPr>
              <w:t>300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restart"/>
            <w:shd w:val="clear" w:color="auto" w:fill="auto"/>
            <w:vAlign w:val="center"/>
          </w:tcPr>
          <w:p>
            <w:pPr>
              <w:pStyle w:val="58"/>
              <w:rPr>
                <w:highlight w:val="none"/>
              </w:rPr>
            </w:pPr>
            <w:r>
              <w:rPr>
                <w:rFonts w:hint="eastAsia"/>
                <w:highlight w:val="none"/>
              </w:rPr>
              <w:t>氟化物（F）</w:t>
            </w:r>
          </w:p>
        </w:tc>
        <w:tc>
          <w:tcPr>
            <w:tcW w:w="1176" w:type="pct"/>
            <w:shd w:val="clear" w:color="auto" w:fill="auto"/>
            <w:vAlign w:val="center"/>
          </w:tcPr>
          <w:p>
            <w:pPr>
              <w:pStyle w:val="58"/>
              <w:rPr>
                <w:highlight w:val="none"/>
              </w:rPr>
            </w:pPr>
            <w:r>
              <w:rPr>
                <w:highlight w:val="none"/>
              </w:rPr>
              <w:t>1小时平均</w:t>
            </w:r>
          </w:p>
        </w:tc>
        <w:tc>
          <w:tcPr>
            <w:tcW w:w="1490" w:type="pct"/>
            <w:shd w:val="clear" w:color="auto" w:fill="auto"/>
            <w:vAlign w:val="center"/>
          </w:tcPr>
          <w:p>
            <w:pPr>
              <w:pStyle w:val="58"/>
              <w:rPr>
                <w:highlight w:val="none"/>
              </w:rPr>
            </w:pPr>
            <w:r>
              <w:rPr>
                <w:rFonts w:hint="eastAsia"/>
                <w:highlight w:val="none"/>
              </w:rPr>
              <w:t>2</w:t>
            </w:r>
            <w:r>
              <w:rPr>
                <w:highlight w:val="none"/>
              </w:rPr>
              <w:t>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vMerge w:val="continue"/>
            <w:shd w:val="clear" w:color="auto" w:fill="auto"/>
            <w:vAlign w:val="center"/>
          </w:tcPr>
          <w:p>
            <w:pPr>
              <w:pStyle w:val="58"/>
              <w:rPr>
                <w:highlight w:val="none"/>
              </w:rPr>
            </w:pPr>
          </w:p>
        </w:tc>
        <w:tc>
          <w:tcPr>
            <w:tcW w:w="1176" w:type="pct"/>
            <w:shd w:val="clear" w:color="auto" w:fill="auto"/>
            <w:vAlign w:val="center"/>
          </w:tcPr>
          <w:p>
            <w:pPr>
              <w:pStyle w:val="58"/>
              <w:rPr>
                <w:highlight w:val="none"/>
              </w:rPr>
            </w:pPr>
            <w:r>
              <w:rPr>
                <w:highlight w:val="none"/>
              </w:rPr>
              <w:t>24小时平均</w:t>
            </w:r>
          </w:p>
        </w:tc>
        <w:tc>
          <w:tcPr>
            <w:tcW w:w="1490" w:type="pct"/>
            <w:shd w:val="clear" w:color="auto" w:fill="auto"/>
            <w:vAlign w:val="center"/>
          </w:tcPr>
          <w:p>
            <w:pPr>
              <w:pStyle w:val="58"/>
              <w:rPr>
                <w:highlight w:val="none"/>
              </w:rPr>
            </w:pPr>
            <w:r>
              <w:rPr>
                <w:rFonts w:hint="eastAsia"/>
                <w:highlight w:val="none"/>
              </w:rPr>
              <w:t>7</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shd w:val="clear" w:color="auto" w:fill="auto"/>
            <w:vAlign w:val="center"/>
          </w:tcPr>
          <w:p>
            <w:pPr>
              <w:pStyle w:val="58"/>
              <w:rPr>
                <w:highlight w:val="none"/>
              </w:rPr>
            </w:pPr>
            <w:r>
              <w:rPr>
                <w:highlight w:val="none"/>
              </w:rPr>
              <w:t>NH</w:t>
            </w:r>
            <w:r>
              <w:rPr>
                <w:highlight w:val="none"/>
                <w:vertAlign w:val="subscript"/>
              </w:rPr>
              <w:t>3</w:t>
            </w:r>
          </w:p>
        </w:tc>
        <w:tc>
          <w:tcPr>
            <w:tcW w:w="1176" w:type="pct"/>
            <w:shd w:val="clear" w:color="auto" w:fill="auto"/>
            <w:vAlign w:val="center"/>
          </w:tcPr>
          <w:p>
            <w:pPr>
              <w:pStyle w:val="58"/>
              <w:rPr>
                <w:highlight w:val="none"/>
              </w:rPr>
            </w:pPr>
            <w:r>
              <w:rPr>
                <w:highlight w:val="none"/>
              </w:rPr>
              <w:t>1小时平均</w:t>
            </w:r>
          </w:p>
        </w:tc>
        <w:tc>
          <w:tcPr>
            <w:tcW w:w="1490" w:type="pct"/>
            <w:shd w:val="clear" w:color="auto" w:fill="auto"/>
            <w:vAlign w:val="center"/>
          </w:tcPr>
          <w:p>
            <w:pPr>
              <w:pStyle w:val="58"/>
              <w:rPr>
                <w:highlight w:val="none"/>
              </w:rPr>
            </w:pPr>
            <w:r>
              <w:rPr>
                <w:highlight w:val="none"/>
              </w:rPr>
              <w:t>200</w:t>
            </w:r>
          </w:p>
        </w:tc>
        <w:tc>
          <w:tcPr>
            <w:tcW w:w="1323" w:type="pct"/>
            <w:vMerge w:val="restart"/>
            <w:shd w:val="clear" w:color="auto" w:fill="auto"/>
            <w:vAlign w:val="center"/>
          </w:tcPr>
          <w:p>
            <w:pPr>
              <w:pStyle w:val="58"/>
              <w:rPr>
                <w:highlight w:val="none"/>
              </w:rPr>
            </w:pPr>
            <w:r>
              <w:rPr>
                <w:highlight w:val="none"/>
              </w:rPr>
              <w:t>《环境影响评价技术导则大气环境》（HJ2.2-2018）附录D中标准限值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shd w:val="clear" w:color="auto" w:fill="auto"/>
            <w:vAlign w:val="center"/>
          </w:tcPr>
          <w:p>
            <w:pPr>
              <w:pStyle w:val="58"/>
              <w:rPr>
                <w:highlight w:val="none"/>
              </w:rPr>
            </w:pPr>
            <w:r>
              <w:rPr>
                <w:highlight w:val="none"/>
              </w:rPr>
              <w:t>H</w:t>
            </w:r>
            <w:r>
              <w:rPr>
                <w:highlight w:val="none"/>
                <w:vertAlign w:val="subscript"/>
              </w:rPr>
              <w:t>2</w:t>
            </w:r>
            <w:r>
              <w:rPr>
                <w:highlight w:val="none"/>
              </w:rPr>
              <w:t>S</w:t>
            </w:r>
          </w:p>
        </w:tc>
        <w:tc>
          <w:tcPr>
            <w:tcW w:w="1176" w:type="pct"/>
            <w:shd w:val="clear" w:color="auto" w:fill="auto"/>
            <w:vAlign w:val="center"/>
          </w:tcPr>
          <w:p>
            <w:pPr>
              <w:pStyle w:val="58"/>
              <w:rPr>
                <w:highlight w:val="none"/>
              </w:rPr>
            </w:pPr>
            <w:r>
              <w:rPr>
                <w:highlight w:val="none"/>
              </w:rPr>
              <w:t>1h平均</w:t>
            </w:r>
          </w:p>
        </w:tc>
        <w:tc>
          <w:tcPr>
            <w:tcW w:w="1490" w:type="pct"/>
            <w:shd w:val="clear" w:color="auto" w:fill="auto"/>
            <w:vAlign w:val="center"/>
          </w:tcPr>
          <w:p>
            <w:pPr>
              <w:pStyle w:val="58"/>
              <w:rPr>
                <w:highlight w:val="none"/>
              </w:rPr>
            </w:pPr>
            <w:r>
              <w:rPr>
                <w:highlight w:val="none"/>
              </w:rPr>
              <w:t>10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11" w:type="pct"/>
            <w:shd w:val="clear" w:color="auto" w:fill="auto"/>
            <w:vAlign w:val="center"/>
          </w:tcPr>
          <w:p>
            <w:pPr>
              <w:pStyle w:val="58"/>
              <w:rPr>
                <w:highlight w:val="none"/>
              </w:rPr>
            </w:pPr>
            <w:r>
              <w:rPr>
                <w:highlight w:val="none"/>
              </w:rPr>
              <w:t>TVOC</w:t>
            </w:r>
          </w:p>
        </w:tc>
        <w:tc>
          <w:tcPr>
            <w:tcW w:w="1176" w:type="pct"/>
            <w:shd w:val="clear" w:color="auto" w:fill="auto"/>
            <w:vAlign w:val="center"/>
          </w:tcPr>
          <w:p>
            <w:pPr>
              <w:pStyle w:val="58"/>
              <w:rPr>
                <w:highlight w:val="none"/>
              </w:rPr>
            </w:pPr>
            <w:r>
              <w:rPr>
                <w:highlight w:val="none"/>
              </w:rPr>
              <w:t>8h平均</w:t>
            </w:r>
          </w:p>
        </w:tc>
        <w:tc>
          <w:tcPr>
            <w:tcW w:w="1490" w:type="pct"/>
            <w:shd w:val="clear" w:color="auto" w:fill="auto"/>
            <w:vAlign w:val="center"/>
          </w:tcPr>
          <w:p>
            <w:pPr>
              <w:pStyle w:val="58"/>
              <w:rPr>
                <w:highlight w:val="none"/>
              </w:rPr>
            </w:pPr>
            <w:r>
              <w:rPr>
                <w:highlight w:val="none"/>
              </w:rPr>
              <w:t>600</w:t>
            </w:r>
          </w:p>
        </w:tc>
        <w:tc>
          <w:tcPr>
            <w:tcW w:w="1323"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 w:hRule="atLeast"/>
        </w:trPr>
        <w:tc>
          <w:tcPr>
            <w:tcW w:w="1011" w:type="pct"/>
            <w:shd w:val="clear" w:color="auto" w:fill="auto"/>
            <w:vAlign w:val="center"/>
          </w:tcPr>
          <w:p>
            <w:pPr>
              <w:pStyle w:val="58"/>
              <w:rPr>
                <w:highlight w:val="none"/>
              </w:rPr>
            </w:pPr>
            <w:r>
              <w:rPr>
                <w:highlight w:val="none"/>
              </w:rPr>
              <w:t>非甲烷总烃</w:t>
            </w:r>
            <w:r>
              <w:rPr>
                <w:rFonts w:hint="eastAsia"/>
                <w:highlight w:val="none"/>
              </w:rPr>
              <w:t>（NMHC）</w:t>
            </w:r>
          </w:p>
        </w:tc>
        <w:tc>
          <w:tcPr>
            <w:tcW w:w="1176" w:type="pct"/>
            <w:shd w:val="clear" w:color="auto" w:fill="auto"/>
            <w:vAlign w:val="center"/>
          </w:tcPr>
          <w:p>
            <w:pPr>
              <w:pStyle w:val="58"/>
              <w:rPr>
                <w:highlight w:val="none"/>
              </w:rPr>
            </w:pPr>
            <w:r>
              <w:rPr>
                <w:highlight w:val="none"/>
              </w:rPr>
              <w:t>1h平均</w:t>
            </w:r>
          </w:p>
        </w:tc>
        <w:tc>
          <w:tcPr>
            <w:tcW w:w="1490" w:type="pct"/>
            <w:shd w:val="clear" w:color="auto" w:fill="auto"/>
            <w:vAlign w:val="center"/>
          </w:tcPr>
          <w:p>
            <w:pPr>
              <w:pStyle w:val="58"/>
              <w:rPr>
                <w:highlight w:val="none"/>
              </w:rPr>
            </w:pPr>
            <w:r>
              <w:rPr>
                <w:highlight w:val="none"/>
              </w:rPr>
              <w:t>2000</w:t>
            </w:r>
          </w:p>
        </w:tc>
        <w:tc>
          <w:tcPr>
            <w:tcW w:w="1323" w:type="pct"/>
            <w:shd w:val="clear" w:color="auto" w:fill="auto"/>
            <w:vAlign w:val="center"/>
          </w:tcPr>
          <w:p>
            <w:pPr>
              <w:pStyle w:val="58"/>
              <w:rPr>
                <w:highlight w:val="none"/>
              </w:rPr>
            </w:pPr>
            <w:r>
              <w:rPr>
                <w:highlight w:val="none"/>
              </w:rPr>
              <w:t>《大气污染物综合排放标准》详解</w:t>
            </w:r>
          </w:p>
        </w:tc>
      </w:tr>
      <w:bookmarkEnd w:id="5"/>
    </w:tbl>
    <w:p>
      <w:pPr>
        <w:pStyle w:val="58"/>
        <w:rPr>
          <w:highlight w:val="none"/>
        </w:rPr>
      </w:pPr>
    </w:p>
    <w:p>
      <w:pPr>
        <w:pStyle w:val="89"/>
        <w:ind w:firstLine="480"/>
        <w:rPr>
          <w:highlight w:val="none"/>
        </w:rPr>
      </w:pPr>
      <w:r>
        <w:rPr>
          <w:rFonts w:hint="eastAsia"/>
          <w:highlight w:val="none"/>
        </w:rPr>
        <w:t>（</w:t>
      </w:r>
      <w:r>
        <w:rPr>
          <w:highlight w:val="none"/>
        </w:rPr>
        <w:t>2</w:t>
      </w:r>
      <w:r>
        <w:rPr>
          <w:rFonts w:hint="eastAsia"/>
          <w:highlight w:val="none"/>
        </w:rPr>
        <w:t>）大气污染物排放标准</w:t>
      </w:r>
    </w:p>
    <w:p>
      <w:pPr>
        <w:pStyle w:val="89"/>
        <w:ind w:firstLine="480"/>
        <w:rPr>
          <w:highlight w:val="none"/>
        </w:rPr>
      </w:pPr>
      <w:r>
        <w:rPr>
          <w:rFonts w:hint="eastAsia"/>
          <w:highlight w:val="none"/>
        </w:rPr>
        <w:t>施工期扬尘执行《四川省施工场地扬尘排放标准》（DB51/2682-2020）表1中排放限值。</w:t>
      </w:r>
    </w:p>
    <w:p>
      <w:pPr>
        <w:pStyle w:val="89"/>
        <w:ind w:firstLine="480"/>
        <w:rPr>
          <w:highlight w:val="none"/>
        </w:rPr>
      </w:pPr>
      <w:r>
        <w:rPr>
          <w:rFonts w:hint="eastAsia"/>
          <w:highlight w:val="none"/>
        </w:rPr>
        <w:t>园区产业发展主要为硅基新材料产业，近期重点构建光伏电池和玻璃纤维两条产业链，后期逐步发展新型半导体材料和特种玻璃两条产业链。污染物</w:t>
      </w:r>
      <w:r>
        <w:rPr>
          <w:highlight w:val="none"/>
        </w:rPr>
        <w:t>排放标准应针对</w:t>
      </w:r>
      <w:r>
        <w:rPr>
          <w:rFonts w:hint="eastAsia"/>
          <w:highlight w:val="none"/>
        </w:rPr>
        <w:t>即将</w:t>
      </w:r>
      <w:r>
        <w:rPr>
          <w:highlight w:val="none"/>
        </w:rPr>
        <w:t>引进行业（项目）的性质和二类功能区区划</w:t>
      </w:r>
      <w:r>
        <w:rPr>
          <w:rFonts w:hint="eastAsia"/>
          <w:highlight w:val="none"/>
        </w:rPr>
        <w:t>确定。</w:t>
      </w:r>
    </w:p>
    <w:p>
      <w:pPr>
        <w:pStyle w:val="89"/>
        <w:ind w:firstLine="480"/>
        <w:rPr>
          <w:highlight w:val="none"/>
        </w:rPr>
      </w:pPr>
      <w:r>
        <w:rPr>
          <w:highlight w:val="none"/>
        </w:rPr>
        <w:t>除执行各自行业的大气污染排放标准外，</w:t>
      </w:r>
      <w:r>
        <w:rPr>
          <w:rFonts w:hint="eastAsia"/>
          <w:highlight w:val="none"/>
        </w:rPr>
        <w:t>园区内排放的有机废气执行《四川省固定污染源大气挥发性有机物排放标准》（DB51/2377-2017）和《挥发性有机物无组织排放控制标准》（GB37822-2019）；锅炉采取天然气作为能源，锅炉排放的废气执行《锅炉大气污染物排放标准》（</w:t>
      </w:r>
      <w:r>
        <w:rPr>
          <w:highlight w:val="none"/>
        </w:rPr>
        <w:t>GB 13271-2014</w:t>
      </w:r>
      <w:r>
        <w:rPr>
          <w:rFonts w:hint="eastAsia"/>
          <w:highlight w:val="none"/>
        </w:rPr>
        <w:t>）；</w:t>
      </w:r>
      <w:r>
        <w:rPr>
          <w:highlight w:val="none"/>
        </w:rPr>
        <w:t>恶臭污染物排放执行《恶臭污染物排放标准》（GB14554-93）中的二级标准</w:t>
      </w:r>
      <w:r>
        <w:rPr>
          <w:rFonts w:hint="eastAsia"/>
          <w:highlight w:val="none"/>
        </w:rPr>
        <w:t>；其他废气执行《大气污染物综合排放标准》（GB16297-1996）二级标准或无组织排放监控浓度限值。典型污染因子标准限值见下表。</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2</w:t>
      </w:r>
      <w:r>
        <w:rPr>
          <w:highlight w:val="none"/>
        </w:rPr>
        <w:fldChar w:fldCharType="end"/>
      </w:r>
      <w:r>
        <w:rPr>
          <w:highlight w:val="none"/>
        </w:rPr>
        <w:t xml:space="preserve">  </w:t>
      </w:r>
      <w:r>
        <w:rPr>
          <w:rFonts w:hint="eastAsia"/>
          <w:highlight w:val="none"/>
        </w:rPr>
        <w:t>施工期大气污染物排放标准</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67"/>
        <w:gridCol w:w="1268"/>
        <w:gridCol w:w="1818"/>
        <w:gridCol w:w="2561"/>
        <w:gridCol w:w="23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682" w:type="pct"/>
            <w:shd w:val="clear" w:color="auto" w:fill="auto"/>
            <w:vAlign w:val="center"/>
          </w:tcPr>
          <w:p>
            <w:pPr>
              <w:pStyle w:val="58"/>
              <w:rPr>
                <w:highlight w:val="none"/>
              </w:rPr>
            </w:pPr>
            <w:r>
              <w:rPr>
                <w:highlight w:val="none"/>
              </w:rPr>
              <w:t>污染物</w:t>
            </w:r>
          </w:p>
        </w:tc>
        <w:tc>
          <w:tcPr>
            <w:tcW w:w="683" w:type="pct"/>
            <w:shd w:val="clear" w:color="auto" w:fill="auto"/>
            <w:vAlign w:val="center"/>
          </w:tcPr>
          <w:p>
            <w:pPr>
              <w:pStyle w:val="58"/>
              <w:rPr>
                <w:highlight w:val="none"/>
              </w:rPr>
            </w:pPr>
            <w:r>
              <w:rPr>
                <w:highlight w:val="none"/>
              </w:rPr>
              <w:t>区域</w:t>
            </w:r>
          </w:p>
        </w:tc>
        <w:tc>
          <w:tcPr>
            <w:tcW w:w="979" w:type="pct"/>
            <w:shd w:val="clear" w:color="auto" w:fill="auto"/>
            <w:vAlign w:val="center"/>
          </w:tcPr>
          <w:p>
            <w:pPr>
              <w:pStyle w:val="58"/>
              <w:rPr>
                <w:highlight w:val="none"/>
              </w:rPr>
            </w:pPr>
            <w:r>
              <w:rPr>
                <w:highlight w:val="none"/>
              </w:rPr>
              <w:t>施工阶段</w:t>
            </w:r>
          </w:p>
        </w:tc>
        <w:tc>
          <w:tcPr>
            <w:tcW w:w="1379" w:type="pct"/>
            <w:shd w:val="clear" w:color="auto" w:fill="auto"/>
            <w:vAlign w:val="center"/>
          </w:tcPr>
          <w:p>
            <w:pPr>
              <w:pStyle w:val="58"/>
              <w:rPr>
                <w:highlight w:val="none"/>
              </w:rPr>
            </w:pPr>
            <w:r>
              <w:rPr>
                <w:highlight w:val="none"/>
              </w:rPr>
              <w:t>监测点排放限值</w:t>
            </w:r>
          </w:p>
          <w:p>
            <w:pPr>
              <w:pStyle w:val="58"/>
              <w:rPr>
                <w:highlight w:val="none"/>
              </w:rPr>
            </w:pPr>
            <w:r>
              <w:rPr>
                <w:highlight w:val="none"/>
              </w:rPr>
              <w:t>(μg/m3)</w:t>
            </w:r>
          </w:p>
        </w:tc>
        <w:tc>
          <w:tcPr>
            <w:tcW w:w="1277" w:type="pct"/>
            <w:shd w:val="clear" w:color="auto" w:fill="auto"/>
            <w:vAlign w:val="center"/>
          </w:tcPr>
          <w:p>
            <w:pPr>
              <w:pStyle w:val="58"/>
              <w:rPr>
                <w:highlight w:val="none"/>
              </w:rPr>
            </w:pPr>
            <w:r>
              <w:rPr>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682" w:type="pct"/>
            <w:vMerge w:val="restart"/>
            <w:shd w:val="clear" w:color="auto" w:fill="auto"/>
            <w:vAlign w:val="center"/>
          </w:tcPr>
          <w:p>
            <w:pPr>
              <w:pStyle w:val="58"/>
              <w:rPr>
                <w:highlight w:val="none"/>
              </w:rPr>
            </w:pPr>
            <w:r>
              <w:rPr>
                <w:highlight w:val="none"/>
              </w:rPr>
              <w:t>总悬浮颗粒物（TSP）</w:t>
            </w:r>
          </w:p>
        </w:tc>
        <w:tc>
          <w:tcPr>
            <w:tcW w:w="683" w:type="pct"/>
            <w:vMerge w:val="restart"/>
            <w:shd w:val="clear" w:color="auto" w:fill="auto"/>
            <w:vAlign w:val="center"/>
          </w:tcPr>
          <w:p>
            <w:pPr>
              <w:pStyle w:val="58"/>
              <w:rPr>
                <w:highlight w:val="none"/>
              </w:rPr>
            </w:pPr>
            <w:r>
              <w:rPr>
                <w:rFonts w:hint="eastAsia"/>
                <w:highlight w:val="none"/>
              </w:rPr>
              <w:t>成都</w:t>
            </w:r>
            <w:r>
              <w:rPr>
                <w:highlight w:val="none"/>
              </w:rPr>
              <w:t>市</w:t>
            </w:r>
          </w:p>
        </w:tc>
        <w:tc>
          <w:tcPr>
            <w:tcW w:w="979" w:type="pct"/>
            <w:shd w:val="clear" w:color="auto" w:fill="auto"/>
            <w:vAlign w:val="center"/>
          </w:tcPr>
          <w:p>
            <w:pPr>
              <w:pStyle w:val="58"/>
              <w:rPr>
                <w:highlight w:val="none"/>
              </w:rPr>
            </w:pPr>
            <w:r>
              <w:rPr>
                <w:highlight w:val="none"/>
              </w:rPr>
              <w:t>拆除工程/土方开挖/土方回填阶段</w:t>
            </w:r>
          </w:p>
        </w:tc>
        <w:tc>
          <w:tcPr>
            <w:tcW w:w="1379" w:type="pct"/>
            <w:shd w:val="clear" w:color="auto" w:fill="auto"/>
            <w:vAlign w:val="center"/>
          </w:tcPr>
          <w:p>
            <w:pPr>
              <w:pStyle w:val="58"/>
              <w:rPr>
                <w:highlight w:val="none"/>
              </w:rPr>
            </w:pPr>
            <w:r>
              <w:rPr>
                <w:highlight w:val="none"/>
              </w:rPr>
              <w:t>600</w:t>
            </w:r>
          </w:p>
        </w:tc>
        <w:tc>
          <w:tcPr>
            <w:tcW w:w="1277" w:type="pct"/>
            <w:vMerge w:val="restart"/>
            <w:shd w:val="clear" w:color="auto" w:fill="auto"/>
            <w:vAlign w:val="center"/>
          </w:tcPr>
          <w:p>
            <w:pPr>
              <w:pStyle w:val="58"/>
              <w:rPr>
                <w:highlight w:val="none"/>
              </w:rPr>
            </w:pPr>
            <w:r>
              <w:rPr>
                <w:highlight w:val="none"/>
              </w:rPr>
              <w:t>DB51/2682-2020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682" w:type="pct"/>
            <w:vMerge w:val="continue"/>
            <w:shd w:val="clear" w:color="auto" w:fill="auto"/>
            <w:vAlign w:val="center"/>
          </w:tcPr>
          <w:p>
            <w:pPr>
              <w:pStyle w:val="58"/>
              <w:rPr>
                <w:highlight w:val="none"/>
              </w:rPr>
            </w:pPr>
          </w:p>
        </w:tc>
        <w:tc>
          <w:tcPr>
            <w:tcW w:w="683" w:type="pct"/>
            <w:vMerge w:val="continue"/>
            <w:shd w:val="clear" w:color="auto" w:fill="auto"/>
            <w:vAlign w:val="center"/>
          </w:tcPr>
          <w:p>
            <w:pPr>
              <w:pStyle w:val="58"/>
              <w:rPr>
                <w:highlight w:val="none"/>
              </w:rPr>
            </w:pPr>
          </w:p>
        </w:tc>
        <w:tc>
          <w:tcPr>
            <w:tcW w:w="979" w:type="pct"/>
            <w:shd w:val="clear" w:color="auto" w:fill="auto"/>
            <w:vAlign w:val="center"/>
          </w:tcPr>
          <w:p>
            <w:pPr>
              <w:pStyle w:val="58"/>
              <w:rPr>
                <w:highlight w:val="none"/>
              </w:rPr>
            </w:pPr>
            <w:r>
              <w:rPr>
                <w:highlight w:val="none"/>
              </w:rPr>
              <w:t>其他工程阶段</w:t>
            </w:r>
          </w:p>
        </w:tc>
        <w:tc>
          <w:tcPr>
            <w:tcW w:w="1379" w:type="pct"/>
            <w:shd w:val="clear" w:color="auto" w:fill="auto"/>
            <w:vAlign w:val="center"/>
          </w:tcPr>
          <w:p>
            <w:pPr>
              <w:pStyle w:val="58"/>
              <w:rPr>
                <w:highlight w:val="none"/>
              </w:rPr>
            </w:pPr>
            <w:r>
              <w:rPr>
                <w:highlight w:val="none"/>
              </w:rPr>
              <w:t>250</w:t>
            </w:r>
          </w:p>
        </w:tc>
        <w:tc>
          <w:tcPr>
            <w:tcW w:w="1277" w:type="pct"/>
            <w:vMerge w:val="continue"/>
            <w:shd w:val="clear" w:color="auto" w:fill="auto"/>
            <w:vAlign w:val="center"/>
          </w:tcPr>
          <w:p>
            <w:pPr>
              <w:pStyle w:val="58"/>
              <w:rPr>
                <w:highlight w:val="none"/>
              </w:rPr>
            </w:pPr>
          </w:p>
        </w:tc>
      </w:tr>
    </w:tbl>
    <w:p>
      <w:pPr>
        <w:widowControl/>
        <w:spacing w:line="240" w:lineRule="auto"/>
        <w:ind w:firstLine="0" w:firstLineChars="0"/>
        <w:jc w:val="left"/>
        <w:rPr>
          <w:rFonts w:eastAsia="黑体"/>
          <w:sz w:val="21"/>
          <w:highlight w:val="none"/>
        </w:rPr>
      </w:pPr>
      <w:r>
        <w:rPr>
          <w:highlight w:val="none"/>
        </w:rPr>
        <w:br w:type="page"/>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3</w:t>
      </w:r>
      <w:r>
        <w:rPr>
          <w:highlight w:val="none"/>
        </w:rPr>
        <w:fldChar w:fldCharType="end"/>
      </w:r>
      <w:r>
        <w:rPr>
          <w:highlight w:val="none"/>
        </w:rPr>
        <w:t xml:space="preserve">  </w:t>
      </w:r>
      <w:r>
        <w:rPr>
          <w:rFonts w:hint="eastAsia"/>
          <w:highlight w:val="none"/>
        </w:rPr>
        <w:t>玻璃工业大气污染物排放标准</w:t>
      </w:r>
    </w:p>
    <w:tbl>
      <w:tblPr>
        <w:tblStyle w:val="102"/>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828"/>
        <w:gridCol w:w="2552"/>
        <w:gridCol w:w="1042"/>
        <w:gridCol w:w="1808"/>
        <w:gridCol w:w="181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Align w:val="center"/>
          </w:tcPr>
          <w:p>
            <w:pPr>
              <w:pStyle w:val="58"/>
              <w:rPr>
                <w:rFonts w:hint="default" w:cs="Times New Roman"/>
                <w:highlight w:val="none"/>
              </w:rPr>
            </w:pPr>
            <w:r>
              <w:rPr>
                <w:rFonts w:hint="eastAsia" w:cs="Times New Roman"/>
                <w:highlight w:val="none"/>
              </w:rPr>
              <w:t>排放口</w:t>
            </w:r>
          </w:p>
        </w:tc>
        <w:tc>
          <w:tcPr>
            <w:tcW w:w="2552" w:type="dxa"/>
            <w:vAlign w:val="center"/>
          </w:tcPr>
          <w:p>
            <w:pPr>
              <w:pStyle w:val="58"/>
              <w:rPr>
                <w:rFonts w:hint="default" w:cs="Times New Roman"/>
                <w:highlight w:val="none"/>
              </w:rPr>
            </w:pPr>
            <w:r>
              <w:rPr>
                <w:rFonts w:hint="eastAsia" w:cs="Times New Roman"/>
                <w:highlight w:val="none"/>
              </w:rPr>
              <w:t>污染因子</w:t>
            </w:r>
          </w:p>
        </w:tc>
        <w:tc>
          <w:tcPr>
            <w:tcW w:w="1042" w:type="dxa"/>
            <w:vAlign w:val="center"/>
          </w:tcPr>
          <w:p>
            <w:pPr>
              <w:pStyle w:val="58"/>
              <w:rPr>
                <w:rFonts w:hint="default" w:cs="Times New Roman"/>
                <w:highlight w:val="none"/>
              </w:rPr>
            </w:pPr>
            <w:r>
              <w:rPr>
                <w:rFonts w:hint="eastAsia" w:cs="Times New Roman"/>
                <w:highlight w:val="none"/>
              </w:rPr>
              <w:t>单位</w:t>
            </w:r>
          </w:p>
        </w:tc>
        <w:tc>
          <w:tcPr>
            <w:tcW w:w="1808" w:type="dxa"/>
            <w:vAlign w:val="center"/>
          </w:tcPr>
          <w:p>
            <w:pPr>
              <w:pStyle w:val="58"/>
              <w:rPr>
                <w:rFonts w:hint="default" w:cs="Times New Roman"/>
                <w:highlight w:val="none"/>
              </w:rPr>
            </w:pPr>
            <w:r>
              <w:rPr>
                <w:rFonts w:hint="eastAsia" w:cs="Times New Roman"/>
                <w:highlight w:val="none"/>
              </w:rPr>
              <w:t>限值</w:t>
            </w:r>
          </w:p>
        </w:tc>
        <w:tc>
          <w:tcPr>
            <w:tcW w:w="1810" w:type="dxa"/>
            <w:vAlign w:val="center"/>
          </w:tcPr>
          <w:p>
            <w:pPr>
              <w:pStyle w:val="58"/>
              <w:rPr>
                <w:rFonts w:hint="default" w:cs="Times New Roman"/>
                <w:highlight w:val="none"/>
              </w:rPr>
            </w:pPr>
            <w:r>
              <w:rPr>
                <w:rFonts w:hint="eastAsia" w:cs="Times New Roman"/>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restart"/>
            <w:vAlign w:val="center"/>
          </w:tcPr>
          <w:p>
            <w:pPr>
              <w:pStyle w:val="58"/>
              <w:rPr>
                <w:rFonts w:cs="Times New Roman"/>
                <w:highlight w:val="none"/>
              </w:rPr>
            </w:pPr>
            <w:r>
              <w:rPr>
                <w:rFonts w:hint="eastAsia" w:cs="Times New Roman"/>
                <w:highlight w:val="none"/>
              </w:rPr>
              <w:t>玻璃熔窑</w:t>
            </w:r>
          </w:p>
        </w:tc>
        <w:tc>
          <w:tcPr>
            <w:tcW w:w="2552" w:type="dxa"/>
            <w:vAlign w:val="center"/>
          </w:tcPr>
          <w:p>
            <w:pPr>
              <w:pStyle w:val="58"/>
              <w:rPr>
                <w:rFonts w:cs="Times New Roman"/>
                <w:highlight w:val="none"/>
              </w:rPr>
            </w:pPr>
            <w:r>
              <w:rPr>
                <w:rFonts w:hint="eastAsia" w:cs="Times New Roman"/>
                <w:highlight w:val="none"/>
              </w:rPr>
              <w:t>颗粒物</w:t>
            </w:r>
          </w:p>
        </w:tc>
        <w:tc>
          <w:tcPr>
            <w:tcW w:w="1042" w:type="dxa"/>
            <w:vAlign w:val="center"/>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30</w:t>
            </w:r>
          </w:p>
        </w:tc>
        <w:tc>
          <w:tcPr>
            <w:tcW w:w="1810" w:type="dxa"/>
            <w:vMerge w:val="restart"/>
            <w:vAlign w:val="center"/>
          </w:tcPr>
          <w:p>
            <w:pPr>
              <w:pStyle w:val="58"/>
              <w:rPr>
                <w:rFonts w:cs="Times New Roman"/>
                <w:highlight w:val="none"/>
              </w:rPr>
            </w:pPr>
            <w:r>
              <w:rPr>
                <w:rFonts w:hint="eastAsia" w:cs="Times New Roman"/>
                <w:highlight w:val="none"/>
              </w:rPr>
              <w:t>GB26453-2022玻璃工业大气污染物排放标准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continue"/>
            <w:vAlign w:val="center"/>
          </w:tcPr>
          <w:p>
            <w:pPr>
              <w:pStyle w:val="58"/>
              <w:rPr>
                <w:rFonts w:cs="Times New Roman"/>
                <w:highlight w:val="none"/>
              </w:rPr>
            </w:pPr>
          </w:p>
        </w:tc>
        <w:tc>
          <w:tcPr>
            <w:tcW w:w="2552" w:type="dxa"/>
            <w:vAlign w:val="center"/>
          </w:tcPr>
          <w:p>
            <w:pPr>
              <w:pStyle w:val="58"/>
              <w:rPr>
                <w:rFonts w:cs="Times New Roman"/>
                <w:highlight w:val="none"/>
              </w:rPr>
            </w:pPr>
            <w:r>
              <w:rPr>
                <w:rFonts w:hint="eastAsia" w:cs="Times New Roman"/>
                <w:highlight w:val="none"/>
              </w:rPr>
              <w:t>二氧化硫</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200</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continue"/>
            <w:vAlign w:val="center"/>
          </w:tcPr>
          <w:p>
            <w:pPr>
              <w:pStyle w:val="58"/>
              <w:rPr>
                <w:rFonts w:cs="Times New Roman"/>
                <w:highlight w:val="none"/>
              </w:rPr>
            </w:pPr>
          </w:p>
        </w:tc>
        <w:tc>
          <w:tcPr>
            <w:tcW w:w="2552" w:type="dxa"/>
            <w:vAlign w:val="center"/>
          </w:tcPr>
          <w:p>
            <w:pPr>
              <w:pStyle w:val="58"/>
              <w:rPr>
                <w:rFonts w:cs="Times New Roman"/>
                <w:highlight w:val="none"/>
              </w:rPr>
            </w:pPr>
            <w:r>
              <w:rPr>
                <w:rFonts w:hint="eastAsia" w:cs="Times New Roman"/>
                <w:highlight w:val="none"/>
              </w:rPr>
              <w:t>氮氧化物</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400</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continue"/>
            <w:vAlign w:val="center"/>
          </w:tcPr>
          <w:p>
            <w:pPr>
              <w:pStyle w:val="58"/>
              <w:rPr>
                <w:rFonts w:cs="Times New Roman"/>
                <w:highlight w:val="none"/>
              </w:rPr>
            </w:pPr>
          </w:p>
        </w:tc>
        <w:tc>
          <w:tcPr>
            <w:tcW w:w="2552" w:type="dxa"/>
            <w:vAlign w:val="center"/>
          </w:tcPr>
          <w:p>
            <w:pPr>
              <w:pStyle w:val="58"/>
              <w:rPr>
                <w:rFonts w:cs="Times New Roman"/>
                <w:highlight w:val="none"/>
              </w:rPr>
            </w:pPr>
            <w:r>
              <w:rPr>
                <w:rFonts w:hint="eastAsia" w:cs="Times New Roman"/>
                <w:highlight w:val="none"/>
              </w:rPr>
              <w:t>氯化氢</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30</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continue"/>
            <w:vAlign w:val="center"/>
          </w:tcPr>
          <w:p>
            <w:pPr>
              <w:pStyle w:val="58"/>
              <w:rPr>
                <w:rFonts w:cs="Times New Roman"/>
                <w:highlight w:val="none"/>
              </w:rPr>
            </w:pPr>
          </w:p>
        </w:tc>
        <w:tc>
          <w:tcPr>
            <w:tcW w:w="2552" w:type="dxa"/>
            <w:vAlign w:val="center"/>
          </w:tcPr>
          <w:p>
            <w:pPr>
              <w:pStyle w:val="58"/>
              <w:rPr>
                <w:rFonts w:cs="Times New Roman"/>
                <w:highlight w:val="none"/>
              </w:rPr>
            </w:pPr>
            <w:r>
              <w:rPr>
                <w:rFonts w:hint="eastAsia" w:cs="Times New Roman"/>
                <w:highlight w:val="none"/>
              </w:rPr>
              <w:t>氨气</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8</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continue"/>
            <w:vAlign w:val="center"/>
          </w:tcPr>
          <w:p>
            <w:pPr>
              <w:pStyle w:val="58"/>
              <w:rPr>
                <w:rFonts w:cs="Times New Roman"/>
                <w:highlight w:val="none"/>
              </w:rPr>
            </w:pPr>
          </w:p>
        </w:tc>
        <w:tc>
          <w:tcPr>
            <w:tcW w:w="2552" w:type="dxa"/>
            <w:vAlign w:val="center"/>
          </w:tcPr>
          <w:p>
            <w:pPr>
              <w:pStyle w:val="58"/>
              <w:rPr>
                <w:rFonts w:cs="Times New Roman"/>
                <w:highlight w:val="none"/>
              </w:rPr>
            </w:pPr>
            <w:r>
              <w:rPr>
                <w:rFonts w:hint="eastAsia" w:cs="Times New Roman"/>
                <w:highlight w:val="none"/>
              </w:rPr>
              <w:t>氟化物</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5</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continue"/>
            <w:vAlign w:val="center"/>
          </w:tcPr>
          <w:p>
            <w:pPr>
              <w:pStyle w:val="58"/>
              <w:rPr>
                <w:rFonts w:cs="Times New Roman"/>
                <w:highlight w:val="none"/>
              </w:rPr>
            </w:pPr>
          </w:p>
        </w:tc>
        <w:tc>
          <w:tcPr>
            <w:tcW w:w="2552" w:type="dxa"/>
            <w:vAlign w:val="center"/>
          </w:tcPr>
          <w:p>
            <w:pPr>
              <w:pStyle w:val="58"/>
              <w:rPr>
                <w:rFonts w:cs="Times New Roman"/>
                <w:highlight w:val="none"/>
              </w:rPr>
            </w:pPr>
            <w:r>
              <w:rPr>
                <w:rFonts w:hint="eastAsia" w:cs="Times New Roman"/>
                <w:highlight w:val="none"/>
              </w:rPr>
              <w:t>砷及其化合物</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0.5</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continue"/>
            <w:vAlign w:val="center"/>
          </w:tcPr>
          <w:p>
            <w:pPr>
              <w:pStyle w:val="58"/>
              <w:rPr>
                <w:rFonts w:cs="Times New Roman"/>
                <w:highlight w:val="none"/>
              </w:rPr>
            </w:pPr>
          </w:p>
        </w:tc>
        <w:tc>
          <w:tcPr>
            <w:tcW w:w="2552" w:type="dxa"/>
            <w:vAlign w:val="center"/>
          </w:tcPr>
          <w:p>
            <w:pPr>
              <w:pStyle w:val="58"/>
              <w:rPr>
                <w:rFonts w:cs="Times New Roman"/>
                <w:highlight w:val="none"/>
              </w:rPr>
            </w:pPr>
            <w:r>
              <w:rPr>
                <w:rFonts w:hint="eastAsia" w:cs="Times New Roman"/>
                <w:highlight w:val="none"/>
              </w:rPr>
              <w:t>锑及其化合物</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1</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continue"/>
            <w:vAlign w:val="center"/>
          </w:tcPr>
          <w:p>
            <w:pPr>
              <w:pStyle w:val="58"/>
              <w:rPr>
                <w:rFonts w:cs="Times New Roman"/>
                <w:highlight w:val="none"/>
              </w:rPr>
            </w:pPr>
          </w:p>
        </w:tc>
        <w:tc>
          <w:tcPr>
            <w:tcW w:w="2552" w:type="dxa"/>
            <w:vAlign w:val="center"/>
          </w:tcPr>
          <w:p>
            <w:pPr>
              <w:pStyle w:val="58"/>
              <w:rPr>
                <w:rFonts w:cs="Times New Roman"/>
                <w:highlight w:val="none"/>
              </w:rPr>
            </w:pPr>
            <w:r>
              <w:rPr>
                <w:rFonts w:hint="eastAsia" w:cs="Times New Roman"/>
                <w:highlight w:val="none"/>
              </w:rPr>
              <w:t>铅及其化合物</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0.5</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restart"/>
            <w:vAlign w:val="center"/>
          </w:tcPr>
          <w:p>
            <w:pPr>
              <w:pStyle w:val="58"/>
              <w:rPr>
                <w:rFonts w:cs="Times New Roman"/>
                <w:highlight w:val="none"/>
              </w:rPr>
            </w:pPr>
            <w:r>
              <w:rPr>
                <w:rFonts w:hint="eastAsia" w:cs="Times New Roman"/>
                <w:highlight w:val="none"/>
              </w:rPr>
              <w:t>其他车间或生产设施排口</w:t>
            </w:r>
          </w:p>
        </w:tc>
        <w:tc>
          <w:tcPr>
            <w:tcW w:w="2552" w:type="dxa"/>
            <w:vAlign w:val="center"/>
          </w:tcPr>
          <w:p>
            <w:pPr>
              <w:pStyle w:val="58"/>
              <w:rPr>
                <w:rFonts w:cs="Times New Roman"/>
                <w:highlight w:val="none"/>
              </w:rPr>
            </w:pPr>
            <w:r>
              <w:rPr>
                <w:rFonts w:hint="eastAsia" w:cs="Times New Roman"/>
                <w:highlight w:val="none"/>
              </w:rPr>
              <w:t>颗粒物</w:t>
            </w:r>
          </w:p>
        </w:tc>
        <w:tc>
          <w:tcPr>
            <w:tcW w:w="1042" w:type="dxa"/>
            <w:vAlign w:val="center"/>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30</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continue"/>
            <w:vAlign w:val="center"/>
          </w:tcPr>
          <w:p>
            <w:pPr>
              <w:pStyle w:val="58"/>
              <w:rPr>
                <w:rFonts w:cs="Times New Roman"/>
                <w:highlight w:val="none"/>
              </w:rPr>
            </w:pPr>
          </w:p>
        </w:tc>
        <w:tc>
          <w:tcPr>
            <w:tcW w:w="2552" w:type="dxa"/>
            <w:vAlign w:val="center"/>
          </w:tcPr>
          <w:p>
            <w:pPr>
              <w:pStyle w:val="58"/>
              <w:rPr>
                <w:rFonts w:cs="Times New Roman"/>
                <w:highlight w:val="none"/>
              </w:rPr>
            </w:pPr>
            <w:r>
              <w:rPr>
                <w:rFonts w:hint="eastAsia" w:cs="Times New Roman"/>
                <w:highlight w:val="none"/>
              </w:rPr>
              <w:t>苯系物</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40</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continue"/>
            <w:vAlign w:val="center"/>
          </w:tcPr>
          <w:p>
            <w:pPr>
              <w:pStyle w:val="58"/>
              <w:rPr>
                <w:rFonts w:cs="Times New Roman"/>
                <w:highlight w:val="none"/>
              </w:rPr>
            </w:pPr>
          </w:p>
        </w:tc>
        <w:tc>
          <w:tcPr>
            <w:tcW w:w="2552" w:type="dxa"/>
            <w:vAlign w:val="center"/>
          </w:tcPr>
          <w:p>
            <w:pPr>
              <w:pStyle w:val="58"/>
              <w:rPr>
                <w:rFonts w:cs="Times New Roman"/>
                <w:highlight w:val="none"/>
              </w:rPr>
            </w:pPr>
            <w:r>
              <w:rPr>
                <w:rFonts w:hint="eastAsia" w:cs="Times New Roman"/>
                <w:highlight w:val="none"/>
              </w:rPr>
              <w:t>苯</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1</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restart"/>
            <w:vAlign w:val="center"/>
          </w:tcPr>
          <w:p>
            <w:pPr>
              <w:pStyle w:val="58"/>
              <w:rPr>
                <w:rFonts w:cs="Times New Roman"/>
                <w:highlight w:val="none"/>
              </w:rPr>
            </w:pPr>
            <w:r>
              <w:rPr>
                <w:rFonts w:hint="eastAsia" w:cs="Times New Roman"/>
                <w:highlight w:val="none"/>
              </w:rPr>
              <w:t>/</w:t>
            </w:r>
          </w:p>
        </w:tc>
        <w:tc>
          <w:tcPr>
            <w:tcW w:w="2552" w:type="dxa"/>
            <w:vAlign w:val="center"/>
          </w:tcPr>
          <w:p>
            <w:pPr>
              <w:pStyle w:val="58"/>
              <w:rPr>
                <w:rFonts w:cs="Times New Roman"/>
                <w:highlight w:val="none"/>
              </w:rPr>
            </w:pPr>
            <w:r>
              <w:rPr>
                <w:rFonts w:hint="eastAsia" w:cs="Times New Roman"/>
                <w:highlight w:val="none"/>
              </w:rPr>
              <w:t>二氧化硫</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100</w:t>
            </w:r>
          </w:p>
        </w:tc>
        <w:tc>
          <w:tcPr>
            <w:tcW w:w="1810" w:type="dxa"/>
            <w:vMerge w:val="restart"/>
            <w:vAlign w:val="center"/>
          </w:tcPr>
          <w:p>
            <w:pPr>
              <w:pStyle w:val="58"/>
              <w:rPr>
                <w:rFonts w:cs="Times New Roman"/>
                <w:highlight w:val="none"/>
              </w:rPr>
            </w:pPr>
            <w:r>
              <w:rPr>
                <w:rFonts w:hint="eastAsia" w:cs="Times New Roman"/>
                <w:highlight w:val="none"/>
              </w:rPr>
              <w:t>四川省大气污染物工程减量指导意见（2023-2025年）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continue"/>
            <w:vAlign w:val="center"/>
          </w:tcPr>
          <w:p>
            <w:pPr>
              <w:pStyle w:val="58"/>
              <w:rPr>
                <w:rFonts w:cs="Times New Roman"/>
                <w:highlight w:val="none"/>
              </w:rPr>
            </w:pPr>
          </w:p>
        </w:tc>
        <w:tc>
          <w:tcPr>
            <w:tcW w:w="2552" w:type="dxa"/>
            <w:vAlign w:val="center"/>
          </w:tcPr>
          <w:p>
            <w:pPr>
              <w:pStyle w:val="58"/>
              <w:rPr>
                <w:rFonts w:cs="Times New Roman"/>
                <w:highlight w:val="none"/>
              </w:rPr>
            </w:pPr>
            <w:r>
              <w:rPr>
                <w:rFonts w:hint="eastAsia" w:cs="Times New Roman"/>
                <w:highlight w:val="none"/>
              </w:rPr>
              <w:t>氮氧化物</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300</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continue"/>
            <w:vAlign w:val="center"/>
          </w:tcPr>
          <w:p>
            <w:pPr>
              <w:pStyle w:val="58"/>
              <w:rPr>
                <w:rFonts w:cs="Times New Roman"/>
                <w:highlight w:val="none"/>
              </w:rPr>
            </w:pPr>
          </w:p>
        </w:tc>
        <w:tc>
          <w:tcPr>
            <w:tcW w:w="2552" w:type="dxa"/>
            <w:vAlign w:val="center"/>
          </w:tcPr>
          <w:p>
            <w:pPr>
              <w:pStyle w:val="58"/>
              <w:rPr>
                <w:rFonts w:cs="Times New Roman"/>
                <w:highlight w:val="none"/>
              </w:rPr>
            </w:pPr>
            <w:r>
              <w:rPr>
                <w:rFonts w:hint="eastAsia" w:cs="Times New Roman"/>
                <w:highlight w:val="none"/>
              </w:rPr>
              <w:t>颗粒物</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20</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Merge w:val="continue"/>
            <w:vAlign w:val="center"/>
          </w:tcPr>
          <w:p>
            <w:pPr>
              <w:pStyle w:val="58"/>
              <w:rPr>
                <w:rFonts w:cs="Times New Roman"/>
                <w:highlight w:val="none"/>
              </w:rPr>
            </w:pPr>
          </w:p>
        </w:tc>
        <w:tc>
          <w:tcPr>
            <w:tcW w:w="2552" w:type="dxa"/>
            <w:vAlign w:val="center"/>
          </w:tcPr>
          <w:p>
            <w:pPr>
              <w:pStyle w:val="58"/>
              <w:rPr>
                <w:rFonts w:cs="Times New Roman"/>
                <w:highlight w:val="none"/>
              </w:rPr>
            </w:pPr>
            <w:r>
              <w:rPr>
                <w:rFonts w:hint="eastAsia" w:cs="Times New Roman"/>
                <w:highlight w:val="none"/>
              </w:rPr>
              <w:t>氨气</w:t>
            </w:r>
          </w:p>
        </w:tc>
        <w:tc>
          <w:tcPr>
            <w:tcW w:w="1042" w:type="dxa"/>
            <w:vAlign w:val="top"/>
          </w:tcPr>
          <w:p>
            <w:pPr>
              <w:pStyle w:val="58"/>
              <w:rPr>
                <w:rFonts w:cs="Times New Roman"/>
                <w:highlight w:val="none"/>
              </w:rPr>
            </w:pPr>
            <w:r>
              <w:rPr>
                <w:rFonts w:hint="eastAsia" w:cs="Times New Roman"/>
                <w:highlight w:val="none"/>
              </w:rPr>
              <w:t>mg/m</w:t>
            </w:r>
            <w:r>
              <w:rPr>
                <w:rFonts w:hint="eastAsia" w:cs="Times New Roman"/>
                <w:highlight w:val="none"/>
                <w:vertAlign w:val="superscript"/>
              </w:rPr>
              <w:t>3</w:t>
            </w:r>
          </w:p>
        </w:tc>
        <w:tc>
          <w:tcPr>
            <w:tcW w:w="1808" w:type="dxa"/>
            <w:vAlign w:val="center"/>
          </w:tcPr>
          <w:p>
            <w:pPr>
              <w:pStyle w:val="58"/>
              <w:rPr>
                <w:rFonts w:cs="Times New Roman"/>
                <w:highlight w:val="none"/>
              </w:rPr>
            </w:pPr>
            <w:r>
              <w:rPr>
                <w:rFonts w:hint="eastAsia" w:cs="Times New Roman"/>
                <w:highlight w:val="none"/>
              </w:rPr>
              <w:t>8</w:t>
            </w:r>
          </w:p>
        </w:tc>
        <w:tc>
          <w:tcPr>
            <w:tcW w:w="1810"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828" w:type="dxa"/>
            <w:vAlign w:val="center"/>
          </w:tcPr>
          <w:p>
            <w:pPr>
              <w:pStyle w:val="58"/>
              <w:rPr>
                <w:rFonts w:cs="Times New Roman"/>
                <w:highlight w:val="none"/>
              </w:rPr>
            </w:pPr>
            <w:r>
              <w:rPr>
                <w:rFonts w:hint="eastAsia" w:cs="Times New Roman"/>
                <w:highlight w:val="none"/>
              </w:rPr>
              <w:t>无组织</w:t>
            </w:r>
          </w:p>
        </w:tc>
        <w:tc>
          <w:tcPr>
            <w:tcW w:w="5402" w:type="dxa"/>
            <w:gridSpan w:val="3"/>
            <w:vAlign w:val="center"/>
          </w:tcPr>
          <w:p>
            <w:pPr>
              <w:pStyle w:val="58"/>
              <w:jc w:val="both"/>
              <w:rPr>
                <w:rFonts w:cs="Times New Roman"/>
                <w:highlight w:val="none"/>
              </w:rPr>
            </w:pPr>
            <w:r>
              <w:rPr>
                <w:rFonts w:hint="eastAsia" w:cs="Times New Roman"/>
                <w:highlight w:val="none"/>
              </w:rPr>
              <w:t>产尘点及车间不得有可见烟粉尘外逸；石灰、除尘灰、脱硫灰等粉状物料封闭储存，采用封闭皮带、封闭通廊、管状带式输送机或封闭车厢等方式输送。厂房门窗或通风口、其它开口(孔)等排放口外1m，PM浓度小于1.0mg/m</w:t>
            </w:r>
            <w:r>
              <w:rPr>
                <w:rFonts w:hint="eastAsia" w:cs="Times New Roman"/>
                <w:highlight w:val="none"/>
                <w:vertAlign w:val="superscript"/>
              </w:rPr>
              <w:t>3</w:t>
            </w:r>
            <w:r>
              <w:rPr>
                <w:rFonts w:hint="eastAsia" w:cs="Times New Roman"/>
                <w:highlight w:val="none"/>
              </w:rPr>
              <w:t>。</w:t>
            </w:r>
          </w:p>
        </w:tc>
        <w:tc>
          <w:tcPr>
            <w:tcW w:w="1810" w:type="dxa"/>
            <w:vMerge w:val="continue"/>
            <w:vAlign w:val="center"/>
          </w:tcPr>
          <w:p>
            <w:pPr>
              <w:pStyle w:val="58"/>
              <w:rPr>
                <w:rFonts w:cs="Times New Roman"/>
                <w:highlight w:val="none"/>
              </w:rPr>
            </w:pPr>
          </w:p>
        </w:tc>
      </w:tr>
    </w:tbl>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4</w:t>
      </w:r>
      <w:r>
        <w:rPr>
          <w:highlight w:val="none"/>
        </w:rPr>
        <w:fldChar w:fldCharType="end"/>
      </w:r>
      <w:r>
        <w:rPr>
          <w:highlight w:val="none"/>
        </w:rPr>
        <w:t xml:space="preserve">  </w:t>
      </w:r>
      <w:r>
        <w:rPr>
          <w:rFonts w:hint="eastAsia"/>
          <w:highlight w:val="none"/>
        </w:rPr>
        <w:t>VOCs污染物排放标准</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7"/>
        <w:gridCol w:w="1040"/>
        <w:gridCol w:w="1135"/>
        <w:gridCol w:w="1311"/>
        <w:gridCol w:w="1164"/>
        <w:gridCol w:w="1311"/>
        <w:gridCol w:w="24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trPr>
        <w:tc>
          <w:tcPr>
            <w:tcW w:w="467" w:type="pct"/>
            <w:shd w:val="clear" w:color="auto" w:fill="auto"/>
            <w:vAlign w:val="center"/>
          </w:tcPr>
          <w:p>
            <w:pPr>
              <w:pStyle w:val="58"/>
              <w:rPr>
                <w:highlight w:val="none"/>
              </w:rPr>
            </w:pPr>
            <w:r>
              <w:rPr>
                <w:rFonts w:hint="eastAsia"/>
                <w:highlight w:val="none"/>
              </w:rPr>
              <w:t>序号</w:t>
            </w:r>
          </w:p>
        </w:tc>
        <w:tc>
          <w:tcPr>
            <w:tcW w:w="560" w:type="pct"/>
            <w:shd w:val="clear" w:color="auto" w:fill="auto"/>
            <w:vAlign w:val="center"/>
          </w:tcPr>
          <w:p>
            <w:pPr>
              <w:pStyle w:val="58"/>
              <w:rPr>
                <w:highlight w:val="none"/>
              </w:rPr>
            </w:pPr>
            <w:r>
              <w:rPr>
                <w:highlight w:val="none"/>
              </w:rPr>
              <w:t>污染物</w:t>
            </w:r>
          </w:p>
        </w:tc>
        <w:tc>
          <w:tcPr>
            <w:tcW w:w="611" w:type="pct"/>
            <w:shd w:val="clear" w:color="auto" w:fill="auto"/>
            <w:vAlign w:val="center"/>
          </w:tcPr>
          <w:p>
            <w:pPr>
              <w:pStyle w:val="58"/>
              <w:rPr>
                <w:highlight w:val="none"/>
              </w:rPr>
            </w:pPr>
            <w:r>
              <w:rPr>
                <w:highlight w:val="none"/>
              </w:rPr>
              <w:t>排放高度</w:t>
            </w:r>
          </w:p>
          <w:p>
            <w:pPr>
              <w:pStyle w:val="58"/>
              <w:rPr>
                <w:highlight w:val="none"/>
              </w:rPr>
            </w:pPr>
            <w:r>
              <w:rPr>
                <w:highlight w:val="none"/>
              </w:rPr>
              <w:t>(m)</w:t>
            </w:r>
          </w:p>
        </w:tc>
        <w:tc>
          <w:tcPr>
            <w:tcW w:w="706" w:type="pct"/>
            <w:shd w:val="clear" w:color="auto" w:fill="auto"/>
            <w:vAlign w:val="center"/>
          </w:tcPr>
          <w:p>
            <w:pPr>
              <w:pStyle w:val="58"/>
              <w:rPr>
                <w:highlight w:val="none"/>
              </w:rPr>
            </w:pPr>
            <w:r>
              <w:rPr>
                <w:highlight w:val="none"/>
              </w:rPr>
              <w:t>浓度限值</w:t>
            </w:r>
          </w:p>
          <w:p>
            <w:pPr>
              <w:pStyle w:val="58"/>
              <w:rPr>
                <w:highlight w:val="none"/>
              </w:rPr>
            </w:pPr>
            <w:r>
              <w:rPr>
                <w:highlight w:val="none"/>
              </w:rPr>
              <w:t>(mg/m</w:t>
            </w:r>
            <w:r>
              <w:rPr>
                <w:highlight w:val="none"/>
                <w:vertAlign w:val="superscript"/>
              </w:rPr>
              <w:t>3</w:t>
            </w:r>
            <w:r>
              <w:rPr>
                <w:highlight w:val="none"/>
              </w:rPr>
              <w:t>)</w:t>
            </w:r>
          </w:p>
        </w:tc>
        <w:tc>
          <w:tcPr>
            <w:tcW w:w="627" w:type="pct"/>
            <w:shd w:val="clear" w:color="auto" w:fill="auto"/>
            <w:vAlign w:val="center"/>
          </w:tcPr>
          <w:p>
            <w:pPr>
              <w:pStyle w:val="58"/>
              <w:rPr>
                <w:highlight w:val="none"/>
              </w:rPr>
            </w:pPr>
            <w:r>
              <w:rPr>
                <w:highlight w:val="none"/>
              </w:rPr>
              <w:t>排放速率</w:t>
            </w:r>
          </w:p>
          <w:p>
            <w:pPr>
              <w:pStyle w:val="58"/>
              <w:rPr>
                <w:highlight w:val="none"/>
              </w:rPr>
            </w:pPr>
            <w:r>
              <w:rPr>
                <w:highlight w:val="none"/>
              </w:rPr>
              <w:t>(kg/h)</w:t>
            </w:r>
          </w:p>
        </w:tc>
        <w:tc>
          <w:tcPr>
            <w:tcW w:w="706" w:type="pct"/>
            <w:shd w:val="clear" w:color="auto" w:fill="auto"/>
            <w:vAlign w:val="center"/>
          </w:tcPr>
          <w:p>
            <w:pPr>
              <w:pStyle w:val="58"/>
              <w:rPr>
                <w:highlight w:val="none"/>
              </w:rPr>
            </w:pPr>
            <w:r>
              <w:rPr>
                <w:rFonts w:hint="eastAsia"/>
                <w:highlight w:val="none"/>
              </w:rPr>
              <w:t>无组织控制值</w:t>
            </w:r>
            <w:r>
              <w:rPr>
                <w:highlight w:val="none"/>
              </w:rPr>
              <w:t>(mg/m</w:t>
            </w:r>
            <w:r>
              <w:rPr>
                <w:highlight w:val="none"/>
                <w:vertAlign w:val="superscript"/>
              </w:rPr>
              <w:t>3</w:t>
            </w:r>
            <w:r>
              <w:rPr>
                <w:highlight w:val="none"/>
              </w:rPr>
              <w:t>)</w:t>
            </w:r>
          </w:p>
        </w:tc>
        <w:tc>
          <w:tcPr>
            <w:tcW w:w="1323" w:type="pct"/>
            <w:shd w:val="clear" w:color="auto" w:fill="auto"/>
            <w:vAlign w:val="center"/>
          </w:tcPr>
          <w:p>
            <w:pPr>
              <w:pStyle w:val="58"/>
              <w:rPr>
                <w:highlight w:val="none"/>
              </w:rPr>
            </w:pPr>
            <w:r>
              <w:rPr>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467" w:type="pct"/>
            <w:shd w:val="clear" w:color="auto" w:fill="auto"/>
            <w:vAlign w:val="center"/>
          </w:tcPr>
          <w:p>
            <w:pPr>
              <w:pStyle w:val="58"/>
              <w:rPr>
                <w:highlight w:val="none"/>
              </w:rPr>
            </w:pPr>
            <w:r>
              <w:rPr>
                <w:rFonts w:hint="eastAsia"/>
                <w:highlight w:val="none"/>
              </w:rPr>
              <w:t>1</w:t>
            </w:r>
          </w:p>
        </w:tc>
        <w:tc>
          <w:tcPr>
            <w:tcW w:w="560" w:type="pct"/>
            <w:shd w:val="clear" w:color="auto" w:fill="auto"/>
            <w:vAlign w:val="center"/>
          </w:tcPr>
          <w:p>
            <w:pPr>
              <w:pStyle w:val="58"/>
              <w:rPr>
                <w:highlight w:val="none"/>
              </w:rPr>
            </w:pPr>
            <w:r>
              <w:rPr>
                <w:rFonts w:hint="eastAsia"/>
                <w:highlight w:val="none"/>
              </w:rPr>
              <w:t>VOCs</w:t>
            </w:r>
          </w:p>
        </w:tc>
        <w:tc>
          <w:tcPr>
            <w:tcW w:w="611" w:type="pct"/>
            <w:shd w:val="clear" w:color="auto" w:fill="auto"/>
            <w:vAlign w:val="center"/>
          </w:tcPr>
          <w:p>
            <w:pPr>
              <w:pStyle w:val="58"/>
              <w:rPr>
                <w:highlight w:val="none"/>
              </w:rPr>
            </w:pPr>
            <w:r>
              <w:rPr>
                <w:highlight w:val="none"/>
              </w:rPr>
              <w:t>15</w:t>
            </w:r>
          </w:p>
        </w:tc>
        <w:tc>
          <w:tcPr>
            <w:tcW w:w="706" w:type="pct"/>
            <w:shd w:val="clear" w:color="auto" w:fill="auto"/>
            <w:vAlign w:val="center"/>
          </w:tcPr>
          <w:p>
            <w:pPr>
              <w:pStyle w:val="58"/>
              <w:rPr>
                <w:highlight w:val="none"/>
              </w:rPr>
            </w:pPr>
            <w:r>
              <w:rPr>
                <w:rFonts w:hint="eastAsia"/>
                <w:highlight w:val="none"/>
              </w:rPr>
              <w:t>60</w:t>
            </w:r>
          </w:p>
        </w:tc>
        <w:tc>
          <w:tcPr>
            <w:tcW w:w="627" w:type="pct"/>
            <w:shd w:val="clear" w:color="auto" w:fill="auto"/>
            <w:vAlign w:val="center"/>
          </w:tcPr>
          <w:p>
            <w:pPr>
              <w:pStyle w:val="58"/>
              <w:rPr>
                <w:highlight w:val="none"/>
              </w:rPr>
            </w:pPr>
            <w:r>
              <w:rPr>
                <w:rFonts w:hint="eastAsia"/>
                <w:highlight w:val="none"/>
              </w:rPr>
              <w:t>3.4</w:t>
            </w:r>
          </w:p>
        </w:tc>
        <w:tc>
          <w:tcPr>
            <w:tcW w:w="706" w:type="pct"/>
            <w:shd w:val="clear" w:color="auto" w:fill="auto"/>
            <w:vAlign w:val="center"/>
          </w:tcPr>
          <w:p>
            <w:pPr>
              <w:pStyle w:val="58"/>
              <w:rPr>
                <w:highlight w:val="none"/>
              </w:rPr>
            </w:pPr>
            <w:r>
              <w:rPr>
                <w:rFonts w:hint="eastAsia"/>
                <w:highlight w:val="none"/>
              </w:rPr>
              <w:t>2.0</w:t>
            </w:r>
          </w:p>
        </w:tc>
        <w:tc>
          <w:tcPr>
            <w:tcW w:w="1323" w:type="pct"/>
            <w:shd w:val="clear" w:color="auto" w:fill="auto"/>
            <w:vAlign w:val="center"/>
          </w:tcPr>
          <w:p>
            <w:pPr>
              <w:pStyle w:val="58"/>
              <w:rPr>
                <w:highlight w:val="none"/>
              </w:rPr>
            </w:pPr>
            <w:r>
              <w:rPr>
                <w:rFonts w:hint="eastAsia"/>
                <w:highlight w:val="none"/>
              </w:rPr>
              <w:t>DB51/2377-2017</w:t>
            </w:r>
          </w:p>
        </w:tc>
      </w:tr>
    </w:tbl>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5</w:t>
      </w:r>
      <w:r>
        <w:rPr>
          <w:highlight w:val="none"/>
        </w:rPr>
        <w:fldChar w:fldCharType="end"/>
      </w:r>
      <w:r>
        <w:rPr>
          <w:highlight w:val="none"/>
        </w:rPr>
        <w:t xml:space="preserve">  </w:t>
      </w:r>
      <w:r>
        <w:rPr>
          <w:rFonts w:hint="eastAsia"/>
          <w:highlight w:val="none"/>
        </w:rPr>
        <w:t>厂区内挥发性有机物无组织排放控制标准</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2"/>
        <w:gridCol w:w="1740"/>
        <w:gridCol w:w="2608"/>
        <w:gridCol w:w="1335"/>
        <w:gridCol w:w="23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4" w:hRule="atLeast"/>
        </w:trPr>
        <w:tc>
          <w:tcPr>
            <w:tcW w:w="701" w:type="pct"/>
            <w:shd w:val="clear" w:color="auto" w:fill="auto"/>
            <w:vAlign w:val="center"/>
          </w:tcPr>
          <w:p>
            <w:pPr>
              <w:pStyle w:val="58"/>
              <w:rPr>
                <w:highlight w:val="none"/>
              </w:rPr>
            </w:pPr>
            <w:r>
              <w:rPr>
                <w:highlight w:val="none"/>
              </w:rPr>
              <w:t>污染物</w:t>
            </w:r>
          </w:p>
        </w:tc>
        <w:tc>
          <w:tcPr>
            <w:tcW w:w="937" w:type="pct"/>
            <w:shd w:val="clear" w:color="auto" w:fill="auto"/>
            <w:vAlign w:val="center"/>
          </w:tcPr>
          <w:p>
            <w:pPr>
              <w:pStyle w:val="58"/>
              <w:rPr>
                <w:highlight w:val="none"/>
              </w:rPr>
            </w:pPr>
            <w:r>
              <w:rPr>
                <w:rFonts w:hint="eastAsia"/>
                <w:highlight w:val="none"/>
              </w:rPr>
              <w:t>特别</w:t>
            </w:r>
            <w:r>
              <w:rPr>
                <w:highlight w:val="none"/>
              </w:rPr>
              <w:t>排放浓度限值（mg/m</w:t>
            </w:r>
            <w:r>
              <w:rPr>
                <w:highlight w:val="none"/>
                <w:vertAlign w:val="superscript"/>
              </w:rPr>
              <w:t>3</w:t>
            </w:r>
            <w:r>
              <w:rPr>
                <w:highlight w:val="none"/>
              </w:rPr>
              <w:t>）</w:t>
            </w:r>
          </w:p>
        </w:tc>
        <w:tc>
          <w:tcPr>
            <w:tcW w:w="1404" w:type="pct"/>
            <w:shd w:val="clear" w:color="auto" w:fill="auto"/>
            <w:vAlign w:val="center"/>
          </w:tcPr>
          <w:p>
            <w:pPr>
              <w:pStyle w:val="58"/>
              <w:rPr>
                <w:highlight w:val="none"/>
              </w:rPr>
            </w:pPr>
            <w:r>
              <w:rPr>
                <w:rFonts w:hint="eastAsia"/>
                <w:highlight w:val="none"/>
              </w:rPr>
              <w:t>限值含义</w:t>
            </w:r>
          </w:p>
        </w:tc>
        <w:tc>
          <w:tcPr>
            <w:tcW w:w="719" w:type="pct"/>
            <w:shd w:val="clear" w:color="auto" w:fill="auto"/>
            <w:vAlign w:val="center"/>
          </w:tcPr>
          <w:p>
            <w:pPr>
              <w:pStyle w:val="58"/>
              <w:rPr>
                <w:highlight w:val="none"/>
              </w:rPr>
            </w:pPr>
            <w:r>
              <w:rPr>
                <w:rFonts w:hint="eastAsia"/>
                <w:highlight w:val="none"/>
              </w:rPr>
              <w:t>无组织排放监控位置</w:t>
            </w:r>
          </w:p>
        </w:tc>
        <w:tc>
          <w:tcPr>
            <w:tcW w:w="1239" w:type="pct"/>
            <w:shd w:val="clear" w:color="auto" w:fill="auto"/>
            <w:vAlign w:val="center"/>
          </w:tcPr>
          <w:p>
            <w:pPr>
              <w:pStyle w:val="58"/>
              <w:rPr>
                <w:highlight w:val="none"/>
              </w:rPr>
            </w:pPr>
            <w:r>
              <w:rPr>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1" w:type="pct"/>
            <w:vMerge w:val="restart"/>
            <w:shd w:val="clear" w:color="auto" w:fill="auto"/>
            <w:vAlign w:val="center"/>
          </w:tcPr>
          <w:p>
            <w:pPr>
              <w:pStyle w:val="58"/>
              <w:rPr>
                <w:highlight w:val="none"/>
              </w:rPr>
            </w:pPr>
            <w:r>
              <w:rPr>
                <w:highlight w:val="none"/>
              </w:rPr>
              <w:t>非甲烷总烃</w:t>
            </w:r>
            <w:r>
              <w:rPr>
                <w:rFonts w:hint="eastAsia"/>
                <w:highlight w:val="none"/>
              </w:rPr>
              <w:t>（NMHC）</w:t>
            </w:r>
          </w:p>
        </w:tc>
        <w:tc>
          <w:tcPr>
            <w:tcW w:w="937" w:type="pct"/>
            <w:shd w:val="clear" w:color="auto" w:fill="auto"/>
            <w:vAlign w:val="center"/>
          </w:tcPr>
          <w:p>
            <w:pPr>
              <w:pStyle w:val="58"/>
              <w:rPr>
                <w:highlight w:val="none"/>
              </w:rPr>
            </w:pPr>
            <w:r>
              <w:rPr>
                <w:rFonts w:hint="eastAsia"/>
                <w:highlight w:val="none"/>
              </w:rPr>
              <w:t>6</w:t>
            </w:r>
          </w:p>
        </w:tc>
        <w:tc>
          <w:tcPr>
            <w:tcW w:w="1404" w:type="pct"/>
            <w:shd w:val="clear" w:color="auto" w:fill="auto"/>
            <w:vAlign w:val="center"/>
          </w:tcPr>
          <w:p>
            <w:pPr>
              <w:pStyle w:val="58"/>
              <w:rPr>
                <w:highlight w:val="none"/>
              </w:rPr>
            </w:pPr>
            <w:r>
              <w:rPr>
                <w:rFonts w:hint="eastAsia"/>
                <w:highlight w:val="none"/>
              </w:rPr>
              <w:t>监控点处1h平均浓度值</w:t>
            </w:r>
          </w:p>
        </w:tc>
        <w:tc>
          <w:tcPr>
            <w:tcW w:w="719" w:type="pct"/>
            <w:vMerge w:val="restart"/>
            <w:shd w:val="clear" w:color="auto" w:fill="auto"/>
            <w:vAlign w:val="center"/>
          </w:tcPr>
          <w:p>
            <w:pPr>
              <w:pStyle w:val="58"/>
              <w:rPr>
                <w:highlight w:val="none"/>
              </w:rPr>
            </w:pPr>
            <w:r>
              <w:rPr>
                <w:rFonts w:hint="eastAsia"/>
                <w:highlight w:val="none"/>
              </w:rPr>
              <w:t>在厂房外设置监控点</w:t>
            </w:r>
          </w:p>
        </w:tc>
        <w:tc>
          <w:tcPr>
            <w:tcW w:w="1239" w:type="pct"/>
            <w:vMerge w:val="restart"/>
            <w:shd w:val="clear" w:color="auto" w:fill="auto"/>
            <w:vAlign w:val="center"/>
          </w:tcPr>
          <w:p>
            <w:pPr>
              <w:pStyle w:val="58"/>
              <w:rPr>
                <w:highlight w:val="none"/>
              </w:rPr>
            </w:pPr>
            <w:r>
              <w:rPr>
                <w:rFonts w:hint="eastAsia"/>
                <w:highlight w:val="none"/>
              </w:rPr>
              <w:t>GB37822-2019附录A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1" w:type="pct"/>
            <w:vMerge w:val="continue"/>
            <w:shd w:val="clear" w:color="auto" w:fill="auto"/>
            <w:vAlign w:val="center"/>
          </w:tcPr>
          <w:p>
            <w:pPr>
              <w:pStyle w:val="58"/>
              <w:rPr>
                <w:highlight w:val="none"/>
              </w:rPr>
            </w:pPr>
          </w:p>
        </w:tc>
        <w:tc>
          <w:tcPr>
            <w:tcW w:w="937" w:type="pct"/>
            <w:shd w:val="clear" w:color="auto" w:fill="auto"/>
            <w:vAlign w:val="center"/>
          </w:tcPr>
          <w:p>
            <w:pPr>
              <w:pStyle w:val="58"/>
              <w:rPr>
                <w:highlight w:val="none"/>
              </w:rPr>
            </w:pPr>
            <w:r>
              <w:rPr>
                <w:rFonts w:hint="eastAsia"/>
                <w:highlight w:val="none"/>
              </w:rPr>
              <w:t>20</w:t>
            </w:r>
          </w:p>
        </w:tc>
        <w:tc>
          <w:tcPr>
            <w:tcW w:w="1404" w:type="pct"/>
            <w:shd w:val="clear" w:color="auto" w:fill="auto"/>
            <w:vAlign w:val="center"/>
          </w:tcPr>
          <w:p>
            <w:pPr>
              <w:pStyle w:val="58"/>
              <w:rPr>
                <w:highlight w:val="none"/>
              </w:rPr>
            </w:pPr>
            <w:r>
              <w:rPr>
                <w:rFonts w:hint="eastAsia"/>
                <w:highlight w:val="none"/>
              </w:rPr>
              <w:t>监控点出任意一次浓度值</w:t>
            </w:r>
          </w:p>
        </w:tc>
        <w:tc>
          <w:tcPr>
            <w:tcW w:w="719" w:type="pct"/>
            <w:vMerge w:val="continue"/>
            <w:shd w:val="clear" w:color="auto" w:fill="auto"/>
            <w:vAlign w:val="center"/>
          </w:tcPr>
          <w:p>
            <w:pPr>
              <w:pStyle w:val="58"/>
              <w:rPr>
                <w:highlight w:val="none"/>
              </w:rPr>
            </w:pPr>
          </w:p>
        </w:tc>
        <w:tc>
          <w:tcPr>
            <w:tcW w:w="1239" w:type="pct"/>
            <w:vMerge w:val="continue"/>
            <w:shd w:val="clear" w:color="auto" w:fill="auto"/>
            <w:vAlign w:val="center"/>
          </w:tcPr>
          <w:p>
            <w:pPr>
              <w:pStyle w:val="58"/>
              <w:rPr>
                <w:highlight w:val="none"/>
              </w:rPr>
            </w:pPr>
          </w:p>
        </w:tc>
      </w:tr>
    </w:tbl>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6</w:t>
      </w:r>
      <w:r>
        <w:rPr>
          <w:highlight w:val="none"/>
        </w:rPr>
        <w:fldChar w:fldCharType="end"/>
      </w:r>
      <w:r>
        <w:rPr>
          <w:highlight w:val="none"/>
        </w:rPr>
        <w:t xml:space="preserve">  </w:t>
      </w:r>
      <w:r>
        <w:rPr>
          <w:rFonts w:hint="eastAsia"/>
          <w:highlight w:val="none"/>
        </w:rPr>
        <w:t>锅炉大气污染物排放标准</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305"/>
        <w:gridCol w:w="2883"/>
        <w:gridCol w:w="1574"/>
        <w:gridCol w:w="15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795" w:type="pct"/>
            <w:shd w:val="clear" w:color="auto" w:fill="auto"/>
            <w:vAlign w:val="center"/>
          </w:tcPr>
          <w:p>
            <w:pPr>
              <w:pStyle w:val="58"/>
              <w:rPr>
                <w:highlight w:val="none"/>
              </w:rPr>
            </w:pPr>
            <w:r>
              <w:rPr>
                <w:highlight w:val="none"/>
              </w:rPr>
              <w:t>污染物</w:t>
            </w:r>
          </w:p>
        </w:tc>
        <w:tc>
          <w:tcPr>
            <w:tcW w:w="1568" w:type="pct"/>
            <w:shd w:val="clear" w:color="auto" w:fill="auto"/>
            <w:vAlign w:val="center"/>
          </w:tcPr>
          <w:p>
            <w:pPr>
              <w:pStyle w:val="58"/>
              <w:rPr>
                <w:highlight w:val="none"/>
              </w:rPr>
            </w:pPr>
            <w:r>
              <w:rPr>
                <w:rFonts w:hint="eastAsia"/>
                <w:highlight w:val="none"/>
              </w:rPr>
              <w:t>燃气锅炉</w:t>
            </w:r>
            <w:r>
              <w:rPr>
                <w:highlight w:val="none"/>
              </w:rPr>
              <w:t>排放浓度限值(mg/m³)</w:t>
            </w:r>
          </w:p>
        </w:tc>
        <w:tc>
          <w:tcPr>
            <w:tcW w:w="863" w:type="pct"/>
            <w:shd w:val="clear" w:color="auto" w:fill="auto"/>
            <w:vAlign w:val="center"/>
          </w:tcPr>
          <w:p>
            <w:pPr>
              <w:pStyle w:val="58"/>
              <w:rPr>
                <w:highlight w:val="none"/>
              </w:rPr>
            </w:pPr>
            <w:r>
              <w:rPr>
                <w:highlight w:val="none"/>
              </w:rPr>
              <w:t>污染物排放监控位置</w:t>
            </w:r>
          </w:p>
        </w:tc>
        <w:tc>
          <w:tcPr>
            <w:tcW w:w="774" w:type="pct"/>
            <w:shd w:val="clear" w:color="auto" w:fill="auto"/>
            <w:vAlign w:val="center"/>
          </w:tcPr>
          <w:p>
            <w:pPr>
              <w:pStyle w:val="58"/>
              <w:rPr>
                <w:highlight w:val="none"/>
              </w:rPr>
            </w:pPr>
            <w:r>
              <w:rPr>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795" w:type="pct"/>
            <w:shd w:val="clear" w:color="auto" w:fill="auto"/>
            <w:vAlign w:val="center"/>
          </w:tcPr>
          <w:p>
            <w:pPr>
              <w:pStyle w:val="58"/>
              <w:rPr>
                <w:highlight w:val="none"/>
              </w:rPr>
            </w:pPr>
            <w:r>
              <w:rPr>
                <w:highlight w:val="none"/>
              </w:rPr>
              <w:t>颗粒物</w:t>
            </w:r>
          </w:p>
        </w:tc>
        <w:tc>
          <w:tcPr>
            <w:tcW w:w="1568" w:type="pct"/>
            <w:shd w:val="clear" w:color="auto" w:fill="auto"/>
            <w:vAlign w:val="center"/>
          </w:tcPr>
          <w:p>
            <w:pPr>
              <w:pStyle w:val="58"/>
              <w:rPr>
                <w:highlight w:val="none"/>
              </w:rPr>
            </w:pPr>
            <w:r>
              <w:rPr>
                <w:rFonts w:hint="eastAsia"/>
                <w:highlight w:val="none"/>
              </w:rPr>
              <w:t>20</w:t>
            </w:r>
          </w:p>
        </w:tc>
        <w:tc>
          <w:tcPr>
            <w:tcW w:w="863" w:type="pct"/>
            <w:vMerge w:val="restart"/>
            <w:shd w:val="clear" w:color="auto" w:fill="auto"/>
            <w:vAlign w:val="center"/>
          </w:tcPr>
          <w:p>
            <w:pPr>
              <w:pStyle w:val="58"/>
              <w:rPr>
                <w:highlight w:val="none"/>
              </w:rPr>
            </w:pPr>
            <w:r>
              <w:rPr>
                <w:highlight w:val="none"/>
              </w:rPr>
              <w:t>烟囱或烟道</w:t>
            </w:r>
          </w:p>
        </w:tc>
        <w:tc>
          <w:tcPr>
            <w:tcW w:w="774" w:type="pct"/>
            <w:vMerge w:val="restart"/>
            <w:shd w:val="clear" w:color="auto" w:fill="auto"/>
            <w:vAlign w:val="center"/>
          </w:tcPr>
          <w:p>
            <w:pPr>
              <w:pStyle w:val="58"/>
              <w:rPr>
                <w:highlight w:val="none"/>
              </w:rPr>
            </w:pPr>
            <w:r>
              <w:rPr>
                <w:rFonts w:hint="eastAsia"/>
                <w:highlight w:val="none"/>
              </w:rPr>
              <w:t>GB13271-2014中表2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795" w:type="pct"/>
            <w:shd w:val="clear" w:color="auto" w:fill="auto"/>
            <w:vAlign w:val="center"/>
          </w:tcPr>
          <w:p>
            <w:pPr>
              <w:pStyle w:val="58"/>
              <w:rPr>
                <w:highlight w:val="none"/>
              </w:rPr>
            </w:pPr>
            <w:r>
              <w:rPr>
                <w:highlight w:val="none"/>
              </w:rPr>
              <w:t>二氧化硫</w:t>
            </w:r>
          </w:p>
        </w:tc>
        <w:tc>
          <w:tcPr>
            <w:tcW w:w="1568" w:type="pct"/>
            <w:shd w:val="clear" w:color="auto" w:fill="auto"/>
            <w:vAlign w:val="center"/>
          </w:tcPr>
          <w:p>
            <w:pPr>
              <w:pStyle w:val="58"/>
              <w:rPr>
                <w:highlight w:val="none"/>
              </w:rPr>
            </w:pPr>
            <w:r>
              <w:rPr>
                <w:rFonts w:hint="eastAsia"/>
                <w:highlight w:val="none"/>
              </w:rPr>
              <w:t>50</w:t>
            </w:r>
          </w:p>
        </w:tc>
        <w:tc>
          <w:tcPr>
            <w:tcW w:w="863" w:type="pct"/>
            <w:vMerge w:val="continue"/>
            <w:shd w:val="clear" w:color="auto" w:fill="auto"/>
            <w:vAlign w:val="center"/>
          </w:tcPr>
          <w:p>
            <w:pPr>
              <w:pStyle w:val="58"/>
              <w:rPr>
                <w:highlight w:val="none"/>
              </w:rPr>
            </w:pPr>
          </w:p>
        </w:tc>
        <w:tc>
          <w:tcPr>
            <w:tcW w:w="774"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795" w:type="pct"/>
            <w:shd w:val="clear" w:color="auto" w:fill="auto"/>
            <w:vAlign w:val="center"/>
          </w:tcPr>
          <w:p>
            <w:pPr>
              <w:pStyle w:val="58"/>
              <w:rPr>
                <w:highlight w:val="none"/>
              </w:rPr>
            </w:pPr>
            <w:r>
              <w:rPr>
                <w:highlight w:val="none"/>
              </w:rPr>
              <w:t>氮氧化物</w:t>
            </w:r>
          </w:p>
        </w:tc>
        <w:tc>
          <w:tcPr>
            <w:tcW w:w="1568" w:type="pct"/>
            <w:shd w:val="clear" w:color="auto" w:fill="auto"/>
            <w:vAlign w:val="center"/>
          </w:tcPr>
          <w:p>
            <w:pPr>
              <w:pStyle w:val="58"/>
              <w:rPr>
                <w:highlight w:val="none"/>
              </w:rPr>
            </w:pPr>
            <w:r>
              <w:rPr>
                <w:rFonts w:hint="eastAsia"/>
                <w:highlight w:val="none"/>
              </w:rPr>
              <w:t>200</w:t>
            </w:r>
          </w:p>
        </w:tc>
        <w:tc>
          <w:tcPr>
            <w:tcW w:w="863" w:type="pct"/>
            <w:vMerge w:val="continue"/>
            <w:shd w:val="clear" w:color="auto" w:fill="auto"/>
            <w:vAlign w:val="center"/>
          </w:tcPr>
          <w:p>
            <w:pPr>
              <w:pStyle w:val="58"/>
              <w:rPr>
                <w:highlight w:val="none"/>
              </w:rPr>
            </w:pPr>
          </w:p>
        </w:tc>
        <w:tc>
          <w:tcPr>
            <w:tcW w:w="774"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795" w:type="pct"/>
            <w:shd w:val="clear" w:color="auto" w:fill="auto"/>
            <w:vAlign w:val="center"/>
          </w:tcPr>
          <w:p>
            <w:pPr>
              <w:pStyle w:val="58"/>
              <w:rPr>
                <w:highlight w:val="none"/>
              </w:rPr>
            </w:pPr>
            <w:r>
              <w:rPr>
                <w:highlight w:val="none"/>
              </w:rPr>
              <w:t>烟气黑度（林格曼黑度，级）</w:t>
            </w:r>
          </w:p>
        </w:tc>
        <w:tc>
          <w:tcPr>
            <w:tcW w:w="1568" w:type="pct"/>
            <w:shd w:val="clear" w:color="auto" w:fill="auto"/>
            <w:vAlign w:val="center"/>
          </w:tcPr>
          <w:p>
            <w:pPr>
              <w:pStyle w:val="58"/>
              <w:rPr>
                <w:highlight w:val="none"/>
              </w:rPr>
            </w:pPr>
            <w:r>
              <w:rPr>
                <w:highlight w:val="none"/>
              </w:rPr>
              <w:t>≤1</w:t>
            </w:r>
          </w:p>
        </w:tc>
        <w:tc>
          <w:tcPr>
            <w:tcW w:w="863" w:type="pct"/>
            <w:shd w:val="clear" w:color="auto" w:fill="auto"/>
            <w:vAlign w:val="center"/>
          </w:tcPr>
          <w:p>
            <w:pPr>
              <w:pStyle w:val="58"/>
              <w:rPr>
                <w:highlight w:val="none"/>
              </w:rPr>
            </w:pPr>
            <w:r>
              <w:rPr>
                <w:highlight w:val="none"/>
              </w:rPr>
              <w:t>烟囱排放口</w:t>
            </w:r>
          </w:p>
        </w:tc>
        <w:tc>
          <w:tcPr>
            <w:tcW w:w="774"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5000" w:type="pct"/>
            <w:gridSpan w:val="4"/>
            <w:shd w:val="clear" w:color="auto" w:fill="auto"/>
            <w:vAlign w:val="center"/>
          </w:tcPr>
          <w:p>
            <w:pPr>
              <w:pStyle w:val="58"/>
              <w:jc w:val="left"/>
              <w:rPr>
                <w:highlight w:val="none"/>
              </w:rPr>
            </w:pPr>
            <w:r>
              <w:rPr>
                <w:rFonts w:hint="eastAsia"/>
                <w:sz w:val="18"/>
                <w:szCs w:val="18"/>
                <w:highlight w:val="none"/>
              </w:rPr>
              <w:t>注：高污染燃料禁燃区内禁止销售、使用包括原(散)煤、洗选煤、蜂窝煤等在内的国家规定的高污染燃料。</w:t>
            </w:r>
          </w:p>
        </w:tc>
      </w:tr>
    </w:tbl>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7</w:t>
      </w:r>
      <w:r>
        <w:rPr>
          <w:highlight w:val="none"/>
        </w:rPr>
        <w:fldChar w:fldCharType="end"/>
      </w:r>
      <w:r>
        <w:rPr>
          <w:highlight w:val="none"/>
        </w:rPr>
        <w:t xml:space="preserve">  </w:t>
      </w:r>
      <w:r>
        <w:rPr>
          <w:rFonts w:hint="eastAsia"/>
          <w:highlight w:val="none"/>
        </w:rPr>
        <w:t>恶臭污染物排放标准</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4"/>
        <w:gridCol w:w="1412"/>
        <w:gridCol w:w="1698"/>
        <w:gridCol w:w="1556"/>
        <w:gridCol w:w="1839"/>
        <w:gridCol w:w="16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4" w:type="dxa"/>
            <w:shd w:val="clear" w:color="auto" w:fill="auto"/>
            <w:vAlign w:val="center"/>
          </w:tcPr>
          <w:p>
            <w:pPr>
              <w:pStyle w:val="58"/>
              <w:rPr>
                <w:highlight w:val="none"/>
              </w:rPr>
            </w:pPr>
            <w:r>
              <w:rPr>
                <w:rFonts w:hint="eastAsia"/>
                <w:highlight w:val="none"/>
              </w:rPr>
              <w:t>序号</w:t>
            </w:r>
          </w:p>
        </w:tc>
        <w:tc>
          <w:tcPr>
            <w:tcW w:w="1412" w:type="dxa"/>
            <w:shd w:val="clear" w:color="auto" w:fill="auto"/>
            <w:vAlign w:val="center"/>
          </w:tcPr>
          <w:p>
            <w:pPr>
              <w:pStyle w:val="58"/>
              <w:rPr>
                <w:highlight w:val="none"/>
              </w:rPr>
            </w:pPr>
            <w:r>
              <w:rPr>
                <w:rFonts w:hint="eastAsia"/>
                <w:highlight w:val="none"/>
              </w:rPr>
              <w:t>污染物</w:t>
            </w:r>
          </w:p>
        </w:tc>
        <w:tc>
          <w:tcPr>
            <w:tcW w:w="1698" w:type="dxa"/>
            <w:shd w:val="clear" w:color="auto" w:fill="auto"/>
            <w:vAlign w:val="center"/>
          </w:tcPr>
          <w:p>
            <w:pPr>
              <w:pStyle w:val="58"/>
              <w:rPr>
                <w:highlight w:val="none"/>
              </w:rPr>
            </w:pPr>
            <w:r>
              <w:rPr>
                <w:rFonts w:hint="eastAsia"/>
                <w:highlight w:val="none"/>
              </w:rPr>
              <w:t>排放高度（m）</w:t>
            </w:r>
          </w:p>
        </w:tc>
        <w:tc>
          <w:tcPr>
            <w:tcW w:w="1556" w:type="dxa"/>
            <w:shd w:val="clear" w:color="auto" w:fill="auto"/>
            <w:vAlign w:val="center"/>
          </w:tcPr>
          <w:p>
            <w:pPr>
              <w:pStyle w:val="58"/>
              <w:rPr>
                <w:highlight w:val="none"/>
              </w:rPr>
            </w:pPr>
            <w:r>
              <w:rPr>
                <w:rFonts w:hint="eastAsia"/>
                <w:highlight w:val="none"/>
              </w:rPr>
              <w:t>排放速率（kg</w:t>
            </w:r>
            <w:r>
              <w:rPr>
                <w:highlight w:val="none"/>
              </w:rPr>
              <w:t>/h</w:t>
            </w:r>
            <w:r>
              <w:rPr>
                <w:rFonts w:hint="eastAsia"/>
                <w:highlight w:val="none"/>
              </w:rPr>
              <w:t>）</w:t>
            </w:r>
          </w:p>
        </w:tc>
        <w:tc>
          <w:tcPr>
            <w:tcW w:w="1839" w:type="dxa"/>
            <w:shd w:val="clear" w:color="auto" w:fill="auto"/>
            <w:vAlign w:val="center"/>
          </w:tcPr>
          <w:p>
            <w:pPr>
              <w:pStyle w:val="58"/>
              <w:rPr>
                <w:highlight w:val="none"/>
              </w:rPr>
            </w:pPr>
            <w:r>
              <w:rPr>
                <w:rFonts w:hint="eastAsia"/>
                <w:highlight w:val="none"/>
              </w:rPr>
              <w:t>厂界无组织浓度（mg</w:t>
            </w:r>
            <w:r>
              <w:rPr>
                <w:highlight w:val="none"/>
              </w:rPr>
              <w:t>/m3</w:t>
            </w:r>
            <w:r>
              <w:rPr>
                <w:rFonts w:hint="eastAsia"/>
                <w:highlight w:val="none"/>
              </w:rPr>
              <w:t>）</w:t>
            </w:r>
          </w:p>
        </w:tc>
        <w:tc>
          <w:tcPr>
            <w:tcW w:w="1691" w:type="dxa"/>
            <w:shd w:val="clear" w:color="auto" w:fill="auto"/>
            <w:vAlign w:val="center"/>
          </w:tcPr>
          <w:p>
            <w:pPr>
              <w:pStyle w:val="58"/>
              <w:rPr>
                <w:highlight w:val="none"/>
              </w:rPr>
            </w:pPr>
            <w:r>
              <w:rPr>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4" w:type="dxa"/>
            <w:shd w:val="clear" w:color="auto" w:fill="auto"/>
            <w:vAlign w:val="center"/>
          </w:tcPr>
          <w:p>
            <w:pPr>
              <w:pStyle w:val="58"/>
              <w:rPr>
                <w:highlight w:val="none"/>
              </w:rPr>
            </w:pPr>
            <w:r>
              <w:rPr>
                <w:rFonts w:hint="eastAsia"/>
                <w:highlight w:val="none"/>
              </w:rPr>
              <w:t>1</w:t>
            </w:r>
          </w:p>
        </w:tc>
        <w:tc>
          <w:tcPr>
            <w:tcW w:w="1412" w:type="dxa"/>
            <w:shd w:val="clear" w:color="auto" w:fill="auto"/>
            <w:vAlign w:val="center"/>
          </w:tcPr>
          <w:p>
            <w:pPr>
              <w:pStyle w:val="58"/>
              <w:rPr>
                <w:highlight w:val="none"/>
              </w:rPr>
            </w:pPr>
            <w:r>
              <w:rPr>
                <w:rFonts w:hint="eastAsia"/>
                <w:highlight w:val="none"/>
              </w:rPr>
              <w:t>氨</w:t>
            </w:r>
          </w:p>
        </w:tc>
        <w:tc>
          <w:tcPr>
            <w:tcW w:w="1698" w:type="dxa"/>
            <w:shd w:val="clear" w:color="auto" w:fill="auto"/>
            <w:vAlign w:val="center"/>
          </w:tcPr>
          <w:p>
            <w:pPr>
              <w:pStyle w:val="58"/>
              <w:rPr>
                <w:highlight w:val="none"/>
              </w:rPr>
            </w:pPr>
            <w:r>
              <w:rPr>
                <w:rFonts w:hint="eastAsia"/>
                <w:highlight w:val="none"/>
              </w:rPr>
              <w:t>1</w:t>
            </w:r>
            <w:r>
              <w:rPr>
                <w:highlight w:val="none"/>
              </w:rPr>
              <w:t>5</w:t>
            </w:r>
          </w:p>
        </w:tc>
        <w:tc>
          <w:tcPr>
            <w:tcW w:w="1556" w:type="dxa"/>
            <w:shd w:val="clear" w:color="auto" w:fill="auto"/>
            <w:vAlign w:val="center"/>
          </w:tcPr>
          <w:p>
            <w:pPr>
              <w:pStyle w:val="58"/>
              <w:rPr>
                <w:highlight w:val="none"/>
              </w:rPr>
            </w:pPr>
            <w:r>
              <w:rPr>
                <w:rFonts w:hint="eastAsia"/>
                <w:highlight w:val="none"/>
              </w:rPr>
              <w:t>4</w:t>
            </w:r>
            <w:r>
              <w:rPr>
                <w:highlight w:val="none"/>
              </w:rPr>
              <w:t>.9</w:t>
            </w:r>
          </w:p>
        </w:tc>
        <w:tc>
          <w:tcPr>
            <w:tcW w:w="1839" w:type="dxa"/>
            <w:shd w:val="clear" w:color="auto" w:fill="auto"/>
            <w:vAlign w:val="center"/>
          </w:tcPr>
          <w:p>
            <w:pPr>
              <w:pStyle w:val="58"/>
              <w:rPr>
                <w:highlight w:val="none"/>
              </w:rPr>
            </w:pPr>
            <w:r>
              <w:rPr>
                <w:rFonts w:hint="eastAsia"/>
                <w:highlight w:val="none"/>
              </w:rPr>
              <w:t>1</w:t>
            </w:r>
            <w:r>
              <w:rPr>
                <w:highlight w:val="none"/>
              </w:rPr>
              <w:t>.5</w:t>
            </w:r>
          </w:p>
        </w:tc>
        <w:tc>
          <w:tcPr>
            <w:tcW w:w="1691" w:type="dxa"/>
            <w:vMerge w:val="restart"/>
            <w:shd w:val="clear" w:color="auto" w:fill="auto"/>
            <w:vAlign w:val="center"/>
          </w:tcPr>
          <w:p>
            <w:pPr>
              <w:pStyle w:val="58"/>
              <w:rPr>
                <w:highlight w:val="none"/>
              </w:rPr>
            </w:pPr>
            <w:r>
              <w:rPr>
                <w:highlight w:val="none"/>
              </w:rPr>
              <w:t>GB14554-93中的二级标准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4" w:type="dxa"/>
            <w:shd w:val="clear" w:color="auto" w:fill="auto"/>
            <w:vAlign w:val="center"/>
          </w:tcPr>
          <w:p>
            <w:pPr>
              <w:pStyle w:val="58"/>
              <w:rPr>
                <w:highlight w:val="none"/>
              </w:rPr>
            </w:pPr>
            <w:r>
              <w:rPr>
                <w:rFonts w:hint="eastAsia"/>
                <w:highlight w:val="none"/>
              </w:rPr>
              <w:t>2</w:t>
            </w:r>
          </w:p>
        </w:tc>
        <w:tc>
          <w:tcPr>
            <w:tcW w:w="1412" w:type="dxa"/>
            <w:shd w:val="clear" w:color="auto" w:fill="auto"/>
            <w:vAlign w:val="center"/>
          </w:tcPr>
          <w:p>
            <w:pPr>
              <w:pStyle w:val="58"/>
              <w:rPr>
                <w:highlight w:val="none"/>
              </w:rPr>
            </w:pPr>
            <w:r>
              <w:rPr>
                <w:rFonts w:hint="eastAsia"/>
                <w:highlight w:val="none"/>
              </w:rPr>
              <w:t>硫化氢</w:t>
            </w:r>
          </w:p>
        </w:tc>
        <w:tc>
          <w:tcPr>
            <w:tcW w:w="1698" w:type="dxa"/>
            <w:shd w:val="clear" w:color="auto" w:fill="auto"/>
            <w:vAlign w:val="center"/>
          </w:tcPr>
          <w:p>
            <w:pPr>
              <w:pStyle w:val="58"/>
              <w:rPr>
                <w:highlight w:val="none"/>
              </w:rPr>
            </w:pPr>
            <w:r>
              <w:rPr>
                <w:rFonts w:hint="eastAsia"/>
                <w:highlight w:val="none"/>
              </w:rPr>
              <w:t>1</w:t>
            </w:r>
            <w:r>
              <w:rPr>
                <w:highlight w:val="none"/>
              </w:rPr>
              <w:t>5</w:t>
            </w:r>
          </w:p>
        </w:tc>
        <w:tc>
          <w:tcPr>
            <w:tcW w:w="1556" w:type="dxa"/>
            <w:shd w:val="clear" w:color="auto" w:fill="auto"/>
            <w:vAlign w:val="center"/>
          </w:tcPr>
          <w:p>
            <w:pPr>
              <w:pStyle w:val="58"/>
              <w:rPr>
                <w:highlight w:val="none"/>
              </w:rPr>
            </w:pPr>
            <w:r>
              <w:rPr>
                <w:rFonts w:hint="eastAsia"/>
                <w:highlight w:val="none"/>
              </w:rPr>
              <w:t>0</w:t>
            </w:r>
            <w:r>
              <w:rPr>
                <w:highlight w:val="none"/>
              </w:rPr>
              <w:t>.33</w:t>
            </w:r>
          </w:p>
        </w:tc>
        <w:tc>
          <w:tcPr>
            <w:tcW w:w="1839" w:type="dxa"/>
            <w:shd w:val="clear" w:color="auto" w:fill="auto"/>
            <w:vAlign w:val="center"/>
          </w:tcPr>
          <w:p>
            <w:pPr>
              <w:pStyle w:val="58"/>
              <w:rPr>
                <w:highlight w:val="none"/>
              </w:rPr>
            </w:pPr>
            <w:r>
              <w:rPr>
                <w:rFonts w:hint="eastAsia"/>
                <w:highlight w:val="none"/>
              </w:rPr>
              <w:t>0</w:t>
            </w:r>
            <w:r>
              <w:rPr>
                <w:highlight w:val="none"/>
              </w:rPr>
              <w:t>.06</w:t>
            </w:r>
          </w:p>
        </w:tc>
        <w:tc>
          <w:tcPr>
            <w:tcW w:w="1691" w:type="dxa"/>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4" w:type="dxa"/>
            <w:shd w:val="clear" w:color="auto" w:fill="auto"/>
            <w:vAlign w:val="center"/>
          </w:tcPr>
          <w:p>
            <w:pPr>
              <w:pStyle w:val="58"/>
              <w:rPr>
                <w:highlight w:val="none"/>
              </w:rPr>
            </w:pPr>
            <w:r>
              <w:rPr>
                <w:rFonts w:hint="eastAsia"/>
                <w:highlight w:val="none"/>
              </w:rPr>
              <w:t>3</w:t>
            </w:r>
          </w:p>
        </w:tc>
        <w:tc>
          <w:tcPr>
            <w:tcW w:w="1412" w:type="dxa"/>
            <w:shd w:val="clear" w:color="auto" w:fill="auto"/>
            <w:vAlign w:val="center"/>
          </w:tcPr>
          <w:p>
            <w:pPr>
              <w:pStyle w:val="58"/>
              <w:rPr>
                <w:highlight w:val="none"/>
              </w:rPr>
            </w:pPr>
            <w:r>
              <w:rPr>
                <w:rFonts w:hint="eastAsia"/>
                <w:highlight w:val="none"/>
              </w:rPr>
              <w:t>臭气浓度</w:t>
            </w:r>
          </w:p>
        </w:tc>
        <w:tc>
          <w:tcPr>
            <w:tcW w:w="1698" w:type="dxa"/>
            <w:shd w:val="clear" w:color="auto" w:fill="auto"/>
            <w:vAlign w:val="center"/>
          </w:tcPr>
          <w:p>
            <w:pPr>
              <w:pStyle w:val="58"/>
              <w:rPr>
                <w:highlight w:val="none"/>
              </w:rPr>
            </w:pPr>
            <w:r>
              <w:rPr>
                <w:rFonts w:hint="eastAsia"/>
                <w:highlight w:val="none"/>
              </w:rPr>
              <w:t>1</w:t>
            </w:r>
            <w:r>
              <w:rPr>
                <w:highlight w:val="none"/>
              </w:rPr>
              <w:t>5</w:t>
            </w:r>
          </w:p>
        </w:tc>
        <w:tc>
          <w:tcPr>
            <w:tcW w:w="1556" w:type="dxa"/>
            <w:shd w:val="clear" w:color="auto" w:fill="auto"/>
            <w:vAlign w:val="center"/>
          </w:tcPr>
          <w:p>
            <w:pPr>
              <w:pStyle w:val="58"/>
              <w:rPr>
                <w:highlight w:val="none"/>
              </w:rPr>
            </w:pPr>
            <w:r>
              <w:rPr>
                <w:rFonts w:hint="eastAsia"/>
                <w:highlight w:val="none"/>
              </w:rPr>
              <w:t>2</w:t>
            </w:r>
            <w:r>
              <w:rPr>
                <w:highlight w:val="none"/>
              </w:rPr>
              <w:t>000*</w:t>
            </w:r>
          </w:p>
        </w:tc>
        <w:tc>
          <w:tcPr>
            <w:tcW w:w="1839" w:type="dxa"/>
            <w:shd w:val="clear" w:color="auto" w:fill="auto"/>
            <w:vAlign w:val="center"/>
          </w:tcPr>
          <w:p>
            <w:pPr>
              <w:pStyle w:val="58"/>
              <w:rPr>
                <w:highlight w:val="none"/>
              </w:rPr>
            </w:pPr>
            <w:r>
              <w:rPr>
                <w:rFonts w:hint="eastAsia"/>
                <w:highlight w:val="none"/>
              </w:rPr>
              <w:t>2</w:t>
            </w:r>
            <w:r>
              <w:rPr>
                <w:highlight w:val="none"/>
              </w:rPr>
              <w:t>0*</w:t>
            </w:r>
          </w:p>
        </w:tc>
        <w:tc>
          <w:tcPr>
            <w:tcW w:w="1691" w:type="dxa"/>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040" w:type="dxa"/>
            <w:gridSpan w:val="6"/>
            <w:shd w:val="clear" w:color="auto" w:fill="auto"/>
            <w:vAlign w:val="center"/>
          </w:tcPr>
          <w:p>
            <w:pPr>
              <w:pStyle w:val="58"/>
              <w:jc w:val="left"/>
              <w:rPr>
                <w:highlight w:val="none"/>
              </w:rPr>
            </w:pPr>
            <w:r>
              <w:rPr>
                <w:rFonts w:hint="eastAsia"/>
                <w:sz w:val="18"/>
                <w:szCs w:val="18"/>
                <w:highlight w:val="none"/>
              </w:rPr>
              <w:t>注：*臭气浓度排放限值无量纲。</w:t>
            </w:r>
          </w:p>
        </w:tc>
      </w:tr>
    </w:tbl>
    <w:p>
      <w:pPr>
        <w:pStyle w:val="58"/>
        <w:rPr>
          <w:highlight w:val="none"/>
        </w:rPr>
      </w:pPr>
    </w:p>
    <w:p>
      <w:pPr>
        <w:pStyle w:val="89"/>
        <w:ind w:firstLine="482"/>
        <w:outlineLvl w:val="4"/>
        <w:rPr>
          <w:b/>
          <w:bCs w:val="0"/>
          <w:highlight w:val="none"/>
        </w:rPr>
      </w:pPr>
      <w:r>
        <w:rPr>
          <w:rFonts w:hint="eastAsia"/>
          <w:b/>
          <w:bCs w:val="0"/>
          <w:highlight w:val="none"/>
        </w:rPr>
        <w:t>2、地表水环境</w:t>
      </w:r>
    </w:p>
    <w:p>
      <w:pPr>
        <w:pStyle w:val="89"/>
        <w:ind w:firstLine="480"/>
        <w:rPr>
          <w:highlight w:val="none"/>
        </w:rPr>
      </w:pPr>
      <w:r>
        <w:rPr>
          <w:rFonts w:hint="eastAsia"/>
          <w:highlight w:val="none"/>
        </w:rPr>
        <w:t>（1）地表水环境质量</w:t>
      </w:r>
      <w:r>
        <w:rPr>
          <w:highlight w:val="none"/>
        </w:rPr>
        <w:t>标准</w:t>
      </w:r>
    </w:p>
    <w:p>
      <w:pPr>
        <w:pStyle w:val="89"/>
        <w:ind w:firstLine="480"/>
        <w:rPr>
          <w:highlight w:val="none"/>
        </w:rPr>
      </w:pPr>
      <w:r>
        <w:rPr>
          <w:rFonts w:hint="eastAsia"/>
          <w:highlight w:val="none"/>
        </w:rPr>
        <w:t>嘉陵江</w:t>
      </w:r>
      <w:r>
        <w:rPr>
          <w:highlight w:val="none"/>
        </w:rPr>
        <w:t>执行《地表水环境质量标准》（GB3838-2002）Ⅲ类水域标准</w:t>
      </w:r>
      <w:r>
        <w:rPr>
          <w:rFonts w:hint="eastAsia"/>
          <w:highlight w:val="none"/>
        </w:rPr>
        <w:t>。</w:t>
      </w:r>
      <w:r>
        <w:rPr>
          <w:highlight w:val="none"/>
        </w:rPr>
        <w:t>根据</w:t>
      </w:r>
      <w:r>
        <w:rPr>
          <w:rFonts w:hint="eastAsia"/>
          <w:kern w:val="0"/>
          <w:highlight w:val="none"/>
          <w:lang w:val="zh-CN"/>
        </w:rPr>
        <w:t>拟引入</w:t>
      </w:r>
      <w:r>
        <w:rPr>
          <w:highlight w:val="none"/>
        </w:rPr>
        <w:t>项目产污特点，主要评价因子标准限值见下表。</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8</w:t>
      </w:r>
      <w:r>
        <w:rPr>
          <w:highlight w:val="none"/>
        </w:rPr>
        <w:fldChar w:fldCharType="end"/>
      </w:r>
      <w:r>
        <w:rPr>
          <w:highlight w:val="none"/>
        </w:rPr>
        <w:t xml:space="preserve">  </w:t>
      </w:r>
      <w:r>
        <w:rPr>
          <w:rFonts w:hint="eastAsia"/>
          <w:highlight w:val="none"/>
        </w:rPr>
        <w:t>地表水环境质量标准</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61"/>
        <w:gridCol w:w="2169"/>
        <w:gridCol w:w="2478"/>
        <w:gridCol w:w="21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highlight w:val="none"/>
              </w:rPr>
              <w:t>指标</w:t>
            </w:r>
          </w:p>
        </w:tc>
        <w:tc>
          <w:tcPr>
            <w:tcW w:w="1168" w:type="pct"/>
            <w:shd w:val="clear" w:color="auto" w:fill="auto"/>
            <w:vAlign w:val="center"/>
          </w:tcPr>
          <w:p>
            <w:pPr>
              <w:pStyle w:val="58"/>
              <w:rPr>
                <w:highlight w:val="none"/>
              </w:rPr>
            </w:pPr>
            <w:r>
              <w:rPr>
                <w:highlight w:val="none"/>
              </w:rPr>
              <w:t>Ⅲ类水域标准限值</w:t>
            </w:r>
          </w:p>
        </w:tc>
        <w:tc>
          <w:tcPr>
            <w:tcW w:w="1334" w:type="pct"/>
            <w:shd w:val="clear" w:color="auto" w:fill="auto"/>
            <w:vAlign w:val="center"/>
          </w:tcPr>
          <w:p>
            <w:pPr>
              <w:pStyle w:val="58"/>
              <w:rPr>
                <w:highlight w:val="none"/>
              </w:rPr>
            </w:pPr>
            <w:r>
              <w:rPr>
                <w:highlight w:val="none"/>
              </w:rPr>
              <w:t>指标</w:t>
            </w:r>
          </w:p>
        </w:tc>
        <w:tc>
          <w:tcPr>
            <w:tcW w:w="1173" w:type="pct"/>
            <w:shd w:val="clear" w:color="auto" w:fill="auto"/>
            <w:vAlign w:val="center"/>
          </w:tcPr>
          <w:p>
            <w:pPr>
              <w:pStyle w:val="58"/>
              <w:rPr>
                <w:highlight w:val="none"/>
              </w:rPr>
            </w:pPr>
            <w:r>
              <w:rPr>
                <w:highlight w:val="none"/>
              </w:rPr>
              <w:t>Ⅲ类水域标准限值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highlight w:val="none"/>
              </w:rPr>
              <w:t>pH（无量纲）</w:t>
            </w:r>
          </w:p>
        </w:tc>
        <w:tc>
          <w:tcPr>
            <w:tcW w:w="1168" w:type="pct"/>
            <w:shd w:val="clear" w:color="auto" w:fill="auto"/>
            <w:vAlign w:val="center"/>
          </w:tcPr>
          <w:p>
            <w:pPr>
              <w:pStyle w:val="58"/>
              <w:rPr>
                <w:highlight w:val="none"/>
              </w:rPr>
            </w:pPr>
            <w:r>
              <w:rPr>
                <w:highlight w:val="none"/>
              </w:rPr>
              <w:t>6~9</w:t>
            </w:r>
          </w:p>
        </w:tc>
        <w:tc>
          <w:tcPr>
            <w:tcW w:w="1334" w:type="pct"/>
            <w:shd w:val="clear" w:color="auto" w:fill="auto"/>
            <w:vAlign w:val="center"/>
          </w:tcPr>
          <w:p>
            <w:pPr>
              <w:pStyle w:val="58"/>
              <w:rPr>
                <w:highlight w:val="none"/>
              </w:rPr>
            </w:pPr>
            <w:r>
              <w:rPr>
                <w:highlight w:val="none"/>
              </w:rPr>
              <w:t>铜（mg/L）</w:t>
            </w:r>
          </w:p>
        </w:tc>
        <w:tc>
          <w:tcPr>
            <w:tcW w:w="1173" w:type="pct"/>
            <w:shd w:val="clear" w:color="auto" w:fill="auto"/>
            <w:vAlign w:val="center"/>
          </w:tcPr>
          <w:p>
            <w:pPr>
              <w:pStyle w:val="58"/>
              <w:rPr>
                <w:highlight w:val="none"/>
              </w:rPr>
            </w:pPr>
            <w:r>
              <w:rPr>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highlight w:val="none"/>
              </w:rPr>
              <w:t>COD（mg/L）</w:t>
            </w:r>
          </w:p>
        </w:tc>
        <w:tc>
          <w:tcPr>
            <w:tcW w:w="1168" w:type="pct"/>
            <w:shd w:val="clear" w:color="auto" w:fill="auto"/>
            <w:vAlign w:val="center"/>
          </w:tcPr>
          <w:p>
            <w:pPr>
              <w:pStyle w:val="58"/>
              <w:rPr>
                <w:highlight w:val="none"/>
              </w:rPr>
            </w:pPr>
            <w:r>
              <w:rPr>
                <w:highlight w:val="none"/>
              </w:rPr>
              <w:t>≤20</w:t>
            </w:r>
          </w:p>
        </w:tc>
        <w:tc>
          <w:tcPr>
            <w:tcW w:w="1334" w:type="pct"/>
            <w:shd w:val="clear" w:color="auto" w:fill="auto"/>
            <w:vAlign w:val="center"/>
          </w:tcPr>
          <w:p>
            <w:pPr>
              <w:pStyle w:val="58"/>
              <w:rPr>
                <w:highlight w:val="none"/>
              </w:rPr>
            </w:pPr>
            <w:r>
              <w:rPr>
                <w:highlight w:val="none"/>
              </w:rPr>
              <w:t>锌（mg/L）</w:t>
            </w:r>
          </w:p>
        </w:tc>
        <w:tc>
          <w:tcPr>
            <w:tcW w:w="1173" w:type="pct"/>
            <w:shd w:val="clear" w:color="auto" w:fill="auto"/>
            <w:vAlign w:val="center"/>
          </w:tcPr>
          <w:p>
            <w:pPr>
              <w:pStyle w:val="58"/>
              <w:rPr>
                <w:highlight w:val="none"/>
              </w:rPr>
            </w:pPr>
            <w:r>
              <w:rPr>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highlight w:val="none"/>
              </w:rPr>
              <w:t>BOD</w:t>
            </w:r>
            <w:r>
              <w:rPr>
                <w:highlight w:val="none"/>
                <w:vertAlign w:val="subscript"/>
              </w:rPr>
              <w:t>5</w:t>
            </w:r>
            <w:r>
              <w:rPr>
                <w:highlight w:val="none"/>
              </w:rPr>
              <w:t>（mg/L）</w:t>
            </w:r>
          </w:p>
        </w:tc>
        <w:tc>
          <w:tcPr>
            <w:tcW w:w="1168" w:type="pct"/>
            <w:shd w:val="clear" w:color="auto" w:fill="auto"/>
            <w:vAlign w:val="center"/>
          </w:tcPr>
          <w:p>
            <w:pPr>
              <w:pStyle w:val="58"/>
              <w:rPr>
                <w:highlight w:val="none"/>
              </w:rPr>
            </w:pPr>
            <w:r>
              <w:rPr>
                <w:highlight w:val="none"/>
              </w:rPr>
              <w:t>≤4</w:t>
            </w:r>
          </w:p>
        </w:tc>
        <w:tc>
          <w:tcPr>
            <w:tcW w:w="1334" w:type="pct"/>
            <w:shd w:val="clear" w:color="auto" w:fill="auto"/>
            <w:vAlign w:val="center"/>
          </w:tcPr>
          <w:p>
            <w:pPr>
              <w:pStyle w:val="58"/>
              <w:rPr>
                <w:highlight w:val="none"/>
              </w:rPr>
            </w:pPr>
            <w:r>
              <w:rPr>
                <w:rFonts w:hint="eastAsia"/>
                <w:highlight w:val="none"/>
              </w:rPr>
              <w:t>铅</w:t>
            </w:r>
            <w:r>
              <w:rPr>
                <w:highlight w:val="none"/>
              </w:rPr>
              <w:t>（mg/L）</w:t>
            </w:r>
          </w:p>
        </w:tc>
        <w:tc>
          <w:tcPr>
            <w:tcW w:w="1173" w:type="pct"/>
            <w:shd w:val="clear" w:color="auto" w:fill="auto"/>
            <w:vAlign w:val="center"/>
          </w:tcPr>
          <w:p>
            <w:pPr>
              <w:pStyle w:val="58"/>
              <w:rPr>
                <w:highlight w:val="none"/>
              </w:rPr>
            </w:pPr>
            <w:r>
              <w:rPr>
                <w:highlight w:val="none"/>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highlight w:val="none"/>
              </w:rPr>
              <w:t>DO（mg/L）</w:t>
            </w:r>
          </w:p>
        </w:tc>
        <w:tc>
          <w:tcPr>
            <w:tcW w:w="1168" w:type="pct"/>
            <w:shd w:val="clear" w:color="auto" w:fill="auto"/>
            <w:vAlign w:val="center"/>
          </w:tcPr>
          <w:p>
            <w:pPr>
              <w:pStyle w:val="58"/>
              <w:rPr>
                <w:highlight w:val="none"/>
              </w:rPr>
            </w:pPr>
            <w:r>
              <w:rPr>
                <w:highlight w:val="none"/>
              </w:rPr>
              <w:t>≥5</w:t>
            </w:r>
          </w:p>
        </w:tc>
        <w:tc>
          <w:tcPr>
            <w:tcW w:w="1334" w:type="pct"/>
            <w:shd w:val="clear" w:color="auto" w:fill="auto"/>
            <w:vAlign w:val="center"/>
          </w:tcPr>
          <w:p>
            <w:pPr>
              <w:pStyle w:val="58"/>
              <w:rPr>
                <w:highlight w:val="none"/>
              </w:rPr>
            </w:pPr>
            <w:r>
              <w:rPr>
                <w:highlight w:val="none"/>
              </w:rPr>
              <w:t>砷（mg/L）</w:t>
            </w:r>
          </w:p>
        </w:tc>
        <w:tc>
          <w:tcPr>
            <w:tcW w:w="1173" w:type="pct"/>
            <w:shd w:val="clear" w:color="auto" w:fill="auto"/>
            <w:vAlign w:val="center"/>
          </w:tcPr>
          <w:p>
            <w:pPr>
              <w:pStyle w:val="58"/>
              <w:rPr>
                <w:highlight w:val="none"/>
              </w:rPr>
            </w:pPr>
            <w:r>
              <w:rPr>
                <w:highlight w:val="none"/>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highlight w:val="none"/>
              </w:rPr>
              <w:t>NH</w:t>
            </w:r>
            <w:r>
              <w:rPr>
                <w:highlight w:val="none"/>
                <w:vertAlign w:val="subscript"/>
              </w:rPr>
              <w:t>3</w:t>
            </w:r>
            <w:r>
              <w:rPr>
                <w:highlight w:val="none"/>
              </w:rPr>
              <w:t>-N（mg/L）</w:t>
            </w:r>
          </w:p>
        </w:tc>
        <w:tc>
          <w:tcPr>
            <w:tcW w:w="1168" w:type="pct"/>
            <w:shd w:val="clear" w:color="auto" w:fill="auto"/>
            <w:vAlign w:val="center"/>
          </w:tcPr>
          <w:p>
            <w:pPr>
              <w:pStyle w:val="58"/>
              <w:rPr>
                <w:highlight w:val="none"/>
              </w:rPr>
            </w:pPr>
            <w:r>
              <w:rPr>
                <w:highlight w:val="none"/>
              </w:rPr>
              <w:t>≤1.0</w:t>
            </w:r>
          </w:p>
        </w:tc>
        <w:tc>
          <w:tcPr>
            <w:tcW w:w="1334" w:type="pct"/>
            <w:shd w:val="clear" w:color="auto" w:fill="auto"/>
            <w:vAlign w:val="center"/>
          </w:tcPr>
          <w:p>
            <w:pPr>
              <w:pStyle w:val="58"/>
              <w:rPr>
                <w:highlight w:val="none"/>
              </w:rPr>
            </w:pPr>
            <w:r>
              <w:rPr>
                <w:highlight w:val="none"/>
              </w:rPr>
              <w:t>汞（mg/L）</w:t>
            </w:r>
          </w:p>
        </w:tc>
        <w:tc>
          <w:tcPr>
            <w:tcW w:w="1173" w:type="pct"/>
            <w:shd w:val="clear" w:color="auto" w:fill="auto"/>
            <w:vAlign w:val="center"/>
          </w:tcPr>
          <w:p>
            <w:pPr>
              <w:pStyle w:val="58"/>
              <w:rPr>
                <w:highlight w:val="none"/>
              </w:rPr>
            </w:pPr>
            <w:r>
              <w:rPr>
                <w:highlight w:val="none"/>
              </w:rPr>
              <w:t>≤0.0001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highlight w:val="none"/>
              </w:rPr>
              <w:t>石油类（mg/L）</w:t>
            </w:r>
          </w:p>
        </w:tc>
        <w:tc>
          <w:tcPr>
            <w:tcW w:w="1168" w:type="pct"/>
            <w:shd w:val="clear" w:color="auto" w:fill="auto"/>
            <w:vAlign w:val="center"/>
          </w:tcPr>
          <w:p>
            <w:pPr>
              <w:pStyle w:val="58"/>
              <w:rPr>
                <w:highlight w:val="none"/>
              </w:rPr>
            </w:pPr>
            <w:r>
              <w:rPr>
                <w:highlight w:val="none"/>
              </w:rPr>
              <w:t>≤0.05</w:t>
            </w:r>
          </w:p>
        </w:tc>
        <w:tc>
          <w:tcPr>
            <w:tcW w:w="1334" w:type="pct"/>
            <w:shd w:val="clear" w:color="auto" w:fill="auto"/>
            <w:vAlign w:val="center"/>
          </w:tcPr>
          <w:p>
            <w:pPr>
              <w:pStyle w:val="58"/>
              <w:rPr>
                <w:highlight w:val="none"/>
              </w:rPr>
            </w:pPr>
            <w:r>
              <w:rPr>
                <w:highlight w:val="none"/>
              </w:rPr>
              <w:t>铬（六价）（mg/L）</w:t>
            </w:r>
          </w:p>
        </w:tc>
        <w:tc>
          <w:tcPr>
            <w:tcW w:w="1173" w:type="pct"/>
            <w:shd w:val="clear" w:color="auto" w:fill="auto"/>
            <w:vAlign w:val="center"/>
          </w:tcPr>
          <w:p>
            <w:pPr>
              <w:pStyle w:val="58"/>
              <w:rPr>
                <w:highlight w:val="none"/>
              </w:rPr>
            </w:pPr>
            <w:r>
              <w:rPr>
                <w:highlight w:val="none"/>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rFonts w:hint="eastAsia"/>
                <w:highlight w:val="none"/>
              </w:rPr>
              <w:t>总氮</w:t>
            </w:r>
            <w:r>
              <w:rPr>
                <w:highlight w:val="none"/>
              </w:rPr>
              <w:t>（mg/L）</w:t>
            </w:r>
          </w:p>
        </w:tc>
        <w:tc>
          <w:tcPr>
            <w:tcW w:w="1168" w:type="pct"/>
            <w:shd w:val="clear" w:color="auto" w:fill="auto"/>
            <w:vAlign w:val="center"/>
          </w:tcPr>
          <w:p>
            <w:pPr>
              <w:pStyle w:val="58"/>
              <w:rPr>
                <w:highlight w:val="none"/>
              </w:rPr>
            </w:pPr>
            <w:r>
              <w:rPr>
                <w:highlight w:val="none"/>
              </w:rPr>
              <w:t>≤1.0</w:t>
            </w:r>
          </w:p>
        </w:tc>
        <w:tc>
          <w:tcPr>
            <w:tcW w:w="1334" w:type="pct"/>
            <w:shd w:val="clear" w:color="auto" w:fill="auto"/>
            <w:vAlign w:val="center"/>
          </w:tcPr>
          <w:p>
            <w:pPr>
              <w:pStyle w:val="58"/>
              <w:rPr>
                <w:highlight w:val="none"/>
              </w:rPr>
            </w:pPr>
            <w:r>
              <w:rPr>
                <w:rFonts w:hint="eastAsia"/>
                <w:highlight w:val="none"/>
              </w:rPr>
              <w:t>氯化物</w:t>
            </w:r>
            <w:r>
              <w:rPr>
                <w:highlight w:val="none"/>
              </w:rPr>
              <w:t>（mg/L）</w:t>
            </w:r>
            <w:r>
              <w:rPr>
                <w:rFonts w:hint="eastAsia"/>
                <w:highlight w:val="none"/>
              </w:rPr>
              <w:t>*</w:t>
            </w:r>
          </w:p>
        </w:tc>
        <w:tc>
          <w:tcPr>
            <w:tcW w:w="1173" w:type="pct"/>
            <w:shd w:val="clear" w:color="auto" w:fill="auto"/>
            <w:vAlign w:val="center"/>
          </w:tcPr>
          <w:p>
            <w:pPr>
              <w:pStyle w:val="58"/>
              <w:rPr>
                <w:highlight w:val="none"/>
              </w:rPr>
            </w:pPr>
            <w:r>
              <w:rPr>
                <w:highlight w:val="none"/>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rFonts w:hint="eastAsia"/>
                <w:highlight w:val="none"/>
              </w:rPr>
              <w:t>总磷</w:t>
            </w:r>
            <w:r>
              <w:rPr>
                <w:highlight w:val="none"/>
              </w:rPr>
              <w:t>（mg/L）</w:t>
            </w:r>
          </w:p>
        </w:tc>
        <w:tc>
          <w:tcPr>
            <w:tcW w:w="1168" w:type="pct"/>
            <w:shd w:val="clear" w:color="auto" w:fill="auto"/>
            <w:vAlign w:val="center"/>
          </w:tcPr>
          <w:p>
            <w:pPr>
              <w:pStyle w:val="58"/>
              <w:rPr>
                <w:highlight w:val="none"/>
              </w:rPr>
            </w:pPr>
            <w:r>
              <w:rPr>
                <w:highlight w:val="none"/>
              </w:rPr>
              <w:t>≤0.2</w:t>
            </w:r>
          </w:p>
        </w:tc>
        <w:tc>
          <w:tcPr>
            <w:tcW w:w="1334" w:type="pct"/>
            <w:shd w:val="clear" w:color="auto" w:fill="auto"/>
            <w:vAlign w:val="center"/>
          </w:tcPr>
          <w:p>
            <w:pPr>
              <w:pStyle w:val="58"/>
              <w:rPr>
                <w:highlight w:val="none"/>
              </w:rPr>
            </w:pPr>
            <w:r>
              <w:rPr>
                <w:rFonts w:hint="eastAsia"/>
                <w:highlight w:val="none"/>
              </w:rPr>
              <w:t>硫酸盐</w:t>
            </w:r>
            <w:r>
              <w:rPr>
                <w:highlight w:val="none"/>
              </w:rPr>
              <w:t>（mg/L）</w:t>
            </w:r>
            <w:r>
              <w:rPr>
                <w:rFonts w:hint="eastAsia"/>
                <w:highlight w:val="none"/>
              </w:rPr>
              <w:t>*</w:t>
            </w:r>
          </w:p>
        </w:tc>
        <w:tc>
          <w:tcPr>
            <w:tcW w:w="1173" w:type="pct"/>
            <w:shd w:val="clear" w:color="auto" w:fill="auto"/>
            <w:vAlign w:val="center"/>
          </w:tcPr>
          <w:p>
            <w:pPr>
              <w:pStyle w:val="58"/>
              <w:rPr>
                <w:highlight w:val="none"/>
              </w:rPr>
            </w:pPr>
            <w:r>
              <w:rPr>
                <w:highlight w:val="none"/>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highlight w:val="none"/>
              </w:rPr>
              <w:t>挥发酚（mg/L）</w:t>
            </w:r>
          </w:p>
        </w:tc>
        <w:tc>
          <w:tcPr>
            <w:tcW w:w="1168" w:type="pct"/>
            <w:shd w:val="clear" w:color="auto" w:fill="auto"/>
            <w:vAlign w:val="center"/>
          </w:tcPr>
          <w:p>
            <w:pPr>
              <w:pStyle w:val="58"/>
              <w:rPr>
                <w:highlight w:val="none"/>
              </w:rPr>
            </w:pPr>
            <w:r>
              <w:rPr>
                <w:highlight w:val="none"/>
              </w:rPr>
              <w:t>≤0.005</w:t>
            </w:r>
          </w:p>
        </w:tc>
        <w:tc>
          <w:tcPr>
            <w:tcW w:w="1334" w:type="pct"/>
            <w:shd w:val="clear" w:color="auto" w:fill="auto"/>
            <w:vAlign w:val="center"/>
          </w:tcPr>
          <w:p>
            <w:pPr>
              <w:pStyle w:val="58"/>
              <w:rPr>
                <w:highlight w:val="none"/>
              </w:rPr>
            </w:pPr>
            <w:r>
              <w:rPr>
                <w:rFonts w:hint="eastAsia"/>
                <w:highlight w:val="none"/>
              </w:rPr>
              <w:t>硝酸盐</w:t>
            </w:r>
            <w:r>
              <w:rPr>
                <w:highlight w:val="none"/>
              </w:rPr>
              <w:t>（mg/L）</w:t>
            </w:r>
            <w:r>
              <w:rPr>
                <w:rFonts w:hint="eastAsia"/>
                <w:highlight w:val="none"/>
              </w:rPr>
              <w:t>*</w:t>
            </w:r>
          </w:p>
        </w:tc>
        <w:tc>
          <w:tcPr>
            <w:tcW w:w="1173" w:type="pct"/>
            <w:shd w:val="clear" w:color="auto" w:fill="auto"/>
            <w:vAlign w:val="center"/>
          </w:tcPr>
          <w:p>
            <w:pPr>
              <w:pStyle w:val="58"/>
              <w:rPr>
                <w:highlight w:val="none"/>
              </w:rPr>
            </w:pPr>
            <w:r>
              <w:rPr>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highlight w:val="none"/>
              </w:rPr>
              <w:t>硫化物（mg/L）</w:t>
            </w:r>
          </w:p>
        </w:tc>
        <w:tc>
          <w:tcPr>
            <w:tcW w:w="1168" w:type="pct"/>
            <w:shd w:val="clear" w:color="auto" w:fill="auto"/>
            <w:vAlign w:val="center"/>
          </w:tcPr>
          <w:p>
            <w:pPr>
              <w:pStyle w:val="58"/>
              <w:rPr>
                <w:highlight w:val="none"/>
              </w:rPr>
            </w:pPr>
            <w:r>
              <w:rPr>
                <w:highlight w:val="none"/>
              </w:rPr>
              <w:t>≤0.2</w:t>
            </w:r>
          </w:p>
        </w:tc>
        <w:tc>
          <w:tcPr>
            <w:tcW w:w="1334" w:type="pct"/>
            <w:shd w:val="clear" w:color="auto" w:fill="auto"/>
            <w:vAlign w:val="center"/>
          </w:tcPr>
          <w:p>
            <w:pPr>
              <w:pStyle w:val="58"/>
              <w:rPr>
                <w:highlight w:val="none"/>
              </w:rPr>
            </w:pPr>
            <w:r>
              <w:rPr>
                <w:rFonts w:hint="eastAsia"/>
                <w:highlight w:val="none"/>
              </w:rPr>
              <w:t>二氯甲烷</w:t>
            </w:r>
            <w:r>
              <w:rPr>
                <w:highlight w:val="none"/>
              </w:rPr>
              <w:t>（mg/L）</w:t>
            </w:r>
            <w:r>
              <w:rPr>
                <w:rFonts w:hint="eastAsia"/>
                <w:highlight w:val="none"/>
              </w:rPr>
              <w:t>*</w:t>
            </w:r>
          </w:p>
        </w:tc>
        <w:tc>
          <w:tcPr>
            <w:tcW w:w="1173" w:type="pct"/>
            <w:shd w:val="clear" w:color="auto" w:fill="auto"/>
            <w:vAlign w:val="center"/>
          </w:tcPr>
          <w:p>
            <w:pPr>
              <w:pStyle w:val="58"/>
              <w:rPr>
                <w:highlight w:val="none"/>
              </w:rPr>
            </w:pPr>
            <w:r>
              <w:rPr>
                <w:highlight w:val="none"/>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highlight w:val="none"/>
              </w:rPr>
              <w:t>氟化物（mg/L）</w:t>
            </w:r>
          </w:p>
        </w:tc>
        <w:tc>
          <w:tcPr>
            <w:tcW w:w="1168" w:type="pct"/>
            <w:shd w:val="clear" w:color="auto" w:fill="auto"/>
            <w:vAlign w:val="center"/>
          </w:tcPr>
          <w:p>
            <w:pPr>
              <w:pStyle w:val="58"/>
              <w:rPr>
                <w:highlight w:val="none"/>
              </w:rPr>
            </w:pPr>
            <w:r>
              <w:rPr>
                <w:highlight w:val="none"/>
              </w:rPr>
              <w:t>≤1.0</w:t>
            </w:r>
          </w:p>
        </w:tc>
        <w:tc>
          <w:tcPr>
            <w:tcW w:w="1334" w:type="pct"/>
            <w:shd w:val="clear" w:color="auto" w:fill="auto"/>
            <w:vAlign w:val="center"/>
          </w:tcPr>
          <w:p>
            <w:pPr>
              <w:pStyle w:val="58"/>
              <w:rPr>
                <w:highlight w:val="none"/>
              </w:rPr>
            </w:pPr>
            <w:r>
              <w:rPr>
                <w:rFonts w:hint="eastAsia"/>
                <w:highlight w:val="none"/>
              </w:rPr>
              <w:t>苯</w:t>
            </w:r>
            <w:r>
              <w:rPr>
                <w:highlight w:val="none"/>
              </w:rPr>
              <w:t>（mg/L）</w:t>
            </w:r>
            <w:r>
              <w:rPr>
                <w:rFonts w:hint="eastAsia"/>
                <w:highlight w:val="none"/>
              </w:rPr>
              <w:t>*</w:t>
            </w:r>
          </w:p>
        </w:tc>
        <w:tc>
          <w:tcPr>
            <w:tcW w:w="1173" w:type="pct"/>
            <w:shd w:val="clear" w:color="auto" w:fill="auto"/>
            <w:vAlign w:val="center"/>
          </w:tcPr>
          <w:p>
            <w:pPr>
              <w:pStyle w:val="58"/>
              <w:rPr>
                <w:highlight w:val="none"/>
              </w:rPr>
            </w:pPr>
            <w:r>
              <w:rPr>
                <w:highlight w:val="none"/>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highlight w:val="none"/>
              </w:rPr>
              <w:t>氰化物（mg/L）</w:t>
            </w:r>
          </w:p>
        </w:tc>
        <w:tc>
          <w:tcPr>
            <w:tcW w:w="1168" w:type="pct"/>
            <w:shd w:val="clear" w:color="auto" w:fill="auto"/>
            <w:vAlign w:val="center"/>
          </w:tcPr>
          <w:p>
            <w:pPr>
              <w:pStyle w:val="58"/>
              <w:rPr>
                <w:highlight w:val="none"/>
              </w:rPr>
            </w:pPr>
            <w:r>
              <w:rPr>
                <w:highlight w:val="none"/>
              </w:rPr>
              <w:t>≤0.2</w:t>
            </w:r>
          </w:p>
        </w:tc>
        <w:tc>
          <w:tcPr>
            <w:tcW w:w="1334" w:type="pct"/>
            <w:shd w:val="clear" w:color="auto" w:fill="auto"/>
            <w:vAlign w:val="center"/>
          </w:tcPr>
          <w:p>
            <w:pPr>
              <w:pStyle w:val="58"/>
              <w:rPr>
                <w:highlight w:val="none"/>
              </w:rPr>
            </w:pPr>
            <w:r>
              <w:rPr>
                <w:rFonts w:hint="eastAsia"/>
                <w:highlight w:val="none"/>
              </w:rPr>
              <w:t>甲苯</w:t>
            </w:r>
            <w:r>
              <w:rPr>
                <w:highlight w:val="none"/>
              </w:rPr>
              <w:t>（mg/L）</w:t>
            </w:r>
            <w:r>
              <w:rPr>
                <w:rFonts w:hint="eastAsia"/>
                <w:highlight w:val="none"/>
              </w:rPr>
              <w:t>*</w:t>
            </w:r>
          </w:p>
        </w:tc>
        <w:tc>
          <w:tcPr>
            <w:tcW w:w="1173" w:type="pct"/>
            <w:shd w:val="clear" w:color="auto" w:fill="auto"/>
            <w:vAlign w:val="center"/>
          </w:tcPr>
          <w:p>
            <w:pPr>
              <w:pStyle w:val="58"/>
              <w:rPr>
                <w:highlight w:val="none"/>
              </w:rPr>
            </w:pPr>
            <w:r>
              <w:rPr>
                <w:highlight w:val="none"/>
              </w:rPr>
              <w:t>≤0.7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rFonts w:cs="Times New Roman"/>
                <w:highlight w:val="none"/>
              </w:rPr>
              <w:t>阴离子表面活性剂</w:t>
            </w:r>
            <w:r>
              <w:rPr>
                <w:highlight w:val="none"/>
              </w:rPr>
              <w:t>（mg/L）</w:t>
            </w:r>
          </w:p>
        </w:tc>
        <w:tc>
          <w:tcPr>
            <w:tcW w:w="1168" w:type="pct"/>
            <w:shd w:val="clear" w:color="auto" w:fill="auto"/>
            <w:vAlign w:val="center"/>
          </w:tcPr>
          <w:p>
            <w:pPr>
              <w:pStyle w:val="58"/>
              <w:rPr>
                <w:highlight w:val="none"/>
              </w:rPr>
            </w:pPr>
            <w:r>
              <w:rPr>
                <w:highlight w:val="none"/>
              </w:rPr>
              <w:t>≤0.2</w:t>
            </w:r>
          </w:p>
        </w:tc>
        <w:tc>
          <w:tcPr>
            <w:tcW w:w="1334" w:type="pct"/>
            <w:shd w:val="clear" w:color="auto" w:fill="auto"/>
            <w:vAlign w:val="center"/>
          </w:tcPr>
          <w:p>
            <w:pPr>
              <w:pStyle w:val="58"/>
              <w:rPr>
                <w:highlight w:val="none"/>
              </w:rPr>
            </w:pPr>
            <w:r>
              <w:rPr>
                <w:rFonts w:hint="eastAsia"/>
                <w:highlight w:val="none"/>
              </w:rPr>
              <w:t>二甲苯</w:t>
            </w:r>
            <w:r>
              <w:rPr>
                <w:highlight w:val="none"/>
              </w:rPr>
              <w:t>（mg/L）</w:t>
            </w:r>
            <w:r>
              <w:rPr>
                <w:rFonts w:hint="eastAsia"/>
                <w:highlight w:val="none"/>
              </w:rPr>
              <w:t>*</w:t>
            </w:r>
          </w:p>
        </w:tc>
        <w:tc>
          <w:tcPr>
            <w:tcW w:w="1173" w:type="pct"/>
            <w:shd w:val="clear" w:color="auto" w:fill="auto"/>
            <w:vAlign w:val="center"/>
          </w:tcPr>
          <w:p>
            <w:pPr>
              <w:pStyle w:val="58"/>
              <w:rPr>
                <w:highlight w:val="none"/>
              </w:rPr>
            </w:pPr>
            <w:r>
              <w:rPr>
                <w:highlight w:val="none"/>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5" w:type="pct"/>
            <w:shd w:val="clear" w:color="auto" w:fill="auto"/>
            <w:vAlign w:val="center"/>
          </w:tcPr>
          <w:p>
            <w:pPr>
              <w:pStyle w:val="58"/>
              <w:rPr>
                <w:highlight w:val="none"/>
              </w:rPr>
            </w:pPr>
            <w:r>
              <w:rPr>
                <w:rFonts w:hint="eastAsia"/>
                <w:highlight w:val="none"/>
              </w:rPr>
              <w:t>粪大肠菌群</w:t>
            </w:r>
            <w:r>
              <w:rPr>
                <w:highlight w:val="none"/>
              </w:rPr>
              <w:t>（个/L）</w:t>
            </w:r>
          </w:p>
        </w:tc>
        <w:tc>
          <w:tcPr>
            <w:tcW w:w="1168" w:type="pct"/>
            <w:shd w:val="clear" w:color="auto" w:fill="auto"/>
            <w:vAlign w:val="center"/>
          </w:tcPr>
          <w:p>
            <w:pPr>
              <w:pStyle w:val="58"/>
              <w:rPr>
                <w:highlight w:val="none"/>
              </w:rPr>
            </w:pPr>
            <w:r>
              <w:rPr>
                <w:highlight w:val="none"/>
              </w:rPr>
              <w:t>≤10000</w:t>
            </w:r>
          </w:p>
        </w:tc>
        <w:tc>
          <w:tcPr>
            <w:tcW w:w="1334" w:type="pct"/>
            <w:shd w:val="clear" w:color="auto" w:fill="auto"/>
            <w:vAlign w:val="center"/>
          </w:tcPr>
          <w:p>
            <w:pPr>
              <w:pStyle w:val="58"/>
              <w:rPr>
                <w:highlight w:val="none"/>
              </w:rPr>
            </w:pPr>
          </w:p>
        </w:tc>
        <w:tc>
          <w:tcPr>
            <w:tcW w:w="1173" w:type="pct"/>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4"/>
            <w:shd w:val="clear" w:color="auto" w:fill="auto"/>
            <w:vAlign w:val="center"/>
          </w:tcPr>
          <w:p>
            <w:pPr>
              <w:pStyle w:val="58"/>
              <w:jc w:val="both"/>
              <w:rPr>
                <w:highlight w:val="none"/>
              </w:rPr>
            </w:pPr>
            <w:r>
              <w:rPr>
                <w:rFonts w:hint="eastAsia"/>
                <w:sz w:val="18"/>
                <w:szCs w:val="18"/>
                <w:highlight w:val="none"/>
              </w:rPr>
              <w:t>注：*指标为集中式生活饮用水地表水水源地补充项目和特定项目。</w:t>
            </w:r>
          </w:p>
        </w:tc>
      </w:tr>
    </w:tbl>
    <w:p>
      <w:pPr>
        <w:pStyle w:val="58"/>
        <w:rPr>
          <w:highlight w:val="none"/>
        </w:rPr>
      </w:pPr>
    </w:p>
    <w:p>
      <w:pPr>
        <w:pStyle w:val="89"/>
        <w:ind w:firstLine="480"/>
        <w:rPr>
          <w:highlight w:val="none"/>
        </w:rPr>
      </w:pPr>
      <w:r>
        <w:rPr>
          <w:rFonts w:hint="eastAsia"/>
          <w:highlight w:val="none"/>
        </w:rPr>
        <w:t>（2）水污染排放标准</w:t>
      </w:r>
    </w:p>
    <w:p>
      <w:pPr>
        <w:pStyle w:val="89"/>
        <w:ind w:firstLine="480"/>
        <w:rPr>
          <w:highlight w:val="none"/>
        </w:rPr>
      </w:pPr>
      <w:r>
        <w:rPr>
          <w:kern w:val="0"/>
          <w:highlight w:val="none"/>
          <w:lang w:val="zh-CN"/>
        </w:rPr>
        <w:t>园区</w:t>
      </w:r>
      <w:r>
        <w:rPr>
          <w:highlight w:val="none"/>
        </w:rPr>
        <w:t>规划涉及多个产业链的多种行业，主要产品、副产品及污染物种类繁多，因此排放标准应针对各个具体行业的性质和特点，按照先行业、后地方、再国家的顺序执行相应排放标准。</w:t>
      </w:r>
    </w:p>
    <w:p>
      <w:pPr>
        <w:pStyle w:val="89"/>
        <w:ind w:firstLine="480"/>
        <w:rPr>
          <w:szCs w:val="24"/>
          <w:highlight w:val="none"/>
        </w:rPr>
      </w:pPr>
      <w:r>
        <w:rPr>
          <w:rFonts w:hint="eastAsia"/>
          <w:highlight w:val="none"/>
        </w:rPr>
        <w:t>园区</w:t>
      </w:r>
      <w:r>
        <w:rPr>
          <w:rFonts w:hint="eastAsia"/>
          <w:szCs w:val="24"/>
          <w:highlight w:val="none"/>
        </w:rPr>
        <w:t>产生的废水由企业自行处理达到相关行业标准或《污水排放综合标准》</w:t>
      </w:r>
      <w:r>
        <w:rPr>
          <w:rFonts w:hint="eastAsia"/>
          <w:sz w:val="22"/>
          <w:highlight w:val="none"/>
        </w:rPr>
        <w:t>（GB8979-1996）</w:t>
      </w:r>
      <w:r>
        <w:rPr>
          <w:rFonts w:hint="eastAsia"/>
          <w:szCs w:val="24"/>
          <w:highlight w:val="none"/>
        </w:rPr>
        <w:t>三级标准（</w:t>
      </w:r>
      <w:r>
        <w:rPr>
          <w:szCs w:val="24"/>
          <w:highlight w:val="none"/>
        </w:rPr>
        <w:t>NH</w:t>
      </w:r>
      <w:r>
        <w:rPr>
          <w:szCs w:val="24"/>
          <w:highlight w:val="none"/>
          <w:vertAlign w:val="subscript"/>
        </w:rPr>
        <w:t>3</w:t>
      </w:r>
      <w:r>
        <w:rPr>
          <w:szCs w:val="24"/>
          <w:highlight w:val="none"/>
        </w:rPr>
        <w:t>-N</w:t>
      </w:r>
      <w:r>
        <w:rPr>
          <w:rFonts w:hint="eastAsia"/>
          <w:szCs w:val="24"/>
          <w:highlight w:val="none"/>
        </w:rPr>
        <w:t>、</w:t>
      </w:r>
      <w:r>
        <w:rPr>
          <w:szCs w:val="24"/>
          <w:highlight w:val="none"/>
        </w:rPr>
        <w:t>TN</w:t>
      </w:r>
      <w:r>
        <w:rPr>
          <w:rFonts w:hint="eastAsia"/>
          <w:szCs w:val="24"/>
          <w:highlight w:val="none"/>
        </w:rPr>
        <w:t>、T</w:t>
      </w:r>
      <w:r>
        <w:rPr>
          <w:szCs w:val="24"/>
          <w:highlight w:val="none"/>
        </w:rPr>
        <w:t>P</w:t>
      </w:r>
      <w:r>
        <w:rPr>
          <w:rFonts w:hint="eastAsia"/>
          <w:szCs w:val="24"/>
          <w:highlight w:val="none"/>
        </w:rPr>
        <w:t>和色度参照《污水排入城镇下水道水质标准》</w:t>
      </w:r>
      <w:r>
        <w:rPr>
          <w:rFonts w:hint="eastAsia"/>
          <w:sz w:val="22"/>
          <w:szCs w:val="24"/>
          <w:highlight w:val="none"/>
        </w:rPr>
        <w:t>（GB/T31962-2015）</w:t>
      </w:r>
      <w:r>
        <w:rPr>
          <w:rFonts w:hint="eastAsia"/>
          <w:szCs w:val="24"/>
          <w:highlight w:val="none"/>
        </w:rPr>
        <w:t>表1中的B级标准限值），再进入百利新区污水处理厂进行处理。</w:t>
      </w:r>
    </w:p>
    <w:p>
      <w:pPr>
        <w:pStyle w:val="89"/>
        <w:ind w:firstLine="480"/>
        <w:rPr>
          <w:szCs w:val="24"/>
          <w:highlight w:val="none"/>
        </w:rPr>
      </w:pPr>
      <w:r>
        <w:rPr>
          <w:rFonts w:hint="eastAsia"/>
          <w:szCs w:val="24"/>
          <w:highlight w:val="none"/>
        </w:rPr>
        <w:t>百利新区污水处理厂</w:t>
      </w:r>
      <w:r>
        <w:rPr>
          <w:rFonts w:hint="eastAsia"/>
          <w:highlight w:val="none"/>
        </w:rPr>
        <w:t>尾水</w:t>
      </w:r>
      <w:r>
        <w:rPr>
          <w:rFonts w:hint="eastAsia"/>
          <w:szCs w:val="24"/>
          <w:highlight w:val="none"/>
        </w:rPr>
        <w:t>《城镇污水处理厂污染物排放标准》（GB18918-2002）一级A标准。</w:t>
      </w:r>
    </w:p>
    <w:p>
      <w:pPr>
        <w:pStyle w:val="89"/>
        <w:ind w:firstLine="480"/>
        <w:rPr>
          <w:szCs w:val="24"/>
          <w:highlight w:val="none"/>
        </w:rPr>
      </w:pPr>
      <w:r>
        <w:rPr>
          <w:rFonts w:hint="eastAsia"/>
          <w:szCs w:val="24"/>
          <w:highlight w:val="none"/>
        </w:rPr>
        <w:t>主要污染物排放限值见下表。</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9</w:t>
      </w:r>
      <w:r>
        <w:rPr>
          <w:highlight w:val="none"/>
        </w:rPr>
        <w:fldChar w:fldCharType="end"/>
      </w:r>
      <w:r>
        <w:rPr>
          <w:highlight w:val="none"/>
        </w:rPr>
        <w:t xml:space="preserve">  </w:t>
      </w:r>
      <w:r>
        <w:rPr>
          <w:rFonts w:hint="eastAsia"/>
          <w:highlight w:val="none"/>
        </w:rPr>
        <w:t>污水综合排放标准</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5"/>
        <w:gridCol w:w="2790"/>
        <w:gridCol w:w="2184"/>
        <w:gridCol w:w="34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450" w:type="pct"/>
            <w:shd w:val="clear" w:color="auto" w:fill="auto"/>
            <w:vAlign w:val="center"/>
          </w:tcPr>
          <w:p>
            <w:pPr>
              <w:pStyle w:val="58"/>
              <w:rPr>
                <w:highlight w:val="none"/>
              </w:rPr>
            </w:pPr>
            <w:r>
              <w:rPr>
                <w:highlight w:val="none"/>
              </w:rPr>
              <w:t>序号</w:t>
            </w:r>
          </w:p>
        </w:tc>
        <w:tc>
          <w:tcPr>
            <w:tcW w:w="1502" w:type="pct"/>
            <w:shd w:val="clear" w:color="auto" w:fill="auto"/>
            <w:vAlign w:val="center"/>
          </w:tcPr>
          <w:p>
            <w:pPr>
              <w:pStyle w:val="58"/>
              <w:rPr>
                <w:highlight w:val="none"/>
              </w:rPr>
            </w:pPr>
            <w:r>
              <w:rPr>
                <w:highlight w:val="none"/>
              </w:rPr>
              <w:t>污染物种类</w:t>
            </w:r>
          </w:p>
        </w:tc>
        <w:tc>
          <w:tcPr>
            <w:tcW w:w="1176" w:type="pct"/>
            <w:shd w:val="clear" w:color="auto" w:fill="auto"/>
            <w:vAlign w:val="center"/>
          </w:tcPr>
          <w:p>
            <w:pPr>
              <w:pStyle w:val="58"/>
              <w:rPr>
                <w:highlight w:val="none"/>
              </w:rPr>
            </w:pPr>
            <w:r>
              <w:rPr>
                <w:highlight w:val="none"/>
              </w:rPr>
              <w:t>标准限值mg/L</w:t>
            </w:r>
          </w:p>
        </w:tc>
        <w:tc>
          <w:tcPr>
            <w:tcW w:w="1872" w:type="pct"/>
            <w:shd w:val="clear" w:color="auto" w:fill="auto"/>
            <w:vAlign w:val="center"/>
          </w:tcPr>
          <w:p>
            <w:pPr>
              <w:pStyle w:val="58"/>
              <w:rPr>
                <w:highlight w:val="none"/>
              </w:rPr>
            </w:pPr>
            <w:r>
              <w:rPr>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450" w:type="pct"/>
            <w:shd w:val="clear" w:color="auto" w:fill="auto"/>
            <w:vAlign w:val="center"/>
          </w:tcPr>
          <w:p>
            <w:pPr>
              <w:pStyle w:val="58"/>
              <w:rPr>
                <w:highlight w:val="none"/>
              </w:rPr>
            </w:pPr>
            <w:r>
              <w:rPr>
                <w:highlight w:val="none"/>
              </w:rPr>
              <w:t>1</w:t>
            </w:r>
          </w:p>
        </w:tc>
        <w:tc>
          <w:tcPr>
            <w:tcW w:w="1502" w:type="pct"/>
            <w:shd w:val="clear" w:color="auto" w:fill="auto"/>
            <w:vAlign w:val="center"/>
          </w:tcPr>
          <w:p>
            <w:pPr>
              <w:pStyle w:val="58"/>
              <w:rPr>
                <w:highlight w:val="none"/>
              </w:rPr>
            </w:pPr>
            <w:r>
              <w:rPr>
                <w:highlight w:val="none"/>
              </w:rPr>
              <w:t>pH</w:t>
            </w:r>
            <w:r>
              <w:rPr>
                <w:rFonts w:hint="eastAsia"/>
                <w:highlight w:val="none"/>
              </w:rPr>
              <w:t>（无量纲）</w:t>
            </w:r>
          </w:p>
        </w:tc>
        <w:tc>
          <w:tcPr>
            <w:tcW w:w="1176" w:type="pct"/>
            <w:shd w:val="clear" w:color="auto" w:fill="auto"/>
            <w:vAlign w:val="center"/>
          </w:tcPr>
          <w:p>
            <w:pPr>
              <w:pStyle w:val="58"/>
              <w:rPr>
                <w:highlight w:val="none"/>
              </w:rPr>
            </w:pPr>
            <w:r>
              <w:rPr>
                <w:highlight w:val="none"/>
              </w:rPr>
              <w:t>6～9</w:t>
            </w:r>
          </w:p>
        </w:tc>
        <w:tc>
          <w:tcPr>
            <w:tcW w:w="1872" w:type="pct"/>
            <w:vMerge w:val="restart"/>
            <w:shd w:val="clear" w:color="auto" w:fill="auto"/>
            <w:vAlign w:val="center"/>
          </w:tcPr>
          <w:p>
            <w:pPr>
              <w:pStyle w:val="58"/>
              <w:rPr>
                <w:highlight w:val="none"/>
              </w:rPr>
            </w:pPr>
            <w:r>
              <w:rPr>
                <w:highlight w:val="none"/>
              </w:rPr>
              <w:t>《污水综合排放标准》</w:t>
            </w:r>
            <w:r>
              <w:rPr>
                <w:rFonts w:hint="eastAsia"/>
                <w:highlight w:val="none"/>
              </w:rPr>
              <w:t>（</w:t>
            </w:r>
            <w:r>
              <w:rPr>
                <w:highlight w:val="none"/>
              </w:rPr>
              <w:t>GB8978-1996</w:t>
            </w:r>
            <w:r>
              <w:rPr>
                <w:rFonts w:hint="eastAsia"/>
                <w:highlight w:val="none"/>
              </w:rPr>
              <w:t>）</w:t>
            </w:r>
            <w:r>
              <w:rPr>
                <w:highlight w:val="none"/>
              </w:rPr>
              <w:t>表4中三级</w:t>
            </w:r>
            <w:r>
              <w:rPr>
                <w:rFonts w:hint="eastAsia"/>
                <w:highlight w:val="none"/>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450" w:type="pct"/>
            <w:shd w:val="clear" w:color="auto" w:fill="auto"/>
            <w:vAlign w:val="center"/>
          </w:tcPr>
          <w:p>
            <w:pPr>
              <w:pStyle w:val="58"/>
              <w:rPr>
                <w:highlight w:val="none"/>
              </w:rPr>
            </w:pPr>
            <w:r>
              <w:rPr>
                <w:highlight w:val="none"/>
              </w:rPr>
              <w:t>2</w:t>
            </w:r>
          </w:p>
        </w:tc>
        <w:tc>
          <w:tcPr>
            <w:tcW w:w="1502" w:type="pct"/>
            <w:shd w:val="clear" w:color="auto" w:fill="auto"/>
            <w:vAlign w:val="center"/>
          </w:tcPr>
          <w:p>
            <w:pPr>
              <w:pStyle w:val="58"/>
              <w:rPr>
                <w:highlight w:val="none"/>
              </w:rPr>
            </w:pPr>
            <w:r>
              <w:rPr>
                <w:highlight w:val="none"/>
              </w:rPr>
              <w:t>COD</w:t>
            </w:r>
          </w:p>
        </w:tc>
        <w:tc>
          <w:tcPr>
            <w:tcW w:w="1176" w:type="pct"/>
            <w:shd w:val="clear" w:color="auto" w:fill="auto"/>
            <w:vAlign w:val="center"/>
          </w:tcPr>
          <w:p>
            <w:pPr>
              <w:pStyle w:val="58"/>
              <w:rPr>
                <w:highlight w:val="none"/>
              </w:rPr>
            </w:pPr>
            <w:r>
              <w:rPr>
                <w:highlight w:val="none"/>
              </w:rPr>
              <w:t>500</w:t>
            </w:r>
          </w:p>
        </w:tc>
        <w:tc>
          <w:tcPr>
            <w:tcW w:w="1872"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450" w:type="pct"/>
            <w:shd w:val="clear" w:color="auto" w:fill="auto"/>
            <w:vAlign w:val="center"/>
          </w:tcPr>
          <w:p>
            <w:pPr>
              <w:pStyle w:val="58"/>
              <w:rPr>
                <w:highlight w:val="none"/>
              </w:rPr>
            </w:pPr>
            <w:r>
              <w:rPr>
                <w:highlight w:val="none"/>
              </w:rPr>
              <w:t>3</w:t>
            </w:r>
          </w:p>
        </w:tc>
        <w:tc>
          <w:tcPr>
            <w:tcW w:w="1502" w:type="pct"/>
            <w:shd w:val="clear" w:color="auto" w:fill="auto"/>
            <w:vAlign w:val="center"/>
          </w:tcPr>
          <w:p>
            <w:pPr>
              <w:pStyle w:val="58"/>
              <w:rPr>
                <w:highlight w:val="none"/>
              </w:rPr>
            </w:pPr>
            <w:r>
              <w:rPr>
                <w:highlight w:val="none"/>
              </w:rPr>
              <w:t>BOD</w:t>
            </w:r>
            <w:r>
              <w:rPr>
                <w:highlight w:val="none"/>
                <w:vertAlign w:val="subscript"/>
              </w:rPr>
              <w:t>5</w:t>
            </w:r>
          </w:p>
        </w:tc>
        <w:tc>
          <w:tcPr>
            <w:tcW w:w="1176" w:type="pct"/>
            <w:shd w:val="clear" w:color="auto" w:fill="auto"/>
            <w:vAlign w:val="center"/>
          </w:tcPr>
          <w:p>
            <w:pPr>
              <w:pStyle w:val="58"/>
              <w:rPr>
                <w:highlight w:val="none"/>
              </w:rPr>
            </w:pPr>
            <w:r>
              <w:rPr>
                <w:highlight w:val="none"/>
              </w:rPr>
              <w:t>300</w:t>
            </w:r>
          </w:p>
        </w:tc>
        <w:tc>
          <w:tcPr>
            <w:tcW w:w="1872"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450" w:type="pct"/>
            <w:shd w:val="clear" w:color="auto" w:fill="auto"/>
            <w:vAlign w:val="center"/>
          </w:tcPr>
          <w:p>
            <w:pPr>
              <w:pStyle w:val="58"/>
              <w:rPr>
                <w:highlight w:val="none"/>
              </w:rPr>
            </w:pPr>
            <w:r>
              <w:rPr>
                <w:highlight w:val="none"/>
              </w:rPr>
              <w:t>4</w:t>
            </w:r>
          </w:p>
        </w:tc>
        <w:tc>
          <w:tcPr>
            <w:tcW w:w="1502" w:type="pct"/>
            <w:shd w:val="clear" w:color="auto" w:fill="auto"/>
            <w:vAlign w:val="center"/>
          </w:tcPr>
          <w:p>
            <w:pPr>
              <w:pStyle w:val="58"/>
              <w:rPr>
                <w:highlight w:val="none"/>
              </w:rPr>
            </w:pPr>
            <w:r>
              <w:rPr>
                <w:highlight w:val="none"/>
              </w:rPr>
              <w:t>SS</w:t>
            </w:r>
          </w:p>
        </w:tc>
        <w:tc>
          <w:tcPr>
            <w:tcW w:w="1176" w:type="pct"/>
            <w:shd w:val="clear" w:color="auto" w:fill="auto"/>
            <w:vAlign w:val="center"/>
          </w:tcPr>
          <w:p>
            <w:pPr>
              <w:pStyle w:val="58"/>
              <w:rPr>
                <w:highlight w:val="none"/>
              </w:rPr>
            </w:pPr>
            <w:r>
              <w:rPr>
                <w:highlight w:val="none"/>
              </w:rPr>
              <w:t>400</w:t>
            </w:r>
          </w:p>
        </w:tc>
        <w:tc>
          <w:tcPr>
            <w:tcW w:w="1872"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450" w:type="pct"/>
            <w:shd w:val="clear" w:color="auto" w:fill="auto"/>
            <w:vAlign w:val="center"/>
          </w:tcPr>
          <w:p>
            <w:pPr>
              <w:pStyle w:val="58"/>
              <w:rPr>
                <w:highlight w:val="none"/>
              </w:rPr>
            </w:pPr>
            <w:r>
              <w:rPr>
                <w:highlight w:val="none"/>
              </w:rPr>
              <w:t>5</w:t>
            </w:r>
          </w:p>
        </w:tc>
        <w:tc>
          <w:tcPr>
            <w:tcW w:w="1502" w:type="pct"/>
            <w:shd w:val="clear" w:color="auto" w:fill="auto"/>
            <w:vAlign w:val="center"/>
          </w:tcPr>
          <w:p>
            <w:pPr>
              <w:pStyle w:val="58"/>
              <w:rPr>
                <w:highlight w:val="none"/>
              </w:rPr>
            </w:pPr>
            <w:r>
              <w:rPr>
                <w:highlight w:val="none"/>
              </w:rPr>
              <w:t>石油类</w:t>
            </w:r>
          </w:p>
        </w:tc>
        <w:tc>
          <w:tcPr>
            <w:tcW w:w="1176" w:type="pct"/>
            <w:shd w:val="clear" w:color="auto" w:fill="auto"/>
            <w:vAlign w:val="center"/>
          </w:tcPr>
          <w:p>
            <w:pPr>
              <w:pStyle w:val="58"/>
              <w:rPr>
                <w:highlight w:val="none"/>
              </w:rPr>
            </w:pPr>
            <w:r>
              <w:rPr>
                <w:highlight w:val="none"/>
              </w:rPr>
              <w:t>20</w:t>
            </w:r>
          </w:p>
        </w:tc>
        <w:tc>
          <w:tcPr>
            <w:tcW w:w="1872"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450" w:type="pct"/>
            <w:shd w:val="clear" w:color="auto" w:fill="auto"/>
            <w:vAlign w:val="center"/>
          </w:tcPr>
          <w:p>
            <w:pPr>
              <w:pStyle w:val="58"/>
              <w:rPr>
                <w:highlight w:val="none"/>
              </w:rPr>
            </w:pPr>
            <w:r>
              <w:rPr>
                <w:highlight w:val="none"/>
              </w:rPr>
              <w:t>6</w:t>
            </w:r>
          </w:p>
        </w:tc>
        <w:tc>
          <w:tcPr>
            <w:tcW w:w="1502" w:type="pct"/>
            <w:shd w:val="clear" w:color="auto" w:fill="auto"/>
            <w:vAlign w:val="center"/>
          </w:tcPr>
          <w:p>
            <w:pPr>
              <w:pStyle w:val="58"/>
              <w:rPr>
                <w:highlight w:val="none"/>
              </w:rPr>
            </w:pPr>
            <w:r>
              <w:rPr>
                <w:highlight w:val="none"/>
              </w:rPr>
              <w:t>挥发酚</w:t>
            </w:r>
          </w:p>
        </w:tc>
        <w:tc>
          <w:tcPr>
            <w:tcW w:w="1176" w:type="pct"/>
            <w:shd w:val="clear" w:color="auto" w:fill="auto"/>
            <w:vAlign w:val="center"/>
          </w:tcPr>
          <w:p>
            <w:pPr>
              <w:pStyle w:val="58"/>
              <w:rPr>
                <w:highlight w:val="none"/>
              </w:rPr>
            </w:pPr>
            <w:r>
              <w:rPr>
                <w:highlight w:val="none"/>
              </w:rPr>
              <w:t>2.0</w:t>
            </w:r>
          </w:p>
        </w:tc>
        <w:tc>
          <w:tcPr>
            <w:tcW w:w="1872"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450" w:type="pct"/>
            <w:shd w:val="clear" w:color="auto" w:fill="auto"/>
            <w:vAlign w:val="center"/>
          </w:tcPr>
          <w:p>
            <w:pPr>
              <w:pStyle w:val="58"/>
              <w:rPr>
                <w:highlight w:val="none"/>
              </w:rPr>
            </w:pPr>
            <w:r>
              <w:rPr>
                <w:highlight w:val="none"/>
              </w:rPr>
              <w:t>7</w:t>
            </w:r>
          </w:p>
        </w:tc>
        <w:tc>
          <w:tcPr>
            <w:tcW w:w="1502" w:type="pct"/>
            <w:shd w:val="clear" w:color="auto" w:fill="auto"/>
            <w:vAlign w:val="center"/>
          </w:tcPr>
          <w:p>
            <w:pPr>
              <w:pStyle w:val="58"/>
              <w:rPr>
                <w:highlight w:val="none"/>
              </w:rPr>
            </w:pPr>
            <w:r>
              <w:rPr>
                <w:highlight w:val="none"/>
              </w:rPr>
              <w:t>NH</w:t>
            </w:r>
            <w:r>
              <w:rPr>
                <w:highlight w:val="none"/>
                <w:vertAlign w:val="subscript"/>
              </w:rPr>
              <w:t>3</w:t>
            </w:r>
            <w:r>
              <w:rPr>
                <w:highlight w:val="none"/>
              </w:rPr>
              <w:t>-N</w:t>
            </w:r>
            <w:r>
              <w:rPr>
                <w:rFonts w:hint="eastAsia"/>
                <w:highlight w:val="none"/>
              </w:rPr>
              <w:t>（以N计）</w:t>
            </w:r>
          </w:p>
        </w:tc>
        <w:tc>
          <w:tcPr>
            <w:tcW w:w="1176" w:type="pct"/>
            <w:shd w:val="clear" w:color="auto" w:fill="auto"/>
            <w:vAlign w:val="center"/>
          </w:tcPr>
          <w:p>
            <w:pPr>
              <w:pStyle w:val="58"/>
              <w:rPr>
                <w:highlight w:val="none"/>
              </w:rPr>
            </w:pPr>
            <w:r>
              <w:rPr>
                <w:rFonts w:hint="eastAsia"/>
                <w:highlight w:val="none"/>
              </w:rPr>
              <w:t>4</w:t>
            </w:r>
            <w:r>
              <w:rPr>
                <w:highlight w:val="none"/>
              </w:rPr>
              <w:t>5</w:t>
            </w:r>
          </w:p>
        </w:tc>
        <w:tc>
          <w:tcPr>
            <w:tcW w:w="1872" w:type="pct"/>
            <w:vMerge w:val="restart"/>
            <w:shd w:val="clear" w:color="auto" w:fill="auto"/>
            <w:vAlign w:val="center"/>
          </w:tcPr>
          <w:p>
            <w:pPr>
              <w:pStyle w:val="58"/>
              <w:rPr>
                <w:highlight w:val="none"/>
              </w:rPr>
            </w:pPr>
            <w:r>
              <w:rPr>
                <w:highlight w:val="none"/>
              </w:rPr>
              <w:t>参照执行《污水排入城镇下水道水质标准》</w:t>
            </w:r>
            <w:r>
              <w:rPr>
                <w:rFonts w:hint="eastAsia"/>
                <w:highlight w:val="none"/>
              </w:rPr>
              <w:t>（GB/T31962-2015）中的B级标准限值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450" w:type="pct"/>
            <w:shd w:val="clear" w:color="auto" w:fill="auto"/>
            <w:vAlign w:val="center"/>
          </w:tcPr>
          <w:p>
            <w:pPr>
              <w:pStyle w:val="58"/>
              <w:rPr>
                <w:highlight w:val="none"/>
              </w:rPr>
            </w:pPr>
            <w:r>
              <w:rPr>
                <w:highlight w:val="none"/>
              </w:rPr>
              <w:t>8</w:t>
            </w:r>
          </w:p>
        </w:tc>
        <w:tc>
          <w:tcPr>
            <w:tcW w:w="1502" w:type="pct"/>
            <w:shd w:val="clear" w:color="auto" w:fill="auto"/>
            <w:vAlign w:val="center"/>
          </w:tcPr>
          <w:p>
            <w:pPr>
              <w:pStyle w:val="58"/>
              <w:rPr>
                <w:highlight w:val="none"/>
              </w:rPr>
            </w:pPr>
            <w:r>
              <w:rPr>
                <w:rFonts w:hint="eastAsia"/>
                <w:highlight w:val="none"/>
              </w:rPr>
              <w:t>T</w:t>
            </w:r>
            <w:r>
              <w:rPr>
                <w:highlight w:val="none"/>
              </w:rPr>
              <w:t>N</w:t>
            </w:r>
            <w:r>
              <w:rPr>
                <w:rFonts w:hint="eastAsia"/>
                <w:highlight w:val="none"/>
              </w:rPr>
              <w:t>（以N计）</w:t>
            </w:r>
          </w:p>
        </w:tc>
        <w:tc>
          <w:tcPr>
            <w:tcW w:w="1176" w:type="pct"/>
            <w:shd w:val="clear" w:color="auto" w:fill="auto"/>
            <w:vAlign w:val="center"/>
          </w:tcPr>
          <w:p>
            <w:pPr>
              <w:pStyle w:val="58"/>
              <w:rPr>
                <w:highlight w:val="none"/>
              </w:rPr>
            </w:pPr>
            <w:r>
              <w:rPr>
                <w:rFonts w:hint="eastAsia"/>
                <w:highlight w:val="none"/>
              </w:rPr>
              <w:t>7</w:t>
            </w:r>
            <w:r>
              <w:rPr>
                <w:highlight w:val="none"/>
              </w:rPr>
              <w:t>0</w:t>
            </w:r>
          </w:p>
        </w:tc>
        <w:tc>
          <w:tcPr>
            <w:tcW w:w="1872"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450" w:type="pct"/>
            <w:shd w:val="clear" w:color="auto" w:fill="auto"/>
            <w:vAlign w:val="center"/>
          </w:tcPr>
          <w:p>
            <w:pPr>
              <w:pStyle w:val="58"/>
              <w:rPr>
                <w:highlight w:val="none"/>
              </w:rPr>
            </w:pPr>
            <w:r>
              <w:rPr>
                <w:rFonts w:hint="eastAsia"/>
                <w:highlight w:val="none"/>
              </w:rPr>
              <w:t>9</w:t>
            </w:r>
          </w:p>
        </w:tc>
        <w:tc>
          <w:tcPr>
            <w:tcW w:w="1502" w:type="pct"/>
            <w:shd w:val="clear" w:color="auto" w:fill="auto"/>
            <w:vAlign w:val="center"/>
          </w:tcPr>
          <w:p>
            <w:pPr>
              <w:pStyle w:val="58"/>
              <w:rPr>
                <w:highlight w:val="none"/>
              </w:rPr>
            </w:pPr>
            <w:r>
              <w:rPr>
                <w:rFonts w:hint="eastAsia"/>
                <w:highlight w:val="none"/>
              </w:rPr>
              <w:t>总磷（以P计）</w:t>
            </w:r>
          </w:p>
        </w:tc>
        <w:tc>
          <w:tcPr>
            <w:tcW w:w="1176" w:type="pct"/>
            <w:shd w:val="clear" w:color="auto" w:fill="auto"/>
            <w:vAlign w:val="center"/>
          </w:tcPr>
          <w:p>
            <w:pPr>
              <w:pStyle w:val="58"/>
              <w:rPr>
                <w:highlight w:val="none"/>
              </w:rPr>
            </w:pPr>
            <w:r>
              <w:rPr>
                <w:highlight w:val="none"/>
              </w:rPr>
              <w:t>8</w:t>
            </w:r>
          </w:p>
        </w:tc>
        <w:tc>
          <w:tcPr>
            <w:tcW w:w="1872"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450" w:type="pct"/>
            <w:shd w:val="clear" w:color="auto" w:fill="auto"/>
            <w:vAlign w:val="center"/>
          </w:tcPr>
          <w:p>
            <w:pPr>
              <w:pStyle w:val="58"/>
              <w:rPr>
                <w:highlight w:val="none"/>
              </w:rPr>
            </w:pPr>
            <w:r>
              <w:rPr>
                <w:rFonts w:hint="eastAsia"/>
                <w:highlight w:val="none"/>
              </w:rPr>
              <w:t>1</w:t>
            </w:r>
            <w:r>
              <w:rPr>
                <w:highlight w:val="none"/>
              </w:rPr>
              <w:t>0</w:t>
            </w:r>
          </w:p>
        </w:tc>
        <w:tc>
          <w:tcPr>
            <w:tcW w:w="1502" w:type="pct"/>
            <w:shd w:val="clear" w:color="auto" w:fill="auto"/>
            <w:vAlign w:val="center"/>
          </w:tcPr>
          <w:p>
            <w:pPr>
              <w:pStyle w:val="58"/>
              <w:rPr>
                <w:highlight w:val="none"/>
              </w:rPr>
            </w:pPr>
            <w:r>
              <w:rPr>
                <w:rFonts w:hint="eastAsia"/>
                <w:highlight w:val="none"/>
              </w:rPr>
              <w:t>色度（倍）</w:t>
            </w:r>
          </w:p>
        </w:tc>
        <w:tc>
          <w:tcPr>
            <w:tcW w:w="1176" w:type="pct"/>
            <w:shd w:val="clear" w:color="auto" w:fill="auto"/>
            <w:vAlign w:val="center"/>
          </w:tcPr>
          <w:p>
            <w:pPr>
              <w:pStyle w:val="58"/>
              <w:rPr>
                <w:highlight w:val="none"/>
              </w:rPr>
            </w:pPr>
            <w:r>
              <w:rPr>
                <w:rFonts w:hint="eastAsia"/>
                <w:highlight w:val="none"/>
              </w:rPr>
              <w:t>6</w:t>
            </w:r>
            <w:r>
              <w:rPr>
                <w:highlight w:val="none"/>
              </w:rPr>
              <w:t>4</w:t>
            </w:r>
          </w:p>
        </w:tc>
        <w:tc>
          <w:tcPr>
            <w:tcW w:w="1872" w:type="pct"/>
            <w:vMerge w:val="continue"/>
            <w:shd w:val="clear" w:color="auto" w:fill="auto"/>
            <w:vAlign w:val="center"/>
          </w:tcPr>
          <w:p>
            <w:pPr>
              <w:pStyle w:val="58"/>
              <w:rPr>
                <w:highlight w:val="none"/>
              </w:rPr>
            </w:pPr>
          </w:p>
        </w:tc>
      </w:tr>
    </w:tbl>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10</w:t>
      </w:r>
      <w:r>
        <w:rPr>
          <w:highlight w:val="none"/>
        </w:rPr>
        <w:fldChar w:fldCharType="end"/>
      </w:r>
      <w:r>
        <w:rPr>
          <w:highlight w:val="none"/>
        </w:rPr>
        <w:t xml:space="preserve">  </w:t>
      </w:r>
      <w:r>
        <w:rPr>
          <w:rFonts w:hint="eastAsia"/>
          <w:highlight w:val="none"/>
        </w:rPr>
        <w:t>污水处理厂排放标准</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8"/>
        <w:gridCol w:w="2743"/>
        <w:gridCol w:w="2671"/>
        <w:gridCol w:w="28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trPr>
        <w:tc>
          <w:tcPr>
            <w:tcW w:w="527" w:type="pct"/>
            <w:shd w:val="clear" w:color="auto" w:fill="auto"/>
            <w:vAlign w:val="center"/>
          </w:tcPr>
          <w:p>
            <w:pPr>
              <w:pStyle w:val="58"/>
              <w:rPr>
                <w:highlight w:val="none"/>
              </w:rPr>
            </w:pPr>
            <w:r>
              <w:rPr>
                <w:highlight w:val="none"/>
              </w:rPr>
              <w:t>序号</w:t>
            </w:r>
          </w:p>
        </w:tc>
        <w:tc>
          <w:tcPr>
            <w:tcW w:w="1477" w:type="pct"/>
            <w:shd w:val="clear" w:color="auto" w:fill="auto"/>
            <w:vAlign w:val="center"/>
          </w:tcPr>
          <w:p>
            <w:pPr>
              <w:pStyle w:val="58"/>
              <w:rPr>
                <w:highlight w:val="none"/>
              </w:rPr>
            </w:pPr>
            <w:r>
              <w:rPr>
                <w:highlight w:val="none"/>
              </w:rPr>
              <w:t>污染物种类</w:t>
            </w:r>
          </w:p>
        </w:tc>
        <w:tc>
          <w:tcPr>
            <w:tcW w:w="1438" w:type="pct"/>
            <w:shd w:val="clear" w:color="auto" w:fill="auto"/>
            <w:vAlign w:val="center"/>
          </w:tcPr>
          <w:p>
            <w:pPr>
              <w:pStyle w:val="58"/>
              <w:rPr>
                <w:highlight w:val="none"/>
              </w:rPr>
            </w:pPr>
            <w:r>
              <w:rPr>
                <w:highlight w:val="none"/>
              </w:rPr>
              <w:t>标准限值mg/L</w:t>
            </w:r>
          </w:p>
        </w:tc>
        <w:tc>
          <w:tcPr>
            <w:tcW w:w="1558" w:type="pct"/>
            <w:shd w:val="clear" w:color="auto" w:fill="auto"/>
            <w:vAlign w:val="center"/>
          </w:tcPr>
          <w:p>
            <w:pPr>
              <w:pStyle w:val="58"/>
              <w:rPr>
                <w:highlight w:val="none"/>
              </w:rPr>
            </w:pPr>
            <w:r>
              <w:rPr>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27" w:type="pct"/>
            <w:shd w:val="clear" w:color="auto" w:fill="auto"/>
            <w:vAlign w:val="center"/>
          </w:tcPr>
          <w:p>
            <w:pPr>
              <w:pStyle w:val="58"/>
              <w:rPr>
                <w:highlight w:val="none"/>
              </w:rPr>
            </w:pPr>
            <w:r>
              <w:rPr>
                <w:highlight w:val="none"/>
              </w:rPr>
              <w:t>1</w:t>
            </w:r>
          </w:p>
        </w:tc>
        <w:tc>
          <w:tcPr>
            <w:tcW w:w="1477" w:type="pct"/>
            <w:shd w:val="clear" w:color="auto" w:fill="auto"/>
            <w:vAlign w:val="center"/>
          </w:tcPr>
          <w:p>
            <w:pPr>
              <w:pStyle w:val="58"/>
              <w:rPr>
                <w:highlight w:val="none"/>
              </w:rPr>
            </w:pPr>
            <w:r>
              <w:rPr>
                <w:highlight w:val="none"/>
              </w:rPr>
              <w:t>COD</w:t>
            </w:r>
          </w:p>
        </w:tc>
        <w:tc>
          <w:tcPr>
            <w:tcW w:w="1438" w:type="pct"/>
            <w:shd w:val="clear" w:color="auto" w:fill="auto"/>
            <w:vAlign w:val="center"/>
          </w:tcPr>
          <w:p>
            <w:pPr>
              <w:pStyle w:val="58"/>
              <w:rPr>
                <w:highlight w:val="none"/>
              </w:rPr>
            </w:pPr>
            <w:r>
              <w:rPr>
                <w:rFonts w:hint="eastAsia"/>
                <w:highlight w:val="none"/>
              </w:rPr>
              <w:t>50</w:t>
            </w:r>
          </w:p>
        </w:tc>
        <w:tc>
          <w:tcPr>
            <w:tcW w:w="1558" w:type="pct"/>
            <w:vMerge w:val="restart"/>
            <w:shd w:val="clear" w:color="auto" w:fill="auto"/>
            <w:vAlign w:val="center"/>
          </w:tcPr>
          <w:p>
            <w:pPr>
              <w:pStyle w:val="58"/>
              <w:rPr>
                <w:highlight w:val="none"/>
              </w:rPr>
            </w:pPr>
            <w:r>
              <w:rPr>
                <w:rFonts w:hint="eastAsia"/>
                <w:highlight w:val="none"/>
              </w:rPr>
              <w:t>《城镇污水处理厂污染物排放标准》（GB18918-2002）一级A标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27" w:type="pct"/>
            <w:shd w:val="clear" w:color="auto" w:fill="auto"/>
            <w:vAlign w:val="center"/>
          </w:tcPr>
          <w:p>
            <w:pPr>
              <w:pStyle w:val="58"/>
              <w:rPr>
                <w:highlight w:val="none"/>
              </w:rPr>
            </w:pPr>
            <w:r>
              <w:rPr>
                <w:highlight w:val="none"/>
              </w:rPr>
              <w:t>2</w:t>
            </w:r>
          </w:p>
        </w:tc>
        <w:tc>
          <w:tcPr>
            <w:tcW w:w="1477" w:type="pct"/>
            <w:shd w:val="clear" w:color="auto" w:fill="auto"/>
            <w:vAlign w:val="center"/>
          </w:tcPr>
          <w:p>
            <w:pPr>
              <w:pStyle w:val="58"/>
              <w:rPr>
                <w:highlight w:val="none"/>
              </w:rPr>
            </w:pPr>
            <w:r>
              <w:rPr>
                <w:highlight w:val="none"/>
              </w:rPr>
              <w:t>BOD</w:t>
            </w:r>
            <w:r>
              <w:rPr>
                <w:highlight w:val="none"/>
                <w:vertAlign w:val="subscript"/>
              </w:rPr>
              <w:t>5</w:t>
            </w:r>
          </w:p>
        </w:tc>
        <w:tc>
          <w:tcPr>
            <w:tcW w:w="1438" w:type="pct"/>
            <w:shd w:val="clear" w:color="auto" w:fill="auto"/>
            <w:vAlign w:val="center"/>
          </w:tcPr>
          <w:p>
            <w:pPr>
              <w:pStyle w:val="58"/>
              <w:rPr>
                <w:highlight w:val="none"/>
              </w:rPr>
            </w:pPr>
            <w:r>
              <w:rPr>
                <w:rFonts w:hint="eastAsia"/>
                <w:highlight w:val="none"/>
              </w:rPr>
              <w:t>10</w:t>
            </w:r>
          </w:p>
        </w:tc>
        <w:tc>
          <w:tcPr>
            <w:tcW w:w="1558"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27" w:type="pct"/>
            <w:shd w:val="clear" w:color="auto" w:fill="auto"/>
            <w:vAlign w:val="center"/>
          </w:tcPr>
          <w:p>
            <w:pPr>
              <w:pStyle w:val="58"/>
              <w:rPr>
                <w:highlight w:val="none"/>
              </w:rPr>
            </w:pPr>
            <w:r>
              <w:rPr>
                <w:highlight w:val="none"/>
              </w:rPr>
              <w:t>3</w:t>
            </w:r>
          </w:p>
        </w:tc>
        <w:tc>
          <w:tcPr>
            <w:tcW w:w="1477" w:type="pct"/>
            <w:shd w:val="clear" w:color="auto" w:fill="auto"/>
            <w:vAlign w:val="center"/>
          </w:tcPr>
          <w:p>
            <w:pPr>
              <w:pStyle w:val="58"/>
              <w:rPr>
                <w:highlight w:val="none"/>
              </w:rPr>
            </w:pPr>
            <w:r>
              <w:rPr>
                <w:highlight w:val="none"/>
              </w:rPr>
              <w:t>NH</w:t>
            </w:r>
            <w:r>
              <w:rPr>
                <w:highlight w:val="none"/>
                <w:vertAlign w:val="subscript"/>
              </w:rPr>
              <w:t>3</w:t>
            </w:r>
            <w:r>
              <w:rPr>
                <w:highlight w:val="none"/>
              </w:rPr>
              <w:t>-N</w:t>
            </w:r>
            <w:r>
              <w:rPr>
                <w:rFonts w:hint="eastAsia"/>
                <w:highlight w:val="none"/>
              </w:rPr>
              <w:t>（以N计）</w:t>
            </w:r>
          </w:p>
        </w:tc>
        <w:tc>
          <w:tcPr>
            <w:tcW w:w="1438" w:type="pct"/>
            <w:shd w:val="clear" w:color="auto" w:fill="auto"/>
            <w:vAlign w:val="center"/>
          </w:tcPr>
          <w:p>
            <w:pPr>
              <w:pStyle w:val="58"/>
              <w:rPr>
                <w:highlight w:val="none"/>
              </w:rPr>
            </w:pPr>
            <w:r>
              <w:rPr>
                <w:rFonts w:hint="eastAsia"/>
                <w:highlight w:val="none"/>
              </w:rPr>
              <w:t>5（8）</w:t>
            </w:r>
            <w:r>
              <w:rPr>
                <w:rFonts w:hint="eastAsia"/>
                <w:highlight w:val="none"/>
                <w:vertAlign w:val="superscript"/>
              </w:rPr>
              <w:t>①</w:t>
            </w:r>
          </w:p>
        </w:tc>
        <w:tc>
          <w:tcPr>
            <w:tcW w:w="1558"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27" w:type="pct"/>
            <w:shd w:val="clear" w:color="auto" w:fill="auto"/>
            <w:vAlign w:val="center"/>
          </w:tcPr>
          <w:p>
            <w:pPr>
              <w:pStyle w:val="58"/>
              <w:rPr>
                <w:highlight w:val="none"/>
              </w:rPr>
            </w:pPr>
            <w:r>
              <w:rPr>
                <w:highlight w:val="none"/>
              </w:rPr>
              <w:t>4</w:t>
            </w:r>
          </w:p>
        </w:tc>
        <w:tc>
          <w:tcPr>
            <w:tcW w:w="1477" w:type="pct"/>
            <w:shd w:val="clear" w:color="auto" w:fill="auto"/>
            <w:vAlign w:val="center"/>
          </w:tcPr>
          <w:p>
            <w:pPr>
              <w:pStyle w:val="58"/>
              <w:rPr>
                <w:highlight w:val="none"/>
              </w:rPr>
            </w:pPr>
            <w:r>
              <w:rPr>
                <w:rFonts w:hint="eastAsia"/>
                <w:highlight w:val="none"/>
              </w:rPr>
              <w:t>T</w:t>
            </w:r>
            <w:r>
              <w:rPr>
                <w:highlight w:val="none"/>
              </w:rPr>
              <w:t>N</w:t>
            </w:r>
            <w:r>
              <w:rPr>
                <w:rFonts w:hint="eastAsia"/>
                <w:highlight w:val="none"/>
              </w:rPr>
              <w:t>（以N计）</w:t>
            </w:r>
          </w:p>
        </w:tc>
        <w:tc>
          <w:tcPr>
            <w:tcW w:w="1438" w:type="pct"/>
            <w:shd w:val="clear" w:color="auto" w:fill="auto"/>
            <w:vAlign w:val="center"/>
          </w:tcPr>
          <w:p>
            <w:pPr>
              <w:pStyle w:val="58"/>
              <w:rPr>
                <w:highlight w:val="none"/>
              </w:rPr>
            </w:pPr>
            <w:r>
              <w:rPr>
                <w:rFonts w:hint="eastAsia"/>
                <w:highlight w:val="none"/>
              </w:rPr>
              <w:t>15</w:t>
            </w:r>
          </w:p>
        </w:tc>
        <w:tc>
          <w:tcPr>
            <w:tcW w:w="1558"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27" w:type="pct"/>
            <w:shd w:val="clear" w:color="auto" w:fill="auto"/>
            <w:vAlign w:val="center"/>
          </w:tcPr>
          <w:p>
            <w:pPr>
              <w:pStyle w:val="58"/>
              <w:rPr>
                <w:highlight w:val="none"/>
              </w:rPr>
            </w:pPr>
            <w:r>
              <w:rPr>
                <w:highlight w:val="none"/>
              </w:rPr>
              <w:t>5</w:t>
            </w:r>
          </w:p>
        </w:tc>
        <w:tc>
          <w:tcPr>
            <w:tcW w:w="1477" w:type="pct"/>
            <w:shd w:val="clear" w:color="auto" w:fill="auto"/>
            <w:vAlign w:val="center"/>
          </w:tcPr>
          <w:p>
            <w:pPr>
              <w:pStyle w:val="58"/>
              <w:rPr>
                <w:highlight w:val="none"/>
              </w:rPr>
            </w:pPr>
            <w:r>
              <w:rPr>
                <w:rFonts w:hint="eastAsia"/>
                <w:highlight w:val="none"/>
              </w:rPr>
              <w:t>总磷（以P计）</w:t>
            </w:r>
          </w:p>
        </w:tc>
        <w:tc>
          <w:tcPr>
            <w:tcW w:w="1438" w:type="pct"/>
            <w:shd w:val="clear" w:color="auto" w:fill="auto"/>
            <w:vAlign w:val="center"/>
          </w:tcPr>
          <w:p>
            <w:pPr>
              <w:pStyle w:val="58"/>
              <w:rPr>
                <w:highlight w:val="none"/>
              </w:rPr>
            </w:pPr>
            <w:r>
              <w:rPr>
                <w:rFonts w:hint="eastAsia"/>
                <w:highlight w:val="none"/>
              </w:rPr>
              <w:t>0.5</w:t>
            </w:r>
          </w:p>
        </w:tc>
        <w:tc>
          <w:tcPr>
            <w:tcW w:w="1558"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27" w:type="pct"/>
            <w:shd w:val="clear" w:color="auto" w:fill="auto"/>
            <w:vAlign w:val="center"/>
          </w:tcPr>
          <w:p>
            <w:pPr>
              <w:pStyle w:val="58"/>
              <w:rPr>
                <w:highlight w:val="none"/>
              </w:rPr>
            </w:pPr>
            <w:r>
              <w:rPr>
                <w:rFonts w:hint="eastAsia"/>
                <w:highlight w:val="none"/>
              </w:rPr>
              <w:t>6</w:t>
            </w:r>
          </w:p>
        </w:tc>
        <w:tc>
          <w:tcPr>
            <w:tcW w:w="1477" w:type="pct"/>
            <w:shd w:val="clear" w:color="auto" w:fill="auto"/>
            <w:vAlign w:val="center"/>
          </w:tcPr>
          <w:p>
            <w:pPr>
              <w:pStyle w:val="58"/>
              <w:rPr>
                <w:highlight w:val="none"/>
              </w:rPr>
            </w:pPr>
            <w:r>
              <w:rPr>
                <w:highlight w:val="none"/>
              </w:rPr>
              <w:t>pH</w:t>
            </w:r>
            <w:r>
              <w:rPr>
                <w:rFonts w:hint="eastAsia"/>
                <w:highlight w:val="none"/>
              </w:rPr>
              <w:t>（无量纲）</w:t>
            </w:r>
          </w:p>
        </w:tc>
        <w:tc>
          <w:tcPr>
            <w:tcW w:w="1438" w:type="pct"/>
            <w:shd w:val="clear" w:color="auto" w:fill="auto"/>
            <w:vAlign w:val="center"/>
          </w:tcPr>
          <w:p>
            <w:pPr>
              <w:pStyle w:val="58"/>
              <w:rPr>
                <w:highlight w:val="none"/>
              </w:rPr>
            </w:pPr>
            <w:r>
              <w:rPr>
                <w:highlight w:val="none"/>
              </w:rPr>
              <w:t>6～9</w:t>
            </w:r>
          </w:p>
        </w:tc>
        <w:tc>
          <w:tcPr>
            <w:tcW w:w="1558"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27" w:type="pct"/>
            <w:shd w:val="clear" w:color="auto" w:fill="auto"/>
            <w:vAlign w:val="center"/>
          </w:tcPr>
          <w:p>
            <w:pPr>
              <w:pStyle w:val="58"/>
              <w:rPr>
                <w:highlight w:val="none"/>
              </w:rPr>
            </w:pPr>
            <w:r>
              <w:rPr>
                <w:rFonts w:hint="eastAsia"/>
                <w:highlight w:val="none"/>
              </w:rPr>
              <w:t>7</w:t>
            </w:r>
          </w:p>
        </w:tc>
        <w:tc>
          <w:tcPr>
            <w:tcW w:w="1477" w:type="pct"/>
            <w:shd w:val="clear" w:color="auto" w:fill="auto"/>
            <w:vAlign w:val="center"/>
          </w:tcPr>
          <w:p>
            <w:pPr>
              <w:pStyle w:val="58"/>
              <w:rPr>
                <w:highlight w:val="none"/>
              </w:rPr>
            </w:pPr>
            <w:r>
              <w:rPr>
                <w:rFonts w:hint="eastAsia"/>
                <w:highlight w:val="none"/>
              </w:rPr>
              <w:t>S</w:t>
            </w:r>
            <w:r>
              <w:rPr>
                <w:highlight w:val="none"/>
              </w:rPr>
              <w:t>S</w:t>
            </w:r>
          </w:p>
        </w:tc>
        <w:tc>
          <w:tcPr>
            <w:tcW w:w="1438" w:type="pct"/>
            <w:shd w:val="clear" w:color="auto" w:fill="auto"/>
            <w:vAlign w:val="center"/>
          </w:tcPr>
          <w:p>
            <w:pPr>
              <w:pStyle w:val="58"/>
              <w:rPr>
                <w:highlight w:val="none"/>
              </w:rPr>
            </w:pPr>
            <w:r>
              <w:rPr>
                <w:highlight w:val="none"/>
              </w:rPr>
              <w:t>10</w:t>
            </w:r>
          </w:p>
        </w:tc>
        <w:tc>
          <w:tcPr>
            <w:tcW w:w="1558"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27" w:type="pct"/>
            <w:shd w:val="clear" w:color="auto" w:fill="auto"/>
            <w:vAlign w:val="center"/>
          </w:tcPr>
          <w:p>
            <w:pPr>
              <w:pStyle w:val="58"/>
              <w:rPr>
                <w:highlight w:val="none"/>
              </w:rPr>
            </w:pPr>
            <w:r>
              <w:rPr>
                <w:rFonts w:hint="eastAsia"/>
                <w:highlight w:val="none"/>
              </w:rPr>
              <w:t>8</w:t>
            </w:r>
          </w:p>
        </w:tc>
        <w:tc>
          <w:tcPr>
            <w:tcW w:w="1477" w:type="pct"/>
            <w:shd w:val="clear" w:color="auto" w:fill="auto"/>
            <w:vAlign w:val="center"/>
          </w:tcPr>
          <w:p>
            <w:pPr>
              <w:pStyle w:val="58"/>
              <w:rPr>
                <w:highlight w:val="none"/>
              </w:rPr>
            </w:pPr>
            <w:r>
              <w:rPr>
                <w:rFonts w:hint="eastAsia"/>
                <w:highlight w:val="none"/>
              </w:rPr>
              <w:t>色度（倍）</w:t>
            </w:r>
          </w:p>
        </w:tc>
        <w:tc>
          <w:tcPr>
            <w:tcW w:w="1438" w:type="pct"/>
            <w:shd w:val="clear" w:color="auto" w:fill="auto"/>
            <w:vAlign w:val="center"/>
          </w:tcPr>
          <w:p>
            <w:pPr>
              <w:pStyle w:val="58"/>
              <w:rPr>
                <w:highlight w:val="none"/>
              </w:rPr>
            </w:pPr>
            <w:r>
              <w:rPr>
                <w:highlight w:val="none"/>
              </w:rPr>
              <w:t>30</w:t>
            </w:r>
          </w:p>
        </w:tc>
        <w:tc>
          <w:tcPr>
            <w:tcW w:w="1558"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27" w:type="pct"/>
            <w:shd w:val="clear" w:color="auto" w:fill="auto"/>
            <w:vAlign w:val="center"/>
          </w:tcPr>
          <w:p>
            <w:pPr>
              <w:pStyle w:val="58"/>
              <w:rPr>
                <w:highlight w:val="none"/>
              </w:rPr>
            </w:pPr>
            <w:r>
              <w:rPr>
                <w:rFonts w:hint="eastAsia"/>
                <w:highlight w:val="none"/>
              </w:rPr>
              <w:t>9</w:t>
            </w:r>
          </w:p>
        </w:tc>
        <w:tc>
          <w:tcPr>
            <w:tcW w:w="1477" w:type="pct"/>
            <w:shd w:val="clear" w:color="auto" w:fill="auto"/>
            <w:vAlign w:val="center"/>
          </w:tcPr>
          <w:p>
            <w:pPr>
              <w:pStyle w:val="58"/>
              <w:rPr>
                <w:highlight w:val="none"/>
              </w:rPr>
            </w:pPr>
            <w:r>
              <w:rPr>
                <w:rFonts w:hint="eastAsia"/>
                <w:highlight w:val="none"/>
              </w:rPr>
              <w:t>石油类</w:t>
            </w:r>
          </w:p>
        </w:tc>
        <w:tc>
          <w:tcPr>
            <w:tcW w:w="1438" w:type="pct"/>
            <w:shd w:val="clear" w:color="auto" w:fill="auto"/>
            <w:vAlign w:val="center"/>
          </w:tcPr>
          <w:p>
            <w:pPr>
              <w:pStyle w:val="58"/>
              <w:rPr>
                <w:highlight w:val="none"/>
              </w:rPr>
            </w:pPr>
            <w:r>
              <w:rPr>
                <w:highlight w:val="none"/>
              </w:rPr>
              <w:t>1</w:t>
            </w:r>
          </w:p>
        </w:tc>
        <w:tc>
          <w:tcPr>
            <w:tcW w:w="1558"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000" w:type="pct"/>
            <w:gridSpan w:val="4"/>
            <w:shd w:val="clear" w:color="auto" w:fill="auto"/>
            <w:vAlign w:val="center"/>
          </w:tcPr>
          <w:p>
            <w:pPr>
              <w:pStyle w:val="58"/>
              <w:jc w:val="left"/>
              <w:rPr>
                <w:highlight w:val="none"/>
              </w:rPr>
            </w:pPr>
            <w:r>
              <w:rPr>
                <w:rFonts w:hint="eastAsia"/>
                <w:sz w:val="18"/>
                <w:szCs w:val="18"/>
                <w:highlight w:val="none"/>
              </w:rPr>
              <w:t>注：①氨氮指标括号外数值为水温＞12℃时的控制指标，括号内数值为水温≤12℃时的控制指标。</w:t>
            </w:r>
          </w:p>
        </w:tc>
      </w:tr>
    </w:tbl>
    <w:p>
      <w:pPr>
        <w:pStyle w:val="58"/>
        <w:rPr>
          <w:highlight w:val="none"/>
        </w:rPr>
      </w:pPr>
    </w:p>
    <w:p>
      <w:pPr>
        <w:pStyle w:val="89"/>
        <w:ind w:firstLine="482"/>
        <w:outlineLvl w:val="4"/>
        <w:rPr>
          <w:b/>
          <w:bCs w:val="0"/>
          <w:highlight w:val="none"/>
        </w:rPr>
      </w:pPr>
      <w:r>
        <w:rPr>
          <w:rFonts w:hint="eastAsia"/>
          <w:b/>
          <w:bCs w:val="0"/>
          <w:highlight w:val="none"/>
        </w:rPr>
        <w:t>3、地下水环境</w:t>
      </w:r>
    </w:p>
    <w:p>
      <w:pPr>
        <w:pStyle w:val="89"/>
        <w:ind w:firstLine="480"/>
        <w:rPr>
          <w:rFonts w:eastAsia="黑体"/>
          <w:sz w:val="21"/>
          <w:highlight w:val="none"/>
        </w:rPr>
      </w:pPr>
      <w:r>
        <w:rPr>
          <w:szCs w:val="24"/>
          <w:highlight w:val="none"/>
        </w:rPr>
        <w:t>评价范围内</w:t>
      </w:r>
      <w:r>
        <w:rPr>
          <w:highlight w:val="none"/>
        </w:rPr>
        <w:t>地下水执行《地下水质量标准》（GB/T14848-2017）Ⅲ类水域标准。评价因子标准限值见下表</w:t>
      </w:r>
      <w:r>
        <w:rPr>
          <w:rFonts w:hint="eastAsia"/>
          <w:highlight w:val="none"/>
        </w:rPr>
        <w:t>。</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11</w:t>
      </w:r>
      <w:r>
        <w:rPr>
          <w:highlight w:val="none"/>
        </w:rPr>
        <w:fldChar w:fldCharType="end"/>
      </w:r>
      <w:r>
        <w:rPr>
          <w:highlight w:val="none"/>
        </w:rPr>
        <w:t xml:space="preserve">  </w:t>
      </w:r>
      <w:r>
        <w:rPr>
          <w:rFonts w:hint="eastAsia"/>
          <w:highlight w:val="none"/>
        </w:rPr>
        <w:t>地下水环境质量标准</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924"/>
        <w:gridCol w:w="1629"/>
        <w:gridCol w:w="3018"/>
        <w:gridCol w:w="152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tblHeader/>
          <w:jc w:val="center"/>
        </w:trPr>
        <w:tc>
          <w:tcPr>
            <w:tcW w:w="2905" w:type="dxa"/>
            <w:vAlign w:val="center"/>
          </w:tcPr>
          <w:p>
            <w:pPr>
              <w:pStyle w:val="95"/>
              <w:rPr>
                <w:highlight w:val="none"/>
              </w:rPr>
            </w:pPr>
            <w:r>
              <w:rPr>
                <w:rFonts w:hint="eastAsia"/>
                <w:highlight w:val="none"/>
              </w:rPr>
              <w:t>指标</w:t>
            </w:r>
          </w:p>
        </w:tc>
        <w:tc>
          <w:tcPr>
            <w:tcW w:w="1618" w:type="dxa"/>
            <w:vAlign w:val="center"/>
          </w:tcPr>
          <w:p>
            <w:pPr>
              <w:pStyle w:val="95"/>
              <w:rPr>
                <w:highlight w:val="none"/>
              </w:rPr>
            </w:pPr>
            <w:r>
              <w:rPr>
                <w:rFonts w:hint="eastAsia"/>
                <w:highlight w:val="none"/>
              </w:rPr>
              <w:t>Ⅲ类标准限值</w:t>
            </w:r>
          </w:p>
        </w:tc>
        <w:tc>
          <w:tcPr>
            <w:tcW w:w="2998" w:type="dxa"/>
            <w:vAlign w:val="center"/>
          </w:tcPr>
          <w:p>
            <w:pPr>
              <w:pStyle w:val="95"/>
              <w:rPr>
                <w:highlight w:val="none"/>
              </w:rPr>
            </w:pPr>
            <w:r>
              <w:rPr>
                <w:rFonts w:hint="eastAsia"/>
                <w:highlight w:val="none"/>
              </w:rPr>
              <w:t>指标</w:t>
            </w:r>
          </w:p>
        </w:tc>
        <w:tc>
          <w:tcPr>
            <w:tcW w:w="1519" w:type="dxa"/>
            <w:vAlign w:val="center"/>
          </w:tcPr>
          <w:p>
            <w:pPr>
              <w:pStyle w:val="95"/>
              <w:rPr>
                <w:highlight w:val="none"/>
              </w:rPr>
            </w:pPr>
            <w:r>
              <w:rPr>
                <w:rFonts w:hint="eastAsia"/>
                <w:highlight w:val="none"/>
              </w:rPr>
              <w:t>Ⅲ类标准值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pH</w:t>
            </w:r>
          </w:p>
        </w:tc>
        <w:tc>
          <w:tcPr>
            <w:tcW w:w="1618" w:type="dxa"/>
            <w:vAlign w:val="center"/>
          </w:tcPr>
          <w:p>
            <w:pPr>
              <w:pStyle w:val="95"/>
              <w:rPr>
                <w:highlight w:val="none"/>
              </w:rPr>
            </w:pPr>
            <w:r>
              <w:rPr>
                <w:rFonts w:hint="eastAsia"/>
                <w:highlight w:val="none"/>
              </w:rPr>
              <w:t>6.5~8.5</w:t>
            </w:r>
          </w:p>
        </w:tc>
        <w:tc>
          <w:tcPr>
            <w:tcW w:w="2998" w:type="dxa"/>
            <w:vAlign w:val="center"/>
          </w:tcPr>
          <w:p>
            <w:pPr>
              <w:pStyle w:val="95"/>
              <w:rPr>
                <w:highlight w:val="none"/>
              </w:rPr>
            </w:pPr>
            <w:r>
              <w:rPr>
                <w:rFonts w:hint="eastAsia"/>
                <w:highlight w:val="none"/>
              </w:rPr>
              <w:t>溶解性总固体（mg/L）</w:t>
            </w:r>
          </w:p>
        </w:tc>
        <w:tc>
          <w:tcPr>
            <w:tcW w:w="1519" w:type="dxa"/>
            <w:vAlign w:val="center"/>
          </w:tcPr>
          <w:p>
            <w:pPr>
              <w:pStyle w:val="95"/>
              <w:rPr>
                <w:highlight w:val="none"/>
              </w:rPr>
            </w:pPr>
            <w:r>
              <w:rPr>
                <w:rFonts w:hint="eastAsia"/>
                <w:highlight w:val="none"/>
              </w:rPr>
              <w:t>≤1000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NH</w:t>
            </w:r>
            <w:r>
              <w:rPr>
                <w:rFonts w:hint="eastAsia"/>
                <w:highlight w:val="none"/>
                <w:vertAlign w:val="subscript"/>
              </w:rPr>
              <w:t>3</w:t>
            </w:r>
            <w:r>
              <w:rPr>
                <w:rFonts w:hint="eastAsia"/>
                <w:highlight w:val="none"/>
              </w:rPr>
              <w:t>-N（mg/L）</w:t>
            </w:r>
          </w:p>
        </w:tc>
        <w:tc>
          <w:tcPr>
            <w:tcW w:w="1618" w:type="dxa"/>
            <w:vAlign w:val="center"/>
          </w:tcPr>
          <w:p>
            <w:pPr>
              <w:pStyle w:val="95"/>
              <w:rPr>
                <w:highlight w:val="none"/>
              </w:rPr>
            </w:pPr>
            <w:r>
              <w:rPr>
                <w:rFonts w:hint="eastAsia"/>
                <w:highlight w:val="none"/>
              </w:rPr>
              <w:t>≤0.5</w:t>
            </w:r>
          </w:p>
        </w:tc>
        <w:tc>
          <w:tcPr>
            <w:tcW w:w="2998" w:type="dxa"/>
            <w:vAlign w:val="center"/>
          </w:tcPr>
          <w:p>
            <w:pPr>
              <w:pStyle w:val="95"/>
              <w:rPr>
                <w:highlight w:val="none"/>
              </w:rPr>
            </w:pPr>
            <w:r>
              <w:rPr>
                <w:rFonts w:hint="eastAsia"/>
                <w:highlight w:val="none"/>
              </w:rPr>
              <w:t>总硬度（mg/L）</w:t>
            </w:r>
          </w:p>
        </w:tc>
        <w:tc>
          <w:tcPr>
            <w:tcW w:w="1519" w:type="dxa"/>
            <w:vAlign w:val="center"/>
          </w:tcPr>
          <w:p>
            <w:pPr>
              <w:pStyle w:val="95"/>
              <w:rPr>
                <w:highlight w:val="none"/>
              </w:rPr>
            </w:pPr>
            <w:r>
              <w:rPr>
                <w:rFonts w:hint="eastAsia"/>
                <w:highlight w:val="none"/>
              </w:rPr>
              <w:t>≤450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硝酸盐（mg/L）</w:t>
            </w:r>
          </w:p>
        </w:tc>
        <w:tc>
          <w:tcPr>
            <w:tcW w:w="1618" w:type="dxa"/>
            <w:vAlign w:val="center"/>
          </w:tcPr>
          <w:p>
            <w:pPr>
              <w:pStyle w:val="95"/>
              <w:rPr>
                <w:highlight w:val="none"/>
              </w:rPr>
            </w:pPr>
            <w:r>
              <w:rPr>
                <w:rFonts w:hint="eastAsia"/>
                <w:highlight w:val="none"/>
              </w:rPr>
              <w:t>≤20</w:t>
            </w:r>
          </w:p>
        </w:tc>
        <w:tc>
          <w:tcPr>
            <w:tcW w:w="2998" w:type="dxa"/>
            <w:vAlign w:val="center"/>
          </w:tcPr>
          <w:p>
            <w:pPr>
              <w:pStyle w:val="95"/>
              <w:rPr>
                <w:highlight w:val="none"/>
              </w:rPr>
            </w:pPr>
            <w:r>
              <w:rPr>
                <w:rFonts w:hint="eastAsia"/>
                <w:highlight w:val="none"/>
              </w:rPr>
              <w:t>耗氧量/高锰酸盐指数（mg/L）</w:t>
            </w:r>
          </w:p>
        </w:tc>
        <w:tc>
          <w:tcPr>
            <w:tcW w:w="1519" w:type="dxa"/>
            <w:vAlign w:val="center"/>
          </w:tcPr>
          <w:p>
            <w:pPr>
              <w:pStyle w:val="95"/>
              <w:rPr>
                <w:highlight w:val="none"/>
              </w:rPr>
            </w:pPr>
            <w:r>
              <w:rPr>
                <w:rFonts w:hint="eastAsia"/>
                <w:highlight w:val="none"/>
              </w:rPr>
              <w:t>≤3</w:t>
            </w:r>
            <w:r>
              <w:rPr>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亚硝酸盐（mg/L）</w:t>
            </w:r>
          </w:p>
        </w:tc>
        <w:tc>
          <w:tcPr>
            <w:tcW w:w="1618" w:type="dxa"/>
            <w:vAlign w:val="center"/>
          </w:tcPr>
          <w:p>
            <w:pPr>
              <w:pStyle w:val="95"/>
              <w:rPr>
                <w:highlight w:val="none"/>
              </w:rPr>
            </w:pPr>
            <w:r>
              <w:rPr>
                <w:rFonts w:hint="eastAsia"/>
                <w:highlight w:val="none"/>
              </w:rPr>
              <w:t>≤1.0</w:t>
            </w:r>
          </w:p>
        </w:tc>
        <w:tc>
          <w:tcPr>
            <w:tcW w:w="2998" w:type="dxa"/>
            <w:vAlign w:val="center"/>
          </w:tcPr>
          <w:p>
            <w:pPr>
              <w:pStyle w:val="95"/>
              <w:rPr>
                <w:highlight w:val="none"/>
              </w:rPr>
            </w:pPr>
            <w:r>
              <w:rPr>
                <w:rFonts w:hint="eastAsia"/>
                <w:highlight w:val="none"/>
              </w:rPr>
              <w:t>硫化物（mg/L）</w:t>
            </w:r>
          </w:p>
        </w:tc>
        <w:tc>
          <w:tcPr>
            <w:tcW w:w="1519" w:type="dxa"/>
            <w:vAlign w:val="center"/>
          </w:tcPr>
          <w:p>
            <w:pPr>
              <w:pStyle w:val="95"/>
              <w:rPr>
                <w:highlight w:val="none"/>
              </w:rPr>
            </w:pPr>
            <w:r>
              <w:rPr>
                <w:rFonts w:hint="eastAsia"/>
                <w:highlight w:val="none"/>
              </w:rPr>
              <w:t>≤0.02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挥发性酚类（mg/L）</w:t>
            </w:r>
          </w:p>
        </w:tc>
        <w:tc>
          <w:tcPr>
            <w:tcW w:w="1618" w:type="dxa"/>
            <w:vAlign w:val="center"/>
          </w:tcPr>
          <w:p>
            <w:pPr>
              <w:pStyle w:val="95"/>
              <w:rPr>
                <w:highlight w:val="none"/>
              </w:rPr>
            </w:pPr>
            <w:r>
              <w:rPr>
                <w:rFonts w:hint="eastAsia"/>
                <w:highlight w:val="none"/>
              </w:rPr>
              <w:t>≤0.002</w:t>
            </w:r>
          </w:p>
        </w:tc>
        <w:tc>
          <w:tcPr>
            <w:tcW w:w="2998" w:type="dxa"/>
            <w:vAlign w:val="center"/>
          </w:tcPr>
          <w:p>
            <w:pPr>
              <w:pStyle w:val="95"/>
              <w:rPr>
                <w:highlight w:val="none"/>
              </w:rPr>
            </w:pPr>
            <w:r>
              <w:rPr>
                <w:rFonts w:hint="eastAsia"/>
                <w:highlight w:val="none"/>
              </w:rPr>
              <w:t>总大肠菌群（MPN/100mL）</w:t>
            </w:r>
          </w:p>
        </w:tc>
        <w:tc>
          <w:tcPr>
            <w:tcW w:w="1519" w:type="dxa"/>
            <w:vAlign w:val="center"/>
          </w:tcPr>
          <w:p>
            <w:pPr>
              <w:pStyle w:val="95"/>
              <w:rPr>
                <w:highlight w:val="none"/>
              </w:rPr>
            </w:pPr>
            <w:r>
              <w:rPr>
                <w:rFonts w:hint="eastAsia"/>
                <w:highlight w:val="none"/>
              </w:rPr>
              <w:t>≤3</w:t>
            </w:r>
            <w:r>
              <w:rPr>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氰化物（mg/L）</w:t>
            </w:r>
          </w:p>
        </w:tc>
        <w:tc>
          <w:tcPr>
            <w:tcW w:w="1618" w:type="dxa"/>
            <w:vAlign w:val="center"/>
          </w:tcPr>
          <w:p>
            <w:pPr>
              <w:pStyle w:val="95"/>
              <w:rPr>
                <w:highlight w:val="none"/>
              </w:rPr>
            </w:pPr>
            <w:r>
              <w:rPr>
                <w:rFonts w:hint="eastAsia"/>
                <w:highlight w:val="none"/>
              </w:rPr>
              <w:t>≤0.05</w:t>
            </w:r>
          </w:p>
        </w:tc>
        <w:tc>
          <w:tcPr>
            <w:tcW w:w="2998" w:type="dxa"/>
            <w:vAlign w:val="center"/>
          </w:tcPr>
          <w:p>
            <w:pPr>
              <w:pStyle w:val="95"/>
              <w:rPr>
                <w:highlight w:val="none"/>
              </w:rPr>
            </w:pPr>
            <w:r>
              <w:rPr>
                <w:rFonts w:hint="eastAsia"/>
                <w:highlight w:val="none"/>
              </w:rPr>
              <w:t>硫酸盐（mg/L）</w:t>
            </w:r>
          </w:p>
        </w:tc>
        <w:tc>
          <w:tcPr>
            <w:tcW w:w="1519" w:type="dxa"/>
            <w:vAlign w:val="center"/>
          </w:tcPr>
          <w:p>
            <w:pPr>
              <w:pStyle w:val="95"/>
              <w:rPr>
                <w:highlight w:val="none"/>
              </w:rPr>
            </w:pPr>
            <w:r>
              <w:rPr>
                <w:rFonts w:hint="eastAsia"/>
                <w:highlight w:val="none"/>
              </w:rPr>
              <w:t>≤250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氟化物（mg/L）</w:t>
            </w:r>
          </w:p>
        </w:tc>
        <w:tc>
          <w:tcPr>
            <w:tcW w:w="1618" w:type="dxa"/>
            <w:vAlign w:val="center"/>
          </w:tcPr>
          <w:p>
            <w:pPr>
              <w:pStyle w:val="95"/>
              <w:rPr>
                <w:highlight w:val="none"/>
              </w:rPr>
            </w:pPr>
            <w:r>
              <w:rPr>
                <w:rFonts w:hint="eastAsia"/>
                <w:highlight w:val="none"/>
              </w:rPr>
              <w:t>≤1.0</w:t>
            </w:r>
          </w:p>
        </w:tc>
        <w:tc>
          <w:tcPr>
            <w:tcW w:w="2998" w:type="dxa"/>
            <w:vAlign w:val="center"/>
          </w:tcPr>
          <w:p>
            <w:pPr>
              <w:pStyle w:val="95"/>
              <w:rPr>
                <w:highlight w:val="none"/>
              </w:rPr>
            </w:pPr>
            <w:r>
              <w:rPr>
                <w:rFonts w:hint="eastAsia"/>
                <w:highlight w:val="none"/>
              </w:rPr>
              <w:t>氯化物（mg/L）</w:t>
            </w:r>
          </w:p>
        </w:tc>
        <w:tc>
          <w:tcPr>
            <w:tcW w:w="1519" w:type="dxa"/>
            <w:vAlign w:val="center"/>
          </w:tcPr>
          <w:p>
            <w:pPr>
              <w:pStyle w:val="95"/>
              <w:rPr>
                <w:highlight w:val="none"/>
              </w:rPr>
            </w:pPr>
            <w:r>
              <w:rPr>
                <w:rFonts w:hint="eastAsia"/>
                <w:highlight w:val="none"/>
              </w:rPr>
              <w:t>≤250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汞（mg/L）</w:t>
            </w:r>
          </w:p>
        </w:tc>
        <w:tc>
          <w:tcPr>
            <w:tcW w:w="1618" w:type="dxa"/>
            <w:vAlign w:val="center"/>
          </w:tcPr>
          <w:p>
            <w:pPr>
              <w:pStyle w:val="95"/>
              <w:rPr>
                <w:highlight w:val="none"/>
              </w:rPr>
            </w:pPr>
            <w:r>
              <w:rPr>
                <w:rFonts w:hint="eastAsia"/>
                <w:highlight w:val="none"/>
              </w:rPr>
              <w:t>≤0.001</w:t>
            </w:r>
          </w:p>
        </w:tc>
        <w:tc>
          <w:tcPr>
            <w:tcW w:w="2998" w:type="dxa"/>
            <w:vAlign w:val="center"/>
          </w:tcPr>
          <w:p>
            <w:pPr>
              <w:pStyle w:val="95"/>
              <w:rPr>
                <w:highlight w:val="none"/>
              </w:rPr>
            </w:pPr>
            <w:r>
              <w:rPr>
                <w:rFonts w:hint="eastAsia"/>
                <w:highlight w:val="none"/>
              </w:rPr>
              <w:t>钠（mg/L）</w:t>
            </w:r>
          </w:p>
        </w:tc>
        <w:tc>
          <w:tcPr>
            <w:tcW w:w="1519" w:type="dxa"/>
            <w:vAlign w:val="center"/>
          </w:tcPr>
          <w:p>
            <w:pPr>
              <w:pStyle w:val="95"/>
              <w:rPr>
                <w:highlight w:val="none"/>
              </w:rPr>
            </w:pPr>
            <w:r>
              <w:rPr>
                <w:rFonts w:hint="eastAsia"/>
                <w:highlight w:val="none"/>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铬（六价）（mg/L）</w:t>
            </w:r>
          </w:p>
        </w:tc>
        <w:tc>
          <w:tcPr>
            <w:tcW w:w="1618" w:type="dxa"/>
            <w:vAlign w:val="center"/>
          </w:tcPr>
          <w:p>
            <w:pPr>
              <w:pStyle w:val="95"/>
              <w:rPr>
                <w:highlight w:val="none"/>
              </w:rPr>
            </w:pPr>
            <w:r>
              <w:rPr>
                <w:rFonts w:hint="eastAsia"/>
                <w:highlight w:val="none"/>
              </w:rPr>
              <w:t>≤0.05</w:t>
            </w:r>
          </w:p>
        </w:tc>
        <w:tc>
          <w:tcPr>
            <w:tcW w:w="2998" w:type="dxa"/>
            <w:vAlign w:val="center"/>
          </w:tcPr>
          <w:p>
            <w:pPr>
              <w:pStyle w:val="95"/>
              <w:rPr>
                <w:highlight w:val="none"/>
              </w:rPr>
            </w:pPr>
            <w:r>
              <w:rPr>
                <w:rFonts w:hint="eastAsia" w:cs="Times New Roman"/>
                <w:highlight w:val="none"/>
              </w:rPr>
              <w:t>四氯化碳</w:t>
            </w:r>
            <w:r>
              <w:rPr>
                <w:rFonts w:hint="eastAsia"/>
                <w:highlight w:val="none"/>
              </w:rPr>
              <w:t>（</w:t>
            </w:r>
            <w:r>
              <w:rPr>
                <w:rFonts w:hint="eastAsia" w:ascii="宋体" w:hAnsi="宋体"/>
                <w:highlight w:val="none"/>
              </w:rPr>
              <w:t>u</w:t>
            </w:r>
            <w:r>
              <w:rPr>
                <w:rFonts w:hint="eastAsia"/>
                <w:highlight w:val="none"/>
              </w:rPr>
              <w:t>g/L）</w:t>
            </w:r>
          </w:p>
        </w:tc>
        <w:tc>
          <w:tcPr>
            <w:tcW w:w="1519" w:type="dxa"/>
            <w:vAlign w:val="center"/>
          </w:tcPr>
          <w:p>
            <w:pPr>
              <w:pStyle w:val="95"/>
              <w:rPr>
                <w:highlight w:val="none"/>
              </w:rPr>
            </w:pPr>
            <w:r>
              <w:rPr>
                <w:rFonts w:hint="eastAsia"/>
                <w:highlight w:val="none"/>
              </w:rPr>
              <w:t>≤2</w:t>
            </w:r>
            <w:r>
              <w:rPr>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铅（mg/L）</w:t>
            </w:r>
          </w:p>
        </w:tc>
        <w:tc>
          <w:tcPr>
            <w:tcW w:w="1618" w:type="dxa"/>
            <w:vAlign w:val="center"/>
          </w:tcPr>
          <w:p>
            <w:pPr>
              <w:pStyle w:val="95"/>
              <w:rPr>
                <w:highlight w:val="none"/>
              </w:rPr>
            </w:pPr>
            <w:r>
              <w:rPr>
                <w:rFonts w:hint="eastAsia"/>
                <w:highlight w:val="none"/>
              </w:rPr>
              <w:t>≤0.01</w:t>
            </w:r>
          </w:p>
        </w:tc>
        <w:tc>
          <w:tcPr>
            <w:tcW w:w="2998" w:type="dxa"/>
            <w:vAlign w:val="center"/>
          </w:tcPr>
          <w:p>
            <w:pPr>
              <w:pStyle w:val="95"/>
              <w:rPr>
                <w:highlight w:val="none"/>
              </w:rPr>
            </w:pPr>
            <w:r>
              <w:rPr>
                <w:rFonts w:hint="eastAsia" w:cs="Times New Roman"/>
                <w:highlight w:val="none"/>
              </w:rPr>
              <w:t>三氯甲烷</w:t>
            </w:r>
            <w:r>
              <w:rPr>
                <w:rFonts w:hint="eastAsia"/>
                <w:highlight w:val="none"/>
              </w:rPr>
              <w:t>（</w:t>
            </w:r>
            <w:r>
              <w:rPr>
                <w:rFonts w:hint="eastAsia" w:ascii="宋体" w:hAnsi="宋体"/>
                <w:highlight w:val="none"/>
              </w:rPr>
              <w:t>u</w:t>
            </w:r>
            <w:r>
              <w:rPr>
                <w:rFonts w:hint="eastAsia"/>
                <w:highlight w:val="none"/>
              </w:rPr>
              <w:t>g/L）</w:t>
            </w:r>
          </w:p>
        </w:tc>
        <w:tc>
          <w:tcPr>
            <w:tcW w:w="1519" w:type="dxa"/>
            <w:vAlign w:val="center"/>
          </w:tcPr>
          <w:p>
            <w:pPr>
              <w:pStyle w:val="95"/>
              <w:rPr>
                <w:highlight w:val="none"/>
              </w:rPr>
            </w:pPr>
            <w:r>
              <w:rPr>
                <w:rFonts w:hint="eastAsia"/>
                <w:highlight w:val="none"/>
              </w:rPr>
              <w:t>≤</w:t>
            </w:r>
            <w:r>
              <w:rPr>
                <w:highlight w:val="none"/>
              </w:rPr>
              <w:t>60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砷（mg/L）</w:t>
            </w:r>
          </w:p>
        </w:tc>
        <w:tc>
          <w:tcPr>
            <w:tcW w:w="1618" w:type="dxa"/>
            <w:vAlign w:val="center"/>
          </w:tcPr>
          <w:p>
            <w:pPr>
              <w:pStyle w:val="95"/>
              <w:rPr>
                <w:highlight w:val="none"/>
              </w:rPr>
            </w:pPr>
            <w:r>
              <w:rPr>
                <w:rFonts w:hint="eastAsia"/>
                <w:highlight w:val="none"/>
              </w:rPr>
              <w:t>≤0.01</w:t>
            </w:r>
          </w:p>
        </w:tc>
        <w:tc>
          <w:tcPr>
            <w:tcW w:w="2998" w:type="dxa"/>
            <w:vAlign w:val="center"/>
          </w:tcPr>
          <w:p>
            <w:pPr>
              <w:pStyle w:val="95"/>
              <w:rPr>
                <w:highlight w:val="none"/>
              </w:rPr>
            </w:pPr>
            <w:r>
              <w:rPr>
                <w:rFonts w:hint="eastAsia" w:cs="Times New Roman"/>
                <w:highlight w:val="none"/>
              </w:rPr>
              <w:t>二氯甲烷</w:t>
            </w:r>
            <w:r>
              <w:rPr>
                <w:rFonts w:hint="eastAsia"/>
                <w:highlight w:val="none"/>
              </w:rPr>
              <w:t>（</w:t>
            </w:r>
            <w:r>
              <w:rPr>
                <w:rFonts w:hint="eastAsia" w:ascii="宋体" w:hAnsi="宋体"/>
                <w:highlight w:val="none"/>
              </w:rPr>
              <w:t>u</w:t>
            </w:r>
            <w:r>
              <w:rPr>
                <w:rFonts w:hint="eastAsia"/>
                <w:highlight w:val="none"/>
              </w:rPr>
              <w:t>g/L）</w:t>
            </w:r>
          </w:p>
        </w:tc>
        <w:tc>
          <w:tcPr>
            <w:tcW w:w="1519" w:type="dxa"/>
            <w:vAlign w:val="center"/>
          </w:tcPr>
          <w:p>
            <w:pPr>
              <w:pStyle w:val="95"/>
              <w:rPr>
                <w:highlight w:val="none"/>
              </w:rPr>
            </w:pPr>
            <w:r>
              <w:rPr>
                <w:rFonts w:hint="eastAsia"/>
                <w:highlight w:val="none"/>
              </w:rPr>
              <w:t>≤</w:t>
            </w:r>
            <w:r>
              <w:rPr>
                <w:highlight w:val="none"/>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镉（mg/L）</w:t>
            </w:r>
          </w:p>
        </w:tc>
        <w:tc>
          <w:tcPr>
            <w:tcW w:w="1618" w:type="dxa"/>
            <w:vAlign w:val="center"/>
          </w:tcPr>
          <w:p>
            <w:pPr>
              <w:pStyle w:val="95"/>
              <w:rPr>
                <w:highlight w:val="none"/>
              </w:rPr>
            </w:pPr>
            <w:r>
              <w:rPr>
                <w:rFonts w:hint="eastAsia"/>
                <w:highlight w:val="none"/>
              </w:rPr>
              <w:t>≤0.005</w:t>
            </w:r>
          </w:p>
        </w:tc>
        <w:tc>
          <w:tcPr>
            <w:tcW w:w="2998" w:type="dxa"/>
            <w:vAlign w:val="center"/>
          </w:tcPr>
          <w:p>
            <w:pPr>
              <w:pStyle w:val="95"/>
              <w:rPr>
                <w:highlight w:val="none"/>
              </w:rPr>
            </w:pPr>
            <w:r>
              <w:rPr>
                <w:rFonts w:hint="eastAsia" w:cs="Times New Roman"/>
                <w:highlight w:val="none"/>
              </w:rPr>
              <w:t>苯</w:t>
            </w:r>
            <w:r>
              <w:rPr>
                <w:rFonts w:hint="eastAsia"/>
                <w:highlight w:val="none"/>
              </w:rPr>
              <w:t>（</w:t>
            </w:r>
            <w:r>
              <w:rPr>
                <w:rFonts w:hint="eastAsia" w:ascii="宋体" w:hAnsi="宋体"/>
                <w:highlight w:val="none"/>
              </w:rPr>
              <w:t>u</w:t>
            </w:r>
            <w:r>
              <w:rPr>
                <w:rFonts w:hint="eastAsia"/>
                <w:highlight w:val="none"/>
              </w:rPr>
              <w:t>g/L）</w:t>
            </w:r>
          </w:p>
        </w:tc>
        <w:tc>
          <w:tcPr>
            <w:tcW w:w="1519" w:type="dxa"/>
            <w:vAlign w:val="center"/>
          </w:tcPr>
          <w:p>
            <w:pPr>
              <w:pStyle w:val="95"/>
              <w:rPr>
                <w:highlight w:val="none"/>
              </w:rPr>
            </w:pPr>
            <w:r>
              <w:rPr>
                <w:rFonts w:hint="eastAsia"/>
                <w:highlight w:val="none"/>
              </w:rPr>
              <w:t>≤</w:t>
            </w:r>
            <w:r>
              <w:rPr>
                <w:highlight w:val="none"/>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铁（mg/L）</w:t>
            </w:r>
          </w:p>
        </w:tc>
        <w:tc>
          <w:tcPr>
            <w:tcW w:w="1618" w:type="dxa"/>
            <w:vAlign w:val="center"/>
          </w:tcPr>
          <w:p>
            <w:pPr>
              <w:pStyle w:val="95"/>
              <w:rPr>
                <w:highlight w:val="none"/>
              </w:rPr>
            </w:pPr>
            <w:r>
              <w:rPr>
                <w:rFonts w:hint="eastAsia"/>
                <w:highlight w:val="none"/>
              </w:rPr>
              <w:t>≤0.3</w:t>
            </w:r>
          </w:p>
        </w:tc>
        <w:tc>
          <w:tcPr>
            <w:tcW w:w="2998" w:type="dxa"/>
            <w:vAlign w:val="center"/>
          </w:tcPr>
          <w:p>
            <w:pPr>
              <w:pStyle w:val="95"/>
              <w:rPr>
                <w:highlight w:val="none"/>
              </w:rPr>
            </w:pPr>
            <w:r>
              <w:rPr>
                <w:rFonts w:hint="eastAsia" w:cs="Times New Roman"/>
                <w:highlight w:val="none"/>
              </w:rPr>
              <w:t>甲苯</w:t>
            </w:r>
            <w:r>
              <w:rPr>
                <w:rFonts w:hint="eastAsia"/>
                <w:highlight w:val="none"/>
              </w:rPr>
              <w:t>（</w:t>
            </w:r>
            <w:r>
              <w:rPr>
                <w:rFonts w:hint="eastAsia" w:ascii="宋体" w:hAnsi="宋体"/>
                <w:highlight w:val="none"/>
              </w:rPr>
              <w:t>u</w:t>
            </w:r>
            <w:r>
              <w:rPr>
                <w:rFonts w:hint="eastAsia"/>
                <w:highlight w:val="none"/>
              </w:rPr>
              <w:t>g/L）</w:t>
            </w:r>
          </w:p>
        </w:tc>
        <w:tc>
          <w:tcPr>
            <w:tcW w:w="1519" w:type="dxa"/>
            <w:vAlign w:val="center"/>
          </w:tcPr>
          <w:p>
            <w:pPr>
              <w:pStyle w:val="95"/>
              <w:rPr>
                <w:highlight w:val="none"/>
              </w:rPr>
            </w:pPr>
            <w:r>
              <w:rPr>
                <w:rFonts w:hint="eastAsia"/>
                <w:highlight w:val="none"/>
              </w:rPr>
              <w:t>≤</w:t>
            </w:r>
            <w:r>
              <w:rPr>
                <w:highlight w:val="none"/>
              </w:rPr>
              <w:t>700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2905" w:type="dxa"/>
            <w:vAlign w:val="center"/>
          </w:tcPr>
          <w:p>
            <w:pPr>
              <w:pStyle w:val="95"/>
              <w:rPr>
                <w:highlight w:val="none"/>
              </w:rPr>
            </w:pPr>
            <w:r>
              <w:rPr>
                <w:rFonts w:hint="eastAsia"/>
                <w:highlight w:val="none"/>
              </w:rPr>
              <w:t>锰（mg/L）</w:t>
            </w:r>
          </w:p>
        </w:tc>
        <w:tc>
          <w:tcPr>
            <w:tcW w:w="1618" w:type="dxa"/>
            <w:vAlign w:val="center"/>
          </w:tcPr>
          <w:p>
            <w:pPr>
              <w:pStyle w:val="95"/>
              <w:rPr>
                <w:highlight w:val="none"/>
              </w:rPr>
            </w:pPr>
            <w:r>
              <w:rPr>
                <w:rFonts w:hint="eastAsia"/>
                <w:highlight w:val="none"/>
              </w:rPr>
              <w:t>≤0.1</w:t>
            </w:r>
          </w:p>
        </w:tc>
        <w:tc>
          <w:tcPr>
            <w:tcW w:w="2998" w:type="dxa"/>
            <w:vAlign w:val="center"/>
          </w:tcPr>
          <w:p>
            <w:pPr>
              <w:pStyle w:val="95"/>
              <w:rPr>
                <w:rFonts w:cs="Times New Roman"/>
                <w:highlight w:val="none"/>
              </w:rPr>
            </w:pPr>
            <w:r>
              <w:rPr>
                <w:rFonts w:hint="eastAsia" w:cs="Times New Roman"/>
                <w:highlight w:val="none"/>
              </w:rPr>
              <w:t>二甲苯（总量）</w:t>
            </w:r>
            <w:r>
              <w:rPr>
                <w:rFonts w:hint="eastAsia"/>
                <w:highlight w:val="none"/>
              </w:rPr>
              <w:t>（</w:t>
            </w:r>
            <w:r>
              <w:rPr>
                <w:rFonts w:hint="eastAsia" w:ascii="宋体" w:hAnsi="宋体"/>
                <w:highlight w:val="none"/>
              </w:rPr>
              <w:t>u</w:t>
            </w:r>
            <w:r>
              <w:rPr>
                <w:rFonts w:hint="eastAsia"/>
                <w:highlight w:val="none"/>
              </w:rPr>
              <w:t>g/L）</w:t>
            </w:r>
          </w:p>
        </w:tc>
        <w:tc>
          <w:tcPr>
            <w:tcW w:w="1519" w:type="dxa"/>
            <w:vAlign w:val="center"/>
          </w:tcPr>
          <w:p>
            <w:pPr>
              <w:pStyle w:val="95"/>
              <w:rPr>
                <w:highlight w:val="none"/>
              </w:rPr>
            </w:pPr>
            <w:r>
              <w:rPr>
                <w:rFonts w:hint="eastAsia"/>
                <w:highlight w:val="none"/>
              </w:rPr>
              <w:t>≤</w:t>
            </w:r>
            <w:r>
              <w:rPr>
                <w:highlight w:val="none"/>
              </w:rPr>
              <w:t>500</w:t>
            </w:r>
          </w:p>
        </w:tc>
      </w:tr>
    </w:tbl>
    <w:p>
      <w:pPr>
        <w:pStyle w:val="58"/>
        <w:rPr>
          <w:highlight w:val="none"/>
        </w:rPr>
      </w:pPr>
    </w:p>
    <w:p>
      <w:pPr>
        <w:pStyle w:val="89"/>
        <w:ind w:firstLine="482"/>
        <w:outlineLvl w:val="4"/>
        <w:rPr>
          <w:b/>
          <w:bCs w:val="0"/>
          <w:highlight w:val="none"/>
        </w:rPr>
      </w:pPr>
      <w:r>
        <w:rPr>
          <w:rFonts w:hint="eastAsia"/>
          <w:b/>
          <w:bCs w:val="0"/>
          <w:highlight w:val="none"/>
        </w:rPr>
        <w:t>4、</w:t>
      </w:r>
      <w:r>
        <w:rPr>
          <w:b/>
          <w:bCs w:val="0"/>
          <w:highlight w:val="none"/>
        </w:rPr>
        <w:t>声环境</w:t>
      </w:r>
    </w:p>
    <w:p>
      <w:pPr>
        <w:pStyle w:val="89"/>
        <w:ind w:firstLine="480"/>
        <w:rPr>
          <w:kern w:val="0"/>
          <w:highlight w:val="none"/>
        </w:rPr>
      </w:pPr>
      <w:r>
        <w:rPr>
          <w:rFonts w:hint="eastAsia"/>
          <w:kern w:val="0"/>
          <w:highlight w:val="none"/>
        </w:rPr>
        <w:t>（1）声环境质量标准</w:t>
      </w:r>
    </w:p>
    <w:p>
      <w:pPr>
        <w:pStyle w:val="89"/>
        <w:ind w:firstLine="480"/>
        <w:rPr>
          <w:highlight w:val="none"/>
        </w:rPr>
      </w:pPr>
      <w:r>
        <w:rPr>
          <w:rFonts w:hint="eastAsia"/>
          <w:kern w:val="0"/>
          <w:highlight w:val="none"/>
          <w:lang w:val="zh-CN"/>
        </w:rPr>
        <w:t>交通干道两侧区域执行</w:t>
      </w:r>
      <w:r>
        <w:rPr>
          <w:highlight w:val="none"/>
        </w:rPr>
        <w:t>《声环境质量标准》</w:t>
      </w:r>
      <w:r>
        <w:rPr>
          <w:rFonts w:hint="eastAsia"/>
          <w:highlight w:val="none"/>
        </w:rPr>
        <w:t>（GB3096-2008）中的</w:t>
      </w:r>
      <w:r>
        <w:rPr>
          <w:rFonts w:hint="eastAsia"/>
          <w:kern w:val="0"/>
          <w:highlight w:val="none"/>
          <w:lang w:val="zh-CN"/>
        </w:rPr>
        <w:t>4a类区标准；</w:t>
      </w:r>
      <w:r>
        <w:rPr>
          <w:rFonts w:hint="eastAsia"/>
          <w:highlight w:val="none"/>
        </w:rPr>
        <w:t>园区内外配套的居住区、学校、医院执行</w:t>
      </w:r>
      <w:r>
        <w:rPr>
          <w:highlight w:val="none"/>
        </w:rPr>
        <w:t>《声环境质量标准》</w:t>
      </w:r>
      <w:r>
        <w:rPr>
          <w:rFonts w:hint="eastAsia"/>
          <w:highlight w:val="none"/>
        </w:rPr>
        <w:t>（GB3096-2008）中的</w:t>
      </w:r>
      <w:r>
        <w:rPr>
          <w:highlight w:val="none"/>
        </w:rPr>
        <w:t>2</w:t>
      </w:r>
      <w:r>
        <w:rPr>
          <w:rFonts w:hint="eastAsia"/>
          <w:highlight w:val="none"/>
        </w:rPr>
        <w:t>类区标准；其余园区内区域执行</w:t>
      </w:r>
      <w:r>
        <w:rPr>
          <w:highlight w:val="none"/>
        </w:rPr>
        <w:t>《声环境质量标准》</w:t>
      </w:r>
      <w:r>
        <w:rPr>
          <w:rFonts w:hint="eastAsia"/>
          <w:highlight w:val="none"/>
        </w:rPr>
        <w:t>（GB3096-2008）中的3类区标准。</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12</w:t>
      </w:r>
      <w:r>
        <w:rPr>
          <w:highlight w:val="none"/>
        </w:rPr>
        <w:fldChar w:fldCharType="end"/>
      </w:r>
      <w:r>
        <w:rPr>
          <w:highlight w:val="none"/>
        </w:rPr>
        <w:t xml:space="preserve">  </w:t>
      </w:r>
      <w:r>
        <w:rPr>
          <w:rFonts w:hint="eastAsia"/>
          <w:highlight w:val="none"/>
        </w:rPr>
        <w:t>声环境质量标准</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97"/>
        <w:gridCol w:w="1746"/>
        <w:gridCol w:w="2188"/>
        <w:gridCol w:w="24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60" w:type="pct"/>
            <w:vMerge w:val="restart"/>
            <w:shd w:val="clear" w:color="auto" w:fill="auto"/>
            <w:vAlign w:val="center"/>
          </w:tcPr>
          <w:p>
            <w:pPr>
              <w:pStyle w:val="58"/>
              <w:rPr>
                <w:highlight w:val="none"/>
              </w:rPr>
            </w:pPr>
            <w:r>
              <w:rPr>
                <w:rFonts w:hint="eastAsia"/>
                <w:highlight w:val="none"/>
              </w:rPr>
              <w:t>评价区域</w:t>
            </w:r>
          </w:p>
        </w:tc>
        <w:tc>
          <w:tcPr>
            <w:tcW w:w="940" w:type="pct"/>
            <w:vMerge w:val="restart"/>
            <w:shd w:val="clear" w:color="auto" w:fill="auto"/>
            <w:vAlign w:val="center"/>
          </w:tcPr>
          <w:p>
            <w:pPr>
              <w:pStyle w:val="58"/>
              <w:rPr>
                <w:highlight w:val="none"/>
              </w:rPr>
            </w:pPr>
            <w:r>
              <w:rPr>
                <w:highlight w:val="none"/>
              </w:rPr>
              <w:t>标准类别</w:t>
            </w:r>
          </w:p>
        </w:tc>
        <w:tc>
          <w:tcPr>
            <w:tcW w:w="2500" w:type="pct"/>
            <w:gridSpan w:val="2"/>
            <w:shd w:val="clear" w:color="auto" w:fill="auto"/>
            <w:vAlign w:val="center"/>
          </w:tcPr>
          <w:p>
            <w:pPr>
              <w:pStyle w:val="58"/>
              <w:rPr>
                <w:highlight w:val="none"/>
              </w:rPr>
            </w:pPr>
            <w:r>
              <w:rPr>
                <w:highlight w:val="none"/>
              </w:rPr>
              <w:t>等效声级L</w:t>
            </w:r>
            <w:r>
              <w:rPr>
                <w:highlight w:val="none"/>
                <w:vertAlign w:val="subscript"/>
              </w:rPr>
              <w:t>Aeq</w:t>
            </w:r>
            <w:r>
              <w:rPr>
                <w:highlight w:val="none"/>
              </w:rPr>
              <w:t>（dB）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60" w:type="pct"/>
            <w:vMerge w:val="continue"/>
            <w:shd w:val="clear" w:color="auto" w:fill="auto"/>
            <w:vAlign w:val="center"/>
          </w:tcPr>
          <w:p>
            <w:pPr>
              <w:pStyle w:val="58"/>
              <w:rPr>
                <w:highlight w:val="none"/>
              </w:rPr>
            </w:pPr>
          </w:p>
        </w:tc>
        <w:tc>
          <w:tcPr>
            <w:tcW w:w="940" w:type="pct"/>
            <w:vMerge w:val="continue"/>
            <w:shd w:val="clear" w:color="auto" w:fill="auto"/>
            <w:vAlign w:val="center"/>
          </w:tcPr>
          <w:p>
            <w:pPr>
              <w:pStyle w:val="58"/>
              <w:rPr>
                <w:highlight w:val="none"/>
              </w:rPr>
            </w:pPr>
          </w:p>
        </w:tc>
        <w:tc>
          <w:tcPr>
            <w:tcW w:w="1178" w:type="pct"/>
            <w:shd w:val="clear" w:color="auto" w:fill="auto"/>
            <w:vAlign w:val="center"/>
          </w:tcPr>
          <w:p>
            <w:pPr>
              <w:pStyle w:val="58"/>
              <w:rPr>
                <w:highlight w:val="none"/>
              </w:rPr>
            </w:pPr>
            <w:r>
              <w:rPr>
                <w:highlight w:val="none"/>
              </w:rPr>
              <w:t>昼间</w:t>
            </w:r>
          </w:p>
        </w:tc>
        <w:tc>
          <w:tcPr>
            <w:tcW w:w="1322" w:type="pct"/>
            <w:shd w:val="clear" w:color="auto" w:fill="auto"/>
            <w:vAlign w:val="center"/>
          </w:tcPr>
          <w:p>
            <w:pPr>
              <w:pStyle w:val="58"/>
              <w:rPr>
                <w:highlight w:val="none"/>
              </w:rPr>
            </w:pPr>
            <w:r>
              <w:rPr>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60" w:type="pct"/>
            <w:shd w:val="clear" w:color="auto" w:fill="auto"/>
            <w:vAlign w:val="center"/>
          </w:tcPr>
          <w:p>
            <w:pPr>
              <w:pStyle w:val="58"/>
              <w:rPr>
                <w:kern w:val="0"/>
                <w:highlight w:val="none"/>
                <w:lang w:val="zh-CN"/>
              </w:rPr>
            </w:pPr>
            <w:r>
              <w:rPr>
                <w:rFonts w:hint="eastAsia"/>
                <w:kern w:val="0"/>
                <w:highlight w:val="none"/>
                <w:lang w:val="zh-CN"/>
              </w:rPr>
              <w:t>园区内外社会生活区</w:t>
            </w:r>
          </w:p>
        </w:tc>
        <w:tc>
          <w:tcPr>
            <w:tcW w:w="940" w:type="pct"/>
            <w:shd w:val="clear" w:color="auto" w:fill="auto"/>
            <w:vAlign w:val="center"/>
          </w:tcPr>
          <w:p>
            <w:pPr>
              <w:pStyle w:val="58"/>
              <w:rPr>
                <w:highlight w:val="none"/>
              </w:rPr>
            </w:pPr>
            <w:r>
              <w:rPr>
                <w:highlight w:val="none"/>
              </w:rPr>
              <w:t>2</w:t>
            </w:r>
            <w:r>
              <w:rPr>
                <w:rFonts w:hint="eastAsia"/>
                <w:highlight w:val="none"/>
              </w:rPr>
              <w:t>类</w:t>
            </w:r>
          </w:p>
        </w:tc>
        <w:tc>
          <w:tcPr>
            <w:tcW w:w="1178" w:type="pct"/>
            <w:shd w:val="clear" w:color="auto" w:fill="auto"/>
            <w:vAlign w:val="center"/>
          </w:tcPr>
          <w:p>
            <w:pPr>
              <w:pStyle w:val="58"/>
              <w:rPr>
                <w:highlight w:val="none"/>
              </w:rPr>
            </w:pPr>
            <w:r>
              <w:rPr>
                <w:highlight w:val="none"/>
              </w:rPr>
              <w:t>60</w:t>
            </w:r>
          </w:p>
        </w:tc>
        <w:tc>
          <w:tcPr>
            <w:tcW w:w="1322" w:type="pct"/>
            <w:shd w:val="clear" w:color="auto" w:fill="auto"/>
            <w:vAlign w:val="center"/>
          </w:tcPr>
          <w:p>
            <w:pPr>
              <w:pStyle w:val="58"/>
              <w:rPr>
                <w:highlight w:val="none"/>
              </w:rPr>
            </w:pPr>
            <w:r>
              <w:rPr>
                <w:highlight w:val="non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60" w:type="pct"/>
            <w:shd w:val="clear" w:color="auto" w:fill="auto"/>
            <w:vAlign w:val="center"/>
          </w:tcPr>
          <w:p>
            <w:pPr>
              <w:pStyle w:val="58"/>
              <w:rPr>
                <w:kern w:val="0"/>
                <w:highlight w:val="none"/>
                <w:lang w:val="zh-CN"/>
              </w:rPr>
            </w:pPr>
            <w:r>
              <w:rPr>
                <w:rFonts w:hint="eastAsia"/>
                <w:kern w:val="0"/>
                <w:highlight w:val="none"/>
                <w:lang w:val="zh-CN"/>
              </w:rPr>
              <w:t>园区内工业用地</w:t>
            </w:r>
          </w:p>
        </w:tc>
        <w:tc>
          <w:tcPr>
            <w:tcW w:w="940" w:type="pct"/>
            <w:shd w:val="clear" w:color="auto" w:fill="auto"/>
            <w:vAlign w:val="center"/>
          </w:tcPr>
          <w:p>
            <w:pPr>
              <w:pStyle w:val="58"/>
              <w:rPr>
                <w:highlight w:val="none"/>
              </w:rPr>
            </w:pPr>
            <w:r>
              <w:rPr>
                <w:rFonts w:hint="eastAsia"/>
                <w:highlight w:val="none"/>
              </w:rPr>
              <w:t>3类</w:t>
            </w:r>
          </w:p>
        </w:tc>
        <w:tc>
          <w:tcPr>
            <w:tcW w:w="1178" w:type="pct"/>
            <w:shd w:val="clear" w:color="auto" w:fill="auto"/>
            <w:vAlign w:val="center"/>
          </w:tcPr>
          <w:p>
            <w:pPr>
              <w:pStyle w:val="58"/>
              <w:rPr>
                <w:highlight w:val="none"/>
              </w:rPr>
            </w:pPr>
            <w:r>
              <w:rPr>
                <w:rFonts w:hint="eastAsia"/>
                <w:highlight w:val="none"/>
              </w:rPr>
              <w:t>65</w:t>
            </w:r>
          </w:p>
        </w:tc>
        <w:tc>
          <w:tcPr>
            <w:tcW w:w="1322" w:type="pct"/>
            <w:shd w:val="clear" w:color="auto" w:fill="auto"/>
            <w:vAlign w:val="center"/>
          </w:tcPr>
          <w:p>
            <w:pPr>
              <w:pStyle w:val="58"/>
              <w:rPr>
                <w:highlight w:val="none"/>
              </w:rPr>
            </w:pPr>
            <w:r>
              <w:rPr>
                <w:rFonts w:hint="eastAsia"/>
                <w:highlight w:val="none"/>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60" w:type="pct"/>
            <w:shd w:val="clear" w:color="auto" w:fill="auto"/>
            <w:vAlign w:val="center"/>
          </w:tcPr>
          <w:p>
            <w:pPr>
              <w:pStyle w:val="58"/>
              <w:rPr>
                <w:kern w:val="0"/>
                <w:highlight w:val="none"/>
                <w:lang w:val="zh-CN"/>
              </w:rPr>
            </w:pPr>
            <w:r>
              <w:rPr>
                <w:rFonts w:hint="eastAsia"/>
                <w:kern w:val="0"/>
                <w:highlight w:val="none"/>
                <w:lang w:val="zh-CN"/>
              </w:rPr>
              <w:t>交通干道两侧</w:t>
            </w:r>
          </w:p>
        </w:tc>
        <w:tc>
          <w:tcPr>
            <w:tcW w:w="940" w:type="pct"/>
            <w:shd w:val="clear" w:color="auto" w:fill="auto"/>
            <w:vAlign w:val="center"/>
          </w:tcPr>
          <w:p>
            <w:pPr>
              <w:pStyle w:val="58"/>
              <w:rPr>
                <w:highlight w:val="none"/>
              </w:rPr>
            </w:pPr>
            <w:r>
              <w:rPr>
                <w:rFonts w:hint="eastAsia"/>
                <w:highlight w:val="none"/>
              </w:rPr>
              <w:t>4a类</w:t>
            </w:r>
          </w:p>
        </w:tc>
        <w:tc>
          <w:tcPr>
            <w:tcW w:w="1178" w:type="pct"/>
            <w:shd w:val="clear" w:color="auto" w:fill="auto"/>
            <w:vAlign w:val="center"/>
          </w:tcPr>
          <w:p>
            <w:pPr>
              <w:pStyle w:val="58"/>
              <w:rPr>
                <w:highlight w:val="none"/>
              </w:rPr>
            </w:pPr>
            <w:r>
              <w:rPr>
                <w:rFonts w:hint="eastAsia"/>
                <w:highlight w:val="none"/>
              </w:rPr>
              <w:t>70</w:t>
            </w:r>
          </w:p>
        </w:tc>
        <w:tc>
          <w:tcPr>
            <w:tcW w:w="1322" w:type="pct"/>
            <w:shd w:val="clear" w:color="auto" w:fill="auto"/>
            <w:vAlign w:val="center"/>
          </w:tcPr>
          <w:p>
            <w:pPr>
              <w:pStyle w:val="58"/>
              <w:rPr>
                <w:highlight w:val="none"/>
              </w:rPr>
            </w:pPr>
            <w:r>
              <w:rPr>
                <w:rFonts w:hint="eastAsia"/>
                <w:highlight w:val="none"/>
              </w:rPr>
              <w:t>55</w:t>
            </w:r>
          </w:p>
        </w:tc>
      </w:tr>
    </w:tbl>
    <w:p>
      <w:pPr>
        <w:pStyle w:val="58"/>
        <w:rPr>
          <w:highlight w:val="none"/>
        </w:rPr>
      </w:pPr>
    </w:p>
    <w:p>
      <w:pPr>
        <w:pStyle w:val="89"/>
        <w:ind w:firstLine="480"/>
        <w:rPr>
          <w:highlight w:val="none"/>
        </w:rPr>
      </w:pPr>
      <w:r>
        <w:rPr>
          <w:rFonts w:hint="eastAsia"/>
          <w:highlight w:val="none"/>
        </w:rPr>
        <w:t>（</w:t>
      </w:r>
      <w:r>
        <w:rPr>
          <w:highlight w:val="none"/>
        </w:rPr>
        <w:t>2</w:t>
      </w:r>
      <w:r>
        <w:rPr>
          <w:rFonts w:hint="eastAsia"/>
          <w:highlight w:val="none"/>
        </w:rPr>
        <w:t>）噪声排放标准</w:t>
      </w:r>
    </w:p>
    <w:p>
      <w:pPr>
        <w:pStyle w:val="89"/>
        <w:ind w:firstLine="480"/>
        <w:rPr>
          <w:highlight w:val="none"/>
        </w:rPr>
      </w:pPr>
      <w:r>
        <w:rPr>
          <w:highlight w:val="none"/>
        </w:rPr>
        <w:t>入区项目在施工期噪声执行《建筑施工场界</w:t>
      </w:r>
      <w:r>
        <w:rPr>
          <w:rFonts w:hint="eastAsia"/>
          <w:highlight w:val="none"/>
        </w:rPr>
        <w:t>环境</w:t>
      </w:r>
      <w:r>
        <w:rPr>
          <w:highlight w:val="none"/>
        </w:rPr>
        <w:t>噪声</w:t>
      </w:r>
      <w:r>
        <w:rPr>
          <w:rFonts w:hint="eastAsia"/>
          <w:highlight w:val="none"/>
        </w:rPr>
        <w:t>排放标准</w:t>
      </w:r>
      <w:r>
        <w:rPr>
          <w:highlight w:val="none"/>
        </w:rPr>
        <w:t>》（GB12523-2011）中的相关标准；各工业企业厂界噪声执行《工业企业厂界环境噪声排放标准》（GB12348-2008）相关标准。</w:t>
      </w:r>
    </w:p>
    <w:p>
      <w:pPr>
        <w:pStyle w:val="89"/>
        <w:ind w:firstLine="480"/>
        <w:rPr>
          <w:highlight w:val="none"/>
        </w:rPr>
      </w:pPr>
      <w:r>
        <w:rPr>
          <w:rFonts w:hint="eastAsia"/>
          <w:highlight w:val="none"/>
        </w:rPr>
        <w:t>园区内规划有工业用地、商业用地和居住用地等，且靠近交通干线。规划区内工业企业噪声执行《工业企业厂界环境噪声排放标准》（GB12348-2008）中3类、4a类标准，现有居住用地、学校执行《工业企业厂界环境噪声排放标准》（GB12348-2008）中2类标准。</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13</w:t>
      </w:r>
      <w:r>
        <w:rPr>
          <w:highlight w:val="none"/>
        </w:rPr>
        <w:fldChar w:fldCharType="end"/>
      </w:r>
      <w:r>
        <w:rPr>
          <w:highlight w:val="none"/>
        </w:rPr>
        <w:t xml:space="preserve">  </w:t>
      </w:r>
      <w:r>
        <w:rPr>
          <w:rFonts w:hint="eastAsia"/>
          <w:highlight w:val="none"/>
        </w:rPr>
        <w:t>施工场地噪声排放</w:t>
      </w:r>
      <w:r>
        <w:rPr>
          <w:highlight w:val="none"/>
        </w:rPr>
        <w:t>标准</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42"/>
        <w:gridCol w:w="2622"/>
        <w:gridCol w:w="36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3050" w:type="pct"/>
            <w:gridSpan w:val="2"/>
            <w:shd w:val="clear" w:color="auto" w:fill="auto"/>
            <w:vAlign w:val="center"/>
          </w:tcPr>
          <w:p>
            <w:pPr>
              <w:pStyle w:val="58"/>
              <w:rPr>
                <w:highlight w:val="none"/>
              </w:rPr>
            </w:pPr>
            <w:r>
              <w:rPr>
                <w:rFonts w:hint="eastAsia"/>
                <w:highlight w:val="none"/>
              </w:rPr>
              <w:t>等效声级LAeq（dB）</w:t>
            </w:r>
          </w:p>
        </w:tc>
        <w:tc>
          <w:tcPr>
            <w:tcW w:w="1950" w:type="pct"/>
            <w:vMerge w:val="restart"/>
            <w:shd w:val="clear" w:color="auto" w:fill="auto"/>
            <w:vAlign w:val="center"/>
          </w:tcPr>
          <w:p>
            <w:pPr>
              <w:pStyle w:val="58"/>
              <w:rPr>
                <w:highlight w:val="none"/>
              </w:rPr>
            </w:pPr>
            <w:r>
              <w:rPr>
                <w:rFonts w:hint="eastAsia"/>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638" w:type="pct"/>
            <w:shd w:val="clear" w:color="auto" w:fill="auto"/>
            <w:vAlign w:val="center"/>
          </w:tcPr>
          <w:p>
            <w:pPr>
              <w:pStyle w:val="58"/>
              <w:rPr>
                <w:highlight w:val="none"/>
              </w:rPr>
            </w:pPr>
            <w:r>
              <w:rPr>
                <w:rFonts w:hint="eastAsia"/>
                <w:highlight w:val="none"/>
              </w:rPr>
              <w:t>昼间</w:t>
            </w:r>
          </w:p>
        </w:tc>
        <w:tc>
          <w:tcPr>
            <w:tcW w:w="1412" w:type="pct"/>
            <w:shd w:val="clear" w:color="auto" w:fill="auto"/>
            <w:vAlign w:val="center"/>
          </w:tcPr>
          <w:p>
            <w:pPr>
              <w:pStyle w:val="58"/>
              <w:rPr>
                <w:highlight w:val="none"/>
              </w:rPr>
            </w:pPr>
            <w:r>
              <w:rPr>
                <w:rFonts w:hint="eastAsia"/>
                <w:highlight w:val="none"/>
              </w:rPr>
              <w:t>夜间</w:t>
            </w:r>
          </w:p>
        </w:tc>
        <w:tc>
          <w:tcPr>
            <w:tcW w:w="1950"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638" w:type="pct"/>
            <w:shd w:val="clear" w:color="auto" w:fill="auto"/>
            <w:vAlign w:val="center"/>
          </w:tcPr>
          <w:p>
            <w:pPr>
              <w:pStyle w:val="58"/>
              <w:rPr>
                <w:highlight w:val="none"/>
              </w:rPr>
            </w:pPr>
            <w:r>
              <w:rPr>
                <w:rFonts w:hint="eastAsia"/>
                <w:highlight w:val="none"/>
              </w:rPr>
              <w:t>7</w:t>
            </w:r>
            <w:r>
              <w:rPr>
                <w:highlight w:val="none"/>
              </w:rPr>
              <w:t>0</w:t>
            </w:r>
          </w:p>
        </w:tc>
        <w:tc>
          <w:tcPr>
            <w:tcW w:w="1412" w:type="pct"/>
            <w:shd w:val="clear" w:color="auto" w:fill="auto"/>
            <w:vAlign w:val="center"/>
          </w:tcPr>
          <w:p>
            <w:pPr>
              <w:pStyle w:val="58"/>
              <w:rPr>
                <w:highlight w:val="none"/>
              </w:rPr>
            </w:pPr>
            <w:r>
              <w:rPr>
                <w:rFonts w:hint="eastAsia"/>
                <w:highlight w:val="none"/>
              </w:rPr>
              <w:t>5</w:t>
            </w:r>
            <w:r>
              <w:rPr>
                <w:highlight w:val="none"/>
              </w:rPr>
              <w:t>5</w:t>
            </w:r>
          </w:p>
        </w:tc>
        <w:tc>
          <w:tcPr>
            <w:tcW w:w="1950" w:type="pct"/>
            <w:shd w:val="clear" w:color="auto" w:fill="auto"/>
            <w:vAlign w:val="center"/>
          </w:tcPr>
          <w:p>
            <w:pPr>
              <w:pStyle w:val="58"/>
              <w:rPr>
                <w:highlight w:val="none"/>
              </w:rPr>
            </w:pPr>
            <w:r>
              <w:rPr>
                <w:highlight w:val="none"/>
              </w:rPr>
              <w:t>GB12523-2011</w:t>
            </w:r>
          </w:p>
        </w:tc>
      </w:tr>
    </w:tbl>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t xml:space="preserve">  工业企业厂界</w:t>
      </w:r>
      <w:r>
        <w:rPr>
          <w:rFonts w:hint="eastAsia"/>
          <w:highlight w:val="none"/>
        </w:rPr>
        <w:t>环境</w:t>
      </w:r>
      <w:r>
        <w:rPr>
          <w:highlight w:val="none"/>
        </w:rPr>
        <w:t>噪声</w:t>
      </w:r>
      <w:r>
        <w:rPr>
          <w:rFonts w:hint="eastAsia"/>
          <w:highlight w:val="none"/>
        </w:rPr>
        <w:t>排放</w:t>
      </w:r>
      <w:r>
        <w:rPr>
          <w:highlight w:val="none"/>
        </w:rPr>
        <w:t>标准</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77"/>
        <w:gridCol w:w="3332"/>
        <w:gridCol w:w="34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34" w:type="pct"/>
            <w:vMerge w:val="restart"/>
            <w:shd w:val="clear" w:color="auto" w:fill="auto"/>
            <w:vAlign w:val="center"/>
          </w:tcPr>
          <w:p>
            <w:pPr>
              <w:pStyle w:val="58"/>
              <w:rPr>
                <w:highlight w:val="none"/>
              </w:rPr>
            </w:pPr>
            <w:r>
              <w:rPr>
                <w:rFonts w:hint="eastAsia"/>
                <w:highlight w:val="none"/>
              </w:rPr>
              <w:t>厂界外声功能区类别</w:t>
            </w:r>
          </w:p>
        </w:tc>
        <w:tc>
          <w:tcPr>
            <w:tcW w:w="3666" w:type="pct"/>
            <w:gridSpan w:val="2"/>
            <w:shd w:val="clear" w:color="auto" w:fill="auto"/>
            <w:vAlign w:val="center"/>
          </w:tcPr>
          <w:p>
            <w:pPr>
              <w:pStyle w:val="58"/>
              <w:rPr>
                <w:highlight w:val="none"/>
              </w:rPr>
            </w:pPr>
            <w:r>
              <w:rPr>
                <w:highlight w:val="none"/>
              </w:rPr>
              <w:t>等效声级LAeq（dB）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34" w:type="pct"/>
            <w:vMerge w:val="continue"/>
            <w:shd w:val="clear" w:color="auto" w:fill="auto"/>
            <w:vAlign w:val="center"/>
          </w:tcPr>
          <w:p>
            <w:pPr>
              <w:pStyle w:val="58"/>
              <w:rPr>
                <w:highlight w:val="none"/>
              </w:rPr>
            </w:pPr>
          </w:p>
        </w:tc>
        <w:tc>
          <w:tcPr>
            <w:tcW w:w="1794" w:type="pct"/>
            <w:shd w:val="clear" w:color="auto" w:fill="auto"/>
            <w:vAlign w:val="center"/>
          </w:tcPr>
          <w:p>
            <w:pPr>
              <w:pStyle w:val="58"/>
              <w:rPr>
                <w:highlight w:val="none"/>
              </w:rPr>
            </w:pPr>
            <w:r>
              <w:rPr>
                <w:highlight w:val="none"/>
              </w:rPr>
              <w:t>昼间</w:t>
            </w:r>
          </w:p>
        </w:tc>
        <w:tc>
          <w:tcPr>
            <w:tcW w:w="1872" w:type="pct"/>
            <w:shd w:val="clear" w:color="auto" w:fill="auto"/>
            <w:vAlign w:val="center"/>
          </w:tcPr>
          <w:p>
            <w:pPr>
              <w:pStyle w:val="58"/>
              <w:rPr>
                <w:highlight w:val="none"/>
              </w:rPr>
            </w:pPr>
            <w:r>
              <w:rPr>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34" w:type="pct"/>
            <w:shd w:val="clear" w:color="auto" w:fill="auto"/>
            <w:vAlign w:val="center"/>
          </w:tcPr>
          <w:p>
            <w:pPr>
              <w:pStyle w:val="58"/>
              <w:rPr>
                <w:highlight w:val="none"/>
              </w:rPr>
            </w:pPr>
            <w:r>
              <w:rPr>
                <w:rFonts w:hint="eastAsia"/>
                <w:highlight w:val="none"/>
              </w:rPr>
              <w:t>2</w:t>
            </w:r>
          </w:p>
        </w:tc>
        <w:tc>
          <w:tcPr>
            <w:tcW w:w="1794" w:type="pct"/>
            <w:shd w:val="clear" w:color="auto" w:fill="auto"/>
            <w:vAlign w:val="center"/>
          </w:tcPr>
          <w:p>
            <w:pPr>
              <w:pStyle w:val="58"/>
              <w:rPr>
                <w:highlight w:val="none"/>
              </w:rPr>
            </w:pPr>
            <w:r>
              <w:rPr>
                <w:rFonts w:hint="eastAsia"/>
                <w:highlight w:val="none"/>
              </w:rPr>
              <w:t>60</w:t>
            </w:r>
          </w:p>
        </w:tc>
        <w:tc>
          <w:tcPr>
            <w:tcW w:w="1872" w:type="pct"/>
            <w:shd w:val="clear" w:color="auto" w:fill="auto"/>
            <w:vAlign w:val="center"/>
          </w:tcPr>
          <w:p>
            <w:pPr>
              <w:pStyle w:val="58"/>
              <w:rPr>
                <w:highlight w:val="none"/>
              </w:rPr>
            </w:pPr>
            <w:r>
              <w:rPr>
                <w:rFonts w:hint="eastAsia"/>
                <w:highlight w:val="non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34" w:type="pct"/>
            <w:shd w:val="clear" w:color="auto" w:fill="auto"/>
            <w:vAlign w:val="center"/>
          </w:tcPr>
          <w:p>
            <w:pPr>
              <w:pStyle w:val="58"/>
              <w:rPr>
                <w:highlight w:val="none"/>
              </w:rPr>
            </w:pPr>
            <w:r>
              <w:rPr>
                <w:rFonts w:hint="eastAsia"/>
                <w:highlight w:val="none"/>
              </w:rPr>
              <w:t>3</w:t>
            </w:r>
          </w:p>
        </w:tc>
        <w:tc>
          <w:tcPr>
            <w:tcW w:w="1794" w:type="pct"/>
            <w:shd w:val="clear" w:color="auto" w:fill="auto"/>
            <w:vAlign w:val="center"/>
          </w:tcPr>
          <w:p>
            <w:pPr>
              <w:pStyle w:val="58"/>
              <w:rPr>
                <w:highlight w:val="none"/>
              </w:rPr>
            </w:pPr>
            <w:r>
              <w:rPr>
                <w:highlight w:val="none"/>
              </w:rPr>
              <w:t>65</w:t>
            </w:r>
          </w:p>
        </w:tc>
        <w:tc>
          <w:tcPr>
            <w:tcW w:w="1872" w:type="pct"/>
            <w:shd w:val="clear" w:color="auto" w:fill="auto"/>
            <w:vAlign w:val="center"/>
          </w:tcPr>
          <w:p>
            <w:pPr>
              <w:pStyle w:val="58"/>
              <w:rPr>
                <w:highlight w:val="none"/>
              </w:rPr>
            </w:pPr>
            <w:r>
              <w:rPr>
                <w:highlight w:val="none"/>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334" w:type="pct"/>
            <w:shd w:val="clear" w:color="auto" w:fill="auto"/>
            <w:vAlign w:val="center"/>
          </w:tcPr>
          <w:p>
            <w:pPr>
              <w:pStyle w:val="58"/>
              <w:rPr>
                <w:highlight w:val="none"/>
              </w:rPr>
            </w:pPr>
            <w:r>
              <w:rPr>
                <w:rFonts w:hint="eastAsia"/>
                <w:highlight w:val="none"/>
              </w:rPr>
              <w:t>4a</w:t>
            </w:r>
          </w:p>
        </w:tc>
        <w:tc>
          <w:tcPr>
            <w:tcW w:w="1794" w:type="pct"/>
            <w:shd w:val="clear" w:color="auto" w:fill="auto"/>
            <w:vAlign w:val="center"/>
          </w:tcPr>
          <w:p>
            <w:pPr>
              <w:pStyle w:val="58"/>
              <w:rPr>
                <w:highlight w:val="none"/>
              </w:rPr>
            </w:pPr>
            <w:r>
              <w:rPr>
                <w:rFonts w:hint="eastAsia"/>
                <w:highlight w:val="none"/>
              </w:rPr>
              <w:t>70</w:t>
            </w:r>
          </w:p>
        </w:tc>
        <w:tc>
          <w:tcPr>
            <w:tcW w:w="1872" w:type="pct"/>
            <w:shd w:val="clear" w:color="auto" w:fill="auto"/>
            <w:vAlign w:val="center"/>
          </w:tcPr>
          <w:p>
            <w:pPr>
              <w:pStyle w:val="58"/>
              <w:rPr>
                <w:highlight w:val="none"/>
              </w:rPr>
            </w:pPr>
            <w:r>
              <w:rPr>
                <w:rFonts w:hint="eastAsia"/>
                <w:highlight w:val="none"/>
              </w:rPr>
              <w:t>55</w:t>
            </w:r>
          </w:p>
        </w:tc>
      </w:tr>
    </w:tbl>
    <w:p>
      <w:pPr>
        <w:pStyle w:val="58"/>
        <w:rPr>
          <w:highlight w:val="none"/>
        </w:rPr>
      </w:pPr>
    </w:p>
    <w:p>
      <w:pPr>
        <w:pStyle w:val="89"/>
        <w:ind w:firstLine="482"/>
        <w:outlineLvl w:val="4"/>
        <w:rPr>
          <w:b/>
          <w:bCs w:val="0"/>
          <w:highlight w:val="none"/>
        </w:rPr>
      </w:pPr>
      <w:r>
        <w:rPr>
          <w:rFonts w:hint="eastAsia"/>
          <w:b/>
          <w:bCs w:val="0"/>
          <w:highlight w:val="none"/>
        </w:rPr>
        <w:t>5、</w:t>
      </w:r>
      <w:r>
        <w:rPr>
          <w:b/>
          <w:bCs w:val="0"/>
          <w:highlight w:val="none"/>
        </w:rPr>
        <w:t>土壤环境</w:t>
      </w:r>
    </w:p>
    <w:p>
      <w:pPr>
        <w:pStyle w:val="89"/>
        <w:ind w:left="240" w:leftChars="100" w:firstLine="240" w:firstLineChars="100"/>
        <w:rPr>
          <w:highlight w:val="none"/>
        </w:rPr>
      </w:pPr>
      <w:r>
        <w:rPr>
          <w:highlight w:val="none"/>
        </w:rPr>
        <w:t>按照国家土壤环境质量分类方法，园区规划范围内</w:t>
      </w:r>
      <w:r>
        <w:rPr>
          <w:rFonts w:hint="eastAsia"/>
          <w:highlight w:val="none"/>
        </w:rPr>
        <w:t>外建设用地</w:t>
      </w:r>
      <w:r>
        <w:rPr>
          <w:highlight w:val="none"/>
        </w:rPr>
        <w:t>执行</w:t>
      </w:r>
      <w:bookmarkStart w:id="6" w:name="_Hlk524360194"/>
      <w:r>
        <w:rPr>
          <w:highlight w:val="none"/>
        </w:rPr>
        <w:t>《土壤环境质量建设用地土壤污染风险管控标准（试行）》（GB36600-2018）</w:t>
      </w:r>
      <w:r>
        <w:rPr>
          <w:rFonts w:hint="eastAsia"/>
          <w:highlight w:val="none"/>
        </w:rPr>
        <w:t>和《四川省建设用地土壤污染风险管控标准》（DB51/2978-2023）</w:t>
      </w:r>
      <w:r>
        <w:rPr>
          <w:highlight w:val="none"/>
        </w:rPr>
        <w:t>中</w:t>
      </w:r>
      <w:bookmarkEnd w:id="6"/>
      <w:r>
        <w:rPr>
          <w:rFonts w:hint="eastAsia"/>
          <w:highlight w:val="none"/>
        </w:rPr>
        <w:t>相关标准，农用地执行《土壤环境质量 农用地土壤污染风险管控标准（试行）》（GB15618-2018）中相关标准，具体指标见下表。</w:t>
      </w:r>
    </w:p>
    <w:p>
      <w:pPr>
        <w:pStyle w:val="56"/>
        <w:spacing w:before="163"/>
        <w:jc w:val="right"/>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15</w:t>
      </w:r>
      <w:r>
        <w:rPr>
          <w:highlight w:val="none"/>
        </w:rPr>
        <w:fldChar w:fldCharType="end"/>
      </w:r>
      <w:r>
        <w:rPr>
          <w:highlight w:val="none"/>
        </w:rPr>
        <w:t xml:space="preserve">  </w:t>
      </w:r>
      <w:r>
        <w:rPr>
          <w:rFonts w:hint="eastAsia"/>
          <w:highlight w:val="none"/>
        </w:rPr>
        <w:t xml:space="preserve">建设用地土壤污染风险筛选和管控标准 </w:t>
      </w:r>
      <w:r>
        <w:rPr>
          <w:highlight w:val="none"/>
        </w:rPr>
        <w:t xml:space="preserve">          </w:t>
      </w:r>
      <w:r>
        <w:rPr>
          <w:rFonts w:hint="eastAsia"/>
          <w:highlight w:val="none"/>
        </w:rPr>
        <w:t>单位：mg</w:t>
      </w:r>
      <w:r>
        <w:rPr>
          <w:highlight w:val="none"/>
        </w:rPr>
        <w:t>/kg</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67"/>
        <w:gridCol w:w="1714"/>
        <w:gridCol w:w="1249"/>
        <w:gridCol w:w="1253"/>
        <w:gridCol w:w="1411"/>
        <w:gridCol w:w="1405"/>
        <w:gridCol w:w="13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blHeader/>
          <w:jc w:val="center"/>
        </w:trPr>
        <w:tc>
          <w:tcPr>
            <w:tcW w:w="760" w:type="dxa"/>
            <w:vMerge w:val="restart"/>
            <w:vAlign w:val="center"/>
          </w:tcPr>
          <w:p>
            <w:pPr>
              <w:pStyle w:val="58"/>
              <w:rPr>
                <w:highlight w:val="none"/>
              </w:rPr>
            </w:pPr>
            <w:r>
              <w:rPr>
                <w:rFonts w:hint="eastAsia"/>
                <w:highlight w:val="none"/>
              </w:rPr>
              <w:t>序号</w:t>
            </w:r>
          </w:p>
        </w:tc>
        <w:tc>
          <w:tcPr>
            <w:tcW w:w="1698" w:type="dxa"/>
            <w:vMerge w:val="restart"/>
            <w:vAlign w:val="center"/>
          </w:tcPr>
          <w:p>
            <w:pPr>
              <w:pStyle w:val="58"/>
              <w:rPr>
                <w:highlight w:val="none"/>
              </w:rPr>
            </w:pPr>
            <w:r>
              <w:rPr>
                <w:rFonts w:hint="eastAsia"/>
                <w:highlight w:val="none"/>
              </w:rPr>
              <w:t>污染物项目</w:t>
            </w:r>
          </w:p>
        </w:tc>
        <w:tc>
          <w:tcPr>
            <w:tcW w:w="1237" w:type="dxa"/>
            <w:vMerge w:val="restart"/>
            <w:vAlign w:val="center"/>
          </w:tcPr>
          <w:p>
            <w:pPr>
              <w:pStyle w:val="58"/>
              <w:rPr>
                <w:highlight w:val="none"/>
              </w:rPr>
            </w:pPr>
            <w:r>
              <w:rPr>
                <w:rFonts w:hint="eastAsia"/>
                <w:highlight w:val="none"/>
              </w:rPr>
              <w:t>CAS编号</w:t>
            </w:r>
          </w:p>
        </w:tc>
        <w:tc>
          <w:tcPr>
            <w:tcW w:w="2639" w:type="dxa"/>
            <w:gridSpan w:val="2"/>
            <w:vAlign w:val="center"/>
          </w:tcPr>
          <w:p>
            <w:pPr>
              <w:pStyle w:val="58"/>
              <w:rPr>
                <w:highlight w:val="none"/>
              </w:rPr>
            </w:pPr>
            <w:r>
              <w:rPr>
                <w:rFonts w:hint="eastAsia"/>
                <w:highlight w:val="none"/>
              </w:rPr>
              <w:t>筛选值</w:t>
            </w:r>
          </w:p>
        </w:tc>
        <w:tc>
          <w:tcPr>
            <w:tcW w:w="2706" w:type="dxa"/>
            <w:gridSpan w:val="2"/>
            <w:vAlign w:val="center"/>
          </w:tcPr>
          <w:p>
            <w:pPr>
              <w:pStyle w:val="58"/>
              <w:rPr>
                <w:highlight w:val="none"/>
              </w:rPr>
            </w:pPr>
            <w:r>
              <w:rPr>
                <w:rFonts w:hint="eastAsia"/>
                <w:highlight w:val="none"/>
              </w:rPr>
              <w:t>管制值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Merge w:val="continue"/>
            <w:vAlign w:val="center"/>
          </w:tcPr>
          <w:p>
            <w:pPr>
              <w:pStyle w:val="58"/>
              <w:rPr>
                <w:highlight w:val="none"/>
              </w:rPr>
            </w:pPr>
          </w:p>
        </w:tc>
        <w:tc>
          <w:tcPr>
            <w:tcW w:w="1698" w:type="dxa"/>
            <w:vMerge w:val="continue"/>
            <w:vAlign w:val="center"/>
          </w:tcPr>
          <w:p>
            <w:pPr>
              <w:pStyle w:val="58"/>
              <w:rPr>
                <w:highlight w:val="none"/>
              </w:rPr>
            </w:pPr>
          </w:p>
        </w:tc>
        <w:tc>
          <w:tcPr>
            <w:tcW w:w="1237" w:type="dxa"/>
            <w:vMerge w:val="continue"/>
            <w:vAlign w:val="center"/>
          </w:tcPr>
          <w:p>
            <w:pPr>
              <w:pStyle w:val="58"/>
              <w:rPr>
                <w:highlight w:val="none"/>
              </w:rPr>
            </w:pPr>
          </w:p>
        </w:tc>
        <w:tc>
          <w:tcPr>
            <w:tcW w:w="1241" w:type="dxa"/>
            <w:vAlign w:val="center"/>
          </w:tcPr>
          <w:p>
            <w:pPr>
              <w:pStyle w:val="58"/>
              <w:rPr>
                <w:highlight w:val="none"/>
              </w:rPr>
            </w:pPr>
            <w:r>
              <w:rPr>
                <w:rFonts w:hint="eastAsia"/>
                <w:highlight w:val="none"/>
              </w:rPr>
              <w:t>第一类用地</w:t>
            </w:r>
          </w:p>
        </w:tc>
        <w:tc>
          <w:tcPr>
            <w:tcW w:w="1398" w:type="dxa"/>
            <w:vAlign w:val="center"/>
          </w:tcPr>
          <w:p>
            <w:pPr>
              <w:pStyle w:val="58"/>
              <w:rPr>
                <w:highlight w:val="none"/>
              </w:rPr>
            </w:pPr>
            <w:r>
              <w:rPr>
                <w:rFonts w:hint="eastAsia"/>
                <w:highlight w:val="none"/>
              </w:rPr>
              <w:t>第二类用地</w:t>
            </w:r>
          </w:p>
        </w:tc>
        <w:tc>
          <w:tcPr>
            <w:tcW w:w="1392" w:type="dxa"/>
            <w:vAlign w:val="center"/>
          </w:tcPr>
          <w:p>
            <w:pPr>
              <w:pStyle w:val="58"/>
              <w:rPr>
                <w:highlight w:val="none"/>
              </w:rPr>
            </w:pPr>
            <w:r>
              <w:rPr>
                <w:rFonts w:hint="eastAsia"/>
                <w:highlight w:val="none"/>
              </w:rPr>
              <w:t>第一类用地</w:t>
            </w:r>
          </w:p>
        </w:tc>
        <w:tc>
          <w:tcPr>
            <w:tcW w:w="1314" w:type="dxa"/>
            <w:vAlign w:val="center"/>
          </w:tcPr>
          <w:p>
            <w:pPr>
              <w:pStyle w:val="58"/>
              <w:rPr>
                <w:highlight w:val="none"/>
              </w:rPr>
            </w:pPr>
            <w:r>
              <w:rPr>
                <w:rFonts w:hint="eastAsia"/>
                <w:highlight w:val="none"/>
              </w:rPr>
              <w:t>第二类用地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9040" w:type="dxa"/>
            <w:gridSpan w:val="7"/>
            <w:vAlign w:val="center"/>
          </w:tcPr>
          <w:p>
            <w:pPr>
              <w:pStyle w:val="58"/>
              <w:rPr>
                <w:highlight w:val="none"/>
              </w:rPr>
            </w:pPr>
            <w:r>
              <w:rPr>
                <w:rFonts w:hint="eastAsia"/>
                <w:highlight w:val="none"/>
              </w:rPr>
              <w:t>重金属和无机盐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1</w:t>
            </w:r>
          </w:p>
        </w:tc>
        <w:tc>
          <w:tcPr>
            <w:tcW w:w="1698" w:type="dxa"/>
            <w:vAlign w:val="center"/>
          </w:tcPr>
          <w:p>
            <w:pPr>
              <w:pStyle w:val="58"/>
              <w:rPr>
                <w:highlight w:val="none"/>
              </w:rPr>
            </w:pPr>
            <w:r>
              <w:rPr>
                <w:rFonts w:hint="eastAsia"/>
                <w:highlight w:val="none"/>
              </w:rPr>
              <w:t>砷</w:t>
            </w:r>
          </w:p>
        </w:tc>
        <w:tc>
          <w:tcPr>
            <w:tcW w:w="1237" w:type="dxa"/>
            <w:vAlign w:val="center"/>
          </w:tcPr>
          <w:p>
            <w:pPr>
              <w:pStyle w:val="58"/>
              <w:rPr>
                <w:highlight w:val="none"/>
              </w:rPr>
            </w:pPr>
            <w:r>
              <w:rPr>
                <w:rFonts w:hint="eastAsia"/>
                <w:highlight w:val="none"/>
              </w:rPr>
              <w:t>7440-38-2</w:t>
            </w:r>
          </w:p>
        </w:tc>
        <w:tc>
          <w:tcPr>
            <w:tcW w:w="1241" w:type="dxa"/>
            <w:vAlign w:val="center"/>
          </w:tcPr>
          <w:p>
            <w:pPr>
              <w:pStyle w:val="58"/>
              <w:rPr>
                <w:highlight w:val="none"/>
              </w:rPr>
            </w:pPr>
            <w:r>
              <w:rPr>
                <w:rFonts w:hint="eastAsia"/>
                <w:highlight w:val="none"/>
              </w:rPr>
              <w:t>20①</w:t>
            </w:r>
          </w:p>
        </w:tc>
        <w:tc>
          <w:tcPr>
            <w:tcW w:w="1398" w:type="dxa"/>
            <w:vAlign w:val="center"/>
          </w:tcPr>
          <w:p>
            <w:pPr>
              <w:pStyle w:val="58"/>
              <w:rPr>
                <w:highlight w:val="none"/>
              </w:rPr>
            </w:pPr>
            <w:r>
              <w:rPr>
                <w:rFonts w:hint="eastAsia"/>
                <w:highlight w:val="none"/>
              </w:rPr>
              <w:t>60①</w:t>
            </w:r>
          </w:p>
        </w:tc>
        <w:tc>
          <w:tcPr>
            <w:tcW w:w="1392" w:type="dxa"/>
            <w:vAlign w:val="center"/>
          </w:tcPr>
          <w:p>
            <w:pPr>
              <w:pStyle w:val="58"/>
              <w:rPr>
                <w:highlight w:val="none"/>
              </w:rPr>
            </w:pPr>
            <w:r>
              <w:rPr>
                <w:rFonts w:hint="eastAsia"/>
                <w:highlight w:val="none"/>
              </w:rPr>
              <w:t>120</w:t>
            </w:r>
          </w:p>
        </w:tc>
        <w:tc>
          <w:tcPr>
            <w:tcW w:w="1314" w:type="dxa"/>
            <w:vAlign w:val="center"/>
          </w:tcPr>
          <w:p>
            <w:pPr>
              <w:pStyle w:val="58"/>
              <w:rPr>
                <w:highlight w:val="none"/>
              </w:rPr>
            </w:pPr>
            <w:r>
              <w:rPr>
                <w:rFonts w:hint="eastAsia"/>
                <w:highlight w:val="none"/>
              </w:rPr>
              <w:t>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2</w:t>
            </w:r>
          </w:p>
        </w:tc>
        <w:tc>
          <w:tcPr>
            <w:tcW w:w="1698" w:type="dxa"/>
            <w:vAlign w:val="center"/>
          </w:tcPr>
          <w:p>
            <w:pPr>
              <w:pStyle w:val="58"/>
              <w:rPr>
                <w:highlight w:val="none"/>
              </w:rPr>
            </w:pPr>
            <w:r>
              <w:rPr>
                <w:rFonts w:hint="eastAsia"/>
                <w:highlight w:val="none"/>
              </w:rPr>
              <w:t>镉</w:t>
            </w:r>
          </w:p>
        </w:tc>
        <w:tc>
          <w:tcPr>
            <w:tcW w:w="1237" w:type="dxa"/>
            <w:vAlign w:val="center"/>
          </w:tcPr>
          <w:p>
            <w:pPr>
              <w:pStyle w:val="58"/>
              <w:rPr>
                <w:highlight w:val="none"/>
              </w:rPr>
            </w:pPr>
            <w:r>
              <w:rPr>
                <w:rFonts w:hint="eastAsia"/>
                <w:highlight w:val="none"/>
              </w:rPr>
              <w:t>7440-43-9</w:t>
            </w:r>
          </w:p>
        </w:tc>
        <w:tc>
          <w:tcPr>
            <w:tcW w:w="1241" w:type="dxa"/>
            <w:vAlign w:val="center"/>
          </w:tcPr>
          <w:p>
            <w:pPr>
              <w:pStyle w:val="58"/>
              <w:rPr>
                <w:highlight w:val="none"/>
              </w:rPr>
            </w:pPr>
            <w:r>
              <w:rPr>
                <w:rFonts w:hint="eastAsia"/>
                <w:highlight w:val="none"/>
              </w:rPr>
              <w:t>20</w:t>
            </w:r>
          </w:p>
        </w:tc>
        <w:tc>
          <w:tcPr>
            <w:tcW w:w="1398" w:type="dxa"/>
            <w:vAlign w:val="center"/>
          </w:tcPr>
          <w:p>
            <w:pPr>
              <w:pStyle w:val="58"/>
              <w:rPr>
                <w:highlight w:val="none"/>
              </w:rPr>
            </w:pPr>
            <w:r>
              <w:rPr>
                <w:rFonts w:hint="eastAsia"/>
                <w:highlight w:val="none"/>
              </w:rPr>
              <w:t>65</w:t>
            </w:r>
          </w:p>
        </w:tc>
        <w:tc>
          <w:tcPr>
            <w:tcW w:w="1392" w:type="dxa"/>
            <w:vAlign w:val="center"/>
          </w:tcPr>
          <w:p>
            <w:pPr>
              <w:pStyle w:val="58"/>
              <w:rPr>
                <w:highlight w:val="none"/>
              </w:rPr>
            </w:pPr>
            <w:r>
              <w:rPr>
                <w:rFonts w:hint="eastAsia"/>
                <w:highlight w:val="none"/>
              </w:rPr>
              <w:t>47</w:t>
            </w:r>
          </w:p>
        </w:tc>
        <w:tc>
          <w:tcPr>
            <w:tcW w:w="1314" w:type="dxa"/>
            <w:vAlign w:val="center"/>
          </w:tcPr>
          <w:p>
            <w:pPr>
              <w:pStyle w:val="58"/>
              <w:rPr>
                <w:highlight w:val="none"/>
              </w:rPr>
            </w:pPr>
            <w:r>
              <w:rPr>
                <w:rFonts w:hint="eastAsia"/>
                <w:highlight w:val="none"/>
              </w:rPr>
              <w:t>172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3</w:t>
            </w:r>
          </w:p>
        </w:tc>
        <w:tc>
          <w:tcPr>
            <w:tcW w:w="1698" w:type="dxa"/>
            <w:vAlign w:val="center"/>
          </w:tcPr>
          <w:p>
            <w:pPr>
              <w:pStyle w:val="58"/>
              <w:rPr>
                <w:highlight w:val="none"/>
              </w:rPr>
            </w:pPr>
            <w:r>
              <w:rPr>
                <w:rFonts w:hint="eastAsia"/>
                <w:highlight w:val="none"/>
              </w:rPr>
              <w:t>铬（六价）</w:t>
            </w:r>
          </w:p>
        </w:tc>
        <w:tc>
          <w:tcPr>
            <w:tcW w:w="1237" w:type="dxa"/>
            <w:vAlign w:val="center"/>
          </w:tcPr>
          <w:p>
            <w:pPr>
              <w:pStyle w:val="58"/>
              <w:rPr>
                <w:highlight w:val="none"/>
              </w:rPr>
            </w:pPr>
            <w:r>
              <w:rPr>
                <w:rFonts w:hint="eastAsia"/>
                <w:highlight w:val="none"/>
              </w:rPr>
              <w:t>18540-29-9</w:t>
            </w:r>
          </w:p>
        </w:tc>
        <w:tc>
          <w:tcPr>
            <w:tcW w:w="1241" w:type="dxa"/>
            <w:vAlign w:val="center"/>
          </w:tcPr>
          <w:p>
            <w:pPr>
              <w:pStyle w:val="58"/>
              <w:rPr>
                <w:highlight w:val="none"/>
              </w:rPr>
            </w:pPr>
            <w:r>
              <w:rPr>
                <w:rFonts w:hint="eastAsia"/>
                <w:highlight w:val="none"/>
              </w:rPr>
              <w:t>3.0</w:t>
            </w:r>
          </w:p>
        </w:tc>
        <w:tc>
          <w:tcPr>
            <w:tcW w:w="1398" w:type="dxa"/>
            <w:vAlign w:val="center"/>
          </w:tcPr>
          <w:p>
            <w:pPr>
              <w:pStyle w:val="58"/>
              <w:rPr>
                <w:highlight w:val="none"/>
              </w:rPr>
            </w:pPr>
            <w:r>
              <w:rPr>
                <w:rFonts w:hint="eastAsia"/>
                <w:highlight w:val="none"/>
              </w:rPr>
              <w:t>5.7</w:t>
            </w:r>
          </w:p>
        </w:tc>
        <w:tc>
          <w:tcPr>
            <w:tcW w:w="1392" w:type="dxa"/>
            <w:vAlign w:val="center"/>
          </w:tcPr>
          <w:p>
            <w:pPr>
              <w:pStyle w:val="58"/>
              <w:rPr>
                <w:highlight w:val="none"/>
              </w:rPr>
            </w:pPr>
            <w:r>
              <w:rPr>
                <w:rFonts w:hint="eastAsia"/>
                <w:highlight w:val="none"/>
              </w:rPr>
              <w:t>30</w:t>
            </w:r>
          </w:p>
        </w:tc>
        <w:tc>
          <w:tcPr>
            <w:tcW w:w="1314" w:type="dxa"/>
            <w:vAlign w:val="center"/>
          </w:tcPr>
          <w:p>
            <w:pPr>
              <w:pStyle w:val="58"/>
              <w:rPr>
                <w:highlight w:val="none"/>
              </w:rPr>
            </w:pPr>
            <w:r>
              <w:rPr>
                <w:rFonts w:hint="eastAsia"/>
                <w:highlight w:val="none"/>
              </w:rPr>
              <w:t>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4</w:t>
            </w:r>
          </w:p>
        </w:tc>
        <w:tc>
          <w:tcPr>
            <w:tcW w:w="1698" w:type="dxa"/>
            <w:vAlign w:val="center"/>
          </w:tcPr>
          <w:p>
            <w:pPr>
              <w:pStyle w:val="58"/>
              <w:rPr>
                <w:highlight w:val="none"/>
              </w:rPr>
            </w:pPr>
            <w:r>
              <w:rPr>
                <w:rFonts w:hint="eastAsia"/>
                <w:highlight w:val="none"/>
              </w:rPr>
              <w:t>铜</w:t>
            </w:r>
          </w:p>
        </w:tc>
        <w:tc>
          <w:tcPr>
            <w:tcW w:w="1237" w:type="dxa"/>
            <w:vAlign w:val="center"/>
          </w:tcPr>
          <w:p>
            <w:pPr>
              <w:pStyle w:val="58"/>
              <w:rPr>
                <w:highlight w:val="none"/>
              </w:rPr>
            </w:pPr>
            <w:r>
              <w:rPr>
                <w:rFonts w:hint="eastAsia"/>
                <w:highlight w:val="none"/>
              </w:rPr>
              <w:t>7440-50-8</w:t>
            </w:r>
          </w:p>
        </w:tc>
        <w:tc>
          <w:tcPr>
            <w:tcW w:w="1241" w:type="dxa"/>
            <w:vAlign w:val="center"/>
          </w:tcPr>
          <w:p>
            <w:pPr>
              <w:pStyle w:val="58"/>
              <w:rPr>
                <w:highlight w:val="none"/>
              </w:rPr>
            </w:pPr>
            <w:r>
              <w:rPr>
                <w:rFonts w:hint="eastAsia"/>
                <w:highlight w:val="none"/>
              </w:rPr>
              <w:t>2000</w:t>
            </w:r>
          </w:p>
        </w:tc>
        <w:tc>
          <w:tcPr>
            <w:tcW w:w="1398" w:type="dxa"/>
            <w:vAlign w:val="center"/>
          </w:tcPr>
          <w:p>
            <w:pPr>
              <w:pStyle w:val="58"/>
              <w:rPr>
                <w:highlight w:val="none"/>
              </w:rPr>
            </w:pPr>
            <w:r>
              <w:rPr>
                <w:rFonts w:hint="eastAsia"/>
                <w:highlight w:val="none"/>
              </w:rPr>
              <w:t>18000</w:t>
            </w:r>
          </w:p>
        </w:tc>
        <w:tc>
          <w:tcPr>
            <w:tcW w:w="1392" w:type="dxa"/>
            <w:vAlign w:val="center"/>
          </w:tcPr>
          <w:p>
            <w:pPr>
              <w:pStyle w:val="58"/>
              <w:rPr>
                <w:highlight w:val="none"/>
              </w:rPr>
            </w:pPr>
            <w:r>
              <w:rPr>
                <w:rFonts w:hint="eastAsia"/>
                <w:highlight w:val="none"/>
              </w:rPr>
              <w:t>8000</w:t>
            </w:r>
          </w:p>
        </w:tc>
        <w:tc>
          <w:tcPr>
            <w:tcW w:w="1314" w:type="dxa"/>
            <w:vAlign w:val="center"/>
          </w:tcPr>
          <w:p>
            <w:pPr>
              <w:pStyle w:val="58"/>
              <w:rPr>
                <w:highlight w:val="none"/>
              </w:rPr>
            </w:pPr>
            <w:r>
              <w:rPr>
                <w:rFonts w:hint="eastAsia"/>
                <w:highlight w:val="none"/>
              </w:rPr>
              <w:t>36000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5</w:t>
            </w:r>
          </w:p>
        </w:tc>
        <w:tc>
          <w:tcPr>
            <w:tcW w:w="1698" w:type="dxa"/>
            <w:vAlign w:val="center"/>
          </w:tcPr>
          <w:p>
            <w:pPr>
              <w:pStyle w:val="58"/>
              <w:rPr>
                <w:highlight w:val="none"/>
              </w:rPr>
            </w:pPr>
            <w:r>
              <w:rPr>
                <w:rFonts w:hint="eastAsia"/>
                <w:highlight w:val="none"/>
              </w:rPr>
              <w:t>铅</w:t>
            </w:r>
          </w:p>
        </w:tc>
        <w:tc>
          <w:tcPr>
            <w:tcW w:w="1237" w:type="dxa"/>
            <w:vAlign w:val="center"/>
          </w:tcPr>
          <w:p>
            <w:pPr>
              <w:pStyle w:val="58"/>
              <w:rPr>
                <w:highlight w:val="none"/>
              </w:rPr>
            </w:pPr>
            <w:r>
              <w:rPr>
                <w:rFonts w:hint="eastAsia"/>
                <w:highlight w:val="none"/>
              </w:rPr>
              <w:t>7439-92-1</w:t>
            </w:r>
          </w:p>
        </w:tc>
        <w:tc>
          <w:tcPr>
            <w:tcW w:w="1241" w:type="dxa"/>
            <w:vAlign w:val="center"/>
          </w:tcPr>
          <w:p>
            <w:pPr>
              <w:pStyle w:val="58"/>
              <w:rPr>
                <w:highlight w:val="none"/>
              </w:rPr>
            </w:pPr>
            <w:r>
              <w:rPr>
                <w:rFonts w:hint="eastAsia"/>
                <w:highlight w:val="none"/>
              </w:rPr>
              <w:t>400</w:t>
            </w:r>
          </w:p>
        </w:tc>
        <w:tc>
          <w:tcPr>
            <w:tcW w:w="1398" w:type="dxa"/>
            <w:vAlign w:val="center"/>
          </w:tcPr>
          <w:p>
            <w:pPr>
              <w:pStyle w:val="58"/>
              <w:rPr>
                <w:highlight w:val="none"/>
              </w:rPr>
            </w:pPr>
            <w:r>
              <w:rPr>
                <w:rFonts w:hint="eastAsia"/>
                <w:highlight w:val="none"/>
              </w:rPr>
              <w:t>800</w:t>
            </w:r>
          </w:p>
        </w:tc>
        <w:tc>
          <w:tcPr>
            <w:tcW w:w="1392" w:type="dxa"/>
            <w:vAlign w:val="center"/>
          </w:tcPr>
          <w:p>
            <w:pPr>
              <w:pStyle w:val="58"/>
              <w:rPr>
                <w:highlight w:val="none"/>
              </w:rPr>
            </w:pPr>
            <w:r>
              <w:rPr>
                <w:rFonts w:hint="eastAsia"/>
                <w:highlight w:val="none"/>
              </w:rPr>
              <w:t>800</w:t>
            </w:r>
          </w:p>
        </w:tc>
        <w:tc>
          <w:tcPr>
            <w:tcW w:w="1314" w:type="dxa"/>
            <w:vAlign w:val="center"/>
          </w:tcPr>
          <w:p>
            <w:pPr>
              <w:pStyle w:val="58"/>
              <w:rPr>
                <w:highlight w:val="none"/>
              </w:rPr>
            </w:pPr>
            <w:r>
              <w:rPr>
                <w:rFonts w:hint="eastAsia"/>
                <w:highlight w:val="none"/>
              </w:rPr>
              <w:t>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6</w:t>
            </w:r>
          </w:p>
        </w:tc>
        <w:tc>
          <w:tcPr>
            <w:tcW w:w="1698" w:type="dxa"/>
            <w:vAlign w:val="center"/>
          </w:tcPr>
          <w:p>
            <w:pPr>
              <w:pStyle w:val="58"/>
              <w:rPr>
                <w:highlight w:val="none"/>
              </w:rPr>
            </w:pPr>
            <w:r>
              <w:rPr>
                <w:rFonts w:hint="eastAsia"/>
                <w:highlight w:val="none"/>
              </w:rPr>
              <w:t>汞</w:t>
            </w:r>
          </w:p>
        </w:tc>
        <w:tc>
          <w:tcPr>
            <w:tcW w:w="1237" w:type="dxa"/>
            <w:vAlign w:val="center"/>
          </w:tcPr>
          <w:p>
            <w:pPr>
              <w:pStyle w:val="58"/>
              <w:rPr>
                <w:highlight w:val="none"/>
              </w:rPr>
            </w:pPr>
            <w:r>
              <w:rPr>
                <w:rFonts w:hint="eastAsia"/>
                <w:highlight w:val="none"/>
              </w:rPr>
              <w:t>7439-97-6</w:t>
            </w:r>
          </w:p>
        </w:tc>
        <w:tc>
          <w:tcPr>
            <w:tcW w:w="1241" w:type="dxa"/>
            <w:vAlign w:val="center"/>
          </w:tcPr>
          <w:p>
            <w:pPr>
              <w:pStyle w:val="58"/>
              <w:rPr>
                <w:highlight w:val="none"/>
              </w:rPr>
            </w:pPr>
            <w:r>
              <w:rPr>
                <w:rFonts w:hint="eastAsia"/>
                <w:highlight w:val="none"/>
              </w:rPr>
              <w:t>8</w:t>
            </w:r>
          </w:p>
        </w:tc>
        <w:tc>
          <w:tcPr>
            <w:tcW w:w="1398" w:type="dxa"/>
            <w:vAlign w:val="center"/>
          </w:tcPr>
          <w:p>
            <w:pPr>
              <w:pStyle w:val="58"/>
              <w:rPr>
                <w:highlight w:val="none"/>
              </w:rPr>
            </w:pPr>
            <w:r>
              <w:rPr>
                <w:rFonts w:hint="eastAsia"/>
                <w:highlight w:val="none"/>
              </w:rPr>
              <w:t>38</w:t>
            </w:r>
          </w:p>
        </w:tc>
        <w:tc>
          <w:tcPr>
            <w:tcW w:w="1392" w:type="dxa"/>
            <w:vAlign w:val="center"/>
          </w:tcPr>
          <w:p>
            <w:pPr>
              <w:pStyle w:val="58"/>
              <w:rPr>
                <w:highlight w:val="none"/>
              </w:rPr>
            </w:pPr>
            <w:r>
              <w:rPr>
                <w:rFonts w:hint="eastAsia"/>
                <w:highlight w:val="none"/>
              </w:rPr>
              <w:t>33</w:t>
            </w:r>
          </w:p>
        </w:tc>
        <w:tc>
          <w:tcPr>
            <w:tcW w:w="1314" w:type="dxa"/>
            <w:vAlign w:val="center"/>
          </w:tcPr>
          <w:p>
            <w:pPr>
              <w:pStyle w:val="58"/>
              <w:rPr>
                <w:highlight w:val="none"/>
              </w:rPr>
            </w:pPr>
            <w:r>
              <w:rPr>
                <w:rFonts w:hint="eastAsia"/>
                <w:highlight w:val="none"/>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7</w:t>
            </w:r>
          </w:p>
        </w:tc>
        <w:tc>
          <w:tcPr>
            <w:tcW w:w="1698" w:type="dxa"/>
            <w:vAlign w:val="center"/>
          </w:tcPr>
          <w:p>
            <w:pPr>
              <w:pStyle w:val="58"/>
              <w:rPr>
                <w:highlight w:val="none"/>
              </w:rPr>
            </w:pPr>
            <w:r>
              <w:rPr>
                <w:rFonts w:hint="eastAsia"/>
                <w:highlight w:val="none"/>
              </w:rPr>
              <w:t>镍</w:t>
            </w:r>
          </w:p>
        </w:tc>
        <w:tc>
          <w:tcPr>
            <w:tcW w:w="1237" w:type="dxa"/>
            <w:vAlign w:val="center"/>
          </w:tcPr>
          <w:p>
            <w:pPr>
              <w:pStyle w:val="58"/>
              <w:rPr>
                <w:highlight w:val="none"/>
              </w:rPr>
            </w:pPr>
            <w:r>
              <w:rPr>
                <w:rFonts w:hint="eastAsia"/>
                <w:highlight w:val="none"/>
              </w:rPr>
              <w:t>7440-02-0</w:t>
            </w:r>
          </w:p>
        </w:tc>
        <w:tc>
          <w:tcPr>
            <w:tcW w:w="1241" w:type="dxa"/>
            <w:vAlign w:val="center"/>
          </w:tcPr>
          <w:p>
            <w:pPr>
              <w:pStyle w:val="58"/>
              <w:rPr>
                <w:highlight w:val="none"/>
              </w:rPr>
            </w:pPr>
            <w:r>
              <w:rPr>
                <w:rFonts w:hint="eastAsia"/>
                <w:highlight w:val="none"/>
              </w:rPr>
              <w:t>150</w:t>
            </w:r>
          </w:p>
        </w:tc>
        <w:tc>
          <w:tcPr>
            <w:tcW w:w="1398" w:type="dxa"/>
            <w:vAlign w:val="center"/>
          </w:tcPr>
          <w:p>
            <w:pPr>
              <w:pStyle w:val="58"/>
              <w:rPr>
                <w:highlight w:val="none"/>
              </w:rPr>
            </w:pPr>
            <w:r>
              <w:rPr>
                <w:rFonts w:hint="eastAsia"/>
                <w:highlight w:val="none"/>
              </w:rPr>
              <w:t>900</w:t>
            </w:r>
          </w:p>
        </w:tc>
        <w:tc>
          <w:tcPr>
            <w:tcW w:w="1392" w:type="dxa"/>
            <w:vAlign w:val="center"/>
          </w:tcPr>
          <w:p>
            <w:pPr>
              <w:pStyle w:val="58"/>
              <w:rPr>
                <w:highlight w:val="none"/>
              </w:rPr>
            </w:pPr>
            <w:r>
              <w:rPr>
                <w:rFonts w:hint="eastAsia"/>
                <w:highlight w:val="none"/>
              </w:rPr>
              <w:t>600</w:t>
            </w:r>
          </w:p>
        </w:tc>
        <w:tc>
          <w:tcPr>
            <w:tcW w:w="1314" w:type="dxa"/>
            <w:vAlign w:val="center"/>
          </w:tcPr>
          <w:p>
            <w:pPr>
              <w:pStyle w:val="58"/>
              <w:rPr>
                <w:highlight w:val="none"/>
              </w:rPr>
            </w:pPr>
            <w:r>
              <w:rPr>
                <w:rFonts w:hint="eastAsia"/>
                <w:highlight w:val="none"/>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9040" w:type="dxa"/>
            <w:gridSpan w:val="7"/>
            <w:vAlign w:val="center"/>
          </w:tcPr>
          <w:p>
            <w:pPr>
              <w:pStyle w:val="58"/>
              <w:rPr>
                <w:highlight w:val="none"/>
              </w:rPr>
            </w:pPr>
            <w:r>
              <w:rPr>
                <w:rFonts w:hint="eastAsia"/>
                <w:highlight w:val="none"/>
              </w:rPr>
              <w:t>挥发性有机物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8</w:t>
            </w:r>
          </w:p>
        </w:tc>
        <w:tc>
          <w:tcPr>
            <w:tcW w:w="1698" w:type="dxa"/>
            <w:vAlign w:val="center"/>
          </w:tcPr>
          <w:p>
            <w:pPr>
              <w:pStyle w:val="58"/>
              <w:rPr>
                <w:highlight w:val="none"/>
              </w:rPr>
            </w:pPr>
            <w:r>
              <w:rPr>
                <w:rFonts w:hint="eastAsia"/>
                <w:highlight w:val="none"/>
              </w:rPr>
              <w:t>四氯化碳</w:t>
            </w:r>
          </w:p>
        </w:tc>
        <w:tc>
          <w:tcPr>
            <w:tcW w:w="1237" w:type="dxa"/>
            <w:vAlign w:val="center"/>
          </w:tcPr>
          <w:p>
            <w:pPr>
              <w:pStyle w:val="58"/>
              <w:rPr>
                <w:highlight w:val="none"/>
              </w:rPr>
            </w:pPr>
            <w:r>
              <w:rPr>
                <w:rFonts w:hint="eastAsia"/>
                <w:highlight w:val="none"/>
              </w:rPr>
              <w:t>56-23-5</w:t>
            </w:r>
          </w:p>
        </w:tc>
        <w:tc>
          <w:tcPr>
            <w:tcW w:w="1241" w:type="dxa"/>
            <w:vAlign w:val="center"/>
          </w:tcPr>
          <w:p>
            <w:pPr>
              <w:pStyle w:val="58"/>
              <w:rPr>
                <w:highlight w:val="none"/>
              </w:rPr>
            </w:pPr>
            <w:r>
              <w:rPr>
                <w:rFonts w:hint="eastAsia"/>
                <w:highlight w:val="none"/>
              </w:rPr>
              <w:t>0.9</w:t>
            </w:r>
          </w:p>
        </w:tc>
        <w:tc>
          <w:tcPr>
            <w:tcW w:w="1398" w:type="dxa"/>
            <w:vAlign w:val="center"/>
          </w:tcPr>
          <w:p>
            <w:pPr>
              <w:pStyle w:val="58"/>
              <w:rPr>
                <w:highlight w:val="none"/>
              </w:rPr>
            </w:pPr>
            <w:r>
              <w:rPr>
                <w:rFonts w:hint="eastAsia"/>
                <w:highlight w:val="none"/>
              </w:rPr>
              <w:t>2.8</w:t>
            </w:r>
          </w:p>
        </w:tc>
        <w:tc>
          <w:tcPr>
            <w:tcW w:w="1392" w:type="dxa"/>
            <w:vAlign w:val="center"/>
          </w:tcPr>
          <w:p>
            <w:pPr>
              <w:pStyle w:val="58"/>
              <w:rPr>
                <w:highlight w:val="none"/>
              </w:rPr>
            </w:pPr>
            <w:r>
              <w:rPr>
                <w:rFonts w:hint="eastAsia"/>
                <w:highlight w:val="none"/>
              </w:rPr>
              <w:t>9</w:t>
            </w:r>
          </w:p>
        </w:tc>
        <w:tc>
          <w:tcPr>
            <w:tcW w:w="1314" w:type="dxa"/>
            <w:vAlign w:val="center"/>
          </w:tcPr>
          <w:p>
            <w:pPr>
              <w:pStyle w:val="58"/>
              <w:rPr>
                <w:highlight w:val="none"/>
              </w:rPr>
            </w:pPr>
            <w:r>
              <w:rPr>
                <w:rFonts w:hint="eastAsia"/>
                <w:highlight w:val="none"/>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9</w:t>
            </w:r>
          </w:p>
        </w:tc>
        <w:tc>
          <w:tcPr>
            <w:tcW w:w="1698" w:type="dxa"/>
            <w:vAlign w:val="center"/>
          </w:tcPr>
          <w:p>
            <w:pPr>
              <w:pStyle w:val="58"/>
              <w:rPr>
                <w:highlight w:val="none"/>
              </w:rPr>
            </w:pPr>
            <w:r>
              <w:rPr>
                <w:rFonts w:hint="eastAsia"/>
                <w:highlight w:val="none"/>
              </w:rPr>
              <w:t>氯仿</w:t>
            </w:r>
          </w:p>
        </w:tc>
        <w:tc>
          <w:tcPr>
            <w:tcW w:w="1237" w:type="dxa"/>
            <w:vAlign w:val="center"/>
          </w:tcPr>
          <w:p>
            <w:pPr>
              <w:pStyle w:val="58"/>
              <w:rPr>
                <w:highlight w:val="none"/>
              </w:rPr>
            </w:pPr>
            <w:r>
              <w:rPr>
                <w:rFonts w:hint="eastAsia"/>
                <w:highlight w:val="none"/>
              </w:rPr>
              <w:t>67-66-3</w:t>
            </w:r>
          </w:p>
        </w:tc>
        <w:tc>
          <w:tcPr>
            <w:tcW w:w="1241" w:type="dxa"/>
            <w:vAlign w:val="center"/>
          </w:tcPr>
          <w:p>
            <w:pPr>
              <w:pStyle w:val="58"/>
              <w:rPr>
                <w:highlight w:val="none"/>
              </w:rPr>
            </w:pPr>
            <w:r>
              <w:rPr>
                <w:rFonts w:hint="eastAsia"/>
                <w:highlight w:val="none"/>
              </w:rPr>
              <w:t>0.3</w:t>
            </w:r>
          </w:p>
        </w:tc>
        <w:tc>
          <w:tcPr>
            <w:tcW w:w="1398" w:type="dxa"/>
            <w:vAlign w:val="center"/>
          </w:tcPr>
          <w:p>
            <w:pPr>
              <w:pStyle w:val="58"/>
              <w:rPr>
                <w:highlight w:val="none"/>
              </w:rPr>
            </w:pPr>
            <w:r>
              <w:rPr>
                <w:rFonts w:hint="eastAsia"/>
                <w:highlight w:val="none"/>
              </w:rPr>
              <w:t>0.9</w:t>
            </w:r>
          </w:p>
        </w:tc>
        <w:tc>
          <w:tcPr>
            <w:tcW w:w="1392" w:type="dxa"/>
            <w:vAlign w:val="center"/>
          </w:tcPr>
          <w:p>
            <w:pPr>
              <w:pStyle w:val="58"/>
              <w:rPr>
                <w:highlight w:val="none"/>
              </w:rPr>
            </w:pPr>
            <w:r>
              <w:rPr>
                <w:rFonts w:hint="eastAsia"/>
                <w:highlight w:val="none"/>
              </w:rPr>
              <w:t>5</w:t>
            </w:r>
          </w:p>
        </w:tc>
        <w:tc>
          <w:tcPr>
            <w:tcW w:w="1314" w:type="dxa"/>
            <w:vAlign w:val="center"/>
          </w:tcPr>
          <w:p>
            <w:pPr>
              <w:pStyle w:val="58"/>
              <w:rPr>
                <w:highlight w:val="none"/>
              </w:rPr>
            </w:pPr>
            <w:r>
              <w:rPr>
                <w:rFonts w:hint="eastAsia"/>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10</w:t>
            </w:r>
          </w:p>
        </w:tc>
        <w:tc>
          <w:tcPr>
            <w:tcW w:w="1698" w:type="dxa"/>
            <w:vAlign w:val="center"/>
          </w:tcPr>
          <w:p>
            <w:pPr>
              <w:pStyle w:val="58"/>
              <w:rPr>
                <w:highlight w:val="none"/>
              </w:rPr>
            </w:pPr>
            <w:r>
              <w:rPr>
                <w:rFonts w:hint="eastAsia"/>
                <w:highlight w:val="none"/>
              </w:rPr>
              <w:t>氯甲烷</w:t>
            </w:r>
          </w:p>
        </w:tc>
        <w:tc>
          <w:tcPr>
            <w:tcW w:w="1237" w:type="dxa"/>
            <w:vAlign w:val="center"/>
          </w:tcPr>
          <w:p>
            <w:pPr>
              <w:pStyle w:val="58"/>
              <w:rPr>
                <w:highlight w:val="none"/>
              </w:rPr>
            </w:pPr>
            <w:r>
              <w:rPr>
                <w:rFonts w:hint="eastAsia"/>
                <w:highlight w:val="none"/>
              </w:rPr>
              <w:t>74-87-3</w:t>
            </w:r>
          </w:p>
        </w:tc>
        <w:tc>
          <w:tcPr>
            <w:tcW w:w="1241" w:type="dxa"/>
            <w:vAlign w:val="center"/>
          </w:tcPr>
          <w:p>
            <w:pPr>
              <w:pStyle w:val="58"/>
              <w:rPr>
                <w:highlight w:val="none"/>
              </w:rPr>
            </w:pPr>
            <w:r>
              <w:rPr>
                <w:rFonts w:hint="eastAsia"/>
                <w:highlight w:val="none"/>
              </w:rPr>
              <w:t>12</w:t>
            </w:r>
          </w:p>
        </w:tc>
        <w:tc>
          <w:tcPr>
            <w:tcW w:w="1398" w:type="dxa"/>
            <w:vAlign w:val="center"/>
          </w:tcPr>
          <w:p>
            <w:pPr>
              <w:pStyle w:val="58"/>
              <w:rPr>
                <w:highlight w:val="none"/>
              </w:rPr>
            </w:pPr>
            <w:r>
              <w:rPr>
                <w:rFonts w:hint="eastAsia"/>
                <w:highlight w:val="none"/>
              </w:rPr>
              <w:t>37</w:t>
            </w:r>
          </w:p>
        </w:tc>
        <w:tc>
          <w:tcPr>
            <w:tcW w:w="1392" w:type="dxa"/>
            <w:vAlign w:val="center"/>
          </w:tcPr>
          <w:p>
            <w:pPr>
              <w:pStyle w:val="58"/>
              <w:rPr>
                <w:highlight w:val="none"/>
              </w:rPr>
            </w:pPr>
            <w:r>
              <w:rPr>
                <w:rFonts w:hint="eastAsia"/>
                <w:highlight w:val="none"/>
              </w:rPr>
              <w:t>21</w:t>
            </w:r>
          </w:p>
        </w:tc>
        <w:tc>
          <w:tcPr>
            <w:tcW w:w="1314" w:type="dxa"/>
            <w:vAlign w:val="center"/>
          </w:tcPr>
          <w:p>
            <w:pPr>
              <w:pStyle w:val="58"/>
              <w:rPr>
                <w:highlight w:val="none"/>
              </w:rPr>
            </w:pPr>
            <w:r>
              <w:rPr>
                <w:rFonts w:hint="eastAsia"/>
                <w:highlight w:val="none"/>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11</w:t>
            </w:r>
          </w:p>
        </w:tc>
        <w:tc>
          <w:tcPr>
            <w:tcW w:w="1698" w:type="dxa"/>
            <w:vAlign w:val="center"/>
          </w:tcPr>
          <w:p>
            <w:pPr>
              <w:pStyle w:val="58"/>
              <w:rPr>
                <w:highlight w:val="none"/>
              </w:rPr>
            </w:pPr>
            <w:r>
              <w:rPr>
                <w:rFonts w:hint="eastAsia"/>
                <w:highlight w:val="none"/>
              </w:rPr>
              <w:t>1,1-二氯乙烷</w:t>
            </w:r>
          </w:p>
        </w:tc>
        <w:tc>
          <w:tcPr>
            <w:tcW w:w="1237" w:type="dxa"/>
            <w:vAlign w:val="center"/>
          </w:tcPr>
          <w:p>
            <w:pPr>
              <w:pStyle w:val="58"/>
              <w:rPr>
                <w:highlight w:val="none"/>
              </w:rPr>
            </w:pPr>
            <w:r>
              <w:rPr>
                <w:rFonts w:hint="eastAsia"/>
                <w:highlight w:val="none"/>
              </w:rPr>
              <w:t>75-34-3</w:t>
            </w:r>
          </w:p>
        </w:tc>
        <w:tc>
          <w:tcPr>
            <w:tcW w:w="1241" w:type="dxa"/>
            <w:vAlign w:val="center"/>
          </w:tcPr>
          <w:p>
            <w:pPr>
              <w:pStyle w:val="58"/>
              <w:rPr>
                <w:highlight w:val="none"/>
              </w:rPr>
            </w:pPr>
            <w:r>
              <w:rPr>
                <w:rFonts w:hint="eastAsia"/>
                <w:highlight w:val="none"/>
              </w:rPr>
              <w:t>3</w:t>
            </w:r>
          </w:p>
        </w:tc>
        <w:tc>
          <w:tcPr>
            <w:tcW w:w="1398" w:type="dxa"/>
            <w:vAlign w:val="center"/>
          </w:tcPr>
          <w:p>
            <w:pPr>
              <w:pStyle w:val="58"/>
              <w:rPr>
                <w:highlight w:val="none"/>
              </w:rPr>
            </w:pPr>
            <w:r>
              <w:rPr>
                <w:rFonts w:hint="eastAsia"/>
                <w:highlight w:val="none"/>
              </w:rPr>
              <w:t>9</w:t>
            </w:r>
          </w:p>
        </w:tc>
        <w:tc>
          <w:tcPr>
            <w:tcW w:w="1392" w:type="dxa"/>
            <w:vAlign w:val="center"/>
          </w:tcPr>
          <w:p>
            <w:pPr>
              <w:pStyle w:val="58"/>
              <w:rPr>
                <w:highlight w:val="none"/>
              </w:rPr>
            </w:pPr>
            <w:r>
              <w:rPr>
                <w:rFonts w:hint="eastAsia"/>
                <w:highlight w:val="none"/>
              </w:rPr>
              <w:t>20</w:t>
            </w:r>
          </w:p>
        </w:tc>
        <w:tc>
          <w:tcPr>
            <w:tcW w:w="1314" w:type="dxa"/>
            <w:vAlign w:val="center"/>
          </w:tcPr>
          <w:p>
            <w:pPr>
              <w:pStyle w:val="58"/>
              <w:rPr>
                <w:highlight w:val="none"/>
              </w:rPr>
            </w:pPr>
            <w:r>
              <w:rPr>
                <w:rFonts w:hint="eastAsia"/>
                <w:highlight w:val="non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12</w:t>
            </w:r>
          </w:p>
        </w:tc>
        <w:tc>
          <w:tcPr>
            <w:tcW w:w="1698" w:type="dxa"/>
            <w:vAlign w:val="center"/>
          </w:tcPr>
          <w:p>
            <w:pPr>
              <w:pStyle w:val="58"/>
              <w:rPr>
                <w:highlight w:val="none"/>
              </w:rPr>
            </w:pPr>
            <w:r>
              <w:rPr>
                <w:rFonts w:hint="eastAsia"/>
                <w:highlight w:val="none"/>
              </w:rPr>
              <w:t>1,2-二氯乙烷</w:t>
            </w:r>
          </w:p>
        </w:tc>
        <w:tc>
          <w:tcPr>
            <w:tcW w:w="1237" w:type="dxa"/>
            <w:vAlign w:val="center"/>
          </w:tcPr>
          <w:p>
            <w:pPr>
              <w:pStyle w:val="58"/>
              <w:rPr>
                <w:highlight w:val="none"/>
              </w:rPr>
            </w:pPr>
            <w:r>
              <w:rPr>
                <w:rFonts w:hint="eastAsia"/>
                <w:highlight w:val="none"/>
              </w:rPr>
              <w:t>107-06-2</w:t>
            </w:r>
          </w:p>
        </w:tc>
        <w:tc>
          <w:tcPr>
            <w:tcW w:w="1241" w:type="dxa"/>
            <w:vAlign w:val="center"/>
          </w:tcPr>
          <w:p>
            <w:pPr>
              <w:pStyle w:val="58"/>
              <w:rPr>
                <w:highlight w:val="none"/>
              </w:rPr>
            </w:pPr>
            <w:r>
              <w:rPr>
                <w:rFonts w:hint="eastAsia"/>
                <w:highlight w:val="none"/>
              </w:rPr>
              <w:t>0.52</w:t>
            </w:r>
          </w:p>
        </w:tc>
        <w:tc>
          <w:tcPr>
            <w:tcW w:w="1398" w:type="dxa"/>
            <w:vAlign w:val="center"/>
          </w:tcPr>
          <w:p>
            <w:pPr>
              <w:pStyle w:val="58"/>
              <w:rPr>
                <w:highlight w:val="none"/>
              </w:rPr>
            </w:pPr>
            <w:r>
              <w:rPr>
                <w:rFonts w:hint="eastAsia"/>
                <w:highlight w:val="none"/>
              </w:rPr>
              <w:t>5</w:t>
            </w:r>
          </w:p>
        </w:tc>
        <w:tc>
          <w:tcPr>
            <w:tcW w:w="1392" w:type="dxa"/>
            <w:vAlign w:val="center"/>
          </w:tcPr>
          <w:p>
            <w:pPr>
              <w:pStyle w:val="58"/>
              <w:rPr>
                <w:highlight w:val="none"/>
              </w:rPr>
            </w:pPr>
            <w:r>
              <w:rPr>
                <w:rFonts w:hint="eastAsia"/>
                <w:highlight w:val="none"/>
              </w:rPr>
              <w:t>6</w:t>
            </w:r>
          </w:p>
        </w:tc>
        <w:tc>
          <w:tcPr>
            <w:tcW w:w="1314" w:type="dxa"/>
            <w:vAlign w:val="center"/>
          </w:tcPr>
          <w:p>
            <w:pPr>
              <w:pStyle w:val="58"/>
              <w:rPr>
                <w:highlight w:val="none"/>
              </w:rPr>
            </w:pPr>
            <w:r>
              <w:rPr>
                <w:rFonts w:hint="eastAsia"/>
                <w:highlight w:val="none"/>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13</w:t>
            </w:r>
          </w:p>
        </w:tc>
        <w:tc>
          <w:tcPr>
            <w:tcW w:w="1698" w:type="dxa"/>
            <w:vAlign w:val="center"/>
          </w:tcPr>
          <w:p>
            <w:pPr>
              <w:pStyle w:val="58"/>
              <w:rPr>
                <w:highlight w:val="none"/>
              </w:rPr>
            </w:pPr>
            <w:r>
              <w:rPr>
                <w:rFonts w:hint="eastAsia"/>
                <w:highlight w:val="none"/>
              </w:rPr>
              <w:t>1,1-二氯乙烯</w:t>
            </w:r>
          </w:p>
        </w:tc>
        <w:tc>
          <w:tcPr>
            <w:tcW w:w="1237" w:type="dxa"/>
            <w:vAlign w:val="center"/>
          </w:tcPr>
          <w:p>
            <w:pPr>
              <w:pStyle w:val="58"/>
              <w:rPr>
                <w:highlight w:val="none"/>
              </w:rPr>
            </w:pPr>
            <w:r>
              <w:rPr>
                <w:rFonts w:hint="eastAsia"/>
                <w:highlight w:val="none"/>
              </w:rPr>
              <w:t>75-35-4</w:t>
            </w:r>
          </w:p>
        </w:tc>
        <w:tc>
          <w:tcPr>
            <w:tcW w:w="1241" w:type="dxa"/>
            <w:vAlign w:val="center"/>
          </w:tcPr>
          <w:p>
            <w:pPr>
              <w:pStyle w:val="58"/>
              <w:rPr>
                <w:highlight w:val="none"/>
              </w:rPr>
            </w:pPr>
            <w:r>
              <w:rPr>
                <w:rFonts w:hint="eastAsia"/>
                <w:highlight w:val="none"/>
              </w:rPr>
              <w:t>12</w:t>
            </w:r>
          </w:p>
        </w:tc>
        <w:tc>
          <w:tcPr>
            <w:tcW w:w="1398" w:type="dxa"/>
            <w:vAlign w:val="center"/>
          </w:tcPr>
          <w:p>
            <w:pPr>
              <w:pStyle w:val="58"/>
              <w:rPr>
                <w:highlight w:val="none"/>
              </w:rPr>
            </w:pPr>
            <w:r>
              <w:rPr>
                <w:rFonts w:hint="eastAsia"/>
                <w:highlight w:val="none"/>
              </w:rPr>
              <w:t>66</w:t>
            </w:r>
          </w:p>
        </w:tc>
        <w:tc>
          <w:tcPr>
            <w:tcW w:w="1392" w:type="dxa"/>
            <w:vAlign w:val="center"/>
          </w:tcPr>
          <w:p>
            <w:pPr>
              <w:pStyle w:val="58"/>
              <w:rPr>
                <w:highlight w:val="none"/>
              </w:rPr>
            </w:pPr>
            <w:r>
              <w:rPr>
                <w:rFonts w:hint="eastAsia"/>
                <w:highlight w:val="none"/>
              </w:rPr>
              <w:t>40</w:t>
            </w:r>
          </w:p>
        </w:tc>
        <w:tc>
          <w:tcPr>
            <w:tcW w:w="1314" w:type="dxa"/>
            <w:vAlign w:val="center"/>
          </w:tcPr>
          <w:p>
            <w:pPr>
              <w:pStyle w:val="58"/>
              <w:rPr>
                <w:highlight w:val="none"/>
              </w:rPr>
            </w:pPr>
            <w:r>
              <w:rPr>
                <w:rFonts w:hint="eastAsia"/>
                <w:highlight w:val="none"/>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14</w:t>
            </w:r>
          </w:p>
        </w:tc>
        <w:tc>
          <w:tcPr>
            <w:tcW w:w="1698" w:type="dxa"/>
            <w:vAlign w:val="center"/>
          </w:tcPr>
          <w:p>
            <w:pPr>
              <w:pStyle w:val="58"/>
              <w:rPr>
                <w:highlight w:val="none"/>
              </w:rPr>
            </w:pPr>
            <w:r>
              <w:rPr>
                <w:rFonts w:hint="eastAsia"/>
                <w:highlight w:val="none"/>
              </w:rPr>
              <w:t>顺-1,2-二氯乙烯</w:t>
            </w:r>
          </w:p>
        </w:tc>
        <w:tc>
          <w:tcPr>
            <w:tcW w:w="1237" w:type="dxa"/>
            <w:vAlign w:val="center"/>
          </w:tcPr>
          <w:p>
            <w:pPr>
              <w:pStyle w:val="58"/>
              <w:rPr>
                <w:highlight w:val="none"/>
              </w:rPr>
            </w:pPr>
            <w:r>
              <w:rPr>
                <w:rFonts w:hint="eastAsia"/>
                <w:highlight w:val="none"/>
              </w:rPr>
              <w:t>156-59-2</w:t>
            </w:r>
          </w:p>
        </w:tc>
        <w:tc>
          <w:tcPr>
            <w:tcW w:w="1241" w:type="dxa"/>
            <w:vAlign w:val="center"/>
          </w:tcPr>
          <w:p>
            <w:pPr>
              <w:pStyle w:val="58"/>
              <w:rPr>
                <w:highlight w:val="none"/>
              </w:rPr>
            </w:pPr>
            <w:r>
              <w:rPr>
                <w:rFonts w:hint="eastAsia"/>
                <w:highlight w:val="none"/>
              </w:rPr>
              <w:t>66</w:t>
            </w:r>
          </w:p>
        </w:tc>
        <w:tc>
          <w:tcPr>
            <w:tcW w:w="1398" w:type="dxa"/>
            <w:vAlign w:val="center"/>
          </w:tcPr>
          <w:p>
            <w:pPr>
              <w:pStyle w:val="58"/>
              <w:rPr>
                <w:highlight w:val="none"/>
              </w:rPr>
            </w:pPr>
            <w:r>
              <w:rPr>
                <w:rFonts w:hint="eastAsia"/>
                <w:highlight w:val="none"/>
              </w:rPr>
              <w:t>596</w:t>
            </w:r>
          </w:p>
        </w:tc>
        <w:tc>
          <w:tcPr>
            <w:tcW w:w="1392" w:type="dxa"/>
            <w:vAlign w:val="center"/>
          </w:tcPr>
          <w:p>
            <w:pPr>
              <w:pStyle w:val="58"/>
              <w:rPr>
                <w:highlight w:val="none"/>
              </w:rPr>
            </w:pPr>
            <w:r>
              <w:rPr>
                <w:rFonts w:hint="eastAsia"/>
                <w:highlight w:val="none"/>
              </w:rPr>
              <w:t>200</w:t>
            </w:r>
          </w:p>
        </w:tc>
        <w:tc>
          <w:tcPr>
            <w:tcW w:w="1314" w:type="dxa"/>
            <w:vAlign w:val="center"/>
          </w:tcPr>
          <w:p>
            <w:pPr>
              <w:pStyle w:val="58"/>
              <w:rPr>
                <w:highlight w:val="none"/>
              </w:rPr>
            </w:pPr>
            <w:r>
              <w:rPr>
                <w:rFonts w:hint="eastAsia"/>
                <w:highlight w:val="none"/>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15</w:t>
            </w:r>
          </w:p>
        </w:tc>
        <w:tc>
          <w:tcPr>
            <w:tcW w:w="1698" w:type="dxa"/>
            <w:vAlign w:val="center"/>
          </w:tcPr>
          <w:p>
            <w:pPr>
              <w:pStyle w:val="58"/>
              <w:rPr>
                <w:highlight w:val="none"/>
              </w:rPr>
            </w:pPr>
            <w:r>
              <w:rPr>
                <w:rFonts w:hint="eastAsia"/>
                <w:highlight w:val="none"/>
              </w:rPr>
              <w:t>反-1,2-二氯乙烯</w:t>
            </w:r>
          </w:p>
        </w:tc>
        <w:tc>
          <w:tcPr>
            <w:tcW w:w="1237" w:type="dxa"/>
            <w:vAlign w:val="center"/>
          </w:tcPr>
          <w:p>
            <w:pPr>
              <w:pStyle w:val="58"/>
              <w:rPr>
                <w:highlight w:val="none"/>
              </w:rPr>
            </w:pPr>
            <w:r>
              <w:rPr>
                <w:rFonts w:hint="eastAsia"/>
                <w:highlight w:val="none"/>
              </w:rPr>
              <w:t>156-60-5</w:t>
            </w:r>
          </w:p>
        </w:tc>
        <w:tc>
          <w:tcPr>
            <w:tcW w:w="1241" w:type="dxa"/>
            <w:vAlign w:val="center"/>
          </w:tcPr>
          <w:p>
            <w:pPr>
              <w:pStyle w:val="58"/>
              <w:rPr>
                <w:highlight w:val="none"/>
              </w:rPr>
            </w:pPr>
            <w:r>
              <w:rPr>
                <w:rFonts w:hint="eastAsia"/>
                <w:highlight w:val="none"/>
              </w:rPr>
              <w:t>10</w:t>
            </w:r>
          </w:p>
        </w:tc>
        <w:tc>
          <w:tcPr>
            <w:tcW w:w="1398" w:type="dxa"/>
            <w:vAlign w:val="center"/>
          </w:tcPr>
          <w:p>
            <w:pPr>
              <w:pStyle w:val="58"/>
              <w:rPr>
                <w:highlight w:val="none"/>
              </w:rPr>
            </w:pPr>
            <w:r>
              <w:rPr>
                <w:rFonts w:hint="eastAsia"/>
                <w:highlight w:val="none"/>
              </w:rPr>
              <w:t>54</w:t>
            </w:r>
          </w:p>
        </w:tc>
        <w:tc>
          <w:tcPr>
            <w:tcW w:w="1392" w:type="dxa"/>
            <w:vAlign w:val="center"/>
          </w:tcPr>
          <w:p>
            <w:pPr>
              <w:pStyle w:val="58"/>
              <w:rPr>
                <w:highlight w:val="none"/>
              </w:rPr>
            </w:pPr>
            <w:r>
              <w:rPr>
                <w:rFonts w:hint="eastAsia"/>
                <w:highlight w:val="none"/>
              </w:rPr>
              <w:t>31</w:t>
            </w:r>
          </w:p>
        </w:tc>
        <w:tc>
          <w:tcPr>
            <w:tcW w:w="1314" w:type="dxa"/>
            <w:vAlign w:val="center"/>
          </w:tcPr>
          <w:p>
            <w:pPr>
              <w:pStyle w:val="58"/>
              <w:rPr>
                <w:highlight w:val="none"/>
              </w:rPr>
            </w:pPr>
            <w:r>
              <w:rPr>
                <w:rFonts w:hint="eastAsia"/>
                <w:highlight w:val="none"/>
              </w:rPr>
              <w:t>163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16</w:t>
            </w:r>
          </w:p>
        </w:tc>
        <w:tc>
          <w:tcPr>
            <w:tcW w:w="1698" w:type="dxa"/>
            <w:vAlign w:val="center"/>
          </w:tcPr>
          <w:p>
            <w:pPr>
              <w:pStyle w:val="58"/>
              <w:rPr>
                <w:highlight w:val="none"/>
              </w:rPr>
            </w:pPr>
            <w:r>
              <w:rPr>
                <w:rFonts w:hint="eastAsia"/>
                <w:highlight w:val="none"/>
              </w:rPr>
              <w:t>二氯甲烷</w:t>
            </w:r>
          </w:p>
        </w:tc>
        <w:tc>
          <w:tcPr>
            <w:tcW w:w="1237" w:type="dxa"/>
            <w:vAlign w:val="center"/>
          </w:tcPr>
          <w:p>
            <w:pPr>
              <w:pStyle w:val="58"/>
              <w:rPr>
                <w:highlight w:val="none"/>
              </w:rPr>
            </w:pPr>
            <w:r>
              <w:rPr>
                <w:rFonts w:hint="eastAsia"/>
                <w:highlight w:val="none"/>
              </w:rPr>
              <w:t>75-09-2</w:t>
            </w:r>
          </w:p>
        </w:tc>
        <w:tc>
          <w:tcPr>
            <w:tcW w:w="1241" w:type="dxa"/>
            <w:vAlign w:val="center"/>
          </w:tcPr>
          <w:p>
            <w:pPr>
              <w:pStyle w:val="58"/>
              <w:rPr>
                <w:highlight w:val="none"/>
              </w:rPr>
            </w:pPr>
            <w:r>
              <w:rPr>
                <w:rFonts w:hint="eastAsia"/>
                <w:highlight w:val="none"/>
              </w:rPr>
              <w:t>94</w:t>
            </w:r>
          </w:p>
        </w:tc>
        <w:tc>
          <w:tcPr>
            <w:tcW w:w="1398" w:type="dxa"/>
            <w:vAlign w:val="center"/>
          </w:tcPr>
          <w:p>
            <w:pPr>
              <w:pStyle w:val="58"/>
              <w:rPr>
                <w:highlight w:val="none"/>
              </w:rPr>
            </w:pPr>
            <w:r>
              <w:rPr>
                <w:rFonts w:hint="eastAsia"/>
                <w:highlight w:val="none"/>
              </w:rPr>
              <w:t>616</w:t>
            </w:r>
          </w:p>
        </w:tc>
        <w:tc>
          <w:tcPr>
            <w:tcW w:w="1392" w:type="dxa"/>
            <w:vAlign w:val="center"/>
          </w:tcPr>
          <w:p>
            <w:pPr>
              <w:pStyle w:val="58"/>
              <w:rPr>
                <w:highlight w:val="none"/>
              </w:rPr>
            </w:pPr>
            <w:r>
              <w:rPr>
                <w:rFonts w:hint="eastAsia"/>
                <w:highlight w:val="none"/>
              </w:rPr>
              <w:t>300</w:t>
            </w:r>
          </w:p>
        </w:tc>
        <w:tc>
          <w:tcPr>
            <w:tcW w:w="1314" w:type="dxa"/>
            <w:vAlign w:val="center"/>
          </w:tcPr>
          <w:p>
            <w:pPr>
              <w:pStyle w:val="58"/>
              <w:rPr>
                <w:highlight w:val="none"/>
              </w:rPr>
            </w:pPr>
            <w:r>
              <w:rPr>
                <w:rFonts w:hint="eastAsia"/>
                <w:highlight w:val="none"/>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17</w:t>
            </w:r>
          </w:p>
        </w:tc>
        <w:tc>
          <w:tcPr>
            <w:tcW w:w="1698" w:type="dxa"/>
            <w:vAlign w:val="center"/>
          </w:tcPr>
          <w:p>
            <w:pPr>
              <w:pStyle w:val="58"/>
              <w:rPr>
                <w:highlight w:val="none"/>
              </w:rPr>
            </w:pPr>
            <w:r>
              <w:rPr>
                <w:rFonts w:hint="eastAsia"/>
                <w:highlight w:val="none"/>
              </w:rPr>
              <w:t>1,2-二氯丙烷</w:t>
            </w:r>
          </w:p>
        </w:tc>
        <w:tc>
          <w:tcPr>
            <w:tcW w:w="1237" w:type="dxa"/>
            <w:vAlign w:val="center"/>
          </w:tcPr>
          <w:p>
            <w:pPr>
              <w:pStyle w:val="58"/>
              <w:rPr>
                <w:highlight w:val="none"/>
              </w:rPr>
            </w:pPr>
            <w:r>
              <w:rPr>
                <w:rFonts w:hint="eastAsia"/>
                <w:highlight w:val="none"/>
              </w:rPr>
              <w:t>78-87-5</w:t>
            </w:r>
          </w:p>
        </w:tc>
        <w:tc>
          <w:tcPr>
            <w:tcW w:w="1241" w:type="dxa"/>
            <w:vAlign w:val="center"/>
          </w:tcPr>
          <w:p>
            <w:pPr>
              <w:pStyle w:val="58"/>
              <w:rPr>
                <w:highlight w:val="none"/>
              </w:rPr>
            </w:pPr>
            <w:r>
              <w:rPr>
                <w:rFonts w:hint="eastAsia"/>
                <w:highlight w:val="none"/>
              </w:rPr>
              <w:t>1</w:t>
            </w:r>
          </w:p>
        </w:tc>
        <w:tc>
          <w:tcPr>
            <w:tcW w:w="1398" w:type="dxa"/>
            <w:vAlign w:val="center"/>
          </w:tcPr>
          <w:p>
            <w:pPr>
              <w:pStyle w:val="58"/>
              <w:rPr>
                <w:highlight w:val="none"/>
              </w:rPr>
            </w:pPr>
            <w:r>
              <w:rPr>
                <w:rFonts w:hint="eastAsia"/>
                <w:highlight w:val="none"/>
              </w:rPr>
              <w:t>5</w:t>
            </w:r>
          </w:p>
        </w:tc>
        <w:tc>
          <w:tcPr>
            <w:tcW w:w="1392" w:type="dxa"/>
            <w:vAlign w:val="center"/>
          </w:tcPr>
          <w:p>
            <w:pPr>
              <w:pStyle w:val="58"/>
              <w:rPr>
                <w:highlight w:val="none"/>
              </w:rPr>
            </w:pPr>
            <w:r>
              <w:rPr>
                <w:rFonts w:hint="eastAsia"/>
                <w:highlight w:val="none"/>
              </w:rPr>
              <w:t>5</w:t>
            </w:r>
          </w:p>
        </w:tc>
        <w:tc>
          <w:tcPr>
            <w:tcW w:w="1314" w:type="dxa"/>
            <w:vAlign w:val="center"/>
          </w:tcPr>
          <w:p>
            <w:pPr>
              <w:pStyle w:val="58"/>
              <w:rPr>
                <w:highlight w:val="none"/>
              </w:rPr>
            </w:pPr>
            <w:r>
              <w:rPr>
                <w:rFonts w:hint="eastAsia"/>
                <w:highlight w:val="none"/>
              </w:rPr>
              <w:t>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18</w:t>
            </w:r>
          </w:p>
        </w:tc>
        <w:tc>
          <w:tcPr>
            <w:tcW w:w="1698" w:type="dxa"/>
            <w:vAlign w:val="center"/>
          </w:tcPr>
          <w:p>
            <w:pPr>
              <w:pStyle w:val="58"/>
              <w:rPr>
                <w:highlight w:val="none"/>
              </w:rPr>
            </w:pPr>
            <w:r>
              <w:rPr>
                <w:rFonts w:hint="eastAsia"/>
                <w:highlight w:val="none"/>
              </w:rPr>
              <w:t>1,1,1,2-四氯乙烷</w:t>
            </w:r>
          </w:p>
        </w:tc>
        <w:tc>
          <w:tcPr>
            <w:tcW w:w="1237" w:type="dxa"/>
            <w:vAlign w:val="center"/>
          </w:tcPr>
          <w:p>
            <w:pPr>
              <w:pStyle w:val="58"/>
              <w:rPr>
                <w:highlight w:val="none"/>
              </w:rPr>
            </w:pPr>
            <w:r>
              <w:rPr>
                <w:rFonts w:hint="eastAsia"/>
                <w:highlight w:val="none"/>
              </w:rPr>
              <w:t>630-20-6</w:t>
            </w:r>
          </w:p>
        </w:tc>
        <w:tc>
          <w:tcPr>
            <w:tcW w:w="1241" w:type="dxa"/>
            <w:vAlign w:val="center"/>
          </w:tcPr>
          <w:p>
            <w:pPr>
              <w:pStyle w:val="58"/>
              <w:rPr>
                <w:highlight w:val="none"/>
              </w:rPr>
            </w:pPr>
            <w:r>
              <w:rPr>
                <w:rFonts w:hint="eastAsia"/>
                <w:highlight w:val="none"/>
              </w:rPr>
              <w:t>2.6</w:t>
            </w:r>
          </w:p>
        </w:tc>
        <w:tc>
          <w:tcPr>
            <w:tcW w:w="1398" w:type="dxa"/>
            <w:vAlign w:val="center"/>
          </w:tcPr>
          <w:p>
            <w:pPr>
              <w:pStyle w:val="58"/>
              <w:rPr>
                <w:highlight w:val="none"/>
              </w:rPr>
            </w:pPr>
            <w:r>
              <w:rPr>
                <w:rFonts w:hint="eastAsia"/>
                <w:highlight w:val="none"/>
              </w:rPr>
              <w:t>10</w:t>
            </w:r>
          </w:p>
        </w:tc>
        <w:tc>
          <w:tcPr>
            <w:tcW w:w="1392" w:type="dxa"/>
            <w:vAlign w:val="center"/>
          </w:tcPr>
          <w:p>
            <w:pPr>
              <w:pStyle w:val="58"/>
              <w:rPr>
                <w:highlight w:val="none"/>
              </w:rPr>
            </w:pPr>
            <w:r>
              <w:rPr>
                <w:rFonts w:hint="eastAsia"/>
                <w:highlight w:val="none"/>
              </w:rPr>
              <w:t>26</w:t>
            </w:r>
          </w:p>
        </w:tc>
        <w:tc>
          <w:tcPr>
            <w:tcW w:w="1314" w:type="dxa"/>
            <w:vAlign w:val="center"/>
          </w:tcPr>
          <w:p>
            <w:pPr>
              <w:pStyle w:val="58"/>
              <w:rPr>
                <w:highlight w:val="none"/>
              </w:rPr>
            </w:pPr>
            <w:r>
              <w:rPr>
                <w:rFonts w:hint="eastAsia"/>
                <w:highlight w:val="non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19</w:t>
            </w:r>
          </w:p>
        </w:tc>
        <w:tc>
          <w:tcPr>
            <w:tcW w:w="1698" w:type="dxa"/>
            <w:vAlign w:val="center"/>
          </w:tcPr>
          <w:p>
            <w:pPr>
              <w:pStyle w:val="58"/>
              <w:rPr>
                <w:highlight w:val="none"/>
              </w:rPr>
            </w:pPr>
            <w:r>
              <w:rPr>
                <w:rFonts w:hint="eastAsia"/>
                <w:highlight w:val="none"/>
              </w:rPr>
              <w:t>1,1,2,2-四氯乙烷</w:t>
            </w:r>
          </w:p>
        </w:tc>
        <w:tc>
          <w:tcPr>
            <w:tcW w:w="1237" w:type="dxa"/>
            <w:vAlign w:val="center"/>
          </w:tcPr>
          <w:p>
            <w:pPr>
              <w:pStyle w:val="58"/>
              <w:rPr>
                <w:highlight w:val="none"/>
              </w:rPr>
            </w:pPr>
            <w:r>
              <w:rPr>
                <w:rFonts w:hint="eastAsia"/>
                <w:highlight w:val="none"/>
              </w:rPr>
              <w:t>79-34-5</w:t>
            </w:r>
          </w:p>
        </w:tc>
        <w:tc>
          <w:tcPr>
            <w:tcW w:w="1241" w:type="dxa"/>
            <w:vAlign w:val="center"/>
          </w:tcPr>
          <w:p>
            <w:pPr>
              <w:pStyle w:val="58"/>
              <w:rPr>
                <w:highlight w:val="none"/>
              </w:rPr>
            </w:pPr>
            <w:r>
              <w:rPr>
                <w:rFonts w:hint="eastAsia"/>
                <w:highlight w:val="none"/>
              </w:rPr>
              <w:t>1.6</w:t>
            </w:r>
          </w:p>
        </w:tc>
        <w:tc>
          <w:tcPr>
            <w:tcW w:w="1398" w:type="dxa"/>
            <w:vAlign w:val="center"/>
          </w:tcPr>
          <w:p>
            <w:pPr>
              <w:pStyle w:val="58"/>
              <w:rPr>
                <w:highlight w:val="none"/>
              </w:rPr>
            </w:pPr>
            <w:r>
              <w:rPr>
                <w:rFonts w:hint="eastAsia"/>
                <w:highlight w:val="none"/>
              </w:rPr>
              <w:t>6.8</w:t>
            </w:r>
          </w:p>
        </w:tc>
        <w:tc>
          <w:tcPr>
            <w:tcW w:w="1392" w:type="dxa"/>
            <w:vAlign w:val="center"/>
          </w:tcPr>
          <w:p>
            <w:pPr>
              <w:pStyle w:val="58"/>
              <w:rPr>
                <w:highlight w:val="none"/>
              </w:rPr>
            </w:pPr>
            <w:r>
              <w:rPr>
                <w:rFonts w:hint="eastAsia"/>
                <w:highlight w:val="none"/>
              </w:rPr>
              <w:t>14</w:t>
            </w:r>
          </w:p>
        </w:tc>
        <w:tc>
          <w:tcPr>
            <w:tcW w:w="1314" w:type="dxa"/>
            <w:vAlign w:val="center"/>
          </w:tcPr>
          <w:p>
            <w:pPr>
              <w:pStyle w:val="58"/>
              <w:rPr>
                <w:highlight w:val="none"/>
              </w:rPr>
            </w:pPr>
            <w:r>
              <w:rPr>
                <w:rFonts w:hint="eastAsia"/>
                <w:highlight w:val="non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20</w:t>
            </w:r>
          </w:p>
        </w:tc>
        <w:tc>
          <w:tcPr>
            <w:tcW w:w="1698" w:type="dxa"/>
            <w:vAlign w:val="center"/>
          </w:tcPr>
          <w:p>
            <w:pPr>
              <w:pStyle w:val="58"/>
              <w:rPr>
                <w:highlight w:val="none"/>
              </w:rPr>
            </w:pPr>
            <w:r>
              <w:rPr>
                <w:rFonts w:hint="eastAsia"/>
                <w:highlight w:val="none"/>
              </w:rPr>
              <w:t>四氯乙烯</w:t>
            </w:r>
          </w:p>
        </w:tc>
        <w:tc>
          <w:tcPr>
            <w:tcW w:w="1237" w:type="dxa"/>
            <w:vAlign w:val="center"/>
          </w:tcPr>
          <w:p>
            <w:pPr>
              <w:pStyle w:val="58"/>
              <w:rPr>
                <w:highlight w:val="none"/>
              </w:rPr>
            </w:pPr>
            <w:r>
              <w:rPr>
                <w:rFonts w:hint="eastAsia"/>
                <w:highlight w:val="none"/>
              </w:rPr>
              <w:t>127-18-4</w:t>
            </w:r>
          </w:p>
        </w:tc>
        <w:tc>
          <w:tcPr>
            <w:tcW w:w="1241" w:type="dxa"/>
            <w:vAlign w:val="center"/>
          </w:tcPr>
          <w:p>
            <w:pPr>
              <w:pStyle w:val="58"/>
              <w:rPr>
                <w:highlight w:val="none"/>
              </w:rPr>
            </w:pPr>
            <w:r>
              <w:rPr>
                <w:rFonts w:hint="eastAsia"/>
                <w:highlight w:val="none"/>
              </w:rPr>
              <w:t>11</w:t>
            </w:r>
          </w:p>
        </w:tc>
        <w:tc>
          <w:tcPr>
            <w:tcW w:w="1398" w:type="dxa"/>
            <w:vAlign w:val="center"/>
          </w:tcPr>
          <w:p>
            <w:pPr>
              <w:pStyle w:val="58"/>
              <w:rPr>
                <w:highlight w:val="none"/>
              </w:rPr>
            </w:pPr>
            <w:r>
              <w:rPr>
                <w:rFonts w:hint="eastAsia"/>
                <w:highlight w:val="none"/>
              </w:rPr>
              <w:t>53</w:t>
            </w:r>
          </w:p>
        </w:tc>
        <w:tc>
          <w:tcPr>
            <w:tcW w:w="1392" w:type="dxa"/>
            <w:vAlign w:val="center"/>
          </w:tcPr>
          <w:p>
            <w:pPr>
              <w:pStyle w:val="58"/>
              <w:rPr>
                <w:highlight w:val="none"/>
              </w:rPr>
            </w:pPr>
            <w:r>
              <w:rPr>
                <w:rFonts w:hint="eastAsia"/>
                <w:highlight w:val="none"/>
              </w:rPr>
              <w:t>34</w:t>
            </w:r>
          </w:p>
        </w:tc>
        <w:tc>
          <w:tcPr>
            <w:tcW w:w="1314" w:type="dxa"/>
            <w:vAlign w:val="center"/>
          </w:tcPr>
          <w:p>
            <w:pPr>
              <w:pStyle w:val="58"/>
              <w:rPr>
                <w:highlight w:val="none"/>
              </w:rPr>
            </w:pPr>
            <w:r>
              <w:rPr>
                <w:rFonts w:hint="eastAsia"/>
                <w:highlight w:val="none"/>
              </w:rPr>
              <w:t>183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21</w:t>
            </w:r>
          </w:p>
        </w:tc>
        <w:tc>
          <w:tcPr>
            <w:tcW w:w="1698" w:type="dxa"/>
            <w:vAlign w:val="center"/>
          </w:tcPr>
          <w:p>
            <w:pPr>
              <w:pStyle w:val="58"/>
              <w:rPr>
                <w:highlight w:val="none"/>
              </w:rPr>
            </w:pPr>
            <w:r>
              <w:rPr>
                <w:rFonts w:hint="eastAsia"/>
                <w:highlight w:val="none"/>
              </w:rPr>
              <w:t>1,1,1-三氯乙烷</w:t>
            </w:r>
          </w:p>
        </w:tc>
        <w:tc>
          <w:tcPr>
            <w:tcW w:w="1237" w:type="dxa"/>
            <w:vAlign w:val="center"/>
          </w:tcPr>
          <w:p>
            <w:pPr>
              <w:pStyle w:val="58"/>
              <w:rPr>
                <w:highlight w:val="none"/>
              </w:rPr>
            </w:pPr>
            <w:r>
              <w:rPr>
                <w:rFonts w:hint="eastAsia"/>
                <w:highlight w:val="none"/>
              </w:rPr>
              <w:t>71-55-6</w:t>
            </w:r>
          </w:p>
        </w:tc>
        <w:tc>
          <w:tcPr>
            <w:tcW w:w="1241" w:type="dxa"/>
            <w:vAlign w:val="center"/>
          </w:tcPr>
          <w:p>
            <w:pPr>
              <w:pStyle w:val="58"/>
              <w:rPr>
                <w:highlight w:val="none"/>
              </w:rPr>
            </w:pPr>
            <w:r>
              <w:rPr>
                <w:rFonts w:hint="eastAsia"/>
                <w:highlight w:val="none"/>
              </w:rPr>
              <w:t>701</w:t>
            </w:r>
          </w:p>
        </w:tc>
        <w:tc>
          <w:tcPr>
            <w:tcW w:w="1398" w:type="dxa"/>
            <w:vAlign w:val="center"/>
          </w:tcPr>
          <w:p>
            <w:pPr>
              <w:pStyle w:val="58"/>
              <w:rPr>
                <w:highlight w:val="none"/>
              </w:rPr>
            </w:pPr>
            <w:r>
              <w:rPr>
                <w:rFonts w:hint="eastAsia"/>
                <w:highlight w:val="none"/>
              </w:rPr>
              <w:t>840</w:t>
            </w:r>
          </w:p>
        </w:tc>
        <w:tc>
          <w:tcPr>
            <w:tcW w:w="1392" w:type="dxa"/>
            <w:vAlign w:val="center"/>
          </w:tcPr>
          <w:p>
            <w:pPr>
              <w:pStyle w:val="58"/>
              <w:rPr>
                <w:highlight w:val="none"/>
              </w:rPr>
            </w:pPr>
            <w:r>
              <w:rPr>
                <w:rFonts w:hint="eastAsia"/>
                <w:highlight w:val="none"/>
              </w:rPr>
              <w:t>840</w:t>
            </w:r>
          </w:p>
        </w:tc>
        <w:tc>
          <w:tcPr>
            <w:tcW w:w="1314" w:type="dxa"/>
            <w:vAlign w:val="center"/>
          </w:tcPr>
          <w:p>
            <w:pPr>
              <w:pStyle w:val="58"/>
              <w:rPr>
                <w:highlight w:val="none"/>
              </w:rPr>
            </w:pPr>
            <w:r>
              <w:rPr>
                <w:rFonts w:hint="eastAsia"/>
                <w:highlight w:val="none"/>
              </w:rPr>
              <w:t>840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22</w:t>
            </w:r>
          </w:p>
        </w:tc>
        <w:tc>
          <w:tcPr>
            <w:tcW w:w="1698" w:type="dxa"/>
            <w:vAlign w:val="center"/>
          </w:tcPr>
          <w:p>
            <w:pPr>
              <w:pStyle w:val="58"/>
              <w:rPr>
                <w:highlight w:val="none"/>
              </w:rPr>
            </w:pPr>
            <w:r>
              <w:rPr>
                <w:rFonts w:hint="eastAsia"/>
                <w:highlight w:val="none"/>
              </w:rPr>
              <w:t>1,1,2-三氯乙烷</w:t>
            </w:r>
          </w:p>
        </w:tc>
        <w:tc>
          <w:tcPr>
            <w:tcW w:w="1237" w:type="dxa"/>
            <w:vAlign w:val="center"/>
          </w:tcPr>
          <w:p>
            <w:pPr>
              <w:pStyle w:val="58"/>
              <w:rPr>
                <w:highlight w:val="none"/>
              </w:rPr>
            </w:pPr>
            <w:r>
              <w:rPr>
                <w:rFonts w:hint="eastAsia"/>
                <w:highlight w:val="none"/>
              </w:rPr>
              <w:t>79-00-5</w:t>
            </w:r>
          </w:p>
        </w:tc>
        <w:tc>
          <w:tcPr>
            <w:tcW w:w="1241" w:type="dxa"/>
            <w:vAlign w:val="center"/>
          </w:tcPr>
          <w:p>
            <w:pPr>
              <w:pStyle w:val="58"/>
              <w:rPr>
                <w:highlight w:val="none"/>
              </w:rPr>
            </w:pPr>
            <w:r>
              <w:rPr>
                <w:rFonts w:hint="eastAsia"/>
                <w:highlight w:val="none"/>
              </w:rPr>
              <w:t>0.6</w:t>
            </w:r>
          </w:p>
        </w:tc>
        <w:tc>
          <w:tcPr>
            <w:tcW w:w="1398" w:type="dxa"/>
            <w:vAlign w:val="center"/>
          </w:tcPr>
          <w:p>
            <w:pPr>
              <w:pStyle w:val="58"/>
              <w:rPr>
                <w:highlight w:val="none"/>
              </w:rPr>
            </w:pPr>
            <w:r>
              <w:rPr>
                <w:rFonts w:hint="eastAsia"/>
                <w:highlight w:val="none"/>
              </w:rPr>
              <w:t>2.8</w:t>
            </w:r>
          </w:p>
        </w:tc>
        <w:tc>
          <w:tcPr>
            <w:tcW w:w="1392" w:type="dxa"/>
            <w:vAlign w:val="center"/>
          </w:tcPr>
          <w:p>
            <w:pPr>
              <w:pStyle w:val="58"/>
              <w:rPr>
                <w:highlight w:val="none"/>
              </w:rPr>
            </w:pPr>
            <w:r>
              <w:rPr>
                <w:rFonts w:hint="eastAsia"/>
                <w:highlight w:val="none"/>
              </w:rPr>
              <w:t>5</w:t>
            </w:r>
          </w:p>
        </w:tc>
        <w:tc>
          <w:tcPr>
            <w:tcW w:w="1314" w:type="dxa"/>
            <w:vAlign w:val="center"/>
          </w:tcPr>
          <w:p>
            <w:pPr>
              <w:pStyle w:val="58"/>
              <w:rPr>
                <w:highlight w:val="none"/>
              </w:rPr>
            </w:pPr>
            <w:r>
              <w:rPr>
                <w:rFonts w:hint="eastAsia"/>
                <w:highlight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23</w:t>
            </w:r>
          </w:p>
        </w:tc>
        <w:tc>
          <w:tcPr>
            <w:tcW w:w="1698" w:type="dxa"/>
            <w:vAlign w:val="center"/>
          </w:tcPr>
          <w:p>
            <w:pPr>
              <w:pStyle w:val="58"/>
              <w:rPr>
                <w:highlight w:val="none"/>
              </w:rPr>
            </w:pPr>
            <w:r>
              <w:rPr>
                <w:rFonts w:hint="eastAsia"/>
                <w:highlight w:val="none"/>
              </w:rPr>
              <w:t>三氯乙烯</w:t>
            </w:r>
          </w:p>
        </w:tc>
        <w:tc>
          <w:tcPr>
            <w:tcW w:w="1237" w:type="dxa"/>
            <w:vAlign w:val="center"/>
          </w:tcPr>
          <w:p>
            <w:pPr>
              <w:pStyle w:val="58"/>
              <w:rPr>
                <w:highlight w:val="none"/>
              </w:rPr>
            </w:pPr>
            <w:r>
              <w:rPr>
                <w:rFonts w:hint="eastAsia"/>
                <w:highlight w:val="none"/>
              </w:rPr>
              <w:t>79-01-6</w:t>
            </w:r>
          </w:p>
        </w:tc>
        <w:tc>
          <w:tcPr>
            <w:tcW w:w="1241" w:type="dxa"/>
            <w:vAlign w:val="center"/>
          </w:tcPr>
          <w:p>
            <w:pPr>
              <w:pStyle w:val="58"/>
              <w:rPr>
                <w:highlight w:val="none"/>
              </w:rPr>
            </w:pPr>
            <w:r>
              <w:rPr>
                <w:rFonts w:hint="eastAsia"/>
                <w:highlight w:val="none"/>
              </w:rPr>
              <w:t>0.7</w:t>
            </w:r>
          </w:p>
        </w:tc>
        <w:tc>
          <w:tcPr>
            <w:tcW w:w="1398" w:type="dxa"/>
            <w:vAlign w:val="center"/>
          </w:tcPr>
          <w:p>
            <w:pPr>
              <w:pStyle w:val="58"/>
              <w:rPr>
                <w:highlight w:val="none"/>
              </w:rPr>
            </w:pPr>
            <w:r>
              <w:rPr>
                <w:rFonts w:hint="eastAsia"/>
                <w:highlight w:val="none"/>
              </w:rPr>
              <w:t>2.8</w:t>
            </w:r>
          </w:p>
        </w:tc>
        <w:tc>
          <w:tcPr>
            <w:tcW w:w="1392" w:type="dxa"/>
            <w:vAlign w:val="center"/>
          </w:tcPr>
          <w:p>
            <w:pPr>
              <w:pStyle w:val="58"/>
              <w:rPr>
                <w:highlight w:val="none"/>
              </w:rPr>
            </w:pPr>
            <w:r>
              <w:rPr>
                <w:rFonts w:hint="eastAsia"/>
                <w:highlight w:val="none"/>
              </w:rPr>
              <w:t>7</w:t>
            </w:r>
          </w:p>
        </w:tc>
        <w:tc>
          <w:tcPr>
            <w:tcW w:w="1314" w:type="dxa"/>
            <w:vAlign w:val="center"/>
          </w:tcPr>
          <w:p>
            <w:pPr>
              <w:pStyle w:val="58"/>
              <w:rPr>
                <w:highlight w:val="none"/>
              </w:rPr>
            </w:pPr>
            <w:r>
              <w:rPr>
                <w:rFonts w:hint="eastAsia"/>
                <w:highlight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24</w:t>
            </w:r>
          </w:p>
        </w:tc>
        <w:tc>
          <w:tcPr>
            <w:tcW w:w="1698" w:type="dxa"/>
            <w:vAlign w:val="center"/>
          </w:tcPr>
          <w:p>
            <w:pPr>
              <w:pStyle w:val="58"/>
              <w:rPr>
                <w:highlight w:val="none"/>
              </w:rPr>
            </w:pPr>
            <w:r>
              <w:rPr>
                <w:rFonts w:hint="eastAsia"/>
                <w:highlight w:val="none"/>
              </w:rPr>
              <w:t>1,2,3-三氯丙烷</w:t>
            </w:r>
          </w:p>
        </w:tc>
        <w:tc>
          <w:tcPr>
            <w:tcW w:w="1237" w:type="dxa"/>
            <w:vAlign w:val="center"/>
          </w:tcPr>
          <w:p>
            <w:pPr>
              <w:pStyle w:val="58"/>
              <w:rPr>
                <w:highlight w:val="none"/>
              </w:rPr>
            </w:pPr>
            <w:r>
              <w:rPr>
                <w:rFonts w:hint="eastAsia"/>
                <w:highlight w:val="none"/>
              </w:rPr>
              <w:t>96-18-4</w:t>
            </w:r>
          </w:p>
        </w:tc>
        <w:tc>
          <w:tcPr>
            <w:tcW w:w="1241" w:type="dxa"/>
            <w:vAlign w:val="center"/>
          </w:tcPr>
          <w:p>
            <w:pPr>
              <w:pStyle w:val="58"/>
              <w:rPr>
                <w:highlight w:val="none"/>
              </w:rPr>
            </w:pPr>
            <w:r>
              <w:rPr>
                <w:rFonts w:hint="eastAsia"/>
                <w:highlight w:val="none"/>
              </w:rPr>
              <w:t>0.05</w:t>
            </w:r>
          </w:p>
        </w:tc>
        <w:tc>
          <w:tcPr>
            <w:tcW w:w="1398" w:type="dxa"/>
            <w:vAlign w:val="center"/>
          </w:tcPr>
          <w:p>
            <w:pPr>
              <w:pStyle w:val="58"/>
              <w:rPr>
                <w:highlight w:val="none"/>
              </w:rPr>
            </w:pPr>
            <w:r>
              <w:rPr>
                <w:rFonts w:hint="eastAsia"/>
                <w:highlight w:val="none"/>
              </w:rPr>
              <w:t>0.5</w:t>
            </w:r>
          </w:p>
        </w:tc>
        <w:tc>
          <w:tcPr>
            <w:tcW w:w="1392" w:type="dxa"/>
            <w:vAlign w:val="center"/>
          </w:tcPr>
          <w:p>
            <w:pPr>
              <w:pStyle w:val="58"/>
              <w:rPr>
                <w:highlight w:val="none"/>
              </w:rPr>
            </w:pPr>
            <w:r>
              <w:rPr>
                <w:rFonts w:hint="eastAsia"/>
                <w:highlight w:val="none"/>
              </w:rPr>
              <w:t>0.5</w:t>
            </w:r>
          </w:p>
        </w:tc>
        <w:tc>
          <w:tcPr>
            <w:tcW w:w="1314" w:type="dxa"/>
            <w:vAlign w:val="center"/>
          </w:tcPr>
          <w:p>
            <w:pPr>
              <w:pStyle w:val="58"/>
              <w:rPr>
                <w:highlight w:val="none"/>
              </w:rPr>
            </w:pPr>
            <w:r>
              <w:rPr>
                <w:rFonts w:hint="eastAsia"/>
                <w:highlight w:val="non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25</w:t>
            </w:r>
          </w:p>
        </w:tc>
        <w:tc>
          <w:tcPr>
            <w:tcW w:w="1698" w:type="dxa"/>
            <w:vAlign w:val="center"/>
          </w:tcPr>
          <w:p>
            <w:pPr>
              <w:pStyle w:val="58"/>
              <w:rPr>
                <w:highlight w:val="none"/>
              </w:rPr>
            </w:pPr>
            <w:r>
              <w:rPr>
                <w:rFonts w:hint="eastAsia"/>
                <w:highlight w:val="none"/>
              </w:rPr>
              <w:t>氯乙烯</w:t>
            </w:r>
          </w:p>
        </w:tc>
        <w:tc>
          <w:tcPr>
            <w:tcW w:w="1237" w:type="dxa"/>
            <w:vAlign w:val="center"/>
          </w:tcPr>
          <w:p>
            <w:pPr>
              <w:pStyle w:val="58"/>
              <w:rPr>
                <w:highlight w:val="none"/>
              </w:rPr>
            </w:pPr>
            <w:r>
              <w:rPr>
                <w:rFonts w:hint="eastAsia"/>
                <w:highlight w:val="none"/>
              </w:rPr>
              <w:t>75-01-4</w:t>
            </w:r>
          </w:p>
        </w:tc>
        <w:tc>
          <w:tcPr>
            <w:tcW w:w="1241" w:type="dxa"/>
            <w:vAlign w:val="center"/>
          </w:tcPr>
          <w:p>
            <w:pPr>
              <w:pStyle w:val="58"/>
              <w:rPr>
                <w:highlight w:val="none"/>
              </w:rPr>
            </w:pPr>
            <w:r>
              <w:rPr>
                <w:rFonts w:hint="eastAsia"/>
                <w:highlight w:val="none"/>
              </w:rPr>
              <w:t>0.12</w:t>
            </w:r>
          </w:p>
        </w:tc>
        <w:tc>
          <w:tcPr>
            <w:tcW w:w="1398" w:type="dxa"/>
            <w:vAlign w:val="center"/>
          </w:tcPr>
          <w:p>
            <w:pPr>
              <w:pStyle w:val="58"/>
              <w:rPr>
                <w:highlight w:val="none"/>
              </w:rPr>
            </w:pPr>
            <w:r>
              <w:rPr>
                <w:rFonts w:hint="eastAsia"/>
                <w:highlight w:val="none"/>
              </w:rPr>
              <w:t>0.43</w:t>
            </w:r>
          </w:p>
        </w:tc>
        <w:tc>
          <w:tcPr>
            <w:tcW w:w="1392" w:type="dxa"/>
            <w:vAlign w:val="center"/>
          </w:tcPr>
          <w:p>
            <w:pPr>
              <w:pStyle w:val="58"/>
              <w:rPr>
                <w:highlight w:val="none"/>
              </w:rPr>
            </w:pPr>
            <w:r>
              <w:rPr>
                <w:rFonts w:hint="eastAsia"/>
                <w:highlight w:val="none"/>
              </w:rPr>
              <w:t>1.2</w:t>
            </w:r>
          </w:p>
        </w:tc>
        <w:tc>
          <w:tcPr>
            <w:tcW w:w="1314" w:type="dxa"/>
            <w:vAlign w:val="center"/>
          </w:tcPr>
          <w:p>
            <w:pPr>
              <w:pStyle w:val="58"/>
              <w:rPr>
                <w:highlight w:val="none"/>
              </w:rPr>
            </w:pPr>
            <w:r>
              <w:rPr>
                <w:rFonts w:hint="eastAsia"/>
                <w:highlight w:val="none"/>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26</w:t>
            </w:r>
          </w:p>
        </w:tc>
        <w:tc>
          <w:tcPr>
            <w:tcW w:w="1698" w:type="dxa"/>
            <w:vAlign w:val="center"/>
          </w:tcPr>
          <w:p>
            <w:pPr>
              <w:pStyle w:val="58"/>
              <w:rPr>
                <w:highlight w:val="none"/>
              </w:rPr>
            </w:pPr>
            <w:r>
              <w:rPr>
                <w:rFonts w:hint="eastAsia"/>
                <w:highlight w:val="none"/>
              </w:rPr>
              <w:t>苯</w:t>
            </w:r>
          </w:p>
        </w:tc>
        <w:tc>
          <w:tcPr>
            <w:tcW w:w="1237" w:type="dxa"/>
            <w:vAlign w:val="center"/>
          </w:tcPr>
          <w:p>
            <w:pPr>
              <w:pStyle w:val="58"/>
              <w:rPr>
                <w:highlight w:val="none"/>
              </w:rPr>
            </w:pPr>
            <w:r>
              <w:rPr>
                <w:rFonts w:hint="eastAsia"/>
                <w:highlight w:val="none"/>
              </w:rPr>
              <w:t>71-43-2</w:t>
            </w:r>
          </w:p>
        </w:tc>
        <w:tc>
          <w:tcPr>
            <w:tcW w:w="1241" w:type="dxa"/>
            <w:vAlign w:val="center"/>
          </w:tcPr>
          <w:p>
            <w:pPr>
              <w:pStyle w:val="58"/>
              <w:rPr>
                <w:highlight w:val="none"/>
              </w:rPr>
            </w:pPr>
            <w:r>
              <w:rPr>
                <w:rFonts w:hint="eastAsia"/>
                <w:highlight w:val="none"/>
              </w:rPr>
              <w:t>1</w:t>
            </w:r>
          </w:p>
        </w:tc>
        <w:tc>
          <w:tcPr>
            <w:tcW w:w="1398" w:type="dxa"/>
            <w:vAlign w:val="center"/>
          </w:tcPr>
          <w:p>
            <w:pPr>
              <w:pStyle w:val="58"/>
              <w:rPr>
                <w:highlight w:val="none"/>
              </w:rPr>
            </w:pPr>
            <w:r>
              <w:rPr>
                <w:rFonts w:hint="eastAsia"/>
                <w:highlight w:val="none"/>
              </w:rPr>
              <w:t>4</w:t>
            </w:r>
          </w:p>
        </w:tc>
        <w:tc>
          <w:tcPr>
            <w:tcW w:w="1392" w:type="dxa"/>
            <w:vAlign w:val="center"/>
          </w:tcPr>
          <w:p>
            <w:pPr>
              <w:pStyle w:val="58"/>
              <w:rPr>
                <w:highlight w:val="none"/>
              </w:rPr>
            </w:pPr>
            <w:r>
              <w:rPr>
                <w:rFonts w:hint="eastAsia"/>
                <w:highlight w:val="none"/>
              </w:rPr>
              <w:t>10</w:t>
            </w:r>
          </w:p>
        </w:tc>
        <w:tc>
          <w:tcPr>
            <w:tcW w:w="1314" w:type="dxa"/>
            <w:vAlign w:val="center"/>
          </w:tcPr>
          <w:p>
            <w:pPr>
              <w:pStyle w:val="58"/>
              <w:rPr>
                <w:highlight w:val="none"/>
              </w:rPr>
            </w:pPr>
            <w:r>
              <w:rPr>
                <w:rFonts w:hint="eastAsia"/>
                <w:highlight w:val="none"/>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27</w:t>
            </w:r>
          </w:p>
        </w:tc>
        <w:tc>
          <w:tcPr>
            <w:tcW w:w="1698" w:type="dxa"/>
            <w:vAlign w:val="center"/>
          </w:tcPr>
          <w:p>
            <w:pPr>
              <w:pStyle w:val="58"/>
              <w:rPr>
                <w:highlight w:val="none"/>
              </w:rPr>
            </w:pPr>
            <w:r>
              <w:rPr>
                <w:rFonts w:hint="eastAsia"/>
                <w:highlight w:val="none"/>
              </w:rPr>
              <w:t>氯苯</w:t>
            </w:r>
          </w:p>
        </w:tc>
        <w:tc>
          <w:tcPr>
            <w:tcW w:w="1237" w:type="dxa"/>
            <w:vAlign w:val="center"/>
          </w:tcPr>
          <w:p>
            <w:pPr>
              <w:pStyle w:val="58"/>
              <w:rPr>
                <w:highlight w:val="none"/>
              </w:rPr>
            </w:pPr>
            <w:r>
              <w:rPr>
                <w:rFonts w:hint="eastAsia"/>
                <w:highlight w:val="none"/>
              </w:rPr>
              <w:t>108-90-7</w:t>
            </w:r>
          </w:p>
        </w:tc>
        <w:tc>
          <w:tcPr>
            <w:tcW w:w="1241" w:type="dxa"/>
            <w:vAlign w:val="center"/>
          </w:tcPr>
          <w:p>
            <w:pPr>
              <w:pStyle w:val="58"/>
              <w:rPr>
                <w:highlight w:val="none"/>
              </w:rPr>
            </w:pPr>
            <w:r>
              <w:rPr>
                <w:rFonts w:hint="eastAsia"/>
                <w:highlight w:val="none"/>
              </w:rPr>
              <w:t>68</w:t>
            </w:r>
          </w:p>
        </w:tc>
        <w:tc>
          <w:tcPr>
            <w:tcW w:w="1398" w:type="dxa"/>
            <w:vAlign w:val="center"/>
          </w:tcPr>
          <w:p>
            <w:pPr>
              <w:pStyle w:val="58"/>
              <w:rPr>
                <w:highlight w:val="none"/>
              </w:rPr>
            </w:pPr>
            <w:r>
              <w:rPr>
                <w:rFonts w:hint="eastAsia"/>
                <w:highlight w:val="none"/>
              </w:rPr>
              <w:t>270</w:t>
            </w:r>
          </w:p>
        </w:tc>
        <w:tc>
          <w:tcPr>
            <w:tcW w:w="1392" w:type="dxa"/>
            <w:vAlign w:val="center"/>
          </w:tcPr>
          <w:p>
            <w:pPr>
              <w:pStyle w:val="58"/>
              <w:rPr>
                <w:highlight w:val="none"/>
              </w:rPr>
            </w:pPr>
            <w:r>
              <w:rPr>
                <w:rFonts w:hint="eastAsia"/>
                <w:highlight w:val="none"/>
              </w:rPr>
              <w:t>200</w:t>
            </w:r>
          </w:p>
        </w:tc>
        <w:tc>
          <w:tcPr>
            <w:tcW w:w="1314" w:type="dxa"/>
            <w:vAlign w:val="center"/>
          </w:tcPr>
          <w:p>
            <w:pPr>
              <w:pStyle w:val="58"/>
              <w:rPr>
                <w:highlight w:val="none"/>
              </w:rPr>
            </w:pPr>
            <w:r>
              <w:rPr>
                <w:rFonts w:hint="eastAsia"/>
                <w:highlight w:val="none"/>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28</w:t>
            </w:r>
          </w:p>
        </w:tc>
        <w:tc>
          <w:tcPr>
            <w:tcW w:w="1698" w:type="dxa"/>
            <w:vAlign w:val="center"/>
          </w:tcPr>
          <w:p>
            <w:pPr>
              <w:pStyle w:val="58"/>
              <w:rPr>
                <w:highlight w:val="none"/>
              </w:rPr>
            </w:pPr>
            <w:r>
              <w:rPr>
                <w:rFonts w:hint="eastAsia"/>
                <w:highlight w:val="none"/>
              </w:rPr>
              <w:t>1,2-二氯苯</w:t>
            </w:r>
          </w:p>
        </w:tc>
        <w:tc>
          <w:tcPr>
            <w:tcW w:w="1237" w:type="dxa"/>
            <w:vAlign w:val="center"/>
          </w:tcPr>
          <w:p>
            <w:pPr>
              <w:pStyle w:val="58"/>
              <w:rPr>
                <w:highlight w:val="none"/>
              </w:rPr>
            </w:pPr>
            <w:r>
              <w:rPr>
                <w:rFonts w:hint="eastAsia"/>
                <w:highlight w:val="none"/>
              </w:rPr>
              <w:t>95-50-1</w:t>
            </w:r>
          </w:p>
        </w:tc>
        <w:tc>
          <w:tcPr>
            <w:tcW w:w="1241" w:type="dxa"/>
            <w:vAlign w:val="center"/>
          </w:tcPr>
          <w:p>
            <w:pPr>
              <w:pStyle w:val="58"/>
              <w:rPr>
                <w:highlight w:val="none"/>
              </w:rPr>
            </w:pPr>
            <w:r>
              <w:rPr>
                <w:rFonts w:hint="eastAsia"/>
                <w:highlight w:val="none"/>
              </w:rPr>
              <w:t>560</w:t>
            </w:r>
          </w:p>
        </w:tc>
        <w:tc>
          <w:tcPr>
            <w:tcW w:w="1398" w:type="dxa"/>
            <w:vAlign w:val="center"/>
          </w:tcPr>
          <w:p>
            <w:pPr>
              <w:pStyle w:val="58"/>
              <w:rPr>
                <w:highlight w:val="none"/>
              </w:rPr>
            </w:pPr>
            <w:r>
              <w:rPr>
                <w:rFonts w:hint="eastAsia"/>
                <w:highlight w:val="none"/>
              </w:rPr>
              <w:t>560</w:t>
            </w:r>
          </w:p>
        </w:tc>
        <w:tc>
          <w:tcPr>
            <w:tcW w:w="1392" w:type="dxa"/>
            <w:vAlign w:val="center"/>
          </w:tcPr>
          <w:p>
            <w:pPr>
              <w:pStyle w:val="58"/>
              <w:rPr>
                <w:highlight w:val="none"/>
              </w:rPr>
            </w:pPr>
            <w:r>
              <w:rPr>
                <w:rFonts w:hint="eastAsia"/>
                <w:highlight w:val="none"/>
              </w:rPr>
              <w:t>560</w:t>
            </w:r>
          </w:p>
        </w:tc>
        <w:tc>
          <w:tcPr>
            <w:tcW w:w="1314" w:type="dxa"/>
            <w:vAlign w:val="center"/>
          </w:tcPr>
          <w:p>
            <w:pPr>
              <w:pStyle w:val="58"/>
              <w:rPr>
                <w:highlight w:val="none"/>
              </w:rPr>
            </w:pPr>
            <w:r>
              <w:rPr>
                <w:rFonts w:hint="eastAsia"/>
                <w:highlight w:val="none"/>
              </w:rPr>
              <w:t>560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29</w:t>
            </w:r>
          </w:p>
        </w:tc>
        <w:tc>
          <w:tcPr>
            <w:tcW w:w="1698" w:type="dxa"/>
            <w:vAlign w:val="center"/>
          </w:tcPr>
          <w:p>
            <w:pPr>
              <w:pStyle w:val="58"/>
              <w:rPr>
                <w:highlight w:val="none"/>
              </w:rPr>
            </w:pPr>
            <w:r>
              <w:rPr>
                <w:rFonts w:hint="eastAsia"/>
                <w:highlight w:val="none"/>
              </w:rPr>
              <w:t>1,4-二氯苯</w:t>
            </w:r>
          </w:p>
        </w:tc>
        <w:tc>
          <w:tcPr>
            <w:tcW w:w="1237" w:type="dxa"/>
            <w:vAlign w:val="center"/>
          </w:tcPr>
          <w:p>
            <w:pPr>
              <w:pStyle w:val="58"/>
              <w:rPr>
                <w:highlight w:val="none"/>
              </w:rPr>
            </w:pPr>
            <w:r>
              <w:rPr>
                <w:rFonts w:hint="eastAsia"/>
                <w:highlight w:val="none"/>
              </w:rPr>
              <w:t>106-46-7</w:t>
            </w:r>
          </w:p>
        </w:tc>
        <w:tc>
          <w:tcPr>
            <w:tcW w:w="1241" w:type="dxa"/>
            <w:vAlign w:val="center"/>
          </w:tcPr>
          <w:p>
            <w:pPr>
              <w:pStyle w:val="58"/>
              <w:rPr>
                <w:highlight w:val="none"/>
              </w:rPr>
            </w:pPr>
            <w:r>
              <w:rPr>
                <w:rFonts w:hint="eastAsia"/>
                <w:highlight w:val="none"/>
              </w:rPr>
              <w:t>5.6</w:t>
            </w:r>
          </w:p>
        </w:tc>
        <w:tc>
          <w:tcPr>
            <w:tcW w:w="1398" w:type="dxa"/>
            <w:vAlign w:val="center"/>
          </w:tcPr>
          <w:p>
            <w:pPr>
              <w:pStyle w:val="58"/>
              <w:rPr>
                <w:highlight w:val="none"/>
              </w:rPr>
            </w:pPr>
            <w:r>
              <w:rPr>
                <w:rFonts w:hint="eastAsia"/>
                <w:highlight w:val="none"/>
              </w:rPr>
              <w:t>20</w:t>
            </w:r>
          </w:p>
        </w:tc>
        <w:tc>
          <w:tcPr>
            <w:tcW w:w="1392" w:type="dxa"/>
            <w:vAlign w:val="center"/>
          </w:tcPr>
          <w:p>
            <w:pPr>
              <w:pStyle w:val="58"/>
              <w:rPr>
                <w:highlight w:val="none"/>
              </w:rPr>
            </w:pPr>
            <w:r>
              <w:rPr>
                <w:rFonts w:hint="eastAsia"/>
                <w:highlight w:val="none"/>
              </w:rPr>
              <w:t>56</w:t>
            </w:r>
          </w:p>
        </w:tc>
        <w:tc>
          <w:tcPr>
            <w:tcW w:w="1314" w:type="dxa"/>
            <w:vAlign w:val="center"/>
          </w:tcPr>
          <w:p>
            <w:pPr>
              <w:pStyle w:val="58"/>
              <w:rPr>
                <w:highlight w:val="none"/>
              </w:rPr>
            </w:pPr>
            <w:r>
              <w:rPr>
                <w:rFonts w:hint="eastAsia"/>
                <w:highlight w:val="none"/>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30</w:t>
            </w:r>
          </w:p>
        </w:tc>
        <w:tc>
          <w:tcPr>
            <w:tcW w:w="1698" w:type="dxa"/>
            <w:vAlign w:val="center"/>
          </w:tcPr>
          <w:p>
            <w:pPr>
              <w:pStyle w:val="58"/>
              <w:rPr>
                <w:highlight w:val="none"/>
              </w:rPr>
            </w:pPr>
            <w:r>
              <w:rPr>
                <w:rFonts w:hint="eastAsia"/>
                <w:highlight w:val="none"/>
              </w:rPr>
              <w:t>乙苯</w:t>
            </w:r>
          </w:p>
        </w:tc>
        <w:tc>
          <w:tcPr>
            <w:tcW w:w="1237" w:type="dxa"/>
            <w:vAlign w:val="center"/>
          </w:tcPr>
          <w:p>
            <w:pPr>
              <w:pStyle w:val="58"/>
              <w:rPr>
                <w:highlight w:val="none"/>
              </w:rPr>
            </w:pPr>
            <w:r>
              <w:rPr>
                <w:rFonts w:hint="eastAsia"/>
                <w:highlight w:val="none"/>
              </w:rPr>
              <w:t>100-41-4</w:t>
            </w:r>
          </w:p>
        </w:tc>
        <w:tc>
          <w:tcPr>
            <w:tcW w:w="1241" w:type="dxa"/>
            <w:vAlign w:val="center"/>
          </w:tcPr>
          <w:p>
            <w:pPr>
              <w:pStyle w:val="58"/>
              <w:rPr>
                <w:highlight w:val="none"/>
              </w:rPr>
            </w:pPr>
            <w:r>
              <w:rPr>
                <w:rFonts w:hint="eastAsia"/>
                <w:highlight w:val="none"/>
              </w:rPr>
              <w:t>7.2</w:t>
            </w:r>
          </w:p>
        </w:tc>
        <w:tc>
          <w:tcPr>
            <w:tcW w:w="1398" w:type="dxa"/>
            <w:vAlign w:val="center"/>
          </w:tcPr>
          <w:p>
            <w:pPr>
              <w:pStyle w:val="58"/>
              <w:rPr>
                <w:highlight w:val="none"/>
              </w:rPr>
            </w:pPr>
            <w:r>
              <w:rPr>
                <w:rFonts w:hint="eastAsia"/>
                <w:highlight w:val="none"/>
              </w:rPr>
              <w:t>28</w:t>
            </w:r>
          </w:p>
        </w:tc>
        <w:tc>
          <w:tcPr>
            <w:tcW w:w="1392" w:type="dxa"/>
            <w:vAlign w:val="center"/>
          </w:tcPr>
          <w:p>
            <w:pPr>
              <w:pStyle w:val="58"/>
              <w:rPr>
                <w:highlight w:val="none"/>
              </w:rPr>
            </w:pPr>
            <w:r>
              <w:rPr>
                <w:rFonts w:hint="eastAsia"/>
                <w:highlight w:val="none"/>
              </w:rPr>
              <w:t>72</w:t>
            </w:r>
          </w:p>
        </w:tc>
        <w:tc>
          <w:tcPr>
            <w:tcW w:w="1314" w:type="dxa"/>
            <w:vAlign w:val="center"/>
          </w:tcPr>
          <w:p>
            <w:pPr>
              <w:pStyle w:val="58"/>
              <w:rPr>
                <w:highlight w:val="none"/>
              </w:rPr>
            </w:pPr>
            <w:r>
              <w:rPr>
                <w:rFonts w:hint="eastAsia"/>
                <w:highlight w:val="none"/>
              </w:rPr>
              <w:t>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31</w:t>
            </w:r>
          </w:p>
        </w:tc>
        <w:tc>
          <w:tcPr>
            <w:tcW w:w="1698" w:type="dxa"/>
            <w:vAlign w:val="center"/>
          </w:tcPr>
          <w:p>
            <w:pPr>
              <w:pStyle w:val="58"/>
              <w:rPr>
                <w:highlight w:val="none"/>
              </w:rPr>
            </w:pPr>
            <w:r>
              <w:rPr>
                <w:rFonts w:hint="eastAsia"/>
                <w:highlight w:val="none"/>
              </w:rPr>
              <w:t>苯乙烯</w:t>
            </w:r>
          </w:p>
        </w:tc>
        <w:tc>
          <w:tcPr>
            <w:tcW w:w="1237" w:type="dxa"/>
            <w:vAlign w:val="center"/>
          </w:tcPr>
          <w:p>
            <w:pPr>
              <w:pStyle w:val="58"/>
              <w:rPr>
                <w:highlight w:val="none"/>
              </w:rPr>
            </w:pPr>
            <w:r>
              <w:rPr>
                <w:rFonts w:hint="eastAsia"/>
                <w:highlight w:val="none"/>
              </w:rPr>
              <w:t>100-42-5</w:t>
            </w:r>
          </w:p>
        </w:tc>
        <w:tc>
          <w:tcPr>
            <w:tcW w:w="1241" w:type="dxa"/>
            <w:vAlign w:val="center"/>
          </w:tcPr>
          <w:p>
            <w:pPr>
              <w:pStyle w:val="58"/>
              <w:rPr>
                <w:highlight w:val="none"/>
              </w:rPr>
            </w:pPr>
            <w:r>
              <w:rPr>
                <w:rFonts w:hint="eastAsia"/>
                <w:highlight w:val="none"/>
              </w:rPr>
              <w:t>1290</w:t>
            </w:r>
          </w:p>
        </w:tc>
        <w:tc>
          <w:tcPr>
            <w:tcW w:w="1398" w:type="dxa"/>
            <w:vAlign w:val="center"/>
          </w:tcPr>
          <w:p>
            <w:pPr>
              <w:pStyle w:val="58"/>
              <w:rPr>
                <w:highlight w:val="none"/>
              </w:rPr>
            </w:pPr>
            <w:r>
              <w:rPr>
                <w:rFonts w:hint="eastAsia"/>
                <w:highlight w:val="none"/>
              </w:rPr>
              <w:t>1290</w:t>
            </w:r>
          </w:p>
        </w:tc>
        <w:tc>
          <w:tcPr>
            <w:tcW w:w="1392" w:type="dxa"/>
            <w:vAlign w:val="center"/>
          </w:tcPr>
          <w:p>
            <w:pPr>
              <w:pStyle w:val="58"/>
              <w:rPr>
                <w:highlight w:val="none"/>
              </w:rPr>
            </w:pPr>
            <w:r>
              <w:rPr>
                <w:rFonts w:hint="eastAsia"/>
                <w:highlight w:val="none"/>
              </w:rPr>
              <w:t>1290</w:t>
            </w:r>
          </w:p>
        </w:tc>
        <w:tc>
          <w:tcPr>
            <w:tcW w:w="1314" w:type="dxa"/>
            <w:vAlign w:val="center"/>
          </w:tcPr>
          <w:p>
            <w:pPr>
              <w:pStyle w:val="58"/>
              <w:rPr>
                <w:highlight w:val="none"/>
              </w:rPr>
            </w:pPr>
            <w:r>
              <w:rPr>
                <w:rFonts w:hint="eastAsia"/>
                <w:highlight w:val="none"/>
              </w:rPr>
              <w:t>1290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32</w:t>
            </w:r>
          </w:p>
        </w:tc>
        <w:tc>
          <w:tcPr>
            <w:tcW w:w="1698" w:type="dxa"/>
            <w:vAlign w:val="center"/>
          </w:tcPr>
          <w:p>
            <w:pPr>
              <w:pStyle w:val="58"/>
              <w:rPr>
                <w:highlight w:val="none"/>
              </w:rPr>
            </w:pPr>
            <w:r>
              <w:rPr>
                <w:rFonts w:hint="eastAsia"/>
                <w:highlight w:val="none"/>
              </w:rPr>
              <w:t>甲苯</w:t>
            </w:r>
          </w:p>
        </w:tc>
        <w:tc>
          <w:tcPr>
            <w:tcW w:w="1237" w:type="dxa"/>
            <w:vAlign w:val="center"/>
          </w:tcPr>
          <w:p>
            <w:pPr>
              <w:pStyle w:val="58"/>
              <w:rPr>
                <w:highlight w:val="none"/>
              </w:rPr>
            </w:pPr>
            <w:r>
              <w:rPr>
                <w:rFonts w:hint="eastAsia"/>
                <w:highlight w:val="none"/>
              </w:rPr>
              <w:t>108-88-3</w:t>
            </w:r>
          </w:p>
        </w:tc>
        <w:tc>
          <w:tcPr>
            <w:tcW w:w="1241" w:type="dxa"/>
            <w:vAlign w:val="center"/>
          </w:tcPr>
          <w:p>
            <w:pPr>
              <w:pStyle w:val="58"/>
              <w:rPr>
                <w:highlight w:val="none"/>
              </w:rPr>
            </w:pPr>
            <w:r>
              <w:rPr>
                <w:rFonts w:hint="eastAsia"/>
                <w:highlight w:val="none"/>
              </w:rPr>
              <w:t>1200</w:t>
            </w:r>
          </w:p>
        </w:tc>
        <w:tc>
          <w:tcPr>
            <w:tcW w:w="1398" w:type="dxa"/>
            <w:vAlign w:val="center"/>
          </w:tcPr>
          <w:p>
            <w:pPr>
              <w:pStyle w:val="58"/>
              <w:rPr>
                <w:highlight w:val="none"/>
              </w:rPr>
            </w:pPr>
            <w:r>
              <w:rPr>
                <w:rFonts w:hint="eastAsia"/>
                <w:highlight w:val="none"/>
              </w:rPr>
              <w:t>1200</w:t>
            </w:r>
          </w:p>
        </w:tc>
        <w:tc>
          <w:tcPr>
            <w:tcW w:w="1392" w:type="dxa"/>
            <w:vAlign w:val="center"/>
          </w:tcPr>
          <w:p>
            <w:pPr>
              <w:pStyle w:val="58"/>
              <w:rPr>
                <w:highlight w:val="none"/>
              </w:rPr>
            </w:pPr>
            <w:r>
              <w:rPr>
                <w:rFonts w:hint="eastAsia"/>
                <w:highlight w:val="none"/>
              </w:rPr>
              <w:t>1200</w:t>
            </w:r>
          </w:p>
        </w:tc>
        <w:tc>
          <w:tcPr>
            <w:tcW w:w="1314" w:type="dxa"/>
            <w:vAlign w:val="center"/>
          </w:tcPr>
          <w:p>
            <w:pPr>
              <w:pStyle w:val="58"/>
              <w:rPr>
                <w:highlight w:val="none"/>
              </w:rPr>
            </w:pPr>
            <w:r>
              <w:rPr>
                <w:rFonts w:hint="eastAsia"/>
                <w:highlight w:val="none"/>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33</w:t>
            </w:r>
          </w:p>
        </w:tc>
        <w:tc>
          <w:tcPr>
            <w:tcW w:w="1698" w:type="dxa"/>
            <w:vAlign w:val="center"/>
          </w:tcPr>
          <w:p>
            <w:pPr>
              <w:pStyle w:val="58"/>
              <w:rPr>
                <w:highlight w:val="none"/>
              </w:rPr>
            </w:pPr>
            <w:r>
              <w:rPr>
                <w:rFonts w:hint="eastAsia"/>
                <w:highlight w:val="none"/>
              </w:rPr>
              <w:t>间二甲苯+对二甲苯</w:t>
            </w:r>
          </w:p>
        </w:tc>
        <w:tc>
          <w:tcPr>
            <w:tcW w:w="1237" w:type="dxa"/>
            <w:vAlign w:val="center"/>
          </w:tcPr>
          <w:p>
            <w:pPr>
              <w:pStyle w:val="58"/>
              <w:rPr>
                <w:highlight w:val="none"/>
              </w:rPr>
            </w:pPr>
            <w:r>
              <w:rPr>
                <w:rFonts w:hint="eastAsia"/>
                <w:highlight w:val="none"/>
              </w:rPr>
              <w:t>108-38-3，106-42-3</w:t>
            </w:r>
          </w:p>
        </w:tc>
        <w:tc>
          <w:tcPr>
            <w:tcW w:w="1241" w:type="dxa"/>
            <w:vAlign w:val="center"/>
          </w:tcPr>
          <w:p>
            <w:pPr>
              <w:pStyle w:val="58"/>
              <w:rPr>
                <w:highlight w:val="none"/>
              </w:rPr>
            </w:pPr>
            <w:r>
              <w:rPr>
                <w:rFonts w:hint="eastAsia"/>
                <w:highlight w:val="none"/>
              </w:rPr>
              <w:t>163</w:t>
            </w:r>
          </w:p>
        </w:tc>
        <w:tc>
          <w:tcPr>
            <w:tcW w:w="1398" w:type="dxa"/>
            <w:vAlign w:val="center"/>
          </w:tcPr>
          <w:p>
            <w:pPr>
              <w:pStyle w:val="58"/>
              <w:rPr>
                <w:highlight w:val="none"/>
              </w:rPr>
            </w:pPr>
            <w:r>
              <w:rPr>
                <w:rFonts w:hint="eastAsia"/>
                <w:highlight w:val="none"/>
              </w:rPr>
              <w:t>570</w:t>
            </w:r>
          </w:p>
        </w:tc>
        <w:tc>
          <w:tcPr>
            <w:tcW w:w="1392" w:type="dxa"/>
            <w:vAlign w:val="center"/>
          </w:tcPr>
          <w:p>
            <w:pPr>
              <w:pStyle w:val="58"/>
              <w:rPr>
                <w:highlight w:val="none"/>
              </w:rPr>
            </w:pPr>
            <w:r>
              <w:rPr>
                <w:rFonts w:hint="eastAsia"/>
                <w:highlight w:val="none"/>
              </w:rPr>
              <w:t>500</w:t>
            </w:r>
          </w:p>
        </w:tc>
        <w:tc>
          <w:tcPr>
            <w:tcW w:w="1314" w:type="dxa"/>
            <w:vAlign w:val="center"/>
          </w:tcPr>
          <w:p>
            <w:pPr>
              <w:pStyle w:val="58"/>
              <w:rPr>
                <w:highlight w:val="none"/>
              </w:rPr>
            </w:pPr>
            <w:r>
              <w:rPr>
                <w:rFonts w:hint="eastAsia"/>
                <w:highlight w:val="none"/>
              </w:rPr>
              <w:t>570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34</w:t>
            </w:r>
          </w:p>
        </w:tc>
        <w:tc>
          <w:tcPr>
            <w:tcW w:w="1698" w:type="dxa"/>
            <w:vAlign w:val="center"/>
          </w:tcPr>
          <w:p>
            <w:pPr>
              <w:pStyle w:val="58"/>
              <w:rPr>
                <w:highlight w:val="none"/>
              </w:rPr>
            </w:pPr>
            <w:r>
              <w:rPr>
                <w:rFonts w:hint="eastAsia"/>
                <w:highlight w:val="none"/>
              </w:rPr>
              <w:t>邻二甲苯</w:t>
            </w:r>
          </w:p>
        </w:tc>
        <w:tc>
          <w:tcPr>
            <w:tcW w:w="1237" w:type="dxa"/>
            <w:vAlign w:val="center"/>
          </w:tcPr>
          <w:p>
            <w:pPr>
              <w:pStyle w:val="58"/>
              <w:rPr>
                <w:highlight w:val="none"/>
              </w:rPr>
            </w:pPr>
            <w:r>
              <w:rPr>
                <w:rFonts w:hint="eastAsia"/>
                <w:highlight w:val="none"/>
              </w:rPr>
              <w:t>95-47-6</w:t>
            </w:r>
          </w:p>
        </w:tc>
        <w:tc>
          <w:tcPr>
            <w:tcW w:w="1241" w:type="dxa"/>
            <w:vAlign w:val="center"/>
          </w:tcPr>
          <w:p>
            <w:pPr>
              <w:pStyle w:val="58"/>
              <w:rPr>
                <w:highlight w:val="none"/>
              </w:rPr>
            </w:pPr>
            <w:r>
              <w:rPr>
                <w:rFonts w:hint="eastAsia"/>
                <w:highlight w:val="none"/>
              </w:rPr>
              <w:t>222</w:t>
            </w:r>
          </w:p>
        </w:tc>
        <w:tc>
          <w:tcPr>
            <w:tcW w:w="1398" w:type="dxa"/>
            <w:vAlign w:val="center"/>
          </w:tcPr>
          <w:p>
            <w:pPr>
              <w:pStyle w:val="58"/>
              <w:rPr>
                <w:highlight w:val="none"/>
              </w:rPr>
            </w:pPr>
            <w:r>
              <w:rPr>
                <w:rFonts w:hint="eastAsia"/>
                <w:highlight w:val="none"/>
              </w:rPr>
              <w:t>640</w:t>
            </w:r>
          </w:p>
        </w:tc>
        <w:tc>
          <w:tcPr>
            <w:tcW w:w="1392" w:type="dxa"/>
            <w:vAlign w:val="center"/>
          </w:tcPr>
          <w:p>
            <w:pPr>
              <w:pStyle w:val="58"/>
              <w:rPr>
                <w:highlight w:val="none"/>
              </w:rPr>
            </w:pPr>
            <w:r>
              <w:rPr>
                <w:rFonts w:hint="eastAsia"/>
                <w:highlight w:val="none"/>
              </w:rPr>
              <w:t>640</w:t>
            </w:r>
          </w:p>
        </w:tc>
        <w:tc>
          <w:tcPr>
            <w:tcW w:w="1314" w:type="dxa"/>
            <w:vAlign w:val="center"/>
          </w:tcPr>
          <w:p>
            <w:pPr>
              <w:pStyle w:val="58"/>
              <w:rPr>
                <w:highlight w:val="none"/>
              </w:rPr>
            </w:pPr>
            <w:r>
              <w:rPr>
                <w:rFonts w:hint="eastAsia"/>
                <w:highlight w:val="none"/>
              </w:rPr>
              <w:t>640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9040" w:type="dxa"/>
            <w:gridSpan w:val="7"/>
            <w:vAlign w:val="center"/>
          </w:tcPr>
          <w:p>
            <w:pPr>
              <w:pStyle w:val="58"/>
              <w:rPr>
                <w:highlight w:val="none"/>
              </w:rPr>
            </w:pPr>
            <w:r>
              <w:rPr>
                <w:rFonts w:hint="eastAsia"/>
                <w:highlight w:val="none"/>
              </w:rPr>
              <w:t>半挥发性有机物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35</w:t>
            </w:r>
          </w:p>
        </w:tc>
        <w:tc>
          <w:tcPr>
            <w:tcW w:w="1698" w:type="dxa"/>
            <w:vAlign w:val="center"/>
          </w:tcPr>
          <w:p>
            <w:pPr>
              <w:pStyle w:val="58"/>
              <w:rPr>
                <w:highlight w:val="none"/>
              </w:rPr>
            </w:pPr>
            <w:r>
              <w:rPr>
                <w:rFonts w:hint="eastAsia"/>
                <w:highlight w:val="none"/>
              </w:rPr>
              <w:t>硝基苯</w:t>
            </w:r>
          </w:p>
        </w:tc>
        <w:tc>
          <w:tcPr>
            <w:tcW w:w="1237" w:type="dxa"/>
            <w:vAlign w:val="center"/>
          </w:tcPr>
          <w:p>
            <w:pPr>
              <w:pStyle w:val="58"/>
              <w:rPr>
                <w:highlight w:val="none"/>
              </w:rPr>
            </w:pPr>
            <w:r>
              <w:rPr>
                <w:rFonts w:hint="eastAsia"/>
                <w:highlight w:val="none"/>
              </w:rPr>
              <w:t>98-95-3</w:t>
            </w:r>
          </w:p>
        </w:tc>
        <w:tc>
          <w:tcPr>
            <w:tcW w:w="1241" w:type="dxa"/>
            <w:vAlign w:val="center"/>
          </w:tcPr>
          <w:p>
            <w:pPr>
              <w:pStyle w:val="58"/>
              <w:rPr>
                <w:highlight w:val="none"/>
              </w:rPr>
            </w:pPr>
            <w:r>
              <w:rPr>
                <w:rFonts w:hint="eastAsia"/>
                <w:highlight w:val="none"/>
              </w:rPr>
              <w:t>34</w:t>
            </w:r>
          </w:p>
        </w:tc>
        <w:tc>
          <w:tcPr>
            <w:tcW w:w="1398" w:type="dxa"/>
            <w:vAlign w:val="center"/>
          </w:tcPr>
          <w:p>
            <w:pPr>
              <w:pStyle w:val="58"/>
              <w:rPr>
                <w:highlight w:val="none"/>
              </w:rPr>
            </w:pPr>
            <w:r>
              <w:rPr>
                <w:rFonts w:hint="eastAsia"/>
                <w:highlight w:val="none"/>
              </w:rPr>
              <w:t>76</w:t>
            </w:r>
          </w:p>
        </w:tc>
        <w:tc>
          <w:tcPr>
            <w:tcW w:w="1392" w:type="dxa"/>
            <w:vAlign w:val="center"/>
          </w:tcPr>
          <w:p>
            <w:pPr>
              <w:pStyle w:val="58"/>
              <w:rPr>
                <w:highlight w:val="none"/>
              </w:rPr>
            </w:pPr>
            <w:r>
              <w:rPr>
                <w:rFonts w:hint="eastAsia"/>
                <w:highlight w:val="none"/>
              </w:rPr>
              <w:t>190</w:t>
            </w:r>
          </w:p>
        </w:tc>
        <w:tc>
          <w:tcPr>
            <w:tcW w:w="1314" w:type="dxa"/>
            <w:vAlign w:val="center"/>
          </w:tcPr>
          <w:p>
            <w:pPr>
              <w:pStyle w:val="58"/>
              <w:rPr>
                <w:highlight w:val="none"/>
              </w:rPr>
            </w:pPr>
            <w:r>
              <w:rPr>
                <w:rFonts w:hint="eastAsia"/>
                <w:highlight w:val="none"/>
              </w:rPr>
              <w:t>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36</w:t>
            </w:r>
          </w:p>
        </w:tc>
        <w:tc>
          <w:tcPr>
            <w:tcW w:w="1698" w:type="dxa"/>
            <w:vAlign w:val="center"/>
          </w:tcPr>
          <w:p>
            <w:pPr>
              <w:pStyle w:val="58"/>
              <w:rPr>
                <w:highlight w:val="none"/>
              </w:rPr>
            </w:pPr>
            <w:r>
              <w:rPr>
                <w:rFonts w:hint="eastAsia"/>
                <w:highlight w:val="none"/>
              </w:rPr>
              <w:t>苯胺</w:t>
            </w:r>
          </w:p>
        </w:tc>
        <w:tc>
          <w:tcPr>
            <w:tcW w:w="1237" w:type="dxa"/>
            <w:vAlign w:val="center"/>
          </w:tcPr>
          <w:p>
            <w:pPr>
              <w:pStyle w:val="58"/>
              <w:rPr>
                <w:highlight w:val="none"/>
              </w:rPr>
            </w:pPr>
            <w:r>
              <w:rPr>
                <w:rFonts w:hint="eastAsia"/>
                <w:highlight w:val="none"/>
              </w:rPr>
              <w:t>62-53-3</w:t>
            </w:r>
          </w:p>
        </w:tc>
        <w:tc>
          <w:tcPr>
            <w:tcW w:w="1241" w:type="dxa"/>
            <w:vAlign w:val="center"/>
          </w:tcPr>
          <w:p>
            <w:pPr>
              <w:pStyle w:val="58"/>
              <w:rPr>
                <w:highlight w:val="none"/>
              </w:rPr>
            </w:pPr>
            <w:r>
              <w:rPr>
                <w:rFonts w:hint="eastAsia"/>
                <w:highlight w:val="none"/>
              </w:rPr>
              <w:t>92</w:t>
            </w:r>
          </w:p>
        </w:tc>
        <w:tc>
          <w:tcPr>
            <w:tcW w:w="1398" w:type="dxa"/>
            <w:vAlign w:val="center"/>
          </w:tcPr>
          <w:p>
            <w:pPr>
              <w:pStyle w:val="58"/>
              <w:rPr>
                <w:highlight w:val="none"/>
              </w:rPr>
            </w:pPr>
            <w:r>
              <w:rPr>
                <w:rFonts w:hint="eastAsia"/>
                <w:highlight w:val="none"/>
              </w:rPr>
              <w:t>260</w:t>
            </w:r>
          </w:p>
        </w:tc>
        <w:tc>
          <w:tcPr>
            <w:tcW w:w="1392" w:type="dxa"/>
            <w:vAlign w:val="center"/>
          </w:tcPr>
          <w:p>
            <w:pPr>
              <w:pStyle w:val="58"/>
              <w:rPr>
                <w:highlight w:val="none"/>
              </w:rPr>
            </w:pPr>
            <w:r>
              <w:rPr>
                <w:rFonts w:hint="eastAsia"/>
                <w:highlight w:val="none"/>
              </w:rPr>
              <w:t>211</w:t>
            </w:r>
          </w:p>
        </w:tc>
        <w:tc>
          <w:tcPr>
            <w:tcW w:w="1314" w:type="dxa"/>
            <w:vAlign w:val="center"/>
          </w:tcPr>
          <w:p>
            <w:pPr>
              <w:pStyle w:val="58"/>
              <w:rPr>
                <w:highlight w:val="none"/>
              </w:rPr>
            </w:pPr>
            <w:r>
              <w:rPr>
                <w:rFonts w:hint="eastAsia"/>
                <w:highlight w:val="none"/>
              </w:rPr>
              <w:t>663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37</w:t>
            </w:r>
          </w:p>
        </w:tc>
        <w:tc>
          <w:tcPr>
            <w:tcW w:w="1698" w:type="dxa"/>
            <w:vAlign w:val="center"/>
          </w:tcPr>
          <w:p>
            <w:pPr>
              <w:pStyle w:val="58"/>
              <w:rPr>
                <w:highlight w:val="none"/>
              </w:rPr>
            </w:pPr>
            <w:r>
              <w:rPr>
                <w:rFonts w:hint="eastAsia"/>
                <w:highlight w:val="none"/>
              </w:rPr>
              <w:t>2-氯酚</w:t>
            </w:r>
          </w:p>
        </w:tc>
        <w:tc>
          <w:tcPr>
            <w:tcW w:w="1237" w:type="dxa"/>
            <w:vAlign w:val="center"/>
          </w:tcPr>
          <w:p>
            <w:pPr>
              <w:pStyle w:val="58"/>
              <w:rPr>
                <w:highlight w:val="none"/>
              </w:rPr>
            </w:pPr>
            <w:r>
              <w:rPr>
                <w:rFonts w:hint="eastAsia"/>
                <w:highlight w:val="none"/>
              </w:rPr>
              <w:t>95-57-8</w:t>
            </w:r>
          </w:p>
        </w:tc>
        <w:tc>
          <w:tcPr>
            <w:tcW w:w="1241" w:type="dxa"/>
            <w:vAlign w:val="center"/>
          </w:tcPr>
          <w:p>
            <w:pPr>
              <w:pStyle w:val="58"/>
              <w:rPr>
                <w:highlight w:val="none"/>
              </w:rPr>
            </w:pPr>
            <w:r>
              <w:rPr>
                <w:rFonts w:hint="eastAsia"/>
                <w:highlight w:val="none"/>
              </w:rPr>
              <w:t>250</w:t>
            </w:r>
          </w:p>
        </w:tc>
        <w:tc>
          <w:tcPr>
            <w:tcW w:w="1398" w:type="dxa"/>
            <w:vAlign w:val="center"/>
          </w:tcPr>
          <w:p>
            <w:pPr>
              <w:pStyle w:val="58"/>
              <w:rPr>
                <w:highlight w:val="none"/>
              </w:rPr>
            </w:pPr>
            <w:r>
              <w:rPr>
                <w:rFonts w:hint="eastAsia"/>
                <w:highlight w:val="none"/>
              </w:rPr>
              <w:t>2256</w:t>
            </w:r>
          </w:p>
        </w:tc>
        <w:tc>
          <w:tcPr>
            <w:tcW w:w="1392" w:type="dxa"/>
            <w:vAlign w:val="center"/>
          </w:tcPr>
          <w:p>
            <w:pPr>
              <w:pStyle w:val="58"/>
              <w:rPr>
                <w:highlight w:val="none"/>
              </w:rPr>
            </w:pPr>
            <w:r>
              <w:rPr>
                <w:rFonts w:hint="eastAsia"/>
                <w:highlight w:val="none"/>
              </w:rPr>
              <w:t>500</w:t>
            </w:r>
          </w:p>
        </w:tc>
        <w:tc>
          <w:tcPr>
            <w:tcW w:w="1314" w:type="dxa"/>
            <w:vAlign w:val="center"/>
          </w:tcPr>
          <w:p>
            <w:pPr>
              <w:pStyle w:val="58"/>
              <w:rPr>
                <w:highlight w:val="none"/>
              </w:rPr>
            </w:pPr>
            <w:r>
              <w:rPr>
                <w:rFonts w:hint="eastAsia"/>
                <w:highlight w:val="none"/>
              </w:rPr>
              <w:t>4500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38</w:t>
            </w:r>
          </w:p>
        </w:tc>
        <w:tc>
          <w:tcPr>
            <w:tcW w:w="1698" w:type="dxa"/>
            <w:vAlign w:val="center"/>
          </w:tcPr>
          <w:p>
            <w:pPr>
              <w:pStyle w:val="58"/>
              <w:rPr>
                <w:highlight w:val="none"/>
              </w:rPr>
            </w:pPr>
            <w:r>
              <w:rPr>
                <w:rFonts w:hint="eastAsia"/>
                <w:highlight w:val="none"/>
              </w:rPr>
              <w:t>苯并[a]蒽</w:t>
            </w:r>
          </w:p>
        </w:tc>
        <w:tc>
          <w:tcPr>
            <w:tcW w:w="1237" w:type="dxa"/>
            <w:vAlign w:val="center"/>
          </w:tcPr>
          <w:p>
            <w:pPr>
              <w:pStyle w:val="58"/>
              <w:rPr>
                <w:highlight w:val="none"/>
              </w:rPr>
            </w:pPr>
            <w:r>
              <w:rPr>
                <w:rFonts w:hint="eastAsia"/>
                <w:highlight w:val="none"/>
              </w:rPr>
              <w:t>56-55-3</w:t>
            </w:r>
          </w:p>
        </w:tc>
        <w:tc>
          <w:tcPr>
            <w:tcW w:w="1241" w:type="dxa"/>
            <w:vAlign w:val="center"/>
          </w:tcPr>
          <w:p>
            <w:pPr>
              <w:pStyle w:val="58"/>
              <w:rPr>
                <w:highlight w:val="none"/>
              </w:rPr>
            </w:pPr>
            <w:r>
              <w:rPr>
                <w:rFonts w:hint="eastAsia"/>
                <w:highlight w:val="none"/>
              </w:rPr>
              <w:t>5.5</w:t>
            </w:r>
          </w:p>
        </w:tc>
        <w:tc>
          <w:tcPr>
            <w:tcW w:w="1398" w:type="dxa"/>
            <w:vAlign w:val="center"/>
          </w:tcPr>
          <w:p>
            <w:pPr>
              <w:pStyle w:val="58"/>
              <w:rPr>
                <w:highlight w:val="none"/>
              </w:rPr>
            </w:pPr>
            <w:r>
              <w:rPr>
                <w:rFonts w:hint="eastAsia"/>
                <w:highlight w:val="none"/>
              </w:rPr>
              <w:t>15</w:t>
            </w:r>
          </w:p>
        </w:tc>
        <w:tc>
          <w:tcPr>
            <w:tcW w:w="1392" w:type="dxa"/>
            <w:vAlign w:val="center"/>
          </w:tcPr>
          <w:p>
            <w:pPr>
              <w:pStyle w:val="58"/>
              <w:rPr>
                <w:highlight w:val="none"/>
              </w:rPr>
            </w:pPr>
            <w:r>
              <w:rPr>
                <w:rFonts w:hint="eastAsia"/>
                <w:highlight w:val="none"/>
              </w:rPr>
              <w:t>55</w:t>
            </w:r>
          </w:p>
        </w:tc>
        <w:tc>
          <w:tcPr>
            <w:tcW w:w="1314" w:type="dxa"/>
            <w:vAlign w:val="center"/>
          </w:tcPr>
          <w:p>
            <w:pPr>
              <w:pStyle w:val="58"/>
              <w:rPr>
                <w:highlight w:val="none"/>
              </w:rPr>
            </w:pPr>
            <w:r>
              <w:rPr>
                <w:rFonts w:hint="eastAsia"/>
                <w:highlight w:val="none"/>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39</w:t>
            </w:r>
          </w:p>
        </w:tc>
        <w:tc>
          <w:tcPr>
            <w:tcW w:w="1698" w:type="dxa"/>
            <w:vAlign w:val="center"/>
          </w:tcPr>
          <w:p>
            <w:pPr>
              <w:pStyle w:val="58"/>
              <w:rPr>
                <w:highlight w:val="none"/>
              </w:rPr>
            </w:pPr>
            <w:r>
              <w:rPr>
                <w:rFonts w:hint="eastAsia"/>
                <w:highlight w:val="none"/>
              </w:rPr>
              <w:t>苯并[a]芘</w:t>
            </w:r>
          </w:p>
        </w:tc>
        <w:tc>
          <w:tcPr>
            <w:tcW w:w="1237" w:type="dxa"/>
            <w:vAlign w:val="center"/>
          </w:tcPr>
          <w:p>
            <w:pPr>
              <w:pStyle w:val="58"/>
              <w:rPr>
                <w:highlight w:val="none"/>
              </w:rPr>
            </w:pPr>
            <w:r>
              <w:rPr>
                <w:rFonts w:hint="eastAsia"/>
                <w:highlight w:val="none"/>
              </w:rPr>
              <w:t>50-32-8</w:t>
            </w:r>
          </w:p>
        </w:tc>
        <w:tc>
          <w:tcPr>
            <w:tcW w:w="1241" w:type="dxa"/>
            <w:vAlign w:val="center"/>
          </w:tcPr>
          <w:p>
            <w:pPr>
              <w:pStyle w:val="58"/>
              <w:rPr>
                <w:highlight w:val="none"/>
              </w:rPr>
            </w:pPr>
            <w:r>
              <w:rPr>
                <w:rFonts w:hint="eastAsia"/>
                <w:highlight w:val="none"/>
              </w:rPr>
              <w:t>0.55</w:t>
            </w:r>
          </w:p>
        </w:tc>
        <w:tc>
          <w:tcPr>
            <w:tcW w:w="1398" w:type="dxa"/>
            <w:vAlign w:val="center"/>
          </w:tcPr>
          <w:p>
            <w:pPr>
              <w:pStyle w:val="58"/>
              <w:rPr>
                <w:highlight w:val="none"/>
              </w:rPr>
            </w:pPr>
            <w:r>
              <w:rPr>
                <w:rFonts w:hint="eastAsia"/>
                <w:highlight w:val="none"/>
              </w:rPr>
              <w:t>1.5</w:t>
            </w:r>
          </w:p>
        </w:tc>
        <w:tc>
          <w:tcPr>
            <w:tcW w:w="1392" w:type="dxa"/>
            <w:vAlign w:val="center"/>
          </w:tcPr>
          <w:p>
            <w:pPr>
              <w:pStyle w:val="58"/>
              <w:rPr>
                <w:highlight w:val="none"/>
              </w:rPr>
            </w:pPr>
            <w:r>
              <w:rPr>
                <w:rFonts w:hint="eastAsia"/>
                <w:highlight w:val="none"/>
              </w:rPr>
              <w:t>5.5</w:t>
            </w:r>
          </w:p>
        </w:tc>
        <w:tc>
          <w:tcPr>
            <w:tcW w:w="1314" w:type="dxa"/>
            <w:vAlign w:val="center"/>
          </w:tcPr>
          <w:p>
            <w:pPr>
              <w:pStyle w:val="58"/>
              <w:rPr>
                <w:highlight w:val="none"/>
              </w:rPr>
            </w:pPr>
            <w:r>
              <w:rPr>
                <w:rFonts w:hint="eastAsia"/>
                <w:highlight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40</w:t>
            </w:r>
          </w:p>
        </w:tc>
        <w:tc>
          <w:tcPr>
            <w:tcW w:w="1698" w:type="dxa"/>
            <w:vAlign w:val="center"/>
          </w:tcPr>
          <w:p>
            <w:pPr>
              <w:pStyle w:val="58"/>
              <w:rPr>
                <w:highlight w:val="none"/>
              </w:rPr>
            </w:pPr>
            <w:r>
              <w:rPr>
                <w:rFonts w:hint="eastAsia"/>
                <w:highlight w:val="none"/>
              </w:rPr>
              <w:t>苯并[b]荧蒽</w:t>
            </w:r>
          </w:p>
        </w:tc>
        <w:tc>
          <w:tcPr>
            <w:tcW w:w="1237" w:type="dxa"/>
            <w:vAlign w:val="center"/>
          </w:tcPr>
          <w:p>
            <w:pPr>
              <w:pStyle w:val="58"/>
              <w:rPr>
                <w:highlight w:val="none"/>
              </w:rPr>
            </w:pPr>
            <w:r>
              <w:rPr>
                <w:rFonts w:hint="eastAsia"/>
                <w:highlight w:val="none"/>
              </w:rPr>
              <w:t>205-99-2</w:t>
            </w:r>
          </w:p>
        </w:tc>
        <w:tc>
          <w:tcPr>
            <w:tcW w:w="1241" w:type="dxa"/>
            <w:vAlign w:val="center"/>
          </w:tcPr>
          <w:p>
            <w:pPr>
              <w:pStyle w:val="58"/>
              <w:rPr>
                <w:highlight w:val="none"/>
              </w:rPr>
            </w:pPr>
            <w:r>
              <w:rPr>
                <w:rFonts w:hint="eastAsia"/>
                <w:highlight w:val="none"/>
              </w:rPr>
              <w:t>5.5</w:t>
            </w:r>
          </w:p>
        </w:tc>
        <w:tc>
          <w:tcPr>
            <w:tcW w:w="1398" w:type="dxa"/>
            <w:vAlign w:val="center"/>
          </w:tcPr>
          <w:p>
            <w:pPr>
              <w:pStyle w:val="58"/>
              <w:rPr>
                <w:highlight w:val="none"/>
              </w:rPr>
            </w:pPr>
            <w:r>
              <w:rPr>
                <w:rFonts w:hint="eastAsia"/>
                <w:highlight w:val="none"/>
              </w:rPr>
              <w:t>15</w:t>
            </w:r>
          </w:p>
        </w:tc>
        <w:tc>
          <w:tcPr>
            <w:tcW w:w="1392" w:type="dxa"/>
            <w:vAlign w:val="center"/>
          </w:tcPr>
          <w:p>
            <w:pPr>
              <w:pStyle w:val="58"/>
              <w:rPr>
                <w:highlight w:val="none"/>
              </w:rPr>
            </w:pPr>
            <w:r>
              <w:rPr>
                <w:rFonts w:hint="eastAsia"/>
                <w:highlight w:val="none"/>
              </w:rPr>
              <w:t>55</w:t>
            </w:r>
          </w:p>
        </w:tc>
        <w:tc>
          <w:tcPr>
            <w:tcW w:w="1314" w:type="dxa"/>
            <w:vAlign w:val="center"/>
          </w:tcPr>
          <w:p>
            <w:pPr>
              <w:pStyle w:val="58"/>
              <w:rPr>
                <w:highlight w:val="none"/>
              </w:rPr>
            </w:pPr>
            <w:r>
              <w:rPr>
                <w:rFonts w:hint="eastAsia"/>
                <w:highlight w:val="none"/>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41</w:t>
            </w:r>
          </w:p>
        </w:tc>
        <w:tc>
          <w:tcPr>
            <w:tcW w:w="1698" w:type="dxa"/>
            <w:vAlign w:val="center"/>
          </w:tcPr>
          <w:p>
            <w:pPr>
              <w:pStyle w:val="58"/>
              <w:rPr>
                <w:highlight w:val="none"/>
              </w:rPr>
            </w:pPr>
            <w:r>
              <w:rPr>
                <w:rFonts w:hint="eastAsia"/>
                <w:highlight w:val="none"/>
              </w:rPr>
              <w:t>苯并[k]荧蒽</w:t>
            </w:r>
          </w:p>
        </w:tc>
        <w:tc>
          <w:tcPr>
            <w:tcW w:w="1237" w:type="dxa"/>
            <w:vAlign w:val="center"/>
          </w:tcPr>
          <w:p>
            <w:pPr>
              <w:pStyle w:val="58"/>
              <w:rPr>
                <w:highlight w:val="none"/>
              </w:rPr>
            </w:pPr>
            <w:r>
              <w:rPr>
                <w:rFonts w:hint="eastAsia"/>
                <w:highlight w:val="none"/>
              </w:rPr>
              <w:t>207-08-9</w:t>
            </w:r>
          </w:p>
        </w:tc>
        <w:tc>
          <w:tcPr>
            <w:tcW w:w="1241" w:type="dxa"/>
            <w:vAlign w:val="center"/>
          </w:tcPr>
          <w:p>
            <w:pPr>
              <w:pStyle w:val="58"/>
              <w:rPr>
                <w:highlight w:val="none"/>
              </w:rPr>
            </w:pPr>
            <w:r>
              <w:rPr>
                <w:rFonts w:hint="eastAsia"/>
                <w:highlight w:val="none"/>
              </w:rPr>
              <w:t>55</w:t>
            </w:r>
          </w:p>
        </w:tc>
        <w:tc>
          <w:tcPr>
            <w:tcW w:w="1398" w:type="dxa"/>
            <w:vAlign w:val="center"/>
          </w:tcPr>
          <w:p>
            <w:pPr>
              <w:pStyle w:val="58"/>
              <w:rPr>
                <w:highlight w:val="none"/>
              </w:rPr>
            </w:pPr>
            <w:r>
              <w:rPr>
                <w:rFonts w:hint="eastAsia"/>
                <w:highlight w:val="none"/>
              </w:rPr>
              <w:t>151</w:t>
            </w:r>
          </w:p>
        </w:tc>
        <w:tc>
          <w:tcPr>
            <w:tcW w:w="1392" w:type="dxa"/>
            <w:vAlign w:val="center"/>
          </w:tcPr>
          <w:p>
            <w:pPr>
              <w:pStyle w:val="58"/>
              <w:rPr>
                <w:highlight w:val="none"/>
              </w:rPr>
            </w:pPr>
            <w:r>
              <w:rPr>
                <w:rFonts w:hint="eastAsia"/>
                <w:highlight w:val="none"/>
              </w:rPr>
              <w:t>550</w:t>
            </w:r>
          </w:p>
        </w:tc>
        <w:tc>
          <w:tcPr>
            <w:tcW w:w="1314" w:type="dxa"/>
            <w:vAlign w:val="center"/>
          </w:tcPr>
          <w:p>
            <w:pPr>
              <w:pStyle w:val="58"/>
              <w:rPr>
                <w:highlight w:val="none"/>
              </w:rPr>
            </w:pPr>
            <w:r>
              <w:rPr>
                <w:rFonts w:hint="eastAsia"/>
                <w:highlight w:val="none"/>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42</w:t>
            </w:r>
          </w:p>
        </w:tc>
        <w:tc>
          <w:tcPr>
            <w:tcW w:w="1698" w:type="dxa"/>
            <w:vAlign w:val="center"/>
          </w:tcPr>
          <w:p>
            <w:pPr>
              <w:pStyle w:val="58"/>
              <w:rPr>
                <w:highlight w:val="none"/>
              </w:rPr>
            </w:pPr>
            <w:r>
              <w:rPr>
                <w:rFonts w:hint="eastAsia"/>
                <w:highlight w:val="none"/>
              </w:rPr>
              <w:t>䓛</w:t>
            </w:r>
          </w:p>
        </w:tc>
        <w:tc>
          <w:tcPr>
            <w:tcW w:w="1237" w:type="dxa"/>
            <w:vAlign w:val="center"/>
          </w:tcPr>
          <w:p>
            <w:pPr>
              <w:pStyle w:val="58"/>
              <w:rPr>
                <w:highlight w:val="none"/>
              </w:rPr>
            </w:pPr>
            <w:r>
              <w:rPr>
                <w:rFonts w:hint="eastAsia"/>
                <w:highlight w:val="none"/>
              </w:rPr>
              <w:t>218-01-9</w:t>
            </w:r>
          </w:p>
        </w:tc>
        <w:tc>
          <w:tcPr>
            <w:tcW w:w="1241" w:type="dxa"/>
            <w:vAlign w:val="center"/>
          </w:tcPr>
          <w:p>
            <w:pPr>
              <w:pStyle w:val="58"/>
              <w:rPr>
                <w:highlight w:val="none"/>
              </w:rPr>
            </w:pPr>
            <w:r>
              <w:rPr>
                <w:rFonts w:hint="eastAsia"/>
                <w:highlight w:val="none"/>
              </w:rPr>
              <w:t>490</w:t>
            </w:r>
          </w:p>
        </w:tc>
        <w:tc>
          <w:tcPr>
            <w:tcW w:w="1398" w:type="dxa"/>
            <w:vAlign w:val="center"/>
          </w:tcPr>
          <w:p>
            <w:pPr>
              <w:pStyle w:val="58"/>
              <w:rPr>
                <w:highlight w:val="none"/>
              </w:rPr>
            </w:pPr>
            <w:r>
              <w:rPr>
                <w:rFonts w:hint="eastAsia"/>
                <w:highlight w:val="none"/>
              </w:rPr>
              <w:t>1293</w:t>
            </w:r>
          </w:p>
        </w:tc>
        <w:tc>
          <w:tcPr>
            <w:tcW w:w="1392" w:type="dxa"/>
            <w:vAlign w:val="center"/>
          </w:tcPr>
          <w:p>
            <w:pPr>
              <w:pStyle w:val="58"/>
              <w:rPr>
                <w:highlight w:val="none"/>
              </w:rPr>
            </w:pPr>
            <w:r>
              <w:rPr>
                <w:rFonts w:hint="eastAsia"/>
                <w:highlight w:val="none"/>
              </w:rPr>
              <w:t>4900</w:t>
            </w:r>
          </w:p>
        </w:tc>
        <w:tc>
          <w:tcPr>
            <w:tcW w:w="1314" w:type="dxa"/>
            <w:vAlign w:val="center"/>
          </w:tcPr>
          <w:p>
            <w:pPr>
              <w:pStyle w:val="58"/>
              <w:rPr>
                <w:highlight w:val="none"/>
              </w:rPr>
            </w:pPr>
            <w:r>
              <w:rPr>
                <w:rFonts w:hint="eastAsia"/>
                <w:highlight w:val="none"/>
              </w:rPr>
              <w:t>12900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43</w:t>
            </w:r>
          </w:p>
        </w:tc>
        <w:tc>
          <w:tcPr>
            <w:tcW w:w="1698" w:type="dxa"/>
            <w:vAlign w:val="center"/>
          </w:tcPr>
          <w:p>
            <w:pPr>
              <w:pStyle w:val="58"/>
              <w:rPr>
                <w:highlight w:val="none"/>
              </w:rPr>
            </w:pPr>
            <w:r>
              <w:rPr>
                <w:rFonts w:hint="eastAsia"/>
                <w:highlight w:val="none"/>
              </w:rPr>
              <w:t>二苯并[a,h]蒽</w:t>
            </w:r>
          </w:p>
        </w:tc>
        <w:tc>
          <w:tcPr>
            <w:tcW w:w="1237" w:type="dxa"/>
            <w:vAlign w:val="center"/>
          </w:tcPr>
          <w:p>
            <w:pPr>
              <w:pStyle w:val="58"/>
              <w:rPr>
                <w:highlight w:val="none"/>
              </w:rPr>
            </w:pPr>
            <w:r>
              <w:rPr>
                <w:rFonts w:hint="eastAsia"/>
                <w:highlight w:val="none"/>
              </w:rPr>
              <w:t>53-70-3</w:t>
            </w:r>
          </w:p>
        </w:tc>
        <w:tc>
          <w:tcPr>
            <w:tcW w:w="1241" w:type="dxa"/>
            <w:vAlign w:val="center"/>
          </w:tcPr>
          <w:p>
            <w:pPr>
              <w:pStyle w:val="58"/>
              <w:rPr>
                <w:highlight w:val="none"/>
              </w:rPr>
            </w:pPr>
            <w:r>
              <w:rPr>
                <w:rFonts w:hint="eastAsia"/>
                <w:highlight w:val="none"/>
              </w:rPr>
              <w:t>0.55</w:t>
            </w:r>
          </w:p>
        </w:tc>
        <w:tc>
          <w:tcPr>
            <w:tcW w:w="1398" w:type="dxa"/>
            <w:vAlign w:val="center"/>
          </w:tcPr>
          <w:p>
            <w:pPr>
              <w:pStyle w:val="58"/>
              <w:rPr>
                <w:highlight w:val="none"/>
              </w:rPr>
            </w:pPr>
            <w:r>
              <w:rPr>
                <w:rFonts w:hint="eastAsia"/>
                <w:highlight w:val="none"/>
              </w:rPr>
              <w:t>1.5</w:t>
            </w:r>
          </w:p>
        </w:tc>
        <w:tc>
          <w:tcPr>
            <w:tcW w:w="1392" w:type="dxa"/>
            <w:vAlign w:val="center"/>
          </w:tcPr>
          <w:p>
            <w:pPr>
              <w:pStyle w:val="58"/>
              <w:rPr>
                <w:highlight w:val="none"/>
              </w:rPr>
            </w:pPr>
            <w:r>
              <w:rPr>
                <w:rFonts w:hint="eastAsia"/>
                <w:highlight w:val="none"/>
              </w:rPr>
              <w:t>5.5</w:t>
            </w:r>
          </w:p>
        </w:tc>
        <w:tc>
          <w:tcPr>
            <w:tcW w:w="1314" w:type="dxa"/>
            <w:vAlign w:val="center"/>
          </w:tcPr>
          <w:p>
            <w:pPr>
              <w:pStyle w:val="58"/>
              <w:rPr>
                <w:highlight w:val="none"/>
              </w:rPr>
            </w:pPr>
            <w:r>
              <w:rPr>
                <w:rFonts w:hint="eastAsia"/>
                <w:highlight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44</w:t>
            </w:r>
          </w:p>
        </w:tc>
        <w:tc>
          <w:tcPr>
            <w:tcW w:w="1698" w:type="dxa"/>
            <w:vAlign w:val="center"/>
          </w:tcPr>
          <w:p>
            <w:pPr>
              <w:pStyle w:val="58"/>
              <w:rPr>
                <w:highlight w:val="none"/>
              </w:rPr>
            </w:pPr>
            <w:r>
              <w:rPr>
                <w:rFonts w:hint="eastAsia"/>
                <w:highlight w:val="none"/>
              </w:rPr>
              <w:t>茚并[1,2,3-cd]芘</w:t>
            </w:r>
          </w:p>
        </w:tc>
        <w:tc>
          <w:tcPr>
            <w:tcW w:w="1237" w:type="dxa"/>
            <w:vAlign w:val="center"/>
          </w:tcPr>
          <w:p>
            <w:pPr>
              <w:pStyle w:val="58"/>
              <w:rPr>
                <w:highlight w:val="none"/>
              </w:rPr>
            </w:pPr>
            <w:r>
              <w:rPr>
                <w:rFonts w:hint="eastAsia"/>
                <w:highlight w:val="none"/>
              </w:rPr>
              <w:t>193-39-5</w:t>
            </w:r>
          </w:p>
        </w:tc>
        <w:tc>
          <w:tcPr>
            <w:tcW w:w="1241" w:type="dxa"/>
            <w:vAlign w:val="center"/>
          </w:tcPr>
          <w:p>
            <w:pPr>
              <w:pStyle w:val="58"/>
              <w:rPr>
                <w:highlight w:val="none"/>
              </w:rPr>
            </w:pPr>
            <w:r>
              <w:rPr>
                <w:rFonts w:hint="eastAsia"/>
                <w:highlight w:val="none"/>
              </w:rPr>
              <w:t>5.5</w:t>
            </w:r>
          </w:p>
        </w:tc>
        <w:tc>
          <w:tcPr>
            <w:tcW w:w="1398" w:type="dxa"/>
            <w:vAlign w:val="center"/>
          </w:tcPr>
          <w:p>
            <w:pPr>
              <w:pStyle w:val="58"/>
              <w:rPr>
                <w:highlight w:val="none"/>
              </w:rPr>
            </w:pPr>
            <w:r>
              <w:rPr>
                <w:rFonts w:hint="eastAsia"/>
                <w:highlight w:val="none"/>
              </w:rPr>
              <w:t>15</w:t>
            </w:r>
          </w:p>
        </w:tc>
        <w:tc>
          <w:tcPr>
            <w:tcW w:w="1392" w:type="dxa"/>
            <w:vAlign w:val="center"/>
          </w:tcPr>
          <w:p>
            <w:pPr>
              <w:pStyle w:val="58"/>
              <w:rPr>
                <w:highlight w:val="none"/>
              </w:rPr>
            </w:pPr>
            <w:r>
              <w:rPr>
                <w:rFonts w:hint="eastAsia"/>
                <w:highlight w:val="none"/>
              </w:rPr>
              <w:t>55</w:t>
            </w:r>
          </w:p>
        </w:tc>
        <w:tc>
          <w:tcPr>
            <w:tcW w:w="1314" w:type="dxa"/>
            <w:vAlign w:val="center"/>
          </w:tcPr>
          <w:p>
            <w:pPr>
              <w:pStyle w:val="58"/>
              <w:rPr>
                <w:highlight w:val="none"/>
              </w:rPr>
            </w:pPr>
            <w:r>
              <w:rPr>
                <w:rFonts w:hint="eastAsia"/>
                <w:highlight w:val="none"/>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60" w:type="dxa"/>
            <w:vAlign w:val="center"/>
          </w:tcPr>
          <w:p>
            <w:pPr>
              <w:pStyle w:val="58"/>
              <w:rPr>
                <w:highlight w:val="none"/>
              </w:rPr>
            </w:pPr>
            <w:r>
              <w:rPr>
                <w:rFonts w:hint="eastAsia"/>
                <w:highlight w:val="none"/>
              </w:rPr>
              <w:t>45</w:t>
            </w:r>
          </w:p>
        </w:tc>
        <w:tc>
          <w:tcPr>
            <w:tcW w:w="1698" w:type="dxa"/>
            <w:vAlign w:val="center"/>
          </w:tcPr>
          <w:p>
            <w:pPr>
              <w:pStyle w:val="58"/>
              <w:rPr>
                <w:highlight w:val="none"/>
              </w:rPr>
            </w:pPr>
            <w:r>
              <w:rPr>
                <w:rFonts w:hint="eastAsia"/>
                <w:highlight w:val="none"/>
              </w:rPr>
              <w:t>萘</w:t>
            </w:r>
          </w:p>
        </w:tc>
        <w:tc>
          <w:tcPr>
            <w:tcW w:w="1237" w:type="dxa"/>
            <w:vAlign w:val="center"/>
          </w:tcPr>
          <w:p>
            <w:pPr>
              <w:pStyle w:val="58"/>
              <w:rPr>
                <w:highlight w:val="none"/>
              </w:rPr>
            </w:pPr>
            <w:r>
              <w:rPr>
                <w:rFonts w:hint="eastAsia"/>
                <w:highlight w:val="none"/>
              </w:rPr>
              <w:t>91-20-3</w:t>
            </w:r>
          </w:p>
        </w:tc>
        <w:tc>
          <w:tcPr>
            <w:tcW w:w="1241" w:type="dxa"/>
            <w:vAlign w:val="center"/>
          </w:tcPr>
          <w:p>
            <w:pPr>
              <w:pStyle w:val="58"/>
              <w:rPr>
                <w:highlight w:val="none"/>
              </w:rPr>
            </w:pPr>
            <w:r>
              <w:rPr>
                <w:rFonts w:hint="eastAsia"/>
                <w:highlight w:val="none"/>
              </w:rPr>
              <w:t>25</w:t>
            </w:r>
          </w:p>
        </w:tc>
        <w:tc>
          <w:tcPr>
            <w:tcW w:w="1398" w:type="dxa"/>
            <w:vAlign w:val="center"/>
          </w:tcPr>
          <w:p>
            <w:pPr>
              <w:pStyle w:val="58"/>
              <w:rPr>
                <w:highlight w:val="none"/>
              </w:rPr>
            </w:pPr>
            <w:r>
              <w:rPr>
                <w:rFonts w:hint="eastAsia"/>
                <w:highlight w:val="none"/>
              </w:rPr>
              <w:t>70</w:t>
            </w:r>
          </w:p>
        </w:tc>
        <w:tc>
          <w:tcPr>
            <w:tcW w:w="1392" w:type="dxa"/>
            <w:vAlign w:val="center"/>
          </w:tcPr>
          <w:p>
            <w:pPr>
              <w:pStyle w:val="58"/>
              <w:rPr>
                <w:highlight w:val="none"/>
              </w:rPr>
            </w:pPr>
            <w:r>
              <w:rPr>
                <w:rFonts w:hint="eastAsia"/>
                <w:highlight w:val="none"/>
              </w:rPr>
              <w:t>255</w:t>
            </w:r>
          </w:p>
        </w:tc>
        <w:tc>
          <w:tcPr>
            <w:tcW w:w="1314" w:type="dxa"/>
            <w:vAlign w:val="center"/>
          </w:tcPr>
          <w:p>
            <w:pPr>
              <w:pStyle w:val="58"/>
              <w:rPr>
                <w:highlight w:val="none"/>
              </w:rPr>
            </w:pPr>
            <w:r>
              <w:rPr>
                <w:rFonts w:hint="eastAsia"/>
                <w:highlight w:val="none"/>
              </w:rPr>
              <w:t>700</w:t>
            </w:r>
          </w:p>
        </w:tc>
      </w:tr>
    </w:tbl>
    <w:p>
      <w:pPr>
        <w:pStyle w:val="56"/>
        <w:spacing w:before="163"/>
        <w:jc w:val="right"/>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16</w:t>
      </w:r>
      <w:r>
        <w:rPr>
          <w:highlight w:val="none"/>
        </w:rPr>
        <w:fldChar w:fldCharType="end"/>
      </w:r>
      <w:r>
        <w:rPr>
          <w:highlight w:val="none"/>
        </w:rPr>
        <w:t xml:space="preserve">  </w:t>
      </w:r>
      <w:r>
        <w:rPr>
          <w:rFonts w:hint="eastAsia"/>
          <w:highlight w:val="none"/>
        </w:rPr>
        <w:t xml:space="preserve">四川省建设用地土壤污染风险筛选和管控标准 </w:t>
      </w:r>
      <w:r>
        <w:rPr>
          <w:highlight w:val="none"/>
        </w:rPr>
        <w:t xml:space="preserve">        </w:t>
      </w:r>
      <w:r>
        <w:rPr>
          <w:rFonts w:hint="eastAsia"/>
          <w:highlight w:val="none"/>
        </w:rPr>
        <w:t>单位：mg</w:t>
      </w:r>
      <w:r>
        <w:rPr>
          <w:highlight w:val="none"/>
        </w:rPr>
        <w:t>/kg</w:t>
      </w:r>
    </w:p>
    <w:tbl>
      <w:tblPr>
        <w:tblStyle w:val="102"/>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57"/>
        <w:gridCol w:w="1748"/>
        <w:gridCol w:w="1309"/>
        <w:gridCol w:w="1376"/>
        <w:gridCol w:w="1332"/>
        <w:gridCol w:w="1332"/>
        <w:gridCol w:w="133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blHeader/>
        </w:trPr>
        <w:tc>
          <w:tcPr>
            <w:tcW w:w="462" w:type="pct"/>
            <w:vMerge w:val="restart"/>
            <w:vAlign w:val="center"/>
          </w:tcPr>
          <w:p>
            <w:pPr>
              <w:pStyle w:val="58"/>
              <w:rPr>
                <w:rFonts w:hint="default" w:cs="Times New Roman"/>
                <w:highlight w:val="none"/>
              </w:rPr>
            </w:pPr>
            <w:r>
              <w:rPr>
                <w:rFonts w:hint="default" w:cs="Times New Roman"/>
                <w:highlight w:val="none"/>
              </w:rPr>
              <w:t>序号</w:t>
            </w:r>
          </w:p>
        </w:tc>
        <w:tc>
          <w:tcPr>
            <w:tcW w:w="941" w:type="pct"/>
            <w:vMerge w:val="restart"/>
            <w:vAlign w:val="center"/>
          </w:tcPr>
          <w:p>
            <w:pPr>
              <w:pStyle w:val="58"/>
              <w:rPr>
                <w:rFonts w:hint="default" w:cs="Times New Roman"/>
                <w:highlight w:val="none"/>
              </w:rPr>
            </w:pPr>
            <w:r>
              <w:rPr>
                <w:rFonts w:hint="default" w:cs="Times New Roman"/>
                <w:highlight w:val="none"/>
              </w:rPr>
              <w:t>污染物项目</w:t>
            </w:r>
          </w:p>
        </w:tc>
        <w:tc>
          <w:tcPr>
            <w:tcW w:w="705" w:type="pct"/>
            <w:vMerge w:val="restart"/>
            <w:vAlign w:val="center"/>
          </w:tcPr>
          <w:p>
            <w:pPr>
              <w:pStyle w:val="58"/>
              <w:rPr>
                <w:rFonts w:hint="default" w:cs="Times New Roman"/>
                <w:highlight w:val="none"/>
              </w:rPr>
            </w:pPr>
            <w:r>
              <w:rPr>
                <w:rFonts w:hint="default" w:cs="Times New Roman"/>
                <w:highlight w:val="none"/>
              </w:rPr>
              <w:t>CAS编号</w:t>
            </w:r>
          </w:p>
        </w:tc>
        <w:tc>
          <w:tcPr>
            <w:tcW w:w="1458" w:type="pct"/>
            <w:gridSpan w:val="2"/>
            <w:vAlign w:val="center"/>
          </w:tcPr>
          <w:p>
            <w:pPr>
              <w:pStyle w:val="58"/>
              <w:rPr>
                <w:rFonts w:hint="default" w:cs="Times New Roman"/>
                <w:highlight w:val="none"/>
              </w:rPr>
            </w:pPr>
            <w:r>
              <w:rPr>
                <w:rFonts w:hint="default" w:cs="Times New Roman"/>
                <w:highlight w:val="none"/>
              </w:rPr>
              <w:t>筛选值</w:t>
            </w:r>
          </w:p>
        </w:tc>
        <w:tc>
          <w:tcPr>
            <w:tcW w:w="1434" w:type="pct"/>
            <w:gridSpan w:val="2"/>
            <w:vAlign w:val="center"/>
          </w:tcPr>
          <w:p>
            <w:pPr>
              <w:pStyle w:val="58"/>
              <w:rPr>
                <w:rFonts w:hint="default" w:cs="Times New Roman"/>
                <w:highlight w:val="none"/>
              </w:rPr>
            </w:pPr>
            <w:r>
              <w:rPr>
                <w:rFonts w:hint="default" w:cs="Times New Roman"/>
                <w:highlight w:val="none"/>
              </w:rPr>
              <w:t>管制值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blHeader/>
        </w:trPr>
        <w:tc>
          <w:tcPr>
            <w:tcW w:w="462" w:type="pct"/>
            <w:vMerge w:val="continue"/>
            <w:vAlign w:val="center"/>
          </w:tcPr>
          <w:p>
            <w:pPr>
              <w:pStyle w:val="58"/>
              <w:rPr>
                <w:rFonts w:hint="default" w:cs="Times New Roman"/>
                <w:highlight w:val="none"/>
              </w:rPr>
            </w:pPr>
          </w:p>
        </w:tc>
        <w:tc>
          <w:tcPr>
            <w:tcW w:w="941" w:type="pct"/>
            <w:vMerge w:val="continue"/>
            <w:vAlign w:val="center"/>
          </w:tcPr>
          <w:p>
            <w:pPr>
              <w:pStyle w:val="58"/>
              <w:rPr>
                <w:rFonts w:hint="default" w:cs="Times New Roman"/>
                <w:highlight w:val="none"/>
              </w:rPr>
            </w:pPr>
          </w:p>
        </w:tc>
        <w:tc>
          <w:tcPr>
            <w:tcW w:w="705" w:type="pct"/>
            <w:vMerge w:val="continue"/>
            <w:vAlign w:val="center"/>
          </w:tcPr>
          <w:p>
            <w:pPr>
              <w:pStyle w:val="58"/>
              <w:rPr>
                <w:rFonts w:hint="default" w:cs="Times New Roman"/>
                <w:highlight w:val="none"/>
              </w:rPr>
            </w:pPr>
          </w:p>
        </w:tc>
        <w:tc>
          <w:tcPr>
            <w:tcW w:w="741" w:type="pct"/>
            <w:vAlign w:val="center"/>
          </w:tcPr>
          <w:p>
            <w:pPr>
              <w:pStyle w:val="58"/>
              <w:rPr>
                <w:rFonts w:hint="default" w:cs="Times New Roman"/>
                <w:highlight w:val="none"/>
              </w:rPr>
            </w:pPr>
            <w:r>
              <w:rPr>
                <w:rFonts w:hint="default" w:cs="Times New Roman"/>
                <w:highlight w:val="none"/>
              </w:rPr>
              <w:t>第一类用地</w:t>
            </w:r>
          </w:p>
        </w:tc>
        <w:tc>
          <w:tcPr>
            <w:tcW w:w="717" w:type="pct"/>
            <w:vAlign w:val="center"/>
          </w:tcPr>
          <w:p>
            <w:pPr>
              <w:pStyle w:val="58"/>
              <w:rPr>
                <w:rFonts w:hint="default" w:cs="Times New Roman"/>
                <w:highlight w:val="none"/>
              </w:rPr>
            </w:pPr>
            <w:r>
              <w:rPr>
                <w:rFonts w:hint="default" w:cs="Times New Roman"/>
                <w:highlight w:val="none"/>
              </w:rPr>
              <w:t>第二类用地</w:t>
            </w:r>
          </w:p>
        </w:tc>
        <w:tc>
          <w:tcPr>
            <w:tcW w:w="717" w:type="pct"/>
            <w:vAlign w:val="center"/>
          </w:tcPr>
          <w:p>
            <w:pPr>
              <w:pStyle w:val="58"/>
              <w:rPr>
                <w:rFonts w:hint="default" w:cs="Times New Roman"/>
                <w:highlight w:val="none"/>
              </w:rPr>
            </w:pPr>
            <w:r>
              <w:rPr>
                <w:rFonts w:hint="default" w:cs="Times New Roman"/>
                <w:highlight w:val="none"/>
              </w:rPr>
              <w:t>第一类用地</w:t>
            </w:r>
          </w:p>
        </w:tc>
        <w:tc>
          <w:tcPr>
            <w:tcW w:w="717" w:type="pct"/>
            <w:vAlign w:val="center"/>
          </w:tcPr>
          <w:p>
            <w:pPr>
              <w:pStyle w:val="58"/>
              <w:rPr>
                <w:rFonts w:hint="default" w:cs="Times New Roman"/>
                <w:highlight w:val="none"/>
              </w:rPr>
            </w:pPr>
            <w:r>
              <w:rPr>
                <w:rFonts w:hint="default" w:cs="Times New Roman"/>
                <w:highlight w:val="none"/>
              </w:rPr>
              <w:t>第二类用地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5000" w:type="pct"/>
            <w:gridSpan w:val="7"/>
            <w:vAlign w:val="center"/>
          </w:tcPr>
          <w:p>
            <w:pPr>
              <w:pStyle w:val="58"/>
              <w:rPr>
                <w:rFonts w:cs="Times New Roman"/>
                <w:highlight w:val="none"/>
              </w:rPr>
            </w:pPr>
            <w:r>
              <w:rPr>
                <w:rFonts w:cs="Times New Roman"/>
                <w:highlight w:val="none"/>
              </w:rPr>
              <w:t>重金属和无机盐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1</w:t>
            </w:r>
          </w:p>
        </w:tc>
        <w:tc>
          <w:tcPr>
            <w:tcW w:w="941" w:type="pct"/>
            <w:vAlign w:val="center"/>
          </w:tcPr>
          <w:p>
            <w:pPr>
              <w:pStyle w:val="58"/>
              <w:rPr>
                <w:rFonts w:cs="Times New Roman"/>
                <w:highlight w:val="none"/>
              </w:rPr>
            </w:pPr>
            <w:r>
              <w:rPr>
                <w:rFonts w:cs="Times New Roman"/>
                <w:highlight w:val="none"/>
              </w:rPr>
              <w:t>锰</w:t>
            </w:r>
          </w:p>
        </w:tc>
        <w:tc>
          <w:tcPr>
            <w:tcW w:w="705" w:type="pct"/>
            <w:vAlign w:val="center"/>
          </w:tcPr>
          <w:p>
            <w:pPr>
              <w:pStyle w:val="58"/>
              <w:rPr>
                <w:rFonts w:cs="Times New Roman"/>
                <w:highlight w:val="none"/>
              </w:rPr>
            </w:pPr>
            <w:r>
              <w:rPr>
                <w:rFonts w:cs="Times New Roman"/>
                <w:highlight w:val="none"/>
              </w:rPr>
              <w:t>7439-96-5</w:t>
            </w:r>
          </w:p>
        </w:tc>
        <w:tc>
          <w:tcPr>
            <w:tcW w:w="741" w:type="pct"/>
            <w:vAlign w:val="center"/>
          </w:tcPr>
          <w:p>
            <w:pPr>
              <w:pStyle w:val="58"/>
              <w:rPr>
                <w:rFonts w:cs="Times New Roman"/>
                <w:highlight w:val="none"/>
              </w:rPr>
            </w:pPr>
            <w:r>
              <w:rPr>
                <w:rFonts w:cs="Times New Roman"/>
                <w:highlight w:val="none"/>
              </w:rPr>
              <w:t>3593</w:t>
            </w:r>
          </w:p>
        </w:tc>
        <w:tc>
          <w:tcPr>
            <w:tcW w:w="717" w:type="pct"/>
            <w:vAlign w:val="center"/>
          </w:tcPr>
          <w:p>
            <w:pPr>
              <w:pStyle w:val="58"/>
              <w:rPr>
                <w:rFonts w:cs="Times New Roman"/>
                <w:highlight w:val="none"/>
              </w:rPr>
            </w:pPr>
            <w:r>
              <w:rPr>
                <w:rFonts w:cs="Times New Roman"/>
                <w:highlight w:val="none"/>
              </w:rPr>
              <w:t>13655</w:t>
            </w:r>
          </w:p>
        </w:tc>
        <w:tc>
          <w:tcPr>
            <w:tcW w:w="717" w:type="pct"/>
            <w:vAlign w:val="center"/>
          </w:tcPr>
          <w:p>
            <w:pPr>
              <w:pStyle w:val="58"/>
              <w:rPr>
                <w:rFonts w:cs="Times New Roman"/>
                <w:highlight w:val="none"/>
              </w:rPr>
            </w:pPr>
            <w:r>
              <w:rPr>
                <w:rFonts w:cs="Times New Roman"/>
                <w:highlight w:val="none"/>
              </w:rPr>
              <w:t>7186</w:t>
            </w:r>
          </w:p>
        </w:tc>
        <w:tc>
          <w:tcPr>
            <w:tcW w:w="717" w:type="pct"/>
            <w:vAlign w:val="center"/>
          </w:tcPr>
          <w:p>
            <w:pPr>
              <w:pStyle w:val="58"/>
              <w:rPr>
                <w:rFonts w:cs="Times New Roman"/>
                <w:highlight w:val="none"/>
              </w:rPr>
            </w:pPr>
            <w:r>
              <w:rPr>
                <w:rFonts w:cs="Times New Roman"/>
                <w:highlight w:val="none"/>
              </w:rPr>
              <w:t>27311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2</w:t>
            </w:r>
          </w:p>
        </w:tc>
        <w:tc>
          <w:tcPr>
            <w:tcW w:w="941" w:type="pct"/>
            <w:vAlign w:val="center"/>
          </w:tcPr>
          <w:p>
            <w:pPr>
              <w:pStyle w:val="58"/>
              <w:rPr>
                <w:rFonts w:cs="Times New Roman"/>
                <w:highlight w:val="none"/>
              </w:rPr>
            </w:pPr>
            <w:r>
              <w:rPr>
                <w:rFonts w:cs="Times New Roman"/>
                <w:highlight w:val="none"/>
              </w:rPr>
              <w:t>钼</w:t>
            </w:r>
          </w:p>
        </w:tc>
        <w:tc>
          <w:tcPr>
            <w:tcW w:w="705" w:type="pct"/>
            <w:vAlign w:val="center"/>
          </w:tcPr>
          <w:p>
            <w:pPr>
              <w:pStyle w:val="58"/>
              <w:rPr>
                <w:rFonts w:cs="Times New Roman"/>
                <w:highlight w:val="none"/>
              </w:rPr>
            </w:pPr>
            <w:r>
              <w:rPr>
                <w:rFonts w:cs="Times New Roman"/>
                <w:highlight w:val="none"/>
              </w:rPr>
              <w:t>7439-98-7</w:t>
            </w:r>
          </w:p>
        </w:tc>
        <w:tc>
          <w:tcPr>
            <w:tcW w:w="741" w:type="pct"/>
            <w:vAlign w:val="center"/>
          </w:tcPr>
          <w:p>
            <w:pPr>
              <w:pStyle w:val="58"/>
              <w:rPr>
                <w:rFonts w:cs="Times New Roman"/>
                <w:highlight w:val="none"/>
              </w:rPr>
            </w:pPr>
            <w:r>
              <w:rPr>
                <w:rFonts w:cs="Times New Roman"/>
                <w:highlight w:val="none"/>
              </w:rPr>
              <w:t>243</w:t>
            </w:r>
          </w:p>
        </w:tc>
        <w:tc>
          <w:tcPr>
            <w:tcW w:w="717" w:type="pct"/>
            <w:vAlign w:val="center"/>
          </w:tcPr>
          <w:p>
            <w:pPr>
              <w:pStyle w:val="58"/>
              <w:rPr>
                <w:rFonts w:cs="Times New Roman"/>
                <w:highlight w:val="none"/>
              </w:rPr>
            </w:pPr>
            <w:r>
              <w:rPr>
                <w:rFonts w:cs="Times New Roman"/>
                <w:highlight w:val="none"/>
              </w:rPr>
              <w:t>2127</w:t>
            </w:r>
          </w:p>
        </w:tc>
        <w:tc>
          <w:tcPr>
            <w:tcW w:w="717" w:type="pct"/>
            <w:vAlign w:val="center"/>
          </w:tcPr>
          <w:p>
            <w:pPr>
              <w:pStyle w:val="58"/>
              <w:rPr>
                <w:rFonts w:cs="Times New Roman"/>
                <w:highlight w:val="none"/>
              </w:rPr>
            </w:pPr>
            <w:r>
              <w:rPr>
                <w:rFonts w:cs="Times New Roman"/>
                <w:highlight w:val="none"/>
              </w:rPr>
              <w:t>487</w:t>
            </w:r>
          </w:p>
        </w:tc>
        <w:tc>
          <w:tcPr>
            <w:tcW w:w="717" w:type="pct"/>
            <w:vAlign w:val="center"/>
          </w:tcPr>
          <w:p>
            <w:pPr>
              <w:pStyle w:val="58"/>
              <w:rPr>
                <w:rFonts w:cs="Times New Roman"/>
                <w:highlight w:val="none"/>
              </w:rPr>
            </w:pPr>
            <w:r>
              <w:rPr>
                <w:rFonts w:cs="Times New Roman"/>
                <w:highlight w:val="none"/>
              </w:rPr>
              <w:t>4254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3</w:t>
            </w:r>
          </w:p>
        </w:tc>
        <w:tc>
          <w:tcPr>
            <w:tcW w:w="941" w:type="pct"/>
            <w:vAlign w:val="center"/>
          </w:tcPr>
          <w:p>
            <w:pPr>
              <w:pStyle w:val="58"/>
              <w:rPr>
                <w:rFonts w:cs="Times New Roman"/>
                <w:highlight w:val="none"/>
              </w:rPr>
            </w:pPr>
            <w:r>
              <w:rPr>
                <w:rFonts w:cs="Times New Roman"/>
                <w:highlight w:val="none"/>
              </w:rPr>
              <w:t>铊</w:t>
            </w:r>
          </w:p>
        </w:tc>
        <w:tc>
          <w:tcPr>
            <w:tcW w:w="705" w:type="pct"/>
            <w:vAlign w:val="center"/>
          </w:tcPr>
          <w:p>
            <w:pPr>
              <w:pStyle w:val="58"/>
              <w:rPr>
                <w:rFonts w:cs="Times New Roman"/>
                <w:highlight w:val="none"/>
              </w:rPr>
            </w:pPr>
            <w:r>
              <w:rPr>
                <w:rFonts w:cs="Times New Roman"/>
                <w:highlight w:val="none"/>
              </w:rPr>
              <w:t>7440-28-0</w:t>
            </w:r>
          </w:p>
        </w:tc>
        <w:tc>
          <w:tcPr>
            <w:tcW w:w="741" w:type="pct"/>
            <w:vAlign w:val="center"/>
          </w:tcPr>
          <w:p>
            <w:pPr>
              <w:pStyle w:val="58"/>
              <w:rPr>
                <w:rFonts w:cs="Times New Roman"/>
                <w:highlight w:val="none"/>
              </w:rPr>
            </w:pPr>
            <w:r>
              <w:rPr>
                <w:rFonts w:cs="Times New Roman"/>
                <w:highlight w:val="none"/>
              </w:rPr>
              <w:t>1.0</w:t>
            </w:r>
          </w:p>
        </w:tc>
        <w:tc>
          <w:tcPr>
            <w:tcW w:w="717" w:type="pct"/>
            <w:vAlign w:val="center"/>
          </w:tcPr>
          <w:p>
            <w:pPr>
              <w:pStyle w:val="58"/>
              <w:rPr>
                <w:rFonts w:cs="Times New Roman"/>
                <w:highlight w:val="none"/>
              </w:rPr>
            </w:pPr>
            <w:r>
              <w:rPr>
                <w:rFonts w:cs="Times New Roman"/>
                <w:highlight w:val="none"/>
              </w:rPr>
              <w:t>4.5</w:t>
            </w:r>
          </w:p>
        </w:tc>
        <w:tc>
          <w:tcPr>
            <w:tcW w:w="717" w:type="pct"/>
            <w:vAlign w:val="center"/>
          </w:tcPr>
          <w:p>
            <w:pPr>
              <w:pStyle w:val="58"/>
              <w:rPr>
                <w:rFonts w:cs="Times New Roman"/>
                <w:highlight w:val="none"/>
              </w:rPr>
            </w:pPr>
            <w:r>
              <w:rPr>
                <w:rFonts w:cs="Times New Roman"/>
                <w:highlight w:val="none"/>
              </w:rPr>
              <w:t>2.0</w:t>
            </w:r>
          </w:p>
        </w:tc>
        <w:tc>
          <w:tcPr>
            <w:tcW w:w="717" w:type="pct"/>
            <w:vAlign w:val="center"/>
          </w:tcPr>
          <w:p>
            <w:pPr>
              <w:pStyle w:val="58"/>
              <w:rPr>
                <w:rFonts w:cs="Times New Roman"/>
                <w:highlight w:val="none"/>
              </w:rPr>
            </w:pPr>
            <w:r>
              <w:rPr>
                <w:rFonts w:cs="Times New Roman"/>
                <w:highlight w:val="none"/>
              </w:rPr>
              <w:t>9.0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4</w:t>
            </w:r>
          </w:p>
        </w:tc>
        <w:tc>
          <w:tcPr>
            <w:tcW w:w="941" w:type="pct"/>
            <w:vAlign w:val="center"/>
          </w:tcPr>
          <w:p>
            <w:pPr>
              <w:pStyle w:val="58"/>
              <w:rPr>
                <w:rFonts w:cs="Times New Roman"/>
                <w:highlight w:val="none"/>
              </w:rPr>
            </w:pPr>
            <w:r>
              <w:rPr>
                <w:rFonts w:cs="Times New Roman"/>
                <w:highlight w:val="none"/>
              </w:rPr>
              <w:t>钡</w:t>
            </w:r>
          </w:p>
        </w:tc>
        <w:tc>
          <w:tcPr>
            <w:tcW w:w="705" w:type="pct"/>
            <w:vAlign w:val="center"/>
          </w:tcPr>
          <w:p>
            <w:pPr>
              <w:pStyle w:val="58"/>
              <w:rPr>
                <w:rFonts w:cs="Times New Roman"/>
                <w:highlight w:val="none"/>
              </w:rPr>
            </w:pPr>
            <w:r>
              <w:rPr>
                <w:rFonts w:cs="Times New Roman"/>
                <w:highlight w:val="none"/>
              </w:rPr>
              <w:t>7440-39-3</w:t>
            </w:r>
          </w:p>
        </w:tc>
        <w:tc>
          <w:tcPr>
            <w:tcW w:w="741" w:type="pct"/>
            <w:vAlign w:val="center"/>
          </w:tcPr>
          <w:p>
            <w:pPr>
              <w:pStyle w:val="58"/>
              <w:rPr>
                <w:rFonts w:cs="Times New Roman"/>
                <w:highlight w:val="none"/>
              </w:rPr>
            </w:pPr>
            <w:r>
              <w:rPr>
                <w:rFonts w:cs="Times New Roman"/>
                <w:highlight w:val="none"/>
              </w:rPr>
              <w:t>2766</w:t>
            </w:r>
          </w:p>
        </w:tc>
        <w:tc>
          <w:tcPr>
            <w:tcW w:w="717" w:type="pct"/>
            <w:vAlign w:val="center"/>
          </w:tcPr>
          <w:p>
            <w:pPr>
              <w:pStyle w:val="58"/>
              <w:rPr>
                <w:rFonts w:cs="Times New Roman"/>
                <w:highlight w:val="none"/>
              </w:rPr>
            </w:pPr>
            <w:r>
              <w:rPr>
                <w:rFonts w:cs="Times New Roman"/>
                <w:highlight w:val="none"/>
              </w:rPr>
              <w:t>8660</w:t>
            </w:r>
          </w:p>
        </w:tc>
        <w:tc>
          <w:tcPr>
            <w:tcW w:w="717" w:type="pct"/>
            <w:vAlign w:val="center"/>
          </w:tcPr>
          <w:p>
            <w:pPr>
              <w:pStyle w:val="58"/>
              <w:rPr>
                <w:rFonts w:cs="Times New Roman"/>
                <w:highlight w:val="none"/>
              </w:rPr>
            </w:pPr>
            <w:r>
              <w:rPr>
                <w:rFonts w:cs="Times New Roman"/>
                <w:highlight w:val="none"/>
              </w:rPr>
              <w:t>5532</w:t>
            </w:r>
          </w:p>
        </w:tc>
        <w:tc>
          <w:tcPr>
            <w:tcW w:w="717" w:type="pct"/>
            <w:vAlign w:val="center"/>
          </w:tcPr>
          <w:p>
            <w:pPr>
              <w:pStyle w:val="58"/>
              <w:rPr>
                <w:rFonts w:cs="Times New Roman"/>
                <w:highlight w:val="none"/>
              </w:rPr>
            </w:pPr>
            <w:r>
              <w:rPr>
                <w:rFonts w:cs="Times New Roman"/>
                <w:highlight w:val="none"/>
              </w:rPr>
              <w:t>17320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5</w:t>
            </w:r>
          </w:p>
        </w:tc>
        <w:tc>
          <w:tcPr>
            <w:tcW w:w="941" w:type="pct"/>
            <w:vAlign w:val="center"/>
          </w:tcPr>
          <w:p>
            <w:pPr>
              <w:pStyle w:val="58"/>
              <w:rPr>
                <w:rFonts w:cs="Times New Roman"/>
                <w:highlight w:val="none"/>
              </w:rPr>
            </w:pPr>
            <w:r>
              <w:rPr>
                <w:rFonts w:cs="Times New Roman"/>
                <w:highlight w:val="none"/>
              </w:rPr>
              <w:t>硒</w:t>
            </w:r>
          </w:p>
        </w:tc>
        <w:tc>
          <w:tcPr>
            <w:tcW w:w="705" w:type="pct"/>
            <w:vAlign w:val="center"/>
          </w:tcPr>
          <w:p>
            <w:pPr>
              <w:pStyle w:val="58"/>
              <w:rPr>
                <w:rFonts w:cs="Times New Roman"/>
                <w:highlight w:val="none"/>
              </w:rPr>
            </w:pPr>
            <w:r>
              <w:rPr>
                <w:rFonts w:cs="Times New Roman"/>
                <w:highlight w:val="none"/>
              </w:rPr>
              <w:t>7782-49-2</w:t>
            </w:r>
          </w:p>
        </w:tc>
        <w:tc>
          <w:tcPr>
            <w:tcW w:w="741" w:type="pct"/>
            <w:vAlign w:val="center"/>
          </w:tcPr>
          <w:p>
            <w:pPr>
              <w:pStyle w:val="58"/>
              <w:rPr>
                <w:rFonts w:cs="Times New Roman"/>
                <w:highlight w:val="none"/>
              </w:rPr>
            </w:pPr>
            <w:r>
              <w:rPr>
                <w:rFonts w:cs="Times New Roman"/>
                <w:highlight w:val="none"/>
              </w:rPr>
              <w:t>243</w:t>
            </w:r>
          </w:p>
        </w:tc>
        <w:tc>
          <w:tcPr>
            <w:tcW w:w="717" w:type="pct"/>
            <w:vAlign w:val="center"/>
          </w:tcPr>
          <w:p>
            <w:pPr>
              <w:pStyle w:val="58"/>
              <w:rPr>
                <w:rFonts w:cs="Times New Roman"/>
                <w:highlight w:val="none"/>
              </w:rPr>
            </w:pPr>
            <w:r>
              <w:rPr>
                <w:rFonts w:cs="Times New Roman"/>
                <w:highlight w:val="none"/>
              </w:rPr>
              <w:t>2116</w:t>
            </w:r>
          </w:p>
        </w:tc>
        <w:tc>
          <w:tcPr>
            <w:tcW w:w="717" w:type="pct"/>
            <w:vAlign w:val="center"/>
          </w:tcPr>
          <w:p>
            <w:pPr>
              <w:pStyle w:val="58"/>
              <w:rPr>
                <w:rFonts w:cs="Times New Roman"/>
                <w:highlight w:val="none"/>
              </w:rPr>
            </w:pPr>
            <w:r>
              <w:rPr>
                <w:rFonts w:cs="Times New Roman"/>
                <w:highlight w:val="none"/>
              </w:rPr>
              <w:t>486</w:t>
            </w:r>
          </w:p>
        </w:tc>
        <w:tc>
          <w:tcPr>
            <w:tcW w:w="717" w:type="pct"/>
            <w:vAlign w:val="center"/>
          </w:tcPr>
          <w:p>
            <w:pPr>
              <w:pStyle w:val="58"/>
              <w:rPr>
                <w:rFonts w:cs="Times New Roman"/>
                <w:highlight w:val="none"/>
              </w:rPr>
            </w:pPr>
            <w:r>
              <w:rPr>
                <w:rFonts w:cs="Times New Roman"/>
                <w:highlight w:val="none"/>
              </w:rPr>
              <w:t>4233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6</w:t>
            </w:r>
          </w:p>
        </w:tc>
        <w:tc>
          <w:tcPr>
            <w:tcW w:w="941" w:type="pct"/>
            <w:vAlign w:val="center"/>
          </w:tcPr>
          <w:p>
            <w:pPr>
              <w:pStyle w:val="58"/>
              <w:rPr>
                <w:rFonts w:cs="Times New Roman"/>
                <w:highlight w:val="none"/>
              </w:rPr>
            </w:pPr>
            <w:r>
              <w:rPr>
                <w:rFonts w:cs="Times New Roman"/>
                <w:highlight w:val="none"/>
              </w:rPr>
              <w:t>铬</w:t>
            </w:r>
          </w:p>
        </w:tc>
        <w:tc>
          <w:tcPr>
            <w:tcW w:w="705" w:type="pct"/>
            <w:vAlign w:val="center"/>
          </w:tcPr>
          <w:p>
            <w:pPr>
              <w:pStyle w:val="58"/>
              <w:rPr>
                <w:rFonts w:cs="Times New Roman"/>
                <w:highlight w:val="none"/>
              </w:rPr>
            </w:pPr>
            <w:r>
              <w:rPr>
                <w:rFonts w:cs="Times New Roman"/>
                <w:highlight w:val="none"/>
              </w:rPr>
              <w:t>7440-47-3</w:t>
            </w:r>
          </w:p>
        </w:tc>
        <w:tc>
          <w:tcPr>
            <w:tcW w:w="741" w:type="pct"/>
            <w:vAlign w:val="center"/>
          </w:tcPr>
          <w:p>
            <w:pPr>
              <w:pStyle w:val="58"/>
              <w:rPr>
                <w:rFonts w:cs="Times New Roman"/>
                <w:highlight w:val="none"/>
              </w:rPr>
            </w:pPr>
            <w:r>
              <w:rPr>
                <w:rFonts w:cs="Times New Roman"/>
                <w:highlight w:val="none"/>
              </w:rPr>
              <w:t>1202</w:t>
            </w:r>
          </w:p>
        </w:tc>
        <w:tc>
          <w:tcPr>
            <w:tcW w:w="717" w:type="pct"/>
            <w:vAlign w:val="center"/>
          </w:tcPr>
          <w:p>
            <w:pPr>
              <w:pStyle w:val="58"/>
              <w:rPr>
                <w:rFonts w:cs="Times New Roman"/>
                <w:highlight w:val="none"/>
              </w:rPr>
            </w:pPr>
            <w:r>
              <w:rPr>
                <w:rFonts w:cs="Times New Roman"/>
                <w:highlight w:val="none"/>
              </w:rPr>
              <w:t>2882</w:t>
            </w:r>
          </w:p>
        </w:tc>
        <w:tc>
          <w:tcPr>
            <w:tcW w:w="717" w:type="pct"/>
            <w:vAlign w:val="center"/>
          </w:tcPr>
          <w:p>
            <w:pPr>
              <w:pStyle w:val="58"/>
              <w:rPr>
                <w:rFonts w:cs="Times New Roman"/>
                <w:highlight w:val="none"/>
              </w:rPr>
            </w:pPr>
            <w:r>
              <w:rPr>
                <w:rFonts w:cs="Times New Roman"/>
                <w:highlight w:val="none"/>
              </w:rPr>
              <w:t>2404</w:t>
            </w:r>
          </w:p>
        </w:tc>
        <w:tc>
          <w:tcPr>
            <w:tcW w:w="717" w:type="pct"/>
            <w:vAlign w:val="center"/>
          </w:tcPr>
          <w:p>
            <w:pPr>
              <w:pStyle w:val="58"/>
              <w:rPr>
                <w:rFonts w:cs="Times New Roman"/>
                <w:highlight w:val="none"/>
              </w:rPr>
            </w:pPr>
            <w:r>
              <w:rPr>
                <w:rFonts w:cs="Times New Roman"/>
                <w:highlight w:val="none"/>
              </w:rPr>
              <w:t>5764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7</w:t>
            </w:r>
          </w:p>
        </w:tc>
        <w:tc>
          <w:tcPr>
            <w:tcW w:w="941" w:type="pct"/>
            <w:vAlign w:val="center"/>
          </w:tcPr>
          <w:p>
            <w:pPr>
              <w:pStyle w:val="58"/>
              <w:rPr>
                <w:rFonts w:cs="Times New Roman"/>
                <w:highlight w:val="none"/>
              </w:rPr>
            </w:pPr>
            <w:r>
              <w:rPr>
                <w:rFonts w:cs="Times New Roman"/>
                <w:highlight w:val="none"/>
              </w:rPr>
              <w:t>氟化物（总）</w:t>
            </w:r>
          </w:p>
        </w:tc>
        <w:tc>
          <w:tcPr>
            <w:tcW w:w="705" w:type="pct"/>
            <w:vAlign w:val="center"/>
          </w:tcPr>
          <w:p>
            <w:pPr>
              <w:pStyle w:val="58"/>
              <w:rPr>
                <w:rFonts w:cs="Times New Roman"/>
                <w:highlight w:val="none"/>
              </w:rPr>
            </w:pPr>
            <w:r>
              <w:rPr>
                <w:rFonts w:cs="Times New Roman"/>
                <w:highlight w:val="none"/>
              </w:rPr>
              <w:t>16984-48-8</w:t>
            </w:r>
          </w:p>
        </w:tc>
        <w:tc>
          <w:tcPr>
            <w:tcW w:w="741" w:type="pct"/>
            <w:vAlign w:val="center"/>
          </w:tcPr>
          <w:p>
            <w:pPr>
              <w:pStyle w:val="58"/>
              <w:rPr>
                <w:rFonts w:cs="Times New Roman"/>
                <w:highlight w:val="none"/>
              </w:rPr>
            </w:pPr>
            <w:r>
              <w:rPr>
                <w:rFonts w:cs="Times New Roman"/>
                <w:highlight w:val="none"/>
              </w:rPr>
              <w:t>1915</w:t>
            </w:r>
          </w:p>
        </w:tc>
        <w:tc>
          <w:tcPr>
            <w:tcW w:w="717" w:type="pct"/>
            <w:vAlign w:val="center"/>
          </w:tcPr>
          <w:p>
            <w:pPr>
              <w:pStyle w:val="58"/>
              <w:rPr>
                <w:rFonts w:cs="Times New Roman"/>
                <w:highlight w:val="none"/>
              </w:rPr>
            </w:pPr>
            <w:r>
              <w:rPr>
                <w:rFonts w:cs="Times New Roman"/>
                <w:highlight w:val="none"/>
              </w:rPr>
              <w:t>16022</w:t>
            </w:r>
          </w:p>
        </w:tc>
        <w:tc>
          <w:tcPr>
            <w:tcW w:w="717" w:type="pct"/>
            <w:vAlign w:val="center"/>
          </w:tcPr>
          <w:p>
            <w:pPr>
              <w:pStyle w:val="58"/>
              <w:rPr>
                <w:rFonts w:cs="Times New Roman"/>
                <w:highlight w:val="none"/>
              </w:rPr>
            </w:pPr>
            <w:r>
              <w:rPr>
                <w:rFonts w:cs="Times New Roman"/>
                <w:highlight w:val="none"/>
              </w:rPr>
              <w:t>3830</w:t>
            </w:r>
          </w:p>
        </w:tc>
        <w:tc>
          <w:tcPr>
            <w:tcW w:w="717" w:type="pct"/>
            <w:vAlign w:val="center"/>
          </w:tcPr>
          <w:p>
            <w:pPr>
              <w:pStyle w:val="58"/>
              <w:rPr>
                <w:rFonts w:cs="Times New Roman"/>
                <w:highlight w:val="none"/>
              </w:rPr>
            </w:pPr>
            <w:r>
              <w:rPr>
                <w:rFonts w:cs="Times New Roman"/>
                <w:highlight w:val="none"/>
              </w:rPr>
              <w:t>32045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5000" w:type="pct"/>
            <w:gridSpan w:val="7"/>
            <w:vAlign w:val="center"/>
          </w:tcPr>
          <w:p>
            <w:pPr>
              <w:pStyle w:val="58"/>
              <w:rPr>
                <w:rFonts w:cs="Times New Roman"/>
                <w:highlight w:val="none"/>
              </w:rPr>
            </w:pPr>
            <w:r>
              <w:rPr>
                <w:rFonts w:cs="Times New Roman"/>
                <w:highlight w:val="none"/>
              </w:rPr>
              <w:t>挥发性有机物</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8</w:t>
            </w:r>
          </w:p>
        </w:tc>
        <w:tc>
          <w:tcPr>
            <w:tcW w:w="941" w:type="pct"/>
            <w:vAlign w:val="center"/>
          </w:tcPr>
          <w:p>
            <w:pPr>
              <w:pStyle w:val="58"/>
              <w:rPr>
                <w:rFonts w:cs="Times New Roman"/>
                <w:highlight w:val="none"/>
              </w:rPr>
            </w:pPr>
            <w:r>
              <w:rPr>
                <w:rFonts w:cs="Times New Roman"/>
                <w:highlight w:val="none"/>
              </w:rPr>
              <w:t>二硫化碳</w:t>
            </w:r>
          </w:p>
        </w:tc>
        <w:tc>
          <w:tcPr>
            <w:tcW w:w="705" w:type="pct"/>
            <w:vAlign w:val="center"/>
          </w:tcPr>
          <w:p>
            <w:pPr>
              <w:pStyle w:val="58"/>
              <w:rPr>
                <w:rFonts w:cs="Times New Roman"/>
                <w:highlight w:val="none"/>
              </w:rPr>
            </w:pPr>
            <w:r>
              <w:rPr>
                <w:rFonts w:cs="Times New Roman"/>
                <w:highlight w:val="none"/>
              </w:rPr>
              <w:t>75-15-0</w:t>
            </w:r>
          </w:p>
        </w:tc>
        <w:tc>
          <w:tcPr>
            <w:tcW w:w="741" w:type="pct"/>
            <w:vAlign w:val="center"/>
          </w:tcPr>
          <w:p>
            <w:pPr>
              <w:pStyle w:val="58"/>
              <w:rPr>
                <w:rFonts w:cs="Times New Roman"/>
                <w:highlight w:val="none"/>
              </w:rPr>
            </w:pPr>
            <w:r>
              <w:rPr>
                <w:rFonts w:cs="Times New Roman"/>
                <w:highlight w:val="none"/>
              </w:rPr>
              <w:t>34</w:t>
            </w:r>
          </w:p>
        </w:tc>
        <w:tc>
          <w:tcPr>
            <w:tcW w:w="717" w:type="pct"/>
            <w:vAlign w:val="center"/>
          </w:tcPr>
          <w:p>
            <w:pPr>
              <w:pStyle w:val="58"/>
              <w:rPr>
                <w:rFonts w:cs="Times New Roman"/>
                <w:highlight w:val="none"/>
              </w:rPr>
            </w:pPr>
            <w:r>
              <w:rPr>
                <w:rFonts w:cs="Times New Roman"/>
                <w:highlight w:val="none"/>
              </w:rPr>
              <w:t>176</w:t>
            </w:r>
          </w:p>
        </w:tc>
        <w:tc>
          <w:tcPr>
            <w:tcW w:w="717" w:type="pct"/>
            <w:vAlign w:val="center"/>
          </w:tcPr>
          <w:p>
            <w:pPr>
              <w:pStyle w:val="58"/>
              <w:rPr>
                <w:rFonts w:cs="Times New Roman"/>
                <w:highlight w:val="none"/>
              </w:rPr>
            </w:pPr>
            <w:r>
              <w:rPr>
                <w:rFonts w:cs="Times New Roman"/>
                <w:highlight w:val="none"/>
              </w:rPr>
              <w:t>103</w:t>
            </w:r>
          </w:p>
        </w:tc>
        <w:tc>
          <w:tcPr>
            <w:tcW w:w="717" w:type="pct"/>
            <w:vAlign w:val="center"/>
          </w:tcPr>
          <w:p>
            <w:pPr>
              <w:pStyle w:val="58"/>
              <w:rPr>
                <w:rFonts w:cs="Times New Roman"/>
                <w:highlight w:val="none"/>
              </w:rPr>
            </w:pPr>
            <w:r>
              <w:rPr>
                <w:rFonts w:cs="Times New Roman"/>
                <w:highlight w:val="none"/>
              </w:rPr>
              <w:t>534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9</w:t>
            </w:r>
          </w:p>
        </w:tc>
        <w:tc>
          <w:tcPr>
            <w:tcW w:w="941" w:type="pct"/>
            <w:vAlign w:val="center"/>
          </w:tcPr>
          <w:p>
            <w:pPr>
              <w:pStyle w:val="58"/>
              <w:rPr>
                <w:rFonts w:cs="Times New Roman"/>
                <w:highlight w:val="none"/>
              </w:rPr>
            </w:pPr>
            <w:r>
              <w:rPr>
                <w:rFonts w:cs="Times New Roman"/>
                <w:highlight w:val="none"/>
              </w:rPr>
              <w:t>二溴甲烷</w:t>
            </w:r>
          </w:p>
        </w:tc>
        <w:tc>
          <w:tcPr>
            <w:tcW w:w="705" w:type="pct"/>
            <w:vAlign w:val="center"/>
          </w:tcPr>
          <w:p>
            <w:pPr>
              <w:pStyle w:val="58"/>
              <w:rPr>
                <w:rFonts w:cs="Times New Roman"/>
                <w:highlight w:val="none"/>
              </w:rPr>
            </w:pPr>
            <w:r>
              <w:rPr>
                <w:rFonts w:cs="Times New Roman"/>
                <w:highlight w:val="none"/>
              </w:rPr>
              <w:t>74-95-3</w:t>
            </w:r>
          </w:p>
        </w:tc>
        <w:tc>
          <w:tcPr>
            <w:tcW w:w="741" w:type="pct"/>
            <w:vAlign w:val="center"/>
          </w:tcPr>
          <w:p>
            <w:pPr>
              <w:pStyle w:val="58"/>
              <w:rPr>
                <w:rFonts w:cs="Times New Roman"/>
                <w:highlight w:val="none"/>
              </w:rPr>
            </w:pPr>
            <w:r>
              <w:rPr>
                <w:rFonts w:cs="Times New Roman"/>
                <w:highlight w:val="none"/>
              </w:rPr>
              <w:t>5.6</w:t>
            </w:r>
          </w:p>
        </w:tc>
        <w:tc>
          <w:tcPr>
            <w:tcW w:w="717" w:type="pct"/>
            <w:vAlign w:val="center"/>
          </w:tcPr>
          <w:p>
            <w:pPr>
              <w:pStyle w:val="58"/>
              <w:rPr>
                <w:rFonts w:cs="Times New Roman"/>
                <w:highlight w:val="none"/>
              </w:rPr>
            </w:pPr>
            <w:r>
              <w:rPr>
                <w:rFonts w:cs="Times New Roman"/>
                <w:highlight w:val="none"/>
              </w:rPr>
              <w:t>20</w:t>
            </w:r>
          </w:p>
        </w:tc>
        <w:tc>
          <w:tcPr>
            <w:tcW w:w="717" w:type="pct"/>
            <w:vAlign w:val="center"/>
          </w:tcPr>
          <w:p>
            <w:pPr>
              <w:pStyle w:val="58"/>
              <w:rPr>
                <w:rFonts w:cs="Times New Roman"/>
                <w:highlight w:val="none"/>
              </w:rPr>
            </w:pPr>
            <w:r>
              <w:rPr>
                <w:rFonts w:cs="Times New Roman"/>
                <w:highlight w:val="none"/>
              </w:rPr>
              <w:t>17</w:t>
            </w:r>
          </w:p>
        </w:tc>
        <w:tc>
          <w:tcPr>
            <w:tcW w:w="717" w:type="pct"/>
            <w:vAlign w:val="center"/>
          </w:tcPr>
          <w:p>
            <w:pPr>
              <w:pStyle w:val="58"/>
              <w:rPr>
                <w:rFonts w:cs="Times New Roman"/>
                <w:highlight w:val="none"/>
              </w:rPr>
            </w:pPr>
            <w:r>
              <w:rPr>
                <w:rFonts w:cs="Times New Roman"/>
                <w:highlight w:val="none"/>
              </w:rPr>
              <w:t>82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10</w:t>
            </w:r>
          </w:p>
        </w:tc>
        <w:tc>
          <w:tcPr>
            <w:tcW w:w="941" w:type="pct"/>
            <w:vAlign w:val="center"/>
          </w:tcPr>
          <w:p>
            <w:pPr>
              <w:pStyle w:val="58"/>
              <w:rPr>
                <w:rFonts w:cs="Times New Roman"/>
                <w:highlight w:val="none"/>
              </w:rPr>
            </w:pPr>
            <w:r>
              <w:rPr>
                <w:rFonts w:cs="Times New Roman"/>
                <w:highlight w:val="none"/>
              </w:rPr>
              <w:t>1,3-二氯丙烷</w:t>
            </w:r>
          </w:p>
        </w:tc>
        <w:tc>
          <w:tcPr>
            <w:tcW w:w="705" w:type="pct"/>
            <w:vAlign w:val="center"/>
          </w:tcPr>
          <w:p>
            <w:pPr>
              <w:pStyle w:val="58"/>
              <w:rPr>
                <w:rFonts w:cs="Times New Roman"/>
                <w:highlight w:val="none"/>
              </w:rPr>
            </w:pPr>
            <w:r>
              <w:rPr>
                <w:rFonts w:cs="Times New Roman"/>
                <w:highlight w:val="none"/>
              </w:rPr>
              <w:t>142-28-9</w:t>
            </w:r>
          </w:p>
        </w:tc>
        <w:tc>
          <w:tcPr>
            <w:tcW w:w="741" w:type="pct"/>
            <w:vAlign w:val="center"/>
          </w:tcPr>
          <w:p>
            <w:pPr>
              <w:pStyle w:val="58"/>
              <w:rPr>
                <w:rFonts w:cs="Times New Roman"/>
                <w:highlight w:val="none"/>
              </w:rPr>
            </w:pPr>
            <w:r>
              <w:rPr>
                <w:rFonts w:cs="Times New Roman"/>
                <w:highlight w:val="none"/>
              </w:rPr>
              <w:t>34</w:t>
            </w:r>
          </w:p>
        </w:tc>
        <w:tc>
          <w:tcPr>
            <w:tcW w:w="717" w:type="pct"/>
            <w:vAlign w:val="center"/>
          </w:tcPr>
          <w:p>
            <w:pPr>
              <w:pStyle w:val="58"/>
              <w:rPr>
                <w:rFonts w:cs="Times New Roman"/>
                <w:highlight w:val="none"/>
              </w:rPr>
            </w:pPr>
            <w:r>
              <w:rPr>
                <w:rFonts w:cs="Times New Roman"/>
                <w:highlight w:val="none"/>
              </w:rPr>
              <w:t>171</w:t>
            </w:r>
          </w:p>
        </w:tc>
        <w:tc>
          <w:tcPr>
            <w:tcW w:w="717" w:type="pct"/>
            <w:vAlign w:val="center"/>
          </w:tcPr>
          <w:p>
            <w:pPr>
              <w:pStyle w:val="58"/>
              <w:rPr>
                <w:rFonts w:cs="Times New Roman"/>
                <w:highlight w:val="none"/>
              </w:rPr>
            </w:pPr>
            <w:r>
              <w:rPr>
                <w:rFonts w:cs="Times New Roman"/>
                <w:highlight w:val="none"/>
              </w:rPr>
              <w:t>104</w:t>
            </w:r>
          </w:p>
        </w:tc>
        <w:tc>
          <w:tcPr>
            <w:tcW w:w="717" w:type="pct"/>
            <w:vAlign w:val="center"/>
          </w:tcPr>
          <w:p>
            <w:pPr>
              <w:pStyle w:val="58"/>
              <w:rPr>
                <w:rFonts w:cs="Times New Roman"/>
                <w:highlight w:val="none"/>
              </w:rPr>
            </w:pPr>
            <w:r>
              <w:rPr>
                <w:rFonts w:cs="Times New Roman"/>
                <w:highlight w:val="none"/>
              </w:rPr>
              <w:t>518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11</w:t>
            </w:r>
          </w:p>
        </w:tc>
        <w:tc>
          <w:tcPr>
            <w:tcW w:w="941" w:type="pct"/>
            <w:vAlign w:val="center"/>
          </w:tcPr>
          <w:p>
            <w:pPr>
              <w:pStyle w:val="58"/>
              <w:rPr>
                <w:rFonts w:cs="Times New Roman"/>
                <w:highlight w:val="none"/>
              </w:rPr>
            </w:pPr>
            <w:r>
              <w:rPr>
                <w:rFonts w:cs="Times New Roman"/>
                <w:highlight w:val="none"/>
              </w:rPr>
              <w:t>1,1,2-三氯丙烷</w:t>
            </w:r>
          </w:p>
        </w:tc>
        <w:tc>
          <w:tcPr>
            <w:tcW w:w="705" w:type="pct"/>
            <w:vAlign w:val="center"/>
          </w:tcPr>
          <w:p>
            <w:pPr>
              <w:pStyle w:val="58"/>
              <w:rPr>
                <w:rFonts w:cs="Times New Roman"/>
                <w:highlight w:val="none"/>
              </w:rPr>
            </w:pPr>
            <w:r>
              <w:rPr>
                <w:rFonts w:cs="Times New Roman"/>
                <w:highlight w:val="none"/>
              </w:rPr>
              <w:t>598-77-6</w:t>
            </w:r>
          </w:p>
        </w:tc>
        <w:tc>
          <w:tcPr>
            <w:tcW w:w="741" w:type="pct"/>
            <w:vAlign w:val="center"/>
          </w:tcPr>
          <w:p>
            <w:pPr>
              <w:pStyle w:val="58"/>
              <w:rPr>
                <w:rFonts w:cs="Times New Roman"/>
                <w:highlight w:val="none"/>
              </w:rPr>
            </w:pPr>
            <w:r>
              <w:rPr>
                <w:rFonts w:cs="Times New Roman"/>
                <w:highlight w:val="none"/>
              </w:rPr>
              <w:t>2.3</w:t>
            </w:r>
          </w:p>
        </w:tc>
        <w:tc>
          <w:tcPr>
            <w:tcW w:w="717" w:type="pct"/>
            <w:vAlign w:val="center"/>
          </w:tcPr>
          <w:p>
            <w:pPr>
              <w:pStyle w:val="58"/>
              <w:rPr>
                <w:rFonts w:cs="Times New Roman"/>
                <w:highlight w:val="none"/>
              </w:rPr>
            </w:pPr>
            <w:r>
              <w:rPr>
                <w:rFonts w:cs="Times New Roman"/>
                <w:highlight w:val="none"/>
              </w:rPr>
              <w:t>10</w:t>
            </w:r>
          </w:p>
        </w:tc>
        <w:tc>
          <w:tcPr>
            <w:tcW w:w="717" w:type="pct"/>
            <w:vAlign w:val="center"/>
          </w:tcPr>
          <w:p>
            <w:pPr>
              <w:pStyle w:val="58"/>
              <w:rPr>
                <w:rFonts w:cs="Times New Roman"/>
                <w:highlight w:val="none"/>
              </w:rPr>
            </w:pPr>
            <w:r>
              <w:rPr>
                <w:rFonts w:cs="Times New Roman"/>
                <w:highlight w:val="none"/>
              </w:rPr>
              <w:t>7.0</w:t>
            </w:r>
          </w:p>
        </w:tc>
        <w:tc>
          <w:tcPr>
            <w:tcW w:w="717" w:type="pct"/>
            <w:vAlign w:val="center"/>
          </w:tcPr>
          <w:p>
            <w:pPr>
              <w:pStyle w:val="58"/>
              <w:rPr>
                <w:rFonts w:cs="Times New Roman"/>
                <w:highlight w:val="none"/>
              </w:rPr>
            </w:pPr>
            <w:r>
              <w:rPr>
                <w:rFonts w:cs="Times New Roman"/>
                <w:highlight w:val="none"/>
              </w:rPr>
              <w:t>31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12</w:t>
            </w:r>
          </w:p>
        </w:tc>
        <w:tc>
          <w:tcPr>
            <w:tcW w:w="941" w:type="pct"/>
            <w:vAlign w:val="center"/>
          </w:tcPr>
          <w:p>
            <w:pPr>
              <w:pStyle w:val="58"/>
              <w:rPr>
                <w:rFonts w:cs="Times New Roman"/>
                <w:highlight w:val="none"/>
              </w:rPr>
            </w:pPr>
            <w:r>
              <w:rPr>
                <w:rFonts w:cs="Times New Roman"/>
                <w:highlight w:val="none"/>
              </w:rPr>
              <w:t>4-氯甲苯</w:t>
            </w:r>
          </w:p>
        </w:tc>
        <w:tc>
          <w:tcPr>
            <w:tcW w:w="705" w:type="pct"/>
            <w:vAlign w:val="center"/>
          </w:tcPr>
          <w:p>
            <w:pPr>
              <w:pStyle w:val="58"/>
              <w:rPr>
                <w:rFonts w:cs="Times New Roman"/>
                <w:highlight w:val="none"/>
              </w:rPr>
            </w:pPr>
            <w:r>
              <w:rPr>
                <w:rFonts w:cs="Times New Roman"/>
                <w:highlight w:val="none"/>
              </w:rPr>
              <w:t>106-43-4</w:t>
            </w:r>
          </w:p>
        </w:tc>
        <w:tc>
          <w:tcPr>
            <w:tcW w:w="741" w:type="pct"/>
            <w:vAlign w:val="center"/>
          </w:tcPr>
          <w:p>
            <w:pPr>
              <w:pStyle w:val="58"/>
              <w:rPr>
                <w:rFonts w:cs="Times New Roman"/>
                <w:highlight w:val="none"/>
              </w:rPr>
            </w:pPr>
            <w:r>
              <w:rPr>
                <w:rFonts w:cs="Times New Roman"/>
                <w:highlight w:val="none"/>
              </w:rPr>
              <w:t>592</w:t>
            </w:r>
          </w:p>
        </w:tc>
        <w:tc>
          <w:tcPr>
            <w:tcW w:w="717" w:type="pct"/>
            <w:vAlign w:val="center"/>
          </w:tcPr>
          <w:p>
            <w:pPr>
              <w:pStyle w:val="58"/>
              <w:rPr>
                <w:rFonts w:cs="Times New Roman"/>
                <w:highlight w:val="none"/>
              </w:rPr>
            </w:pPr>
            <w:r>
              <w:rPr>
                <w:rFonts w:cs="Times New Roman"/>
                <w:highlight w:val="none"/>
              </w:rPr>
              <w:t>592</w:t>
            </w:r>
          </w:p>
        </w:tc>
        <w:tc>
          <w:tcPr>
            <w:tcW w:w="717" w:type="pct"/>
            <w:vAlign w:val="center"/>
          </w:tcPr>
          <w:p>
            <w:pPr>
              <w:pStyle w:val="58"/>
              <w:rPr>
                <w:rFonts w:cs="Times New Roman"/>
                <w:highlight w:val="none"/>
              </w:rPr>
            </w:pPr>
            <w:r>
              <w:rPr>
                <w:rFonts w:cs="Times New Roman"/>
                <w:highlight w:val="none"/>
              </w:rPr>
              <w:t>592</w:t>
            </w:r>
          </w:p>
        </w:tc>
        <w:tc>
          <w:tcPr>
            <w:tcW w:w="717" w:type="pct"/>
            <w:vAlign w:val="center"/>
          </w:tcPr>
          <w:p>
            <w:pPr>
              <w:pStyle w:val="58"/>
              <w:rPr>
                <w:rFonts w:cs="Times New Roman"/>
                <w:highlight w:val="none"/>
              </w:rPr>
            </w:pPr>
            <w:r>
              <w:rPr>
                <w:rFonts w:cs="Times New Roman"/>
                <w:highlight w:val="none"/>
              </w:rPr>
              <w:t>592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13</w:t>
            </w:r>
          </w:p>
        </w:tc>
        <w:tc>
          <w:tcPr>
            <w:tcW w:w="941" w:type="pct"/>
            <w:vAlign w:val="center"/>
          </w:tcPr>
          <w:p>
            <w:pPr>
              <w:pStyle w:val="58"/>
              <w:rPr>
                <w:rFonts w:cs="Times New Roman"/>
                <w:highlight w:val="none"/>
              </w:rPr>
            </w:pPr>
            <w:r>
              <w:rPr>
                <w:rFonts w:cs="Times New Roman"/>
                <w:highlight w:val="none"/>
              </w:rPr>
              <w:t>1,3-二氯苯</w:t>
            </w:r>
          </w:p>
        </w:tc>
        <w:tc>
          <w:tcPr>
            <w:tcW w:w="705" w:type="pct"/>
            <w:vAlign w:val="center"/>
          </w:tcPr>
          <w:p>
            <w:pPr>
              <w:pStyle w:val="58"/>
              <w:rPr>
                <w:rFonts w:cs="Times New Roman"/>
                <w:highlight w:val="none"/>
              </w:rPr>
            </w:pPr>
            <w:r>
              <w:rPr>
                <w:rFonts w:cs="Times New Roman"/>
                <w:highlight w:val="none"/>
              </w:rPr>
              <w:t>541-73-1</w:t>
            </w:r>
          </w:p>
        </w:tc>
        <w:tc>
          <w:tcPr>
            <w:tcW w:w="741" w:type="pct"/>
            <w:vAlign w:val="center"/>
          </w:tcPr>
          <w:p>
            <w:pPr>
              <w:pStyle w:val="58"/>
              <w:rPr>
                <w:rFonts w:cs="Times New Roman"/>
                <w:highlight w:val="none"/>
              </w:rPr>
            </w:pPr>
            <w:r>
              <w:rPr>
                <w:rFonts w:cs="Times New Roman"/>
                <w:highlight w:val="none"/>
              </w:rPr>
              <w:t>1.3</w:t>
            </w:r>
          </w:p>
        </w:tc>
        <w:tc>
          <w:tcPr>
            <w:tcW w:w="717" w:type="pct"/>
            <w:vAlign w:val="center"/>
          </w:tcPr>
          <w:p>
            <w:pPr>
              <w:pStyle w:val="58"/>
              <w:rPr>
                <w:rFonts w:cs="Times New Roman"/>
                <w:highlight w:val="none"/>
              </w:rPr>
            </w:pPr>
            <w:r>
              <w:rPr>
                <w:rFonts w:cs="Times New Roman"/>
                <w:highlight w:val="none"/>
              </w:rPr>
              <w:t>6.7</w:t>
            </w:r>
          </w:p>
        </w:tc>
        <w:tc>
          <w:tcPr>
            <w:tcW w:w="717" w:type="pct"/>
            <w:vAlign w:val="center"/>
          </w:tcPr>
          <w:p>
            <w:pPr>
              <w:pStyle w:val="58"/>
              <w:rPr>
                <w:rFonts w:cs="Times New Roman"/>
                <w:highlight w:val="none"/>
              </w:rPr>
            </w:pPr>
            <w:r>
              <w:rPr>
                <w:rFonts w:cs="Times New Roman"/>
                <w:highlight w:val="none"/>
              </w:rPr>
              <w:t>3.9</w:t>
            </w:r>
          </w:p>
        </w:tc>
        <w:tc>
          <w:tcPr>
            <w:tcW w:w="717" w:type="pct"/>
            <w:vAlign w:val="center"/>
          </w:tcPr>
          <w:p>
            <w:pPr>
              <w:pStyle w:val="58"/>
              <w:rPr>
                <w:rFonts w:cs="Times New Roman"/>
                <w:highlight w:val="none"/>
              </w:rPr>
            </w:pPr>
            <w:r>
              <w:rPr>
                <w:rFonts w:cs="Times New Roman"/>
                <w:highlight w:val="none"/>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14</w:t>
            </w:r>
          </w:p>
        </w:tc>
        <w:tc>
          <w:tcPr>
            <w:tcW w:w="941" w:type="pct"/>
            <w:vAlign w:val="center"/>
          </w:tcPr>
          <w:p>
            <w:pPr>
              <w:pStyle w:val="58"/>
              <w:rPr>
                <w:rFonts w:cs="Times New Roman"/>
                <w:highlight w:val="none"/>
              </w:rPr>
            </w:pPr>
            <w:r>
              <w:rPr>
                <w:rFonts w:cs="Times New Roman"/>
                <w:highlight w:val="none"/>
              </w:rPr>
              <w:t>1,2,4-三甲基苯</w:t>
            </w:r>
          </w:p>
        </w:tc>
        <w:tc>
          <w:tcPr>
            <w:tcW w:w="705" w:type="pct"/>
            <w:vAlign w:val="center"/>
          </w:tcPr>
          <w:p>
            <w:pPr>
              <w:pStyle w:val="58"/>
              <w:rPr>
                <w:rFonts w:cs="Times New Roman"/>
                <w:highlight w:val="none"/>
              </w:rPr>
            </w:pPr>
            <w:r>
              <w:rPr>
                <w:rFonts w:cs="Times New Roman"/>
                <w:highlight w:val="none"/>
              </w:rPr>
              <w:t>95-63-6</w:t>
            </w:r>
          </w:p>
        </w:tc>
        <w:tc>
          <w:tcPr>
            <w:tcW w:w="741" w:type="pct"/>
            <w:vAlign w:val="center"/>
          </w:tcPr>
          <w:p>
            <w:pPr>
              <w:pStyle w:val="58"/>
              <w:rPr>
                <w:rFonts w:cs="Times New Roman"/>
                <w:highlight w:val="none"/>
              </w:rPr>
            </w:pPr>
            <w:r>
              <w:rPr>
                <w:rFonts w:cs="Times New Roman"/>
                <w:highlight w:val="none"/>
              </w:rPr>
              <w:t>97</w:t>
            </w:r>
          </w:p>
        </w:tc>
        <w:tc>
          <w:tcPr>
            <w:tcW w:w="717" w:type="pct"/>
            <w:vAlign w:val="center"/>
          </w:tcPr>
          <w:p>
            <w:pPr>
              <w:pStyle w:val="58"/>
              <w:rPr>
                <w:rFonts w:cs="Times New Roman"/>
                <w:highlight w:val="none"/>
              </w:rPr>
            </w:pPr>
            <w:r>
              <w:rPr>
                <w:rFonts w:cs="Times New Roman"/>
                <w:highlight w:val="none"/>
              </w:rPr>
              <w:t>514</w:t>
            </w:r>
          </w:p>
        </w:tc>
        <w:tc>
          <w:tcPr>
            <w:tcW w:w="717" w:type="pct"/>
            <w:vAlign w:val="center"/>
          </w:tcPr>
          <w:p>
            <w:pPr>
              <w:pStyle w:val="58"/>
              <w:rPr>
                <w:rFonts w:cs="Times New Roman"/>
                <w:highlight w:val="none"/>
              </w:rPr>
            </w:pPr>
            <w:r>
              <w:rPr>
                <w:rFonts w:cs="Times New Roman"/>
                <w:highlight w:val="none"/>
              </w:rPr>
              <w:t>293</w:t>
            </w:r>
          </w:p>
        </w:tc>
        <w:tc>
          <w:tcPr>
            <w:tcW w:w="717" w:type="pct"/>
            <w:vAlign w:val="center"/>
          </w:tcPr>
          <w:p>
            <w:pPr>
              <w:pStyle w:val="58"/>
              <w:rPr>
                <w:rFonts w:cs="Times New Roman"/>
                <w:highlight w:val="none"/>
              </w:rPr>
            </w:pPr>
            <w:r>
              <w:rPr>
                <w:rFonts w:cs="Times New Roman"/>
                <w:highlight w:val="none"/>
              </w:rPr>
              <w:t>514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15</w:t>
            </w:r>
          </w:p>
        </w:tc>
        <w:tc>
          <w:tcPr>
            <w:tcW w:w="941" w:type="pct"/>
            <w:vAlign w:val="center"/>
          </w:tcPr>
          <w:p>
            <w:pPr>
              <w:pStyle w:val="58"/>
              <w:rPr>
                <w:rFonts w:cs="Times New Roman"/>
                <w:highlight w:val="none"/>
              </w:rPr>
            </w:pPr>
            <w:r>
              <w:rPr>
                <w:rFonts w:cs="Times New Roman"/>
                <w:highlight w:val="none"/>
              </w:rPr>
              <w:t>1,3,5-三甲基苯</w:t>
            </w:r>
          </w:p>
        </w:tc>
        <w:tc>
          <w:tcPr>
            <w:tcW w:w="705" w:type="pct"/>
            <w:vAlign w:val="center"/>
          </w:tcPr>
          <w:p>
            <w:pPr>
              <w:pStyle w:val="58"/>
              <w:rPr>
                <w:rFonts w:cs="Times New Roman"/>
                <w:highlight w:val="none"/>
              </w:rPr>
            </w:pPr>
            <w:r>
              <w:rPr>
                <w:rFonts w:cs="Times New Roman"/>
                <w:highlight w:val="none"/>
              </w:rPr>
              <w:t>108-67-8</w:t>
            </w:r>
          </w:p>
        </w:tc>
        <w:tc>
          <w:tcPr>
            <w:tcW w:w="741" w:type="pct"/>
            <w:vAlign w:val="center"/>
          </w:tcPr>
          <w:p>
            <w:pPr>
              <w:pStyle w:val="58"/>
              <w:rPr>
                <w:rFonts w:cs="Times New Roman"/>
                <w:highlight w:val="none"/>
              </w:rPr>
            </w:pPr>
            <w:r>
              <w:rPr>
                <w:rFonts w:cs="Times New Roman"/>
                <w:highlight w:val="none"/>
              </w:rPr>
              <w:t>74</w:t>
            </w:r>
          </w:p>
        </w:tc>
        <w:tc>
          <w:tcPr>
            <w:tcW w:w="717" w:type="pct"/>
            <w:vAlign w:val="center"/>
          </w:tcPr>
          <w:p>
            <w:pPr>
              <w:pStyle w:val="58"/>
              <w:rPr>
                <w:rFonts w:cs="Times New Roman"/>
                <w:highlight w:val="none"/>
              </w:rPr>
            </w:pPr>
            <w:r>
              <w:rPr>
                <w:rFonts w:cs="Times New Roman"/>
                <w:highlight w:val="none"/>
              </w:rPr>
              <w:t>410</w:t>
            </w:r>
          </w:p>
        </w:tc>
        <w:tc>
          <w:tcPr>
            <w:tcW w:w="717" w:type="pct"/>
            <w:vAlign w:val="center"/>
          </w:tcPr>
          <w:p>
            <w:pPr>
              <w:pStyle w:val="58"/>
              <w:rPr>
                <w:rFonts w:cs="Times New Roman"/>
                <w:highlight w:val="none"/>
              </w:rPr>
            </w:pPr>
            <w:r>
              <w:rPr>
                <w:rFonts w:cs="Times New Roman"/>
                <w:highlight w:val="none"/>
              </w:rPr>
              <w:t>226</w:t>
            </w:r>
          </w:p>
        </w:tc>
        <w:tc>
          <w:tcPr>
            <w:tcW w:w="717" w:type="pct"/>
            <w:vAlign w:val="center"/>
          </w:tcPr>
          <w:p>
            <w:pPr>
              <w:pStyle w:val="58"/>
              <w:rPr>
                <w:rFonts w:cs="Times New Roman"/>
                <w:highlight w:val="none"/>
              </w:rPr>
            </w:pPr>
            <w:r>
              <w:rPr>
                <w:rFonts w:cs="Times New Roman"/>
                <w:highlight w:val="none"/>
              </w:rPr>
              <w:t>426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16</w:t>
            </w:r>
          </w:p>
        </w:tc>
        <w:tc>
          <w:tcPr>
            <w:tcW w:w="941" w:type="pct"/>
            <w:vAlign w:val="center"/>
          </w:tcPr>
          <w:p>
            <w:pPr>
              <w:pStyle w:val="58"/>
              <w:rPr>
                <w:rFonts w:cs="Times New Roman"/>
                <w:highlight w:val="none"/>
              </w:rPr>
            </w:pPr>
            <w:r>
              <w:rPr>
                <w:rFonts w:cs="Times New Roman"/>
                <w:highlight w:val="none"/>
              </w:rPr>
              <w:t>1,2,3-三氯苯</w:t>
            </w:r>
          </w:p>
        </w:tc>
        <w:tc>
          <w:tcPr>
            <w:tcW w:w="705" w:type="pct"/>
            <w:vAlign w:val="center"/>
          </w:tcPr>
          <w:p>
            <w:pPr>
              <w:pStyle w:val="58"/>
              <w:rPr>
                <w:rFonts w:cs="Times New Roman"/>
                <w:highlight w:val="none"/>
              </w:rPr>
            </w:pPr>
            <w:r>
              <w:rPr>
                <w:rFonts w:cs="Times New Roman"/>
                <w:highlight w:val="none"/>
              </w:rPr>
              <w:t>87-61-6</w:t>
            </w:r>
          </w:p>
        </w:tc>
        <w:tc>
          <w:tcPr>
            <w:tcW w:w="741" w:type="pct"/>
            <w:vAlign w:val="center"/>
          </w:tcPr>
          <w:p>
            <w:pPr>
              <w:pStyle w:val="58"/>
              <w:rPr>
                <w:rFonts w:cs="Times New Roman"/>
                <w:highlight w:val="none"/>
              </w:rPr>
            </w:pPr>
            <w:r>
              <w:rPr>
                <w:rFonts w:cs="Times New Roman"/>
                <w:highlight w:val="none"/>
              </w:rPr>
              <w:t>16</w:t>
            </w:r>
          </w:p>
        </w:tc>
        <w:tc>
          <w:tcPr>
            <w:tcW w:w="717" w:type="pct"/>
            <w:vAlign w:val="center"/>
          </w:tcPr>
          <w:p>
            <w:pPr>
              <w:pStyle w:val="58"/>
              <w:rPr>
                <w:rFonts w:cs="Times New Roman"/>
                <w:highlight w:val="none"/>
              </w:rPr>
            </w:pPr>
            <w:r>
              <w:rPr>
                <w:rFonts w:cs="Times New Roman"/>
                <w:highlight w:val="none"/>
              </w:rPr>
              <w:t>97</w:t>
            </w:r>
          </w:p>
        </w:tc>
        <w:tc>
          <w:tcPr>
            <w:tcW w:w="717" w:type="pct"/>
            <w:vAlign w:val="center"/>
          </w:tcPr>
          <w:p>
            <w:pPr>
              <w:pStyle w:val="58"/>
              <w:rPr>
                <w:rFonts w:cs="Times New Roman"/>
                <w:highlight w:val="none"/>
              </w:rPr>
            </w:pPr>
            <w:r>
              <w:rPr>
                <w:rFonts w:cs="Times New Roman"/>
                <w:highlight w:val="none"/>
              </w:rPr>
              <w:t>47</w:t>
            </w:r>
          </w:p>
        </w:tc>
        <w:tc>
          <w:tcPr>
            <w:tcW w:w="717" w:type="pct"/>
            <w:vAlign w:val="center"/>
          </w:tcPr>
          <w:p>
            <w:pPr>
              <w:pStyle w:val="58"/>
              <w:rPr>
                <w:rFonts w:cs="Times New Roman"/>
                <w:highlight w:val="none"/>
              </w:rPr>
            </w:pPr>
            <w:r>
              <w:rPr>
                <w:rFonts w:cs="Times New Roman"/>
                <w:highlight w:val="none"/>
              </w:rPr>
              <w:t>294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17</w:t>
            </w:r>
          </w:p>
        </w:tc>
        <w:tc>
          <w:tcPr>
            <w:tcW w:w="941" w:type="pct"/>
            <w:vAlign w:val="center"/>
          </w:tcPr>
          <w:p>
            <w:pPr>
              <w:pStyle w:val="58"/>
              <w:rPr>
                <w:rFonts w:cs="Times New Roman"/>
                <w:highlight w:val="none"/>
              </w:rPr>
            </w:pPr>
            <w:r>
              <w:rPr>
                <w:rFonts w:cs="Times New Roman"/>
                <w:highlight w:val="none"/>
              </w:rPr>
              <w:t>异丙苯</w:t>
            </w:r>
          </w:p>
        </w:tc>
        <w:tc>
          <w:tcPr>
            <w:tcW w:w="705" w:type="pct"/>
            <w:vAlign w:val="center"/>
          </w:tcPr>
          <w:p>
            <w:pPr>
              <w:pStyle w:val="58"/>
              <w:rPr>
                <w:rFonts w:cs="Times New Roman"/>
                <w:highlight w:val="none"/>
              </w:rPr>
            </w:pPr>
            <w:r>
              <w:rPr>
                <w:rFonts w:cs="Times New Roman"/>
                <w:highlight w:val="none"/>
              </w:rPr>
              <w:t>98-82-8</w:t>
            </w:r>
          </w:p>
        </w:tc>
        <w:tc>
          <w:tcPr>
            <w:tcW w:w="741" w:type="pct"/>
            <w:vAlign w:val="center"/>
          </w:tcPr>
          <w:p>
            <w:pPr>
              <w:pStyle w:val="58"/>
              <w:rPr>
                <w:rFonts w:cs="Times New Roman"/>
                <w:highlight w:val="none"/>
              </w:rPr>
            </w:pPr>
            <w:r>
              <w:rPr>
                <w:rFonts w:cs="Times New Roman"/>
                <w:highlight w:val="none"/>
              </w:rPr>
              <w:t>483</w:t>
            </w:r>
          </w:p>
        </w:tc>
        <w:tc>
          <w:tcPr>
            <w:tcW w:w="717" w:type="pct"/>
            <w:vAlign w:val="center"/>
          </w:tcPr>
          <w:p>
            <w:pPr>
              <w:pStyle w:val="58"/>
              <w:rPr>
                <w:rFonts w:cs="Times New Roman"/>
                <w:highlight w:val="none"/>
              </w:rPr>
            </w:pPr>
            <w:r>
              <w:rPr>
                <w:rFonts w:cs="Times New Roman"/>
                <w:highlight w:val="none"/>
              </w:rPr>
              <w:t>627</w:t>
            </w:r>
          </w:p>
        </w:tc>
        <w:tc>
          <w:tcPr>
            <w:tcW w:w="717" w:type="pct"/>
            <w:vAlign w:val="center"/>
          </w:tcPr>
          <w:p>
            <w:pPr>
              <w:pStyle w:val="58"/>
              <w:rPr>
                <w:rFonts w:cs="Times New Roman"/>
                <w:highlight w:val="none"/>
              </w:rPr>
            </w:pPr>
            <w:r>
              <w:rPr>
                <w:rFonts w:cs="Times New Roman"/>
                <w:highlight w:val="none"/>
              </w:rPr>
              <w:t>627</w:t>
            </w:r>
          </w:p>
        </w:tc>
        <w:tc>
          <w:tcPr>
            <w:tcW w:w="717" w:type="pct"/>
            <w:vAlign w:val="center"/>
          </w:tcPr>
          <w:p>
            <w:pPr>
              <w:pStyle w:val="58"/>
              <w:rPr>
                <w:rFonts w:cs="Times New Roman"/>
                <w:highlight w:val="none"/>
              </w:rPr>
            </w:pPr>
            <w:r>
              <w:rPr>
                <w:rFonts w:cs="Times New Roman"/>
                <w:highlight w:val="none"/>
              </w:rPr>
              <w:t>627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18</w:t>
            </w:r>
          </w:p>
        </w:tc>
        <w:tc>
          <w:tcPr>
            <w:tcW w:w="941" w:type="pct"/>
            <w:vAlign w:val="center"/>
          </w:tcPr>
          <w:p>
            <w:pPr>
              <w:pStyle w:val="58"/>
              <w:rPr>
                <w:rFonts w:cs="Times New Roman"/>
                <w:highlight w:val="none"/>
              </w:rPr>
            </w:pPr>
            <w:r>
              <w:rPr>
                <w:rFonts w:cs="Times New Roman"/>
                <w:highlight w:val="none"/>
              </w:rPr>
              <w:t>正丁基苯</w:t>
            </w:r>
          </w:p>
        </w:tc>
        <w:tc>
          <w:tcPr>
            <w:tcW w:w="705" w:type="pct"/>
            <w:vAlign w:val="center"/>
          </w:tcPr>
          <w:p>
            <w:pPr>
              <w:pStyle w:val="58"/>
              <w:rPr>
                <w:rFonts w:cs="Times New Roman"/>
                <w:highlight w:val="none"/>
              </w:rPr>
            </w:pPr>
            <w:r>
              <w:rPr>
                <w:rFonts w:cs="Times New Roman"/>
                <w:highlight w:val="none"/>
              </w:rPr>
              <w:t>104-51-8</w:t>
            </w:r>
          </w:p>
        </w:tc>
        <w:tc>
          <w:tcPr>
            <w:tcW w:w="741" w:type="pct"/>
            <w:vAlign w:val="center"/>
          </w:tcPr>
          <w:p>
            <w:pPr>
              <w:pStyle w:val="58"/>
              <w:rPr>
                <w:rFonts w:cs="Times New Roman"/>
                <w:highlight w:val="none"/>
              </w:rPr>
            </w:pPr>
            <w:r>
              <w:rPr>
                <w:rFonts w:cs="Times New Roman"/>
                <w:highlight w:val="none"/>
              </w:rPr>
              <w:t>253</w:t>
            </w:r>
          </w:p>
        </w:tc>
        <w:tc>
          <w:tcPr>
            <w:tcW w:w="717" w:type="pct"/>
            <w:vAlign w:val="center"/>
          </w:tcPr>
          <w:p>
            <w:pPr>
              <w:pStyle w:val="58"/>
              <w:rPr>
                <w:rFonts w:cs="Times New Roman"/>
                <w:highlight w:val="none"/>
              </w:rPr>
            </w:pPr>
            <w:r>
              <w:rPr>
                <w:rFonts w:cs="Times New Roman"/>
                <w:highlight w:val="none"/>
              </w:rPr>
              <w:t>253</w:t>
            </w:r>
          </w:p>
        </w:tc>
        <w:tc>
          <w:tcPr>
            <w:tcW w:w="717" w:type="pct"/>
            <w:vAlign w:val="center"/>
          </w:tcPr>
          <w:p>
            <w:pPr>
              <w:pStyle w:val="58"/>
              <w:rPr>
                <w:rFonts w:cs="Times New Roman"/>
                <w:highlight w:val="none"/>
              </w:rPr>
            </w:pPr>
            <w:r>
              <w:rPr>
                <w:rFonts w:cs="Times New Roman"/>
                <w:highlight w:val="none"/>
              </w:rPr>
              <w:t>253</w:t>
            </w:r>
          </w:p>
        </w:tc>
        <w:tc>
          <w:tcPr>
            <w:tcW w:w="717" w:type="pct"/>
            <w:vAlign w:val="center"/>
          </w:tcPr>
          <w:p>
            <w:pPr>
              <w:pStyle w:val="58"/>
              <w:rPr>
                <w:rFonts w:cs="Times New Roman"/>
                <w:highlight w:val="none"/>
              </w:rPr>
            </w:pPr>
            <w:r>
              <w:rPr>
                <w:rFonts w:cs="Times New Roman"/>
                <w:highlight w:val="none"/>
              </w:rPr>
              <w:t>253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19</w:t>
            </w:r>
          </w:p>
        </w:tc>
        <w:tc>
          <w:tcPr>
            <w:tcW w:w="941" w:type="pct"/>
            <w:vAlign w:val="center"/>
          </w:tcPr>
          <w:p>
            <w:pPr>
              <w:pStyle w:val="58"/>
              <w:rPr>
                <w:rFonts w:cs="Times New Roman"/>
                <w:highlight w:val="none"/>
              </w:rPr>
            </w:pPr>
            <w:r>
              <w:rPr>
                <w:rFonts w:cs="Times New Roman"/>
                <w:highlight w:val="none"/>
              </w:rPr>
              <w:t>六氯丁二烯</w:t>
            </w:r>
          </w:p>
        </w:tc>
        <w:tc>
          <w:tcPr>
            <w:tcW w:w="705" w:type="pct"/>
            <w:vAlign w:val="center"/>
          </w:tcPr>
          <w:p>
            <w:pPr>
              <w:pStyle w:val="58"/>
              <w:rPr>
                <w:rFonts w:cs="Times New Roman"/>
                <w:highlight w:val="none"/>
              </w:rPr>
            </w:pPr>
            <w:r>
              <w:rPr>
                <w:rFonts w:cs="Times New Roman"/>
                <w:highlight w:val="none"/>
              </w:rPr>
              <w:t>87-68-3</w:t>
            </w:r>
          </w:p>
        </w:tc>
        <w:tc>
          <w:tcPr>
            <w:tcW w:w="741" w:type="pct"/>
            <w:vAlign w:val="center"/>
          </w:tcPr>
          <w:p>
            <w:pPr>
              <w:pStyle w:val="58"/>
              <w:rPr>
                <w:rFonts w:cs="Times New Roman"/>
                <w:highlight w:val="none"/>
              </w:rPr>
            </w:pPr>
            <w:r>
              <w:rPr>
                <w:rFonts w:cs="Times New Roman"/>
                <w:highlight w:val="none"/>
              </w:rPr>
              <w:t>1.8</w:t>
            </w:r>
          </w:p>
        </w:tc>
        <w:tc>
          <w:tcPr>
            <w:tcW w:w="717" w:type="pct"/>
            <w:vAlign w:val="center"/>
          </w:tcPr>
          <w:p>
            <w:pPr>
              <w:pStyle w:val="58"/>
              <w:rPr>
                <w:rFonts w:cs="Times New Roman"/>
                <w:highlight w:val="none"/>
              </w:rPr>
            </w:pPr>
            <w:r>
              <w:rPr>
                <w:rFonts w:cs="Times New Roman"/>
                <w:highlight w:val="none"/>
              </w:rPr>
              <w:t>6.8</w:t>
            </w:r>
          </w:p>
        </w:tc>
        <w:tc>
          <w:tcPr>
            <w:tcW w:w="717" w:type="pct"/>
            <w:vAlign w:val="center"/>
          </w:tcPr>
          <w:p>
            <w:pPr>
              <w:pStyle w:val="58"/>
              <w:rPr>
                <w:rFonts w:cs="Times New Roman"/>
                <w:highlight w:val="none"/>
              </w:rPr>
            </w:pPr>
            <w:r>
              <w:rPr>
                <w:rFonts w:cs="Times New Roman"/>
                <w:highlight w:val="none"/>
              </w:rPr>
              <w:t>18</w:t>
            </w:r>
          </w:p>
        </w:tc>
        <w:tc>
          <w:tcPr>
            <w:tcW w:w="717" w:type="pct"/>
            <w:vAlign w:val="center"/>
          </w:tcPr>
          <w:p>
            <w:pPr>
              <w:pStyle w:val="58"/>
              <w:rPr>
                <w:rFonts w:cs="Times New Roman"/>
                <w:highlight w:val="none"/>
              </w:rPr>
            </w:pPr>
            <w:r>
              <w:rPr>
                <w:rFonts w:cs="Times New Roman"/>
                <w:highlight w:val="none"/>
              </w:rPr>
              <w:t>39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20</w:t>
            </w:r>
          </w:p>
        </w:tc>
        <w:tc>
          <w:tcPr>
            <w:tcW w:w="941" w:type="pct"/>
            <w:vAlign w:val="center"/>
          </w:tcPr>
          <w:p>
            <w:pPr>
              <w:pStyle w:val="58"/>
              <w:rPr>
                <w:rFonts w:cs="Times New Roman"/>
                <w:highlight w:val="none"/>
              </w:rPr>
            </w:pPr>
            <w:r>
              <w:rPr>
                <w:rFonts w:cs="Times New Roman"/>
                <w:highlight w:val="none"/>
              </w:rPr>
              <w:t>乙睛</w:t>
            </w:r>
          </w:p>
        </w:tc>
        <w:tc>
          <w:tcPr>
            <w:tcW w:w="705" w:type="pct"/>
            <w:vAlign w:val="center"/>
          </w:tcPr>
          <w:p>
            <w:pPr>
              <w:pStyle w:val="58"/>
              <w:rPr>
                <w:rFonts w:cs="Times New Roman"/>
                <w:highlight w:val="none"/>
              </w:rPr>
            </w:pPr>
            <w:r>
              <w:rPr>
                <w:rFonts w:cs="Times New Roman"/>
                <w:highlight w:val="none"/>
              </w:rPr>
              <w:t>75-05-8</w:t>
            </w:r>
          </w:p>
        </w:tc>
        <w:tc>
          <w:tcPr>
            <w:tcW w:w="741" w:type="pct"/>
            <w:vAlign w:val="center"/>
          </w:tcPr>
          <w:p>
            <w:pPr>
              <w:pStyle w:val="58"/>
              <w:rPr>
                <w:rFonts w:cs="Times New Roman"/>
                <w:highlight w:val="none"/>
              </w:rPr>
            </w:pPr>
            <w:r>
              <w:rPr>
                <w:rFonts w:cs="Times New Roman"/>
                <w:highlight w:val="none"/>
              </w:rPr>
              <w:t>405</w:t>
            </w:r>
          </w:p>
        </w:tc>
        <w:tc>
          <w:tcPr>
            <w:tcW w:w="717" w:type="pct"/>
            <w:vAlign w:val="center"/>
          </w:tcPr>
          <w:p>
            <w:pPr>
              <w:pStyle w:val="58"/>
              <w:rPr>
                <w:rFonts w:cs="Times New Roman"/>
                <w:highlight w:val="none"/>
              </w:rPr>
            </w:pPr>
            <w:r>
              <w:rPr>
                <w:rFonts w:cs="Times New Roman"/>
                <w:highlight w:val="none"/>
              </w:rPr>
              <w:t>1512</w:t>
            </w:r>
          </w:p>
        </w:tc>
        <w:tc>
          <w:tcPr>
            <w:tcW w:w="717" w:type="pct"/>
            <w:vAlign w:val="center"/>
          </w:tcPr>
          <w:p>
            <w:pPr>
              <w:pStyle w:val="58"/>
              <w:rPr>
                <w:rFonts w:cs="Times New Roman"/>
                <w:highlight w:val="none"/>
              </w:rPr>
            </w:pPr>
            <w:r>
              <w:rPr>
                <w:rFonts w:cs="Times New Roman"/>
                <w:highlight w:val="none"/>
              </w:rPr>
              <w:t>1228</w:t>
            </w:r>
          </w:p>
        </w:tc>
        <w:tc>
          <w:tcPr>
            <w:tcW w:w="717" w:type="pct"/>
            <w:vAlign w:val="center"/>
          </w:tcPr>
          <w:p>
            <w:pPr>
              <w:pStyle w:val="58"/>
              <w:rPr>
                <w:rFonts w:cs="Times New Roman"/>
                <w:highlight w:val="none"/>
              </w:rPr>
            </w:pPr>
            <w:r>
              <w:rPr>
                <w:rFonts w:cs="Times New Roman"/>
                <w:highlight w:val="none"/>
              </w:rPr>
              <w:t>4582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21</w:t>
            </w:r>
          </w:p>
        </w:tc>
        <w:tc>
          <w:tcPr>
            <w:tcW w:w="941" w:type="pct"/>
            <w:vAlign w:val="center"/>
          </w:tcPr>
          <w:p>
            <w:pPr>
              <w:pStyle w:val="58"/>
              <w:rPr>
                <w:rFonts w:cs="Times New Roman"/>
                <w:highlight w:val="none"/>
              </w:rPr>
            </w:pPr>
            <w:r>
              <w:rPr>
                <w:rFonts w:cs="Times New Roman"/>
                <w:highlight w:val="none"/>
              </w:rPr>
              <w:t>丙烯睛</w:t>
            </w:r>
          </w:p>
        </w:tc>
        <w:tc>
          <w:tcPr>
            <w:tcW w:w="705" w:type="pct"/>
            <w:vAlign w:val="center"/>
          </w:tcPr>
          <w:p>
            <w:pPr>
              <w:pStyle w:val="58"/>
              <w:rPr>
                <w:rFonts w:cs="Times New Roman"/>
                <w:highlight w:val="none"/>
              </w:rPr>
            </w:pPr>
            <w:r>
              <w:rPr>
                <w:rFonts w:cs="Times New Roman"/>
                <w:highlight w:val="none"/>
              </w:rPr>
              <w:t>107-13-1</w:t>
            </w:r>
          </w:p>
        </w:tc>
        <w:tc>
          <w:tcPr>
            <w:tcW w:w="741" w:type="pct"/>
            <w:vAlign w:val="center"/>
          </w:tcPr>
          <w:p>
            <w:pPr>
              <w:pStyle w:val="58"/>
              <w:rPr>
                <w:rFonts w:cs="Times New Roman"/>
                <w:highlight w:val="none"/>
              </w:rPr>
            </w:pPr>
            <w:r>
              <w:rPr>
                <w:rFonts w:cs="Times New Roman"/>
                <w:highlight w:val="none"/>
              </w:rPr>
              <w:t>0.35</w:t>
            </w:r>
          </w:p>
        </w:tc>
        <w:tc>
          <w:tcPr>
            <w:tcW w:w="717" w:type="pct"/>
            <w:vAlign w:val="center"/>
          </w:tcPr>
          <w:p>
            <w:pPr>
              <w:pStyle w:val="58"/>
              <w:rPr>
                <w:rFonts w:cs="Times New Roman"/>
                <w:highlight w:val="none"/>
              </w:rPr>
            </w:pPr>
            <w:r>
              <w:rPr>
                <w:rFonts w:cs="Times New Roman"/>
                <w:highlight w:val="none"/>
              </w:rPr>
              <w:t>1.3</w:t>
            </w:r>
          </w:p>
        </w:tc>
        <w:tc>
          <w:tcPr>
            <w:tcW w:w="717" w:type="pct"/>
            <w:vAlign w:val="center"/>
          </w:tcPr>
          <w:p>
            <w:pPr>
              <w:pStyle w:val="58"/>
              <w:rPr>
                <w:rFonts w:cs="Times New Roman"/>
                <w:highlight w:val="none"/>
              </w:rPr>
            </w:pPr>
            <w:r>
              <w:rPr>
                <w:rFonts w:cs="Times New Roman"/>
                <w:highlight w:val="none"/>
              </w:rPr>
              <w:t>3.5</w:t>
            </w:r>
          </w:p>
        </w:tc>
        <w:tc>
          <w:tcPr>
            <w:tcW w:w="717" w:type="pct"/>
            <w:vAlign w:val="center"/>
          </w:tcPr>
          <w:p>
            <w:pPr>
              <w:pStyle w:val="58"/>
              <w:rPr>
                <w:rFonts w:cs="Times New Roman"/>
                <w:highlight w:val="none"/>
              </w:rPr>
            </w:pPr>
            <w:r>
              <w:rPr>
                <w:rFonts w:cs="Times New Roman"/>
                <w:highlight w:val="none"/>
              </w:rPr>
              <w:t>13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5000" w:type="pct"/>
            <w:gridSpan w:val="7"/>
            <w:vAlign w:val="center"/>
          </w:tcPr>
          <w:p>
            <w:pPr>
              <w:pStyle w:val="58"/>
              <w:rPr>
                <w:rFonts w:cs="Times New Roman"/>
                <w:highlight w:val="none"/>
              </w:rPr>
            </w:pPr>
            <w:r>
              <w:rPr>
                <w:rFonts w:cs="Times New Roman"/>
                <w:highlight w:val="none"/>
              </w:rPr>
              <w:t>半挥发性有机物</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22</w:t>
            </w:r>
          </w:p>
        </w:tc>
        <w:tc>
          <w:tcPr>
            <w:tcW w:w="941" w:type="pct"/>
            <w:vAlign w:val="center"/>
          </w:tcPr>
          <w:p>
            <w:pPr>
              <w:pStyle w:val="58"/>
              <w:rPr>
                <w:rFonts w:cs="Times New Roman"/>
                <w:highlight w:val="none"/>
              </w:rPr>
            </w:pPr>
            <w:r>
              <w:rPr>
                <w:rFonts w:cs="Times New Roman"/>
                <w:highlight w:val="none"/>
              </w:rPr>
              <w:t>六氯乙烷</w:t>
            </w:r>
          </w:p>
        </w:tc>
        <w:tc>
          <w:tcPr>
            <w:tcW w:w="705" w:type="pct"/>
            <w:vAlign w:val="center"/>
          </w:tcPr>
          <w:p>
            <w:pPr>
              <w:pStyle w:val="58"/>
              <w:rPr>
                <w:rFonts w:cs="Times New Roman"/>
                <w:highlight w:val="none"/>
              </w:rPr>
            </w:pPr>
            <w:r>
              <w:rPr>
                <w:rFonts w:cs="Times New Roman"/>
                <w:highlight w:val="none"/>
              </w:rPr>
              <w:t>67-72-1</w:t>
            </w:r>
          </w:p>
        </w:tc>
        <w:tc>
          <w:tcPr>
            <w:tcW w:w="741" w:type="pct"/>
            <w:vAlign w:val="center"/>
          </w:tcPr>
          <w:p>
            <w:pPr>
              <w:pStyle w:val="58"/>
              <w:rPr>
                <w:rFonts w:cs="Times New Roman"/>
                <w:highlight w:val="none"/>
              </w:rPr>
            </w:pPr>
            <w:r>
              <w:rPr>
                <w:rFonts w:cs="Times New Roman"/>
                <w:highlight w:val="none"/>
              </w:rPr>
              <w:t>2.2</w:t>
            </w:r>
          </w:p>
        </w:tc>
        <w:tc>
          <w:tcPr>
            <w:tcW w:w="717" w:type="pct"/>
            <w:vAlign w:val="center"/>
          </w:tcPr>
          <w:p>
            <w:pPr>
              <w:pStyle w:val="58"/>
              <w:rPr>
                <w:rFonts w:cs="Times New Roman"/>
                <w:highlight w:val="none"/>
              </w:rPr>
            </w:pPr>
            <w:r>
              <w:rPr>
                <w:rFonts w:cs="Times New Roman"/>
                <w:highlight w:val="none"/>
              </w:rPr>
              <w:t>8.4</w:t>
            </w:r>
          </w:p>
        </w:tc>
        <w:tc>
          <w:tcPr>
            <w:tcW w:w="717" w:type="pct"/>
            <w:vAlign w:val="center"/>
          </w:tcPr>
          <w:p>
            <w:pPr>
              <w:pStyle w:val="58"/>
              <w:rPr>
                <w:rFonts w:cs="Times New Roman"/>
                <w:highlight w:val="none"/>
              </w:rPr>
            </w:pPr>
            <w:r>
              <w:rPr>
                <w:rFonts w:cs="Times New Roman"/>
                <w:highlight w:val="none"/>
              </w:rPr>
              <w:t>22</w:t>
            </w:r>
          </w:p>
        </w:tc>
        <w:tc>
          <w:tcPr>
            <w:tcW w:w="717" w:type="pct"/>
            <w:vAlign w:val="center"/>
          </w:tcPr>
          <w:p>
            <w:pPr>
              <w:pStyle w:val="58"/>
              <w:rPr>
                <w:rFonts w:cs="Times New Roman"/>
                <w:highlight w:val="none"/>
              </w:rPr>
            </w:pPr>
            <w:r>
              <w:rPr>
                <w:rFonts w:cs="Times New Roman"/>
                <w:highlight w:val="none"/>
              </w:rPr>
              <w:t>84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23</w:t>
            </w:r>
          </w:p>
        </w:tc>
        <w:tc>
          <w:tcPr>
            <w:tcW w:w="941" w:type="pct"/>
            <w:vAlign w:val="center"/>
          </w:tcPr>
          <w:p>
            <w:pPr>
              <w:pStyle w:val="58"/>
              <w:rPr>
                <w:rFonts w:cs="Times New Roman"/>
                <w:highlight w:val="none"/>
              </w:rPr>
            </w:pPr>
            <w:r>
              <w:rPr>
                <w:rFonts w:cs="Times New Roman"/>
                <w:highlight w:val="none"/>
              </w:rPr>
              <w:t>苯酚</w:t>
            </w:r>
          </w:p>
        </w:tc>
        <w:tc>
          <w:tcPr>
            <w:tcW w:w="705" w:type="pct"/>
            <w:vAlign w:val="center"/>
          </w:tcPr>
          <w:p>
            <w:pPr>
              <w:pStyle w:val="58"/>
              <w:rPr>
                <w:rFonts w:cs="Times New Roman"/>
                <w:highlight w:val="none"/>
              </w:rPr>
            </w:pPr>
            <w:r>
              <w:rPr>
                <w:rFonts w:cs="Times New Roman"/>
                <w:highlight w:val="none"/>
              </w:rPr>
              <w:t>108-95-2</w:t>
            </w:r>
          </w:p>
        </w:tc>
        <w:tc>
          <w:tcPr>
            <w:tcW w:w="741" w:type="pct"/>
            <w:vAlign w:val="center"/>
          </w:tcPr>
          <w:p>
            <w:pPr>
              <w:pStyle w:val="58"/>
              <w:rPr>
                <w:rFonts w:cs="Times New Roman"/>
                <w:highlight w:val="none"/>
              </w:rPr>
            </w:pPr>
            <w:r>
              <w:rPr>
                <w:rFonts w:cs="Times New Roman"/>
                <w:highlight w:val="none"/>
              </w:rPr>
              <w:t>8468</w:t>
            </w:r>
          </w:p>
        </w:tc>
        <w:tc>
          <w:tcPr>
            <w:tcW w:w="717" w:type="pct"/>
            <w:vAlign w:val="center"/>
          </w:tcPr>
          <w:p>
            <w:pPr>
              <w:pStyle w:val="58"/>
              <w:rPr>
                <w:rFonts w:cs="Times New Roman"/>
                <w:highlight w:val="none"/>
              </w:rPr>
            </w:pPr>
            <w:r>
              <w:rPr>
                <w:rFonts w:cs="Times New Roman"/>
                <w:highlight w:val="none"/>
              </w:rPr>
              <w:t>37596</w:t>
            </w:r>
          </w:p>
        </w:tc>
        <w:tc>
          <w:tcPr>
            <w:tcW w:w="717" w:type="pct"/>
            <w:vAlign w:val="center"/>
          </w:tcPr>
          <w:p>
            <w:pPr>
              <w:pStyle w:val="58"/>
              <w:rPr>
                <w:rFonts w:cs="Times New Roman"/>
                <w:highlight w:val="none"/>
              </w:rPr>
            </w:pPr>
            <w:r>
              <w:rPr>
                <w:rFonts w:cs="Times New Roman"/>
                <w:highlight w:val="none"/>
              </w:rPr>
              <w:t>16935</w:t>
            </w:r>
          </w:p>
        </w:tc>
        <w:tc>
          <w:tcPr>
            <w:tcW w:w="717" w:type="pct"/>
            <w:vAlign w:val="center"/>
          </w:tcPr>
          <w:p>
            <w:pPr>
              <w:pStyle w:val="58"/>
              <w:rPr>
                <w:rFonts w:cs="Times New Roman"/>
                <w:highlight w:val="none"/>
              </w:rPr>
            </w:pPr>
            <w:r>
              <w:rPr>
                <w:rFonts w:cs="Times New Roman"/>
                <w:highlight w:val="none"/>
              </w:rPr>
              <w:t>75192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24</w:t>
            </w:r>
          </w:p>
        </w:tc>
        <w:tc>
          <w:tcPr>
            <w:tcW w:w="941" w:type="pct"/>
            <w:vAlign w:val="center"/>
          </w:tcPr>
          <w:p>
            <w:pPr>
              <w:pStyle w:val="58"/>
              <w:rPr>
                <w:rFonts w:cs="Times New Roman"/>
                <w:highlight w:val="none"/>
              </w:rPr>
            </w:pPr>
            <w:r>
              <w:rPr>
                <w:rFonts w:cs="Times New Roman"/>
                <w:highlight w:val="none"/>
              </w:rPr>
              <w:t>2-甲基苯酚</w:t>
            </w:r>
          </w:p>
        </w:tc>
        <w:tc>
          <w:tcPr>
            <w:tcW w:w="705" w:type="pct"/>
            <w:vAlign w:val="center"/>
          </w:tcPr>
          <w:p>
            <w:pPr>
              <w:pStyle w:val="58"/>
              <w:rPr>
                <w:rFonts w:cs="Times New Roman"/>
                <w:highlight w:val="none"/>
              </w:rPr>
            </w:pPr>
            <w:r>
              <w:rPr>
                <w:rFonts w:cs="Times New Roman"/>
                <w:highlight w:val="none"/>
              </w:rPr>
              <w:t>95-48-7</w:t>
            </w:r>
          </w:p>
        </w:tc>
        <w:tc>
          <w:tcPr>
            <w:tcW w:w="741" w:type="pct"/>
            <w:vAlign w:val="center"/>
          </w:tcPr>
          <w:p>
            <w:pPr>
              <w:pStyle w:val="58"/>
              <w:rPr>
                <w:rFonts w:cs="Times New Roman"/>
                <w:highlight w:val="none"/>
              </w:rPr>
            </w:pPr>
            <w:r>
              <w:rPr>
                <w:rFonts w:cs="Times New Roman"/>
                <w:highlight w:val="none"/>
              </w:rPr>
              <w:t>1575</w:t>
            </w:r>
          </w:p>
        </w:tc>
        <w:tc>
          <w:tcPr>
            <w:tcW w:w="717" w:type="pct"/>
            <w:vAlign w:val="center"/>
          </w:tcPr>
          <w:p>
            <w:pPr>
              <w:pStyle w:val="58"/>
              <w:rPr>
                <w:rFonts w:cs="Times New Roman"/>
                <w:highlight w:val="none"/>
              </w:rPr>
            </w:pPr>
            <w:r>
              <w:rPr>
                <w:rFonts w:cs="Times New Roman"/>
                <w:highlight w:val="none"/>
              </w:rPr>
              <w:t>9854</w:t>
            </w:r>
          </w:p>
        </w:tc>
        <w:tc>
          <w:tcPr>
            <w:tcW w:w="717" w:type="pct"/>
            <w:vAlign w:val="center"/>
          </w:tcPr>
          <w:p>
            <w:pPr>
              <w:pStyle w:val="58"/>
              <w:rPr>
                <w:rFonts w:cs="Times New Roman"/>
                <w:highlight w:val="none"/>
              </w:rPr>
            </w:pPr>
            <w:r>
              <w:rPr>
                <w:rFonts w:cs="Times New Roman"/>
                <w:highlight w:val="none"/>
              </w:rPr>
              <w:t>3150</w:t>
            </w:r>
          </w:p>
        </w:tc>
        <w:tc>
          <w:tcPr>
            <w:tcW w:w="717" w:type="pct"/>
            <w:vAlign w:val="center"/>
          </w:tcPr>
          <w:p>
            <w:pPr>
              <w:pStyle w:val="58"/>
              <w:rPr>
                <w:rFonts w:cs="Times New Roman"/>
                <w:highlight w:val="none"/>
              </w:rPr>
            </w:pPr>
            <w:r>
              <w:rPr>
                <w:rFonts w:cs="Times New Roman"/>
                <w:highlight w:val="none"/>
              </w:rPr>
              <w:t>19708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25</w:t>
            </w:r>
          </w:p>
        </w:tc>
        <w:tc>
          <w:tcPr>
            <w:tcW w:w="941" w:type="pct"/>
            <w:vAlign w:val="center"/>
          </w:tcPr>
          <w:p>
            <w:pPr>
              <w:pStyle w:val="58"/>
              <w:rPr>
                <w:rFonts w:cs="Times New Roman"/>
                <w:highlight w:val="none"/>
              </w:rPr>
            </w:pPr>
            <w:r>
              <w:rPr>
                <w:rFonts w:cs="Times New Roman"/>
                <w:highlight w:val="none"/>
              </w:rPr>
              <w:t>4-甲基苯酚</w:t>
            </w:r>
          </w:p>
        </w:tc>
        <w:tc>
          <w:tcPr>
            <w:tcW w:w="705" w:type="pct"/>
            <w:vAlign w:val="center"/>
          </w:tcPr>
          <w:p>
            <w:pPr>
              <w:pStyle w:val="58"/>
              <w:rPr>
                <w:rFonts w:cs="Times New Roman"/>
                <w:highlight w:val="none"/>
              </w:rPr>
            </w:pPr>
            <w:r>
              <w:rPr>
                <w:rFonts w:cs="Times New Roman"/>
                <w:highlight w:val="none"/>
              </w:rPr>
              <w:t>106-44-5</w:t>
            </w:r>
          </w:p>
        </w:tc>
        <w:tc>
          <w:tcPr>
            <w:tcW w:w="741" w:type="pct"/>
            <w:vAlign w:val="center"/>
          </w:tcPr>
          <w:p>
            <w:pPr>
              <w:pStyle w:val="58"/>
              <w:rPr>
                <w:rFonts w:cs="Times New Roman"/>
                <w:highlight w:val="none"/>
              </w:rPr>
            </w:pPr>
            <w:r>
              <w:rPr>
                <w:rFonts w:cs="Times New Roman"/>
                <w:highlight w:val="none"/>
              </w:rPr>
              <w:t>3780</w:t>
            </w:r>
          </w:p>
        </w:tc>
        <w:tc>
          <w:tcPr>
            <w:tcW w:w="717" w:type="pct"/>
            <w:vAlign w:val="center"/>
          </w:tcPr>
          <w:p>
            <w:pPr>
              <w:pStyle w:val="58"/>
              <w:rPr>
                <w:rFonts w:cs="Times New Roman"/>
                <w:highlight w:val="none"/>
              </w:rPr>
            </w:pPr>
            <w:r>
              <w:rPr>
                <w:rFonts w:cs="Times New Roman"/>
                <w:highlight w:val="none"/>
              </w:rPr>
              <w:t>25553</w:t>
            </w:r>
          </w:p>
        </w:tc>
        <w:tc>
          <w:tcPr>
            <w:tcW w:w="717" w:type="pct"/>
            <w:vAlign w:val="center"/>
          </w:tcPr>
          <w:p>
            <w:pPr>
              <w:pStyle w:val="58"/>
              <w:rPr>
                <w:rFonts w:cs="Times New Roman"/>
                <w:highlight w:val="none"/>
              </w:rPr>
            </w:pPr>
            <w:r>
              <w:rPr>
                <w:rFonts w:cs="Times New Roman"/>
                <w:highlight w:val="none"/>
              </w:rPr>
              <w:t>7560</w:t>
            </w:r>
          </w:p>
        </w:tc>
        <w:tc>
          <w:tcPr>
            <w:tcW w:w="717" w:type="pct"/>
            <w:vAlign w:val="center"/>
          </w:tcPr>
          <w:p>
            <w:pPr>
              <w:pStyle w:val="58"/>
              <w:rPr>
                <w:rFonts w:cs="Times New Roman"/>
                <w:highlight w:val="none"/>
              </w:rPr>
            </w:pPr>
            <w:r>
              <w:rPr>
                <w:rFonts w:cs="Times New Roman"/>
                <w:highlight w:val="none"/>
              </w:rPr>
              <w:t>51106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26</w:t>
            </w:r>
          </w:p>
        </w:tc>
        <w:tc>
          <w:tcPr>
            <w:tcW w:w="941" w:type="pct"/>
            <w:vAlign w:val="center"/>
          </w:tcPr>
          <w:p>
            <w:pPr>
              <w:pStyle w:val="58"/>
              <w:rPr>
                <w:rFonts w:cs="Times New Roman"/>
                <w:highlight w:val="none"/>
              </w:rPr>
            </w:pPr>
            <w:r>
              <w:rPr>
                <w:rFonts w:cs="Times New Roman"/>
                <w:highlight w:val="none"/>
              </w:rPr>
              <w:t>2-硝基苯酚</w:t>
            </w:r>
          </w:p>
        </w:tc>
        <w:tc>
          <w:tcPr>
            <w:tcW w:w="705" w:type="pct"/>
            <w:vAlign w:val="center"/>
          </w:tcPr>
          <w:p>
            <w:pPr>
              <w:pStyle w:val="58"/>
              <w:rPr>
                <w:rFonts w:cs="Times New Roman"/>
                <w:highlight w:val="none"/>
              </w:rPr>
            </w:pPr>
            <w:r>
              <w:rPr>
                <w:rFonts w:cs="Times New Roman"/>
                <w:highlight w:val="none"/>
              </w:rPr>
              <w:t>88 75-5</w:t>
            </w:r>
          </w:p>
        </w:tc>
        <w:tc>
          <w:tcPr>
            <w:tcW w:w="741" w:type="pct"/>
            <w:vAlign w:val="center"/>
          </w:tcPr>
          <w:p>
            <w:pPr>
              <w:pStyle w:val="58"/>
              <w:rPr>
                <w:rFonts w:cs="Times New Roman"/>
                <w:highlight w:val="none"/>
              </w:rPr>
            </w:pPr>
            <w:r>
              <w:rPr>
                <w:rFonts w:cs="Times New Roman"/>
                <w:highlight w:val="none"/>
              </w:rPr>
              <w:t>64</w:t>
            </w:r>
          </w:p>
        </w:tc>
        <w:tc>
          <w:tcPr>
            <w:tcW w:w="717" w:type="pct"/>
            <w:vAlign w:val="center"/>
          </w:tcPr>
          <w:p>
            <w:pPr>
              <w:pStyle w:val="58"/>
              <w:rPr>
                <w:rFonts w:cs="Times New Roman"/>
                <w:highlight w:val="none"/>
              </w:rPr>
            </w:pPr>
            <w:r>
              <w:rPr>
                <w:rFonts w:cs="Times New Roman"/>
                <w:highlight w:val="none"/>
              </w:rPr>
              <w:t>408</w:t>
            </w:r>
          </w:p>
        </w:tc>
        <w:tc>
          <w:tcPr>
            <w:tcW w:w="717" w:type="pct"/>
            <w:vAlign w:val="center"/>
          </w:tcPr>
          <w:p>
            <w:pPr>
              <w:pStyle w:val="58"/>
              <w:rPr>
                <w:rFonts w:cs="Times New Roman"/>
                <w:highlight w:val="none"/>
              </w:rPr>
            </w:pPr>
            <w:r>
              <w:rPr>
                <w:rFonts w:cs="Times New Roman"/>
                <w:highlight w:val="none"/>
              </w:rPr>
              <w:t>128</w:t>
            </w:r>
          </w:p>
        </w:tc>
        <w:tc>
          <w:tcPr>
            <w:tcW w:w="717" w:type="pct"/>
            <w:vAlign w:val="center"/>
          </w:tcPr>
          <w:p>
            <w:pPr>
              <w:pStyle w:val="58"/>
              <w:rPr>
                <w:rFonts w:cs="Times New Roman"/>
                <w:highlight w:val="none"/>
              </w:rPr>
            </w:pPr>
            <w:r>
              <w:rPr>
                <w:rFonts w:cs="Times New Roman"/>
                <w:highlight w:val="none"/>
              </w:rPr>
              <w:t>817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27</w:t>
            </w:r>
          </w:p>
        </w:tc>
        <w:tc>
          <w:tcPr>
            <w:tcW w:w="941" w:type="pct"/>
            <w:vAlign w:val="center"/>
          </w:tcPr>
          <w:p>
            <w:pPr>
              <w:pStyle w:val="58"/>
              <w:rPr>
                <w:rFonts w:cs="Times New Roman"/>
                <w:highlight w:val="none"/>
              </w:rPr>
            </w:pPr>
            <w:r>
              <w:rPr>
                <w:rFonts w:cs="Times New Roman"/>
                <w:highlight w:val="none"/>
              </w:rPr>
              <w:t>4-硝基苯酚</w:t>
            </w:r>
          </w:p>
        </w:tc>
        <w:tc>
          <w:tcPr>
            <w:tcW w:w="705" w:type="pct"/>
            <w:vAlign w:val="center"/>
          </w:tcPr>
          <w:p>
            <w:pPr>
              <w:pStyle w:val="58"/>
              <w:rPr>
                <w:rFonts w:cs="Times New Roman"/>
                <w:highlight w:val="none"/>
              </w:rPr>
            </w:pPr>
            <w:r>
              <w:rPr>
                <w:rFonts w:cs="Times New Roman"/>
                <w:highlight w:val="none"/>
              </w:rPr>
              <w:t>100-02-7</w:t>
            </w:r>
          </w:p>
        </w:tc>
        <w:tc>
          <w:tcPr>
            <w:tcW w:w="741" w:type="pct"/>
            <w:vAlign w:val="center"/>
          </w:tcPr>
          <w:p>
            <w:pPr>
              <w:pStyle w:val="58"/>
              <w:rPr>
                <w:rFonts w:cs="Times New Roman"/>
                <w:highlight w:val="none"/>
              </w:rPr>
            </w:pPr>
            <w:r>
              <w:rPr>
                <w:rFonts w:cs="Times New Roman"/>
                <w:highlight w:val="none"/>
              </w:rPr>
              <w:t>78</w:t>
            </w:r>
          </w:p>
        </w:tc>
        <w:tc>
          <w:tcPr>
            <w:tcW w:w="717" w:type="pct"/>
            <w:vAlign w:val="center"/>
          </w:tcPr>
          <w:p>
            <w:pPr>
              <w:pStyle w:val="58"/>
              <w:rPr>
                <w:rFonts w:cs="Times New Roman"/>
                <w:highlight w:val="none"/>
              </w:rPr>
            </w:pPr>
            <w:r>
              <w:rPr>
                <w:rFonts w:cs="Times New Roman"/>
                <w:highlight w:val="none"/>
              </w:rPr>
              <w:t>562</w:t>
            </w:r>
          </w:p>
        </w:tc>
        <w:tc>
          <w:tcPr>
            <w:tcW w:w="717" w:type="pct"/>
            <w:vAlign w:val="center"/>
          </w:tcPr>
          <w:p>
            <w:pPr>
              <w:pStyle w:val="58"/>
              <w:rPr>
                <w:rFonts w:cs="Times New Roman"/>
                <w:highlight w:val="none"/>
              </w:rPr>
            </w:pPr>
            <w:r>
              <w:rPr>
                <w:rFonts w:cs="Times New Roman"/>
                <w:highlight w:val="none"/>
              </w:rPr>
              <w:t>156</w:t>
            </w:r>
          </w:p>
        </w:tc>
        <w:tc>
          <w:tcPr>
            <w:tcW w:w="717" w:type="pct"/>
            <w:vAlign w:val="center"/>
          </w:tcPr>
          <w:p>
            <w:pPr>
              <w:pStyle w:val="58"/>
              <w:rPr>
                <w:rFonts w:cs="Times New Roman"/>
                <w:highlight w:val="none"/>
              </w:rPr>
            </w:pPr>
            <w:r>
              <w:rPr>
                <w:rFonts w:cs="Times New Roman"/>
                <w:highlight w:val="none"/>
              </w:rPr>
              <w:t>1125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28</w:t>
            </w:r>
          </w:p>
        </w:tc>
        <w:tc>
          <w:tcPr>
            <w:tcW w:w="941" w:type="pct"/>
            <w:vAlign w:val="center"/>
          </w:tcPr>
          <w:p>
            <w:pPr>
              <w:pStyle w:val="58"/>
              <w:rPr>
                <w:rFonts w:cs="Times New Roman"/>
                <w:highlight w:val="none"/>
              </w:rPr>
            </w:pPr>
            <w:r>
              <w:rPr>
                <w:rFonts w:cs="Times New Roman"/>
                <w:highlight w:val="none"/>
              </w:rPr>
              <w:t>2,4-二甲基苯酚</w:t>
            </w:r>
          </w:p>
        </w:tc>
        <w:tc>
          <w:tcPr>
            <w:tcW w:w="705" w:type="pct"/>
            <w:vAlign w:val="center"/>
          </w:tcPr>
          <w:p>
            <w:pPr>
              <w:pStyle w:val="58"/>
              <w:rPr>
                <w:rFonts w:cs="Times New Roman"/>
                <w:highlight w:val="none"/>
              </w:rPr>
            </w:pPr>
            <w:r>
              <w:rPr>
                <w:rFonts w:cs="Times New Roman"/>
                <w:highlight w:val="none"/>
              </w:rPr>
              <w:t>105-67-9</w:t>
            </w:r>
          </w:p>
        </w:tc>
        <w:tc>
          <w:tcPr>
            <w:tcW w:w="741" w:type="pct"/>
            <w:vAlign w:val="center"/>
          </w:tcPr>
          <w:p>
            <w:pPr>
              <w:pStyle w:val="58"/>
              <w:rPr>
                <w:rFonts w:cs="Times New Roman"/>
                <w:highlight w:val="none"/>
              </w:rPr>
            </w:pPr>
            <w:r>
              <w:rPr>
                <w:rFonts w:cs="Times New Roman"/>
                <w:highlight w:val="none"/>
              </w:rPr>
              <w:t>779</w:t>
            </w:r>
          </w:p>
        </w:tc>
        <w:tc>
          <w:tcPr>
            <w:tcW w:w="717" w:type="pct"/>
            <w:vAlign w:val="center"/>
          </w:tcPr>
          <w:p>
            <w:pPr>
              <w:pStyle w:val="58"/>
              <w:rPr>
                <w:rFonts w:cs="Times New Roman"/>
                <w:highlight w:val="none"/>
              </w:rPr>
            </w:pPr>
            <w:r>
              <w:rPr>
                <w:rFonts w:cs="Times New Roman"/>
                <w:highlight w:val="none"/>
              </w:rPr>
              <w:t>5623</w:t>
            </w:r>
          </w:p>
        </w:tc>
        <w:tc>
          <w:tcPr>
            <w:tcW w:w="717" w:type="pct"/>
            <w:vAlign w:val="center"/>
          </w:tcPr>
          <w:p>
            <w:pPr>
              <w:pStyle w:val="58"/>
              <w:rPr>
                <w:rFonts w:cs="Times New Roman"/>
                <w:highlight w:val="none"/>
              </w:rPr>
            </w:pPr>
            <w:r>
              <w:rPr>
                <w:rFonts w:cs="Times New Roman"/>
                <w:highlight w:val="none"/>
              </w:rPr>
              <w:t>1558</w:t>
            </w:r>
          </w:p>
        </w:tc>
        <w:tc>
          <w:tcPr>
            <w:tcW w:w="717" w:type="pct"/>
            <w:vAlign w:val="center"/>
          </w:tcPr>
          <w:p>
            <w:pPr>
              <w:pStyle w:val="58"/>
              <w:rPr>
                <w:rFonts w:cs="Times New Roman"/>
                <w:highlight w:val="none"/>
              </w:rPr>
            </w:pPr>
            <w:r>
              <w:rPr>
                <w:rFonts w:cs="Times New Roman"/>
                <w:highlight w:val="none"/>
              </w:rPr>
              <w:t>11246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29</w:t>
            </w:r>
          </w:p>
        </w:tc>
        <w:tc>
          <w:tcPr>
            <w:tcW w:w="941" w:type="pct"/>
            <w:vAlign w:val="center"/>
          </w:tcPr>
          <w:p>
            <w:pPr>
              <w:pStyle w:val="58"/>
              <w:rPr>
                <w:rFonts w:cs="Times New Roman"/>
                <w:highlight w:val="none"/>
              </w:rPr>
            </w:pPr>
            <w:r>
              <w:rPr>
                <w:rFonts w:cs="Times New Roman"/>
                <w:highlight w:val="none"/>
              </w:rPr>
              <w:t>2,6-二氯苯酚</w:t>
            </w:r>
          </w:p>
        </w:tc>
        <w:tc>
          <w:tcPr>
            <w:tcW w:w="705" w:type="pct"/>
            <w:vAlign w:val="center"/>
          </w:tcPr>
          <w:p>
            <w:pPr>
              <w:pStyle w:val="58"/>
              <w:rPr>
                <w:rFonts w:cs="Times New Roman"/>
                <w:highlight w:val="none"/>
              </w:rPr>
            </w:pPr>
            <w:r>
              <w:rPr>
                <w:rFonts w:cs="Times New Roman"/>
                <w:highlight w:val="none"/>
              </w:rPr>
              <w:t>87-65-0</w:t>
            </w:r>
          </w:p>
        </w:tc>
        <w:tc>
          <w:tcPr>
            <w:tcW w:w="741" w:type="pct"/>
            <w:vAlign w:val="center"/>
          </w:tcPr>
          <w:p>
            <w:pPr>
              <w:pStyle w:val="58"/>
              <w:rPr>
                <w:rFonts w:cs="Times New Roman"/>
                <w:highlight w:val="none"/>
              </w:rPr>
            </w:pPr>
            <w:r>
              <w:rPr>
                <w:rFonts w:cs="Times New Roman"/>
                <w:highlight w:val="none"/>
              </w:rPr>
              <w:t>32</w:t>
            </w:r>
          </w:p>
        </w:tc>
        <w:tc>
          <w:tcPr>
            <w:tcW w:w="717" w:type="pct"/>
            <w:vAlign w:val="center"/>
          </w:tcPr>
          <w:p>
            <w:pPr>
              <w:pStyle w:val="58"/>
              <w:rPr>
                <w:rFonts w:cs="Times New Roman"/>
                <w:highlight w:val="none"/>
              </w:rPr>
            </w:pPr>
            <w:r>
              <w:rPr>
                <w:rFonts w:cs="Times New Roman"/>
                <w:highlight w:val="none"/>
              </w:rPr>
              <w:t>204</w:t>
            </w:r>
          </w:p>
        </w:tc>
        <w:tc>
          <w:tcPr>
            <w:tcW w:w="717" w:type="pct"/>
            <w:vAlign w:val="center"/>
          </w:tcPr>
          <w:p>
            <w:pPr>
              <w:pStyle w:val="58"/>
              <w:rPr>
                <w:rFonts w:cs="Times New Roman"/>
                <w:highlight w:val="none"/>
              </w:rPr>
            </w:pPr>
            <w:r>
              <w:rPr>
                <w:rFonts w:cs="Times New Roman"/>
                <w:highlight w:val="none"/>
              </w:rPr>
              <w:t>64</w:t>
            </w:r>
          </w:p>
        </w:tc>
        <w:tc>
          <w:tcPr>
            <w:tcW w:w="717" w:type="pct"/>
            <w:vAlign w:val="center"/>
          </w:tcPr>
          <w:p>
            <w:pPr>
              <w:pStyle w:val="58"/>
              <w:rPr>
                <w:rFonts w:cs="Times New Roman"/>
                <w:highlight w:val="none"/>
              </w:rPr>
            </w:pPr>
            <w:r>
              <w:rPr>
                <w:rFonts w:cs="Times New Roman"/>
                <w:highlight w:val="none"/>
              </w:rPr>
              <w:t>408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30</w:t>
            </w:r>
          </w:p>
        </w:tc>
        <w:tc>
          <w:tcPr>
            <w:tcW w:w="941" w:type="pct"/>
            <w:vAlign w:val="center"/>
          </w:tcPr>
          <w:p>
            <w:pPr>
              <w:pStyle w:val="58"/>
              <w:rPr>
                <w:rFonts w:cs="Times New Roman"/>
                <w:highlight w:val="none"/>
              </w:rPr>
            </w:pPr>
            <w:r>
              <w:rPr>
                <w:rFonts w:cs="Times New Roman"/>
                <w:highlight w:val="none"/>
              </w:rPr>
              <w:t>2,4,5-三氯苯酚</w:t>
            </w:r>
          </w:p>
        </w:tc>
        <w:tc>
          <w:tcPr>
            <w:tcW w:w="705" w:type="pct"/>
            <w:vAlign w:val="center"/>
          </w:tcPr>
          <w:p>
            <w:pPr>
              <w:pStyle w:val="58"/>
              <w:rPr>
                <w:rFonts w:cs="Times New Roman"/>
                <w:highlight w:val="none"/>
              </w:rPr>
            </w:pPr>
            <w:r>
              <w:rPr>
                <w:rFonts w:cs="Times New Roman"/>
                <w:highlight w:val="none"/>
              </w:rPr>
              <w:t>95-95-4</w:t>
            </w:r>
          </w:p>
        </w:tc>
        <w:tc>
          <w:tcPr>
            <w:tcW w:w="741" w:type="pct"/>
            <w:vAlign w:val="center"/>
          </w:tcPr>
          <w:p>
            <w:pPr>
              <w:pStyle w:val="58"/>
              <w:rPr>
                <w:rFonts w:cs="Times New Roman"/>
                <w:highlight w:val="none"/>
              </w:rPr>
            </w:pPr>
            <w:r>
              <w:rPr>
                <w:rFonts w:cs="Times New Roman"/>
                <w:highlight w:val="none"/>
              </w:rPr>
              <w:t>3896</w:t>
            </w:r>
          </w:p>
        </w:tc>
        <w:tc>
          <w:tcPr>
            <w:tcW w:w="717" w:type="pct"/>
            <w:vAlign w:val="center"/>
          </w:tcPr>
          <w:p>
            <w:pPr>
              <w:pStyle w:val="58"/>
              <w:rPr>
                <w:rFonts w:cs="Times New Roman"/>
                <w:highlight w:val="none"/>
              </w:rPr>
            </w:pPr>
            <w:r>
              <w:rPr>
                <w:rFonts w:cs="Times New Roman"/>
                <w:highlight w:val="none"/>
              </w:rPr>
              <w:t>28116</w:t>
            </w:r>
          </w:p>
        </w:tc>
        <w:tc>
          <w:tcPr>
            <w:tcW w:w="717" w:type="pct"/>
            <w:vAlign w:val="center"/>
          </w:tcPr>
          <w:p>
            <w:pPr>
              <w:pStyle w:val="58"/>
              <w:rPr>
                <w:rFonts w:cs="Times New Roman"/>
                <w:highlight w:val="none"/>
              </w:rPr>
            </w:pPr>
            <w:r>
              <w:rPr>
                <w:rFonts w:cs="Times New Roman"/>
                <w:highlight w:val="none"/>
              </w:rPr>
              <w:t>7792</w:t>
            </w:r>
          </w:p>
        </w:tc>
        <w:tc>
          <w:tcPr>
            <w:tcW w:w="717" w:type="pct"/>
            <w:vAlign w:val="center"/>
          </w:tcPr>
          <w:p>
            <w:pPr>
              <w:pStyle w:val="58"/>
              <w:rPr>
                <w:rFonts w:cs="Times New Roman"/>
                <w:highlight w:val="none"/>
              </w:rPr>
            </w:pPr>
            <w:r>
              <w:rPr>
                <w:rFonts w:cs="Times New Roman"/>
                <w:highlight w:val="none"/>
              </w:rPr>
              <w:t>56232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31</w:t>
            </w:r>
          </w:p>
        </w:tc>
        <w:tc>
          <w:tcPr>
            <w:tcW w:w="941" w:type="pct"/>
            <w:vAlign w:val="center"/>
          </w:tcPr>
          <w:p>
            <w:pPr>
              <w:pStyle w:val="58"/>
              <w:rPr>
                <w:rFonts w:cs="Times New Roman"/>
                <w:highlight w:val="none"/>
              </w:rPr>
            </w:pPr>
            <w:r>
              <w:rPr>
                <w:rFonts w:cs="Times New Roman"/>
                <w:highlight w:val="none"/>
              </w:rPr>
              <w:t>4-氯苯胺</w:t>
            </w:r>
          </w:p>
        </w:tc>
        <w:tc>
          <w:tcPr>
            <w:tcW w:w="705" w:type="pct"/>
            <w:vAlign w:val="center"/>
          </w:tcPr>
          <w:p>
            <w:pPr>
              <w:pStyle w:val="58"/>
              <w:rPr>
                <w:rFonts w:cs="Times New Roman"/>
                <w:highlight w:val="none"/>
              </w:rPr>
            </w:pPr>
            <w:r>
              <w:rPr>
                <w:rFonts w:cs="Times New Roman"/>
                <w:highlight w:val="none"/>
              </w:rPr>
              <w:t>106-47-8</w:t>
            </w:r>
          </w:p>
        </w:tc>
        <w:tc>
          <w:tcPr>
            <w:tcW w:w="741" w:type="pct"/>
            <w:vAlign w:val="center"/>
          </w:tcPr>
          <w:p>
            <w:pPr>
              <w:pStyle w:val="58"/>
              <w:rPr>
                <w:rFonts w:cs="Times New Roman"/>
                <w:highlight w:val="none"/>
              </w:rPr>
            </w:pPr>
            <w:r>
              <w:rPr>
                <w:rFonts w:cs="Times New Roman"/>
                <w:highlight w:val="none"/>
              </w:rPr>
              <w:t>3.0</w:t>
            </w:r>
          </w:p>
        </w:tc>
        <w:tc>
          <w:tcPr>
            <w:tcW w:w="717" w:type="pct"/>
            <w:vAlign w:val="center"/>
          </w:tcPr>
          <w:p>
            <w:pPr>
              <w:pStyle w:val="58"/>
              <w:rPr>
                <w:rFonts w:cs="Times New Roman"/>
                <w:highlight w:val="none"/>
              </w:rPr>
            </w:pPr>
            <w:r>
              <w:rPr>
                <w:rFonts w:cs="Times New Roman"/>
                <w:highlight w:val="none"/>
              </w:rPr>
              <w:t>8.5</w:t>
            </w:r>
          </w:p>
        </w:tc>
        <w:tc>
          <w:tcPr>
            <w:tcW w:w="717" w:type="pct"/>
            <w:vAlign w:val="center"/>
          </w:tcPr>
          <w:p>
            <w:pPr>
              <w:pStyle w:val="58"/>
              <w:rPr>
                <w:rFonts w:cs="Times New Roman"/>
                <w:highlight w:val="none"/>
              </w:rPr>
            </w:pPr>
            <w:r>
              <w:rPr>
                <w:rFonts w:cs="Times New Roman"/>
                <w:highlight w:val="none"/>
              </w:rPr>
              <w:t>30</w:t>
            </w:r>
          </w:p>
        </w:tc>
        <w:tc>
          <w:tcPr>
            <w:tcW w:w="717" w:type="pct"/>
            <w:vAlign w:val="center"/>
          </w:tcPr>
          <w:p>
            <w:pPr>
              <w:pStyle w:val="58"/>
              <w:rPr>
                <w:rFonts w:cs="Times New Roman"/>
                <w:highlight w:val="none"/>
              </w:rPr>
            </w:pPr>
            <w:r>
              <w:rPr>
                <w:rFonts w:cs="Times New Roman"/>
                <w:highlight w:val="none"/>
              </w:rPr>
              <w:t>85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32</w:t>
            </w:r>
          </w:p>
        </w:tc>
        <w:tc>
          <w:tcPr>
            <w:tcW w:w="941" w:type="pct"/>
            <w:vAlign w:val="center"/>
          </w:tcPr>
          <w:p>
            <w:pPr>
              <w:pStyle w:val="58"/>
              <w:rPr>
                <w:rFonts w:cs="Times New Roman"/>
                <w:highlight w:val="none"/>
              </w:rPr>
            </w:pPr>
            <w:r>
              <w:rPr>
                <w:rFonts w:cs="Times New Roman"/>
                <w:highlight w:val="none"/>
              </w:rPr>
              <w:t>2,6-二硝基甲苯</w:t>
            </w:r>
          </w:p>
        </w:tc>
        <w:tc>
          <w:tcPr>
            <w:tcW w:w="705" w:type="pct"/>
            <w:vAlign w:val="center"/>
          </w:tcPr>
          <w:p>
            <w:pPr>
              <w:pStyle w:val="58"/>
              <w:rPr>
                <w:rFonts w:cs="Times New Roman"/>
                <w:highlight w:val="none"/>
              </w:rPr>
            </w:pPr>
            <w:r>
              <w:rPr>
                <w:rFonts w:cs="Times New Roman"/>
                <w:highlight w:val="none"/>
              </w:rPr>
              <w:t>606-20-2</w:t>
            </w:r>
          </w:p>
        </w:tc>
        <w:tc>
          <w:tcPr>
            <w:tcW w:w="741" w:type="pct"/>
            <w:vAlign w:val="center"/>
          </w:tcPr>
          <w:p>
            <w:pPr>
              <w:pStyle w:val="58"/>
              <w:rPr>
                <w:rFonts w:cs="Times New Roman"/>
                <w:highlight w:val="none"/>
              </w:rPr>
            </w:pPr>
            <w:r>
              <w:rPr>
                <w:rFonts w:cs="Times New Roman"/>
                <w:highlight w:val="none"/>
              </w:rPr>
              <w:t>0.87</w:t>
            </w:r>
          </w:p>
        </w:tc>
        <w:tc>
          <w:tcPr>
            <w:tcW w:w="717" w:type="pct"/>
            <w:vAlign w:val="center"/>
          </w:tcPr>
          <w:p>
            <w:pPr>
              <w:pStyle w:val="58"/>
              <w:rPr>
                <w:rFonts w:cs="Times New Roman"/>
                <w:highlight w:val="none"/>
              </w:rPr>
            </w:pPr>
            <w:r>
              <w:rPr>
                <w:rFonts w:cs="Times New Roman"/>
                <w:highlight w:val="none"/>
              </w:rPr>
              <w:t>2.5</w:t>
            </w:r>
          </w:p>
        </w:tc>
        <w:tc>
          <w:tcPr>
            <w:tcW w:w="717" w:type="pct"/>
            <w:vAlign w:val="center"/>
          </w:tcPr>
          <w:p>
            <w:pPr>
              <w:pStyle w:val="58"/>
              <w:rPr>
                <w:rFonts w:cs="Times New Roman"/>
                <w:highlight w:val="none"/>
              </w:rPr>
            </w:pPr>
            <w:r>
              <w:rPr>
                <w:rFonts w:cs="Times New Roman"/>
                <w:highlight w:val="none"/>
              </w:rPr>
              <w:t>8.7</w:t>
            </w:r>
          </w:p>
        </w:tc>
        <w:tc>
          <w:tcPr>
            <w:tcW w:w="717" w:type="pct"/>
            <w:vAlign w:val="center"/>
          </w:tcPr>
          <w:p>
            <w:pPr>
              <w:pStyle w:val="58"/>
              <w:rPr>
                <w:rFonts w:cs="Times New Roman"/>
                <w:highlight w:val="none"/>
              </w:rPr>
            </w:pPr>
            <w:r>
              <w:rPr>
                <w:rFonts w:cs="Times New Roman"/>
                <w:highlight w:val="none"/>
              </w:rPr>
              <w:t>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33</w:t>
            </w:r>
          </w:p>
        </w:tc>
        <w:tc>
          <w:tcPr>
            <w:tcW w:w="941" w:type="pct"/>
            <w:vAlign w:val="center"/>
          </w:tcPr>
          <w:p>
            <w:pPr>
              <w:pStyle w:val="58"/>
              <w:rPr>
                <w:rFonts w:cs="Times New Roman"/>
                <w:highlight w:val="none"/>
              </w:rPr>
            </w:pPr>
            <w:r>
              <w:rPr>
                <w:rFonts w:cs="Times New Roman"/>
                <w:highlight w:val="none"/>
              </w:rPr>
              <w:t>苊</w:t>
            </w:r>
          </w:p>
        </w:tc>
        <w:tc>
          <w:tcPr>
            <w:tcW w:w="705" w:type="pct"/>
            <w:vAlign w:val="center"/>
          </w:tcPr>
          <w:p>
            <w:pPr>
              <w:pStyle w:val="58"/>
              <w:rPr>
                <w:rFonts w:cs="Times New Roman"/>
                <w:highlight w:val="none"/>
              </w:rPr>
            </w:pPr>
            <w:r>
              <w:rPr>
                <w:rFonts w:cs="Times New Roman"/>
                <w:highlight w:val="none"/>
              </w:rPr>
              <w:t>83-32 9</w:t>
            </w:r>
          </w:p>
        </w:tc>
        <w:tc>
          <w:tcPr>
            <w:tcW w:w="741" w:type="pct"/>
            <w:vAlign w:val="center"/>
          </w:tcPr>
          <w:p>
            <w:pPr>
              <w:pStyle w:val="58"/>
              <w:rPr>
                <w:rFonts w:cs="Times New Roman"/>
                <w:highlight w:val="none"/>
              </w:rPr>
            </w:pPr>
            <w:r>
              <w:rPr>
                <w:rFonts w:cs="Times New Roman"/>
                <w:highlight w:val="none"/>
              </w:rPr>
              <w:t>2192</w:t>
            </w:r>
          </w:p>
        </w:tc>
        <w:tc>
          <w:tcPr>
            <w:tcW w:w="717" w:type="pct"/>
            <w:vAlign w:val="center"/>
          </w:tcPr>
          <w:p>
            <w:pPr>
              <w:pStyle w:val="58"/>
              <w:rPr>
                <w:rFonts w:cs="Times New Roman"/>
                <w:highlight w:val="none"/>
              </w:rPr>
            </w:pPr>
            <w:r>
              <w:rPr>
                <w:rFonts w:cs="Times New Roman"/>
                <w:highlight w:val="none"/>
              </w:rPr>
              <w:t>15156</w:t>
            </w:r>
          </w:p>
        </w:tc>
        <w:tc>
          <w:tcPr>
            <w:tcW w:w="717" w:type="pct"/>
            <w:vAlign w:val="center"/>
          </w:tcPr>
          <w:p>
            <w:pPr>
              <w:pStyle w:val="58"/>
              <w:rPr>
                <w:rFonts w:cs="Times New Roman"/>
                <w:highlight w:val="none"/>
              </w:rPr>
            </w:pPr>
            <w:r>
              <w:rPr>
                <w:rFonts w:cs="Times New Roman"/>
                <w:highlight w:val="none"/>
              </w:rPr>
              <w:t>4384</w:t>
            </w:r>
          </w:p>
        </w:tc>
        <w:tc>
          <w:tcPr>
            <w:tcW w:w="717" w:type="pct"/>
            <w:vAlign w:val="center"/>
          </w:tcPr>
          <w:p>
            <w:pPr>
              <w:pStyle w:val="58"/>
              <w:rPr>
                <w:rFonts w:cs="Times New Roman"/>
                <w:highlight w:val="none"/>
              </w:rPr>
            </w:pPr>
            <w:r>
              <w:rPr>
                <w:rFonts w:cs="Times New Roman"/>
                <w:highlight w:val="none"/>
              </w:rPr>
              <w:t>30313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34</w:t>
            </w:r>
          </w:p>
        </w:tc>
        <w:tc>
          <w:tcPr>
            <w:tcW w:w="941" w:type="pct"/>
            <w:vAlign w:val="center"/>
          </w:tcPr>
          <w:p>
            <w:pPr>
              <w:pStyle w:val="58"/>
              <w:rPr>
                <w:rFonts w:cs="Times New Roman"/>
                <w:highlight w:val="none"/>
              </w:rPr>
            </w:pPr>
            <w:r>
              <w:rPr>
                <w:rFonts w:cs="Times New Roman"/>
                <w:highlight w:val="none"/>
              </w:rPr>
              <w:t>菲</w:t>
            </w:r>
          </w:p>
        </w:tc>
        <w:tc>
          <w:tcPr>
            <w:tcW w:w="705" w:type="pct"/>
            <w:vAlign w:val="center"/>
          </w:tcPr>
          <w:p>
            <w:pPr>
              <w:pStyle w:val="58"/>
              <w:rPr>
                <w:rFonts w:cs="Times New Roman"/>
                <w:highlight w:val="none"/>
              </w:rPr>
            </w:pPr>
            <w:r>
              <w:rPr>
                <w:rFonts w:cs="Times New Roman"/>
                <w:highlight w:val="none"/>
              </w:rPr>
              <w:t>85-01-8</w:t>
            </w:r>
          </w:p>
        </w:tc>
        <w:tc>
          <w:tcPr>
            <w:tcW w:w="741" w:type="pct"/>
            <w:vAlign w:val="center"/>
          </w:tcPr>
          <w:p>
            <w:pPr>
              <w:pStyle w:val="58"/>
              <w:rPr>
                <w:rFonts w:cs="Times New Roman"/>
                <w:highlight w:val="none"/>
              </w:rPr>
            </w:pPr>
            <w:r>
              <w:rPr>
                <w:rFonts w:cs="Times New Roman"/>
                <w:highlight w:val="none"/>
              </w:rPr>
              <w:t>1061</w:t>
            </w:r>
          </w:p>
        </w:tc>
        <w:tc>
          <w:tcPr>
            <w:tcW w:w="717" w:type="pct"/>
            <w:vAlign w:val="center"/>
          </w:tcPr>
          <w:p>
            <w:pPr>
              <w:pStyle w:val="58"/>
              <w:rPr>
                <w:rFonts w:cs="Times New Roman"/>
                <w:highlight w:val="none"/>
              </w:rPr>
            </w:pPr>
            <w:r>
              <w:rPr>
                <w:rFonts w:cs="Times New Roman"/>
                <w:highlight w:val="none"/>
              </w:rPr>
              <w:t>7187</w:t>
            </w:r>
          </w:p>
        </w:tc>
        <w:tc>
          <w:tcPr>
            <w:tcW w:w="717" w:type="pct"/>
            <w:vAlign w:val="center"/>
          </w:tcPr>
          <w:p>
            <w:pPr>
              <w:pStyle w:val="58"/>
              <w:rPr>
                <w:rFonts w:cs="Times New Roman"/>
                <w:highlight w:val="none"/>
              </w:rPr>
            </w:pPr>
            <w:r>
              <w:rPr>
                <w:rFonts w:cs="Times New Roman"/>
                <w:highlight w:val="none"/>
              </w:rPr>
              <w:t>2121</w:t>
            </w:r>
          </w:p>
        </w:tc>
        <w:tc>
          <w:tcPr>
            <w:tcW w:w="717" w:type="pct"/>
            <w:vAlign w:val="center"/>
          </w:tcPr>
          <w:p>
            <w:pPr>
              <w:pStyle w:val="58"/>
              <w:rPr>
                <w:rFonts w:cs="Times New Roman"/>
                <w:highlight w:val="none"/>
              </w:rPr>
            </w:pPr>
            <w:r>
              <w:rPr>
                <w:rFonts w:cs="Times New Roman"/>
                <w:highlight w:val="none"/>
              </w:rPr>
              <w:t>14374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35</w:t>
            </w:r>
          </w:p>
        </w:tc>
        <w:tc>
          <w:tcPr>
            <w:tcW w:w="941" w:type="pct"/>
            <w:vAlign w:val="center"/>
          </w:tcPr>
          <w:p>
            <w:pPr>
              <w:pStyle w:val="58"/>
              <w:rPr>
                <w:rFonts w:cs="Times New Roman"/>
                <w:highlight w:val="none"/>
              </w:rPr>
            </w:pPr>
            <w:r>
              <w:rPr>
                <w:rFonts w:cs="Times New Roman"/>
                <w:highlight w:val="none"/>
              </w:rPr>
              <w:t>芴</w:t>
            </w:r>
          </w:p>
        </w:tc>
        <w:tc>
          <w:tcPr>
            <w:tcW w:w="705" w:type="pct"/>
            <w:vAlign w:val="center"/>
          </w:tcPr>
          <w:p>
            <w:pPr>
              <w:pStyle w:val="58"/>
              <w:rPr>
                <w:rFonts w:cs="Times New Roman"/>
                <w:highlight w:val="none"/>
              </w:rPr>
            </w:pPr>
            <w:r>
              <w:rPr>
                <w:rFonts w:cs="Times New Roman"/>
                <w:highlight w:val="none"/>
              </w:rPr>
              <w:t>86-73-7</w:t>
            </w:r>
          </w:p>
        </w:tc>
        <w:tc>
          <w:tcPr>
            <w:tcW w:w="741" w:type="pct"/>
            <w:vAlign w:val="center"/>
          </w:tcPr>
          <w:p>
            <w:pPr>
              <w:pStyle w:val="58"/>
              <w:rPr>
                <w:rFonts w:cs="Times New Roman"/>
                <w:highlight w:val="none"/>
              </w:rPr>
            </w:pPr>
            <w:r>
              <w:rPr>
                <w:rFonts w:cs="Times New Roman"/>
                <w:highlight w:val="none"/>
              </w:rPr>
              <w:t>1461</w:t>
            </w:r>
          </w:p>
        </w:tc>
        <w:tc>
          <w:tcPr>
            <w:tcW w:w="717" w:type="pct"/>
            <w:vAlign w:val="center"/>
          </w:tcPr>
          <w:p>
            <w:pPr>
              <w:pStyle w:val="58"/>
              <w:rPr>
                <w:rFonts w:cs="Times New Roman"/>
                <w:highlight w:val="none"/>
              </w:rPr>
            </w:pPr>
            <w:r>
              <w:rPr>
                <w:rFonts w:cs="Times New Roman"/>
                <w:highlight w:val="none"/>
              </w:rPr>
              <w:t>10104</w:t>
            </w:r>
          </w:p>
        </w:tc>
        <w:tc>
          <w:tcPr>
            <w:tcW w:w="717" w:type="pct"/>
            <w:vAlign w:val="center"/>
          </w:tcPr>
          <w:p>
            <w:pPr>
              <w:pStyle w:val="58"/>
              <w:rPr>
                <w:rFonts w:cs="Times New Roman"/>
                <w:highlight w:val="none"/>
              </w:rPr>
            </w:pPr>
            <w:r>
              <w:rPr>
                <w:rFonts w:cs="Times New Roman"/>
                <w:highlight w:val="none"/>
              </w:rPr>
              <w:t>2923</w:t>
            </w:r>
          </w:p>
        </w:tc>
        <w:tc>
          <w:tcPr>
            <w:tcW w:w="717" w:type="pct"/>
            <w:vAlign w:val="center"/>
          </w:tcPr>
          <w:p>
            <w:pPr>
              <w:pStyle w:val="58"/>
              <w:rPr>
                <w:rFonts w:cs="Times New Roman"/>
                <w:highlight w:val="none"/>
              </w:rPr>
            </w:pPr>
            <w:r>
              <w:rPr>
                <w:rFonts w:cs="Times New Roman"/>
                <w:highlight w:val="none"/>
              </w:rPr>
              <w:t>20208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36</w:t>
            </w:r>
          </w:p>
        </w:tc>
        <w:tc>
          <w:tcPr>
            <w:tcW w:w="941" w:type="pct"/>
            <w:vAlign w:val="center"/>
          </w:tcPr>
          <w:p>
            <w:pPr>
              <w:pStyle w:val="58"/>
              <w:rPr>
                <w:rFonts w:cs="Times New Roman"/>
                <w:highlight w:val="none"/>
              </w:rPr>
            </w:pPr>
            <w:r>
              <w:rPr>
                <w:rFonts w:cs="Times New Roman"/>
                <w:highlight w:val="none"/>
              </w:rPr>
              <w:t>芘</w:t>
            </w:r>
          </w:p>
        </w:tc>
        <w:tc>
          <w:tcPr>
            <w:tcW w:w="705" w:type="pct"/>
            <w:vAlign w:val="center"/>
          </w:tcPr>
          <w:p>
            <w:pPr>
              <w:pStyle w:val="58"/>
              <w:rPr>
                <w:rFonts w:cs="Times New Roman"/>
                <w:highlight w:val="none"/>
              </w:rPr>
            </w:pPr>
            <w:r>
              <w:rPr>
                <w:rFonts w:cs="Times New Roman"/>
                <w:highlight w:val="none"/>
              </w:rPr>
              <w:t>129-00-0</w:t>
            </w:r>
          </w:p>
        </w:tc>
        <w:tc>
          <w:tcPr>
            <w:tcW w:w="741" w:type="pct"/>
            <w:vAlign w:val="center"/>
          </w:tcPr>
          <w:p>
            <w:pPr>
              <w:pStyle w:val="58"/>
              <w:rPr>
                <w:rFonts w:cs="Times New Roman"/>
                <w:highlight w:val="none"/>
              </w:rPr>
            </w:pPr>
            <w:r>
              <w:rPr>
                <w:rFonts w:cs="Times New Roman"/>
                <w:highlight w:val="none"/>
              </w:rPr>
              <w:t>1096</w:t>
            </w:r>
          </w:p>
        </w:tc>
        <w:tc>
          <w:tcPr>
            <w:tcW w:w="717" w:type="pct"/>
            <w:vAlign w:val="center"/>
          </w:tcPr>
          <w:p>
            <w:pPr>
              <w:pStyle w:val="58"/>
              <w:rPr>
                <w:rFonts w:cs="Times New Roman"/>
                <w:highlight w:val="none"/>
              </w:rPr>
            </w:pPr>
            <w:r>
              <w:rPr>
                <w:rFonts w:cs="Times New Roman"/>
                <w:highlight w:val="none"/>
              </w:rPr>
              <w:t>7578</w:t>
            </w:r>
          </w:p>
        </w:tc>
        <w:tc>
          <w:tcPr>
            <w:tcW w:w="717" w:type="pct"/>
            <w:vAlign w:val="center"/>
          </w:tcPr>
          <w:p>
            <w:pPr>
              <w:pStyle w:val="58"/>
              <w:rPr>
                <w:rFonts w:cs="Times New Roman"/>
                <w:highlight w:val="none"/>
              </w:rPr>
            </w:pPr>
            <w:r>
              <w:rPr>
                <w:rFonts w:cs="Times New Roman"/>
                <w:highlight w:val="none"/>
              </w:rPr>
              <w:t>2192</w:t>
            </w:r>
          </w:p>
        </w:tc>
        <w:tc>
          <w:tcPr>
            <w:tcW w:w="717" w:type="pct"/>
            <w:vAlign w:val="center"/>
          </w:tcPr>
          <w:p>
            <w:pPr>
              <w:pStyle w:val="58"/>
              <w:rPr>
                <w:rFonts w:cs="Times New Roman"/>
                <w:highlight w:val="none"/>
              </w:rPr>
            </w:pPr>
            <w:r>
              <w:rPr>
                <w:rFonts w:cs="Times New Roman"/>
                <w:highlight w:val="none"/>
              </w:rPr>
              <w:t>15156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37</w:t>
            </w:r>
          </w:p>
        </w:tc>
        <w:tc>
          <w:tcPr>
            <w:tcW w:w="941" w:type="pct"/>
            <w:vAlign w:val="center"/>
          </w:tcPr>
          <w:p>
            <w:pPr>
              <w:pStyle w:val="58"/>
              <w:rPr>
                <w:rFonts w:cs="Times New Roman"/>
                <w:highlight w:val="none"/>
              </w:rPr>
            </w:pPr>
            <w:r>
              <w:rPr>
                <w:rFonts w:cs="Times New Roman"/>
                <w:highlight w:val="none"/>
              </w:rPr>
              <w:t>荧崽</w:t>
            </w:r>
          </w:p>
        </w:tc>
        <w:tc>
          <w:tcPr>
            <w:tcW w:w="705" w:type="pct"/>
            <w:vAlign w:val="center"/>
          </w:tcPr>
          <w:p>
            <w:pPr>
              <w:pStyle w:val="58"/>
              <w:rPr>
                <w:rFonts w:cs="Times New Roman"/>
                <w:highlight w:val="none"/>
              </w:rPr>
            </w:pPr>
            <w:r>
              <w:rPr>
                <w:rFonts w:cs="Times New Roman"/>
                <w:highlight w:val="none"/>
              </w:rPr>
              <w:t>206-44-0</w:t>
            </w:r>
          </w:p>
        </w:tc>
        <w:tc>
          <w:tcPr>
            <w:tcW w:w="741" w:type="pct"/>
            <w:vAlign w:val="center"/>
          </w:tcPr>
          <w:p>
            <w:pPr>
              <w:pStyle w:val="58"/>
              <w:rPr>
                <w:rFonts w:cs="Times New Roman"/>
                <w:highlight w:val="none"/>
              </w:rPr>
            </w:pPr>
            <w:r>
              <w:rPr>
                <w:rFonts w:cs="Times New Roman"/>
                <w:highlight w:val="none"/>
              </w:rPr>
              <w:t>1461</w:t>
            </w:r>
          </w:p>
        </w:tc>
        <w:tc>
          <w:tcPr>
            <w:tcW w:w="717" w:type="pct"/>
            <w:vAlign w:val="center"/>
          </w:tcPr>
          <w:p>
            <w:pPr>
              <w:pStyle w:val="58"/>
              <w:rPr>
                <w:rFonts w:cs="Times New Roman"/>
                <w:highlight w:val="none"/>
              </w:rPr>
            </w:pPr>
            <w:r>
              <w:rPr>
                <w:rFonts w:cs="Times New Roman"/>
                <w:highlight w:val="none"/>
              </w:rPr>
              <w:t>10104</w:t>
            </w:r>
          </w:p>
        </w:tc>
        <w:tc>
          <w:tcPr>
            <w:tcW w:w="717" w:type="pct"/>
            <w:vAlign w:val="center"/>
          </w:tcPr>
          <w:p>
            <w:pPr>
              <w:pStyle w:val="58"/>
              <w:rPr>
                <w:rFonts w:cs="Times New Roman"/>
                <w:highlight w:val="none"/>
              </w:rPr>
            </w:pPr>
            <w:r>
              <w:rPr>
                <w:rFonts w:cs="Times New Roman"/>
                <w:highlight w:val="none"/>
              </w:rPr>
              <w:t>2923</w:t>
            </w:r>
          </w:p>
        </w:tc>
        <w:tc>
          <w:tcPr>
            <w:tcW w:w="717" w:type="pct"/>
            <w:vAlign w:val="center"/>
          </w:tcPr>
          <w:p>
            <w:pPr>
              <w:pStyle w:val="58"/>
              <w:rPr>
                <w:rFonts w:cs="Times New Roman"/>
                <w:highlight w:val="none"/>
              </w:rPr>
            </w:pPr>
            <w:r>
              <w:rPr>
                <w:rFonts w:cs="Times New Roman"/>
                <w:highlight w:val="none"/>
              </w:rPr>
              <w:t>20208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38</w:t>
            </w:r>
          </w:p>
        </w:tc>
        <w:tc>
          <w:tcPr>
            <w:tcW w:w="941" w:type="pct"/>
            <w:vAlign w:val="center"/>
          </w:tcPr>
          <w:p>
            <w:pPr>
              <w:pStyle w:val="58"/>
              <w:rPr>
                <w:rFonts w:cs="Times New Roman"/>
                <w:highlight w:val="none"/>
              </w:rPr>
            </w:pPr>
            <w:r>
              <w:rPr>
                <w:rFonts w:cs="Times New Roman"/>
                <w:highlight w:val="none"/>
              </w:rPr>
              <w:t>苊烯</w:t>
            </w:r>
          </w:p>
        </w:tc>
        <w:tc>
          <w:tcPr>
            <w:tcW w:w="705" w:type="pct"/>
            <w:vAlign w:val="center"/>
          </w:tcPr>
          <w:p>
            <w:pPr>
              <w:pStyle w:val="58"/>
              <w:rPr>
                <w:rFonts w:cs="Times New Roman"/>
                <w:highlight w:val="none"/>
              </w:rPr>
            </w:pPr>
            <w:r>
              <w:rPr>
                <w:rFonts w:cs="Times New Roman"/>
                <w:highlight w:val="none"/>
              </w:rPr>
              <w:t>208-96 8</w:t>
            </w:r>
          </w:p>
        </w:tc>
        <w:tc>
          <w:tcPr>
            <w:tcW w:w="741" w:type="pct"/>
            <w:vAlign w:val="center"/>
          </w:tcPr>
          <w:p>
            <w:pPr>
              <w:pStyle w:val="58"/>
              <w:rPr>
                <w:rFonts w:cs="Times New Roman"/>
                <w:highlight w:val="none"/>
              </w:rPr>
            </w:pPr>
            <w:r>
              <w:rPr>
                <w:rFonts w:cs="Times New Roman"/>
                <w:highlight w:val="none"/>
              </w:rPr>
              <w:t>2121</w:t>
            </w:r>
          </w:p>
        </w:tc>
        <w:tc>
          <w:tcPr>
            <w:tcW w:w="717" w:type="pct"/>
            <w:vAlign w:val="center"/>
          </w:tcPr>
          <w:p>
            <w:pPr>
              <w:pStyle w:val="58"/>
              <w:rPr>
                <w:rFonts w:cs="Times New Roman"/>
                <w:highlight w:val="none"/>
              </w:rPr>
            </w:pPr>
            <w:r>
              <w:rPr>
                <w:rFonts w:cs="Times New Roman"/>
                <w:highlight w:val="none"/>
              </w:rPr>
              <w:t>14374</w:t>
            </w:r>
          </w:p>
        </w:tc>
        <w:tc>
          <w:tcPr>
            <w:tcW w:w="717" w:type="pct"/>
            <w:vAlign w:val="center"/>
          </w:tcPr>
          <w:p>
            <w:pPr>
              <w:pStyle w:val="58"/>
              <w:rPr>
                <w:rFonts w:cs="Times New Roman"/>
                <w:highlight w:val="none"/>
              </w:rPr>
            </w:pPr>
            <w:r>
              <w:rPr>
                <w:rFonts w:cs="Times New Roman"/>
                <w:highlight w:val="none"/>
              </w:rPr>
              <w:t>4242</w:t>
            </w:r>
          </w:p>
        </w:tc>
        <w:tc>
          <w:tcPr>
            <w:tcW w:w="717" w:type="pct"/>
            <w:vAlign w:val="center"/>
          </w:tcPr>
          <w:p>
            <w:pPr>
              <w:pStyle w:val="58"/>
              <w:rPr>
                <w:rFonts w:cs="Times New Roman"/>
                <w:highlight w:val="none"/>
              </w:rPr>
            </w:pPr>
            <w:r>
              <w:rPr>
                <w:rFonts w:cs="Times New Roman"/>
                <w:highlight w:val="none"/>
              </w:rPr>
              <w:t>28749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39</w:t>
            </w:r>
          </w:p>
        </w:tc>
        <w:tc>
          <w:tcPr>
            <w:tcW w:w="941" w:type="pct"/>
            <w:vAlign w:val="center"/>
          </w:tcPr>
          <w:p>
            <w:pPr>
              <w:pStyle w:val="58"/>
              <w:rPr>
                <w:rFonts w:cs="Times New Roman"/>
                <w:highlight w:val="none"/>
              </w:rPr>
            </w:pPr>
            <w:r>
              <w:rPr>
                <w:rFonts w:cs="Times New Roman"/>
                <w:highlight w:val="none"/>
              </w:rPr>
              <w:t>2-甲基萘</w:t>
            </w:r>
          </w:p>
        </w:tc>
        <w:tc>
          <w:tcPr>
            <w:tcW w:w="705" w:type="pct"/>
            <w:vAlign w:val="center"/>
          </w:tcPr>
          <w:p>
            <w:pPr>
              <w:pStyle w:val="58"/>
              <w:rPr>
                <w:rFonts w:cs="Times New Roman"/>
                <w:highlight w:val="none"/>
              </w:rPr>
            </w:pPr>
            <w:r>
              <w:rPr>
                <w:rFonts w:cs="Times New Roman"/>
                <w:highlight w:val="none"/>
              </w:rPr>
              <w:t>91-57-6</w:t>
            </w:r>
          </w:p>
        </w:tc>
        <w:tc>
          <w:tcPr>
            <w:tcW w:w="741" w:type="pct"/>
            <w:vAlign w:val="center"/>
          </w:tcPr>
          <w:p>
            <w:pPr>
              <w:pStyle w:val="58"/>
              <w:rPr>
                <w:rFonts w:cs="Times New Roman"/>
                <w:highlight w:val="none"/>
              </w:rPr>
            </w:pPr>
            <w:r>
              <w:rPr>
                <w:rFonts w:cs="Times New Roman"/>
                <w:highlight w:val="none"/>
              </w:rPr>
              <w:t>146</w:t>
            </w:r>
          </w:p>
        </w:tc>
        <w:tc>
          <w:tcPr>
            <w:tcW w:w="717" w:type="pct"/>
            <w:vAlign w:val="center"/>
          </w:tcPr>
          <w:p>
            <w:pPr>
              <w:pStyle w:val="58"/>
              <w:rPr>
                <w:rFonts w:cs="Times New Roman"/>
                <w:highlight w:val="none"/>
              </w:rPr>
            </w:pPr>
            <w:r>
              <w:rPr>
                <w:rFonts w:cs="Times New Roman"/>
                <w:highlight w:val="none"/>
              </w:rPr>
              <w:t>1010</w:t>
            </w:r>
          </w:p>
        </w:tc>
        <w:tc>
          <w:tcPr>
            <w:tcW w:w="717" w:type="pct"/>
            <w:vAlign w:val="center"/>
          </w:tcPr>
          <w:p>
            <w:pPr>
              <w:pStyle w:val="58"/>
              <w:rPr>
                <w:rFonts w:cs="Times New Roman"/>
                <w:highlight w:val="none"/>
              </w:rPr>
            </w:pPr>
            <w:r>
              <w:rPr>
                <w:rFonts w:cs="Times New Roman"/>
                <w:highlight w:val="none"/>
              </w:rPr>
              <w:t>292</w:t>
            </w:r>
          </w:p>
        </w:tc>
        <w:tc>
          <w:tcPr>
            <w:tcW w:w="717" w:type="pct"/>
            <w:vAlign w:val="center"/>
          </w:tcPr>
          <w:p>
            <w:pPr>
              <w:pStyle w:val="58"/>
              <w:rPr>
                <w:rFonts w:cs="Times New Roman"/>
                <w:highlight w:val="none"/>
              </w:rPr>
            </w:pPr>
            <w:r>
              <w:rPr>
                <w:rFonts w:cs="Times New Roman"/>
                <w:highlight w:val="none"/>
              </w:rPr>
              <w:t>2021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40</w:t>
            </w:r>
          </w:p>
        </w:tc>
        <w:tc>
          <w:tcPr>
            <w:tcW w:w="941" w:type="pct"/>
            <w:vAlign w:val="center"/>
          </w:tcPr>
          <w:p>
            <w:pPr>
              <w:pStyle w:val="58"/>
              <w:rPr>
                <w:rFonts w:cs="Times New Roman"/>
                <w:highlight w:val="none"/>
              </w:rPr>
            </w:pPr>
            <w:r>
              <w:rPr>
                <w:rFonts w:cs="Times New Roman"/>
                <w:highlight w:val="none"/>
              </w:rPr>
              <w:t>苯并(g,h,i)苝</w:t>
            </w:r>
          </w:p>
        </w:tc>
        <w:tc>
          <w:tcPr>
            <w:tcW w:w="705" w:type="pct"/>
            <w:vAlign w:val="center"/>
          </w:tcPr>
          <w:p>
            <w:pPr>
              <w:pStyle w:val="58"/>
              <w:rPr>
                <w:rFonts w:cs="Times New Roman"/>
                <w:highlight w:val="none"/>
              </w:rPr>
            </w:pPr>
            <w:r>
              <w:rPr>
                <w:rFonts w:cs="Times New Roman"/>
                <w:highlight w:val="none"/>
              </w:rPr>
              <w:t>191-24-2</w:t>
            </w:r>
          </w:p>
        </w:tc>
        <w:tc>
          <w:tcPr>
            <w:tcW w:w="741" w:type="pct"/>
            <w:vAlign w:val="center"/>
          </w:tcPr>
          <w:p>
            <w:pPr>
              <w:pStyle w:val="58"/>
              <w:rPr>
                <w:rFonts w:cs="Times New Roman"/>
                <w:highlight w:val="none"/>
              </w:rPr>
            </w:pPr>
            <w:r>
              <w:rPr>
                <w:rFonts w:cs="Times New Roman"/>
                <w:highlight w:val="none"/>
              </w:rPr>
              <w:t>1061</w:t>
            </w:r>
          </w:p>
        </w:tc>
        <w:tc>
          <w:tcPr>
            <w:tcW w:w="717" w:type="pct"/>
            <w:vAlign w:val="center"/>
          </w:tcPr>
          <w:p>
            <w:pPr>
              <w:pStyle w:val="58"/>
              <w:rPr>
                <w:rFonts w:cs="Times New Roman"/>
                <w:highlight w:val="none"/>
              </w:rPr>
            </w:pPr>
            <w:r>
              <w:rPr>
                <w:rFonts w:cs="Times New Roman"/>
                <w:highlight w:val="none"/>
              </w:rPr>
              <w:t>7187</w:t>
            </w:r>
          </w:p>
        </w:tc>
        <w:tc>
          <w:tcPr>
            <w:tcW w:w="717" w:type="pct"/>
            <w:vAlign w:val="center"/>
          </w:tcPr>
          <w:p>
            <w:pPr>
              <w:pStyle w:val="58"/>
              <w:rPr>
                <w:rFonts w:cs="Times New Roman"/>
                <w:highlight w:val="none"/>
              </w:rPr>
            </w:pPr>
            <w:r>
              <w:rPr>
                <w:rFonts w:cs="Times New Roman"/>
                <w:highlight w:val="none"/>
              </w:rPr>
              <w:t>2121</w:t>
            </w:r>
          </w:p>
        </w:tc>
        <w:tc>
          <w:tcPr>
            <w:tcW w:w="717" w:type="pct"/>
            <w:vAlign w:val="center"/>
          </w:tcPr>
          <w:p>
            <w:pPr>
              <w:pStyle w:val="58"/>
              <w:rPr>
                <w:rFonts w:cs="Times New Roman"/>
                <w:highlight w:val="none"/>
              </w:rPr>
            </w:pPr>
            <w:r>
              <w:rPr>
                <w:rFonts w:cs="Times New Roman"/>
                <w:highlight w:val="none"/>
              </w:rPr>
              <w:t>14374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41</w:t>
            </w:r>
          </w:p>
        </w:tc>
        <w:tc>
          <w:tcPr>
            <w:tcW w:w="941" w:type="pct"/>
            <w:vAlign w:val="center"/>
          </w:tcPr>
          <w:p>
            <w:pPr>
              <w:pStyle w:val="58"/>
              <w:rPr>
                <w:rFonts w:cs="Times New Roman"/>
                <w:highlight w:val="none"/>
              </w:rPr>
            </w:pPr>
            <w:r>
              <w:rPr>
                <w:rFonts w:cs="Times New Roman"/>
                <w:highlight w:val="none"/>
              </w:rPr>
              <w:t>二苯并味喃</w:t>
            </w:r>
          </w:p>
        </w:tc>
        <w:tc>
          <w:tcPr>
            <w:tcW w:w="705" w:type="pct"/>
            <w:vAlign w:val="center"/>
          </w:tcPr>
          <w:p>
            <w:pPr>
              <w:pStyle w:val="58"/>
              <w:rPr>
                <w:rFonts w:cs="Times New Roman"/>
                <w:highlight w:val="none"/>
              </w:rPr>
            </w:pPr>
            <w:r>
              <w:rPr>
                <w:rFonts w:cs="Times New Roman"/>
                <w:highlight w:val="none"/>
              </w:rPr>
              <w:t>132-64-9</w:t>
            </w:r>
          </w:p>
        </w:tc>
        <w:tc>
          <w:tcPr>
            <w:tcW w:w="741" w:type="pct"/>
            <w:vAlign w:val="center"/>
          </w:tcPr>
          <w:p>
            <w:pPr>
              <w:pStyle w:val="58"/>
              <w:rPr>
                <w:rFonts w:cs="Times New Roman"/>
                <w:highlight w:val="none"/>
              </w:rPr>
            </w:pPr>
            <w:r>
              <w:rPr>
                <w:rFonts w:cs="Times New Roman"/>
                <w:highlight w:val="none"/>
              </w:rPr>
              <w:t>50</w:t>
            </w:r>
          </w:p>
        </w:tc>
        <w:tc>
          <w:tcPr>
            <w:tcW w:w="717" w:type="pct"/>
            <w:vAlign w:val="center"/>
          </w:tcPr>
          <w:p>
            <w:pPr>
              <w:pStyle w:val="58"/>
              <w:rPr>
                <w:rFonts w:cs="Times New Roman"/>
                <w:highlight w:val="none"/>
              </w:rPr>
            </w:pPr>
            <w:r>
              <w:rPr>
                <w:rFonts w:cs="Times New Roman"/>
                <w:highlight w:val="none"/>
              </w:rPr>
              <w:t>451</w:t>
            </w:r>
          </w:p>
        </w:tc>
        <w:tc>
          <w:tcPr>
            <w:tcW w:w="717" w:type="pct"/>
            <w:vAlign w:val="center"/>
          </w:tcPr>
          <w:p>
            <w:pPr>
              <w:pStyle w:val="58"/>
              <w:rPr>
                <w:rFonts w:cs="Times New Roman"/>
                <w:highlight w:val="none"/>
              </w:rPr>
            </w:pPr>
            <w:r>
              <w:rPr>
                <w:rFonts w:cs="Times New Roman"/>
                <w:highlight w:val="none"/>
              </w:rPr>
              <w:t>100</w:t>
            </w:r>
          </w:p>
        </w:tc>
        <w:tc>
          <w:tcPr>
            <w:tcW w:w="717" w:type="pct"/>
            <w:vAlign w:val="center"/>
          </w:tcPr>
          <w:p>
            <w:pPr>
              <w:pStyle w:val="58"/>
              <w:rPr>
                <w:rFonts w:cs="Times New Roman"/>
                <w:highlight w:val="none"/>
              </w:rPr>
            </w:pPr>
            <w:r>
              <w:rPr>
                <w:rFonts w:cs="Times New Roman"/>
                <w:highlight w:val="none"/>
              </w:rPr>
              <w:t>902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42</w:t>
            </w:r>
          </w:p>
        </w:tc>
        <w:tc>
          <w:tcPr>
            <w:tcW w:w="941" w:type="pct"/>
            <w:vAlign w:val="center"/>
          </w:tcPr>
          <w:p>
            <w:pPr>
              <w:pStyle w:val="58"/>
              <w:rPr>
                <w:rFonts w:cs="Times New Roman"/>
                <w:highlight w:val="none"/>
              </w:rPr>
            </w:pPr>
            <w:r>
              <w:rPr>
                <w:rFonts w:cs="Times New Roman"/>
                <w:highlight w:val="none"/>
              </w:rPr>
              <w:t>咔唑</w:t>
            </w:r>
          </w:p>
        </w:tc>
        <w:tc>
          <w:tcPr>
            <w:tcW w:w="705" w:type="pct"/>
            <w:vAlign w:val="center"/>
          </w:tcPr>
          <w:p>
            <w:pPr>
              <w:pStyle w:val="58"/>
              <w:rPr>
                <w:rFonts w:cs="Times New Roman"/>
                <w:highlight w:val="none"/>
              </w:rPr>
            </w:pPr>
            <w:r>
              <w:rPr>
                <w:rFonts w:cs="Times New Roman"/>
                <w:highlight w:val="none"/>
              </w:rPr>
              <w:t>86-74-8</w:t>
            </w:r>
          </w:p>
        </w:tc>
        <w:tc>
          <w:tcPr>
            <w:tcW w:w="741" w:type="pct"/>
            <w:vAlign w:val="center"/>
          </w:tcPr>
          <w:p>
            <w:pPr>
              <w:pStyle w:val="58"/>
              <w:rPr>
                <w:rFonts w:cs="Times New Roman"/>
                <w:highlight w:val="none"/>
              </w:rPr>
            </w:pPr>
            <w:r>
              <w:rPr>
                <w:rFonts w:cs="Times New Roman"/>
                <w:highlight w:val="none"/>
              </w:rPr>
              <w:t>27</w:t>
            </w:r>
          </w:p>
        </w:tc>
        <w:tc>
          <w:tcPr>
            <w:tcW w:w="717" w:type="pct"/>
            <w:vAlign w:val="center"/>
          </w:tcPr>
          <w:p>
            <w:pPr>
              <w:pStyle w:val="58"/>
              <w:rPr>
                <w:rFonts w:cs="Times New Roman"/>
                <w:highlight w:val="none"/>
              </w:rPr>
            </w:pPr>
            <w:r>
              <w:rPr>
                <w:rFonts w:cs="Times New Roman"/>
                <w:highlight w:val="none"/>
              </w:rPr>
              <w:t>74</w:t>
            </w:r>
          </w:p>
        </w:tc>
        <w:tc>
          <w:tcPr>
            <w:tcW w:w="717" w:type="pct"/>
            <w:vAlign w:val="center"/>
          </w:tcPr>
          <w:p>
            <w:pPr>
              <w:pStyle w:val="58"/>
              <w:rPr>
                <w:rFonts w:cs="Times New Roman"/>
                <w:highlight w:val="none"/>
              </w:rPr>
            </w:pPr>
            <w:r>
              <w:rPr>
                <w:rFonts w:cs="Times New Roman"/>
                <w:highlight w:val="none"/>
              </w:rPr>
              <w:t>268</w:t>
            </w:r>
          </w:p>
        </w:tc>
        <w:tc>
          <w:tcPr>
            <w:tcW w:w="717" w:type="pct"/>
            <w:vAlign w:val="center"/>
          </w:tcPr>
          <w:p>
            <w:pPr>
              <w:pStyle w:val="58"/>
              <w:rPr>
                <w:rFonts w:cs="Times New Roman"/>
                <w:highlight w:val="none"/>
              </w:rPr>
            </w:pPr>
            <w:r>
              <w:rPr>
                <w:rFonts w:cs="Times New Roman"/>
                <w:highlight w:val="none"/>
              </w:rPr>
              <w:t>736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43</w:t>
            </w:r>
          </w:p>
        </w:tc>
        <w:tc>
          <w:tcPr>
            <w:tcW w:w="941" w:type="pct"/>
            <w:vAlign w:val="center"/>
          </w:tcPr>
          <w:p>
            <w:pPr>
              <w:pStyle w:val="58"/>
              <w:rPr>
                <w:rFonts w:cs="Times New Roman"/>
                <w:highlight w:val="none"/>
              </w:rPr>
            </w:pPr>
            <w:r>
              <w:rPr>
                <w:rFonts w:cs="Times New Roman"/>
                <w:highlight w:val="none"/>
              </w:rPr>
              <w:t>异佛尔酮</w:t>
            </w:r>
          </w:p>
        </w:tc>
        <w:tc>
          <w:tcPr>
            <w:tcW w:w="705" w:type="pct"/>
            <w:vAlign w:val="center"/>
          </w:tcPr>
          <w:p>
            <w:pPr>
              <w:pStyle w:val="58"/>
              <w:rPr>
                <w:rFonts w:cs="Times New Roman"/>
                <w:highlight w:val="none"/>
              </w:rPr>
            </w:pPr>
            <w:r>
              <w:rPr>
                <w:rFonts w:cs="Times New Roman"/>
                <w:highlight w:val="none"/>
              </w:rPr>
              <w:t>78-59-1</w:t>
            </w:r>
          </w:p>
        </w:tc>
        <w:tc>
          <w:tcPr>
            <w:tcW w:w="741" w:type="pct"/>
            <w:vAlign w:val="center"/>
          </w:tcPr>
          <w:p>
            <w:pPr>
              <w:pStyle w:val="58"/>
              <w:rPr>
                <w:rFonts w:cs="Times New Roman"/>
                <w:highlight w:val="none"/>
              </w:rPr>
            </w:pPr>
            <w:r>
              <w:rPr>
                <w:rFonts w:cs="Times New Roman"/>
                <w:highlight w:val="none"/>
              </w:rPr>
              <w:t>624</w:t>
            </w:r>
          </w:p>
        </w:tc>
        <w:tc>
          <w:tcPr>
            <w:tcW w:w="717" w:type="pct"/>
            <w:vAlign w:val="center"/>
          </w:tcPr>
          <w:p>
            <w:pPr>
              <w:pStyle w:val="58"/>
              <w:rPr>
                <w:rFonts w:cs="Times New Roman"/>
                <w:highlight w:val="none"/>
              </w:rPr>
            </w:pPr>
            <w:r>
              <w:rPr>
                <w:rFonts w:cs="Times New Roman"/>
                <w:highlight w:val="none"/>
              </w:rPr>
              <w:t>1799</w:t>
            </w:r>
          </w:p>
        </w:tc>
        <w:tc>
          <w:tcPr>
            <w:tcW w:w="717" w:type="pct"/>
            <w:vAlign w:val="center"/>
          </w:tcPr>
          <w:p>
            <w:pPr>
              <w:pStyle w:val="58"/>
              <w:rPr>
                <w:rFonts w:cs="Times New Roman"/>
                <w:highlight w:val="none"/>
              </w:rPr>
            </w:pPr>
            <w:r>
              <w:rPr>
                <w:rFonts w:cs="Times New Roman"/>
                <w:highlight w:val="none"/>
              </w:rPr>
              <w:t>6238</w:t>
            </w:r>
          </w:p>
        </w:tc>
        <w:tc>
          <w:tcPr>
            <w:tcW w:w="717" w:type="pct"/>
            <w:vAlign w:val="center"/>
          </w:tcPr>
          <w:p>
            <w:pPr>
              <w:pStyle w:val="58"/>
              <w:rPr>
                <w:rFonts w:cs="Times New Roman"/>
                <w:highlight w:val="none"/>
              </w:rPr>
            </w:pPr>
            <w:r>
              <w:rPr>
                <w:rFonts w:cs="Times New Roman"/>
                <w:highlight w:val="none"/>
              </w:rPr>
              <w:t>17994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44</w:t>
            </w:r>
          </w:p>
        </w:tc>
        <w:tc>
          <w:tcPr>
            <w:tcW w:w="941" w:type="pct"/>
            <w:vAlign w:val="center"/>
          </w:tcPr>
          <w:p>
            <w:pPr>
              <w:pStyle w:val="58"/>
              <w:rPr>
                <w:rFonts w:cs="Times New Roman"/>
                <w:highlight w:val="none"/>
              </w:rPr>
            </w:pPr>
            <w:r>
              <w:rPr>
                <w:rFonts w:cs="Times New Roman"/>
                <w:highlight w:val="none"/>
              </w:rPr>
              <w:t>邻苯二甲酸二丁醋</w:t>
            </w:r>
          </w:p>
        </w:tc>
        <w:tc>
          <w:tcPr>
            <w:tcW w:w="705" w:type="pct"/>
            <w:vAlign w:val="center"/>
          </w:tcPr>
          <w:p>
            <w:pPr>
              <w:pStyle w:val="58"/>
              <w:rPr>
                <w:rFonts w:cs="Times New Roman"/>
                <w:highlight w:val="none"/>
              </w:rPr>
            </w:pPr>
            <w:r>
              <w:rPr>
                <w:rFonts w:cs="Times New Roman"/>
                <w:highlight w:val="none"/>
              </w:rPr>
              <w:t>84-74-2</w:t>
            </w:r>
          </w:p>
        </w:tc>
        <w:tc>
          <w:tcPr>
            <w:tcW w:w="741" w:type="pct"/>
            <w:vAlign w:val="center"/>
          </w:tcPr>
          <w:p>
            <w:pPr>
              <w:pStyle w:val="58"/>
              <w:rPr>
                <w:rFonts w:cs="Times New Roman"/>
                <w:highlight w:val="none"/>
              </w:rPr>
            </w:pPr>
            <w:r>
              <w:rPr>
                <w:rFonts w:cs="Times New Roman"/>
                <w:highlight w:val="none"/>
              </w:rPr>
              <w:t>3896</w:t>
            </w:r>
          </w:p>
        </w:tc>
        <w:tc>
          <w:tcPr>
            <w:tcW w:w="717" w:type="pct"/>
            <w:vAlign w:val="center"/>
          </w:tcPr>
          <w:p>
            <w:pPr>
              <w:pStyle w:val="58"/>
              <w:rPr>
                <w:rFonts w:cs="Times New Roman"/>
                <w:highlight w:val="none"/>
              </w:rPr>
            </w:pPr>
            <w:r>
              <w:rPr>
                <w:rFonts w:cs="Times New Roman"/>
                <w:highlight w:val="none"/>
              </w:rPr>
              <w:t>28116</w:t>
            </w:r>
          </w:p>
        </w:tc>
        <w:tc>
          <w:tcPr>
            <w:tcW w:w="717" w:type="pct"/>
            <w:vAlign w:val="center"/>
          </w:tcPr>
          <w:p>
            <w:pPr>
              <w:pStyle w:val="58"/>
              <w:rPr>
                <w:rFonts w:cs="Times New Roman"/>
                <w:highlight w:val="none"/>
              </w:rPr>
            </w:pPr>
            <w:r>
              <w:rPr>
                <w:rFonts w:cs="Times New Roman"/>
                <w:highlight w:val="none"/>
              </w:rPr>
              <w:t>7792</w:t>
            </w:r>
          </w:p>
        </w:tc>
        <w:tc>
          <w:tcPr>
            <w:tcW w:w="717" w:type="pct"/>
            <w:vAlign w:val="center"/>
          </w:tcPr>
          <w:p>
            <w:pPr>
              <w:pStyle w:val="58"/>
              <w:rPr>
                <w:rFonts w:cs="Times New Roman"/>
                <w:highlight w:val="none"/>
              </w:rPr>
            </w:pPr>
            <w:r>
              <w:rPr>
                <w:rFonts w:cs="Times New Roman"/>
                <w:highlight w:val="none"/>
              </w:rPr>
              <w:t>56232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5000" w:type="pct"/>
            <w:gridSpan w:val="7"/>
            <w:vAlign w:val="center"/>
          </w:tcPr>
          <w:p>
            <w:pPr>
              <w:pStyle w:val="58"/>
              <w:rPr>
                <w:rFonts w:cs="Times New Roman"/>
                <w:highlight w:val="none"/>
              </w:rPr>
            </w:pPr>
            <w:r>
              <w:rPr>
                <w:rFonts w:cs="Times New Roman"/>
                <w:highlight w:val="none"/>
              </w:rPr>
              <w:t>有机农药类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45</w:t>
            </w:r>
          </w:p>
        </w:tc>
        <w:tc>
          <w:tcPr>
            <w:tcW w:w="941" w:type="pct"/>
            <w:vAlign w:val="center"/>
          </w:tcPr>
          <w:p>
            <w:pPr>
              <w:pStyle w:val="58"/>
              <w:rPr>
                <w:rFonts w:cs="Times New Roman"/>
                <w:highlight w:val="none"/>
              </w:rPr>
            </w:pPr>
            <w:r>
              <w:rPr>
                <w:rFonts w:cs="Times New Roman"/>
                <w:highlight w:val="none"/>
              </w:rPr>
              <w:t>甲基对硫磷</w:t>
            </w:r>
          </w:p>
        </w:tc>
        <w:tc>
          <w:tcPr>
            <w:tcW w:w="705" w:type="pct"/>
            <w:vAlign w:val="center"/>
          </w:tcPr>
          <w:p>
            <w:pPr>
              <w:pStyle w:val="58"/>
              <w:rPr>
                <w:rFonts w:cs="Times New Roman"/>
                <w:highlight w:val="none"/>
              </w:rPr>
            </w:pPr>
            <w:r>
              <w:rPr>
                <w:rFonts w:cs="Times New Roman"/>
                <w:highlight w:val="none"/>
              </w:rPr>
              <w:t>298-00-0</w:t>
            </w:r>
          </w:p>
        </w:tc>
        <w:tc>
          <w:tcPr>
            <w:tcW w:w="741" w:type="pct"/>
            <w:vAlign w:val="center"/>
          </w:tcPr>
          <w:p>
            <w:pPr>
              <w:pStyle w:val="58"/>
              <w:rPr>
                <w:rFonts w:cs="Times New Roman"/>
                <w:highlight w:val="none"/>
              </w:rPr>
            </w:pPr>
            <w:r>
              <w:rPr>
                <w:rFonts w:cs="Times New Roman"/>
                <w:highlight w:val="none"/>
              </w:rPr>
              <w:t>9.7</w:t>
            </w:r>
          </w:p>
        </w:tc>
        <w:tc>
          <w:tcPr>
            <w:tcW w:w="717" w:type="pct"/>
            <w:vAlign w:val="center"/>
          </w:tcPr>
          <w:p>
            <w:pPr>
              <w:pStyle w:val="58"/>
              <w:rPr>
                <w:rFonts w:cs="Times New Roman"/>
                <w:highlight w:val="none"/>
              </w:rPr>
            </w:pPr>
            <w:r>
              <w:rPr>
                <w:rFonts w:cs="Times New Roman"/>
                <w:highlight w:val="none"/>
              </w:rPr>
              <w:t>70</w:t>
            </w:r>
          </w:p>
        </w:tc>
        <w:tc>
          <w:tcPr>
            <w:tcW w:w="717" w:type="pct"/>
            <w:vAlign w:val="center"/>
          </w:tcPr>
          <w:p>
            <w:pPr>
              <w:pStyle w:val="58"/>
              <w:rPr>
                <w:rFonts w:cs="Times New Roman"/>
                <w:highlight w:val="none"/>
              </w:rPr>
            </w:pPr>
            <w:r>
              <w:rPr>
                <w:rFonts w:cs="Times New Roman"/>
                <w:highlight w:val="none"/>
              </w:rPr>
              <w:t>19</w:t>
            </w:r>
          </w:p>
        </w:tc>
        <w:tc>
          <w:tcPr>
            <w:tcW w:w="717" w:type="pct"/>
            <w:vAlign w:val="center"/>
          </w:tcPr>
          <w:p>
            <w:pPr>
              <w:pStyle w:val="58"/>
              <w:rPr>
                <w:rFonts w:cs="Times New Roman"/>
                <w:highlight w:val="none"/>
              </w:rPr>
            </w:pPr>
            <w:r>
              <w:rPr>
                <w:rFonts w:cs="Times New Roman"/>
                <w:highlight w:val="none"/>
              </w:rPr>
              <w:t>141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46</w:t>
            </w:r>
          </w:p>
        </w:tc>
        <w:tc>
          <w:tcPr>
            <w:tcW w:w="941" w:type="pct"/>
            <w:vAlign w:val="center"/>
          </w:tcPr>
          <w:p>
            <w:pPr>
              <w:pStyle w:val="58"/>
              <w:rPr>
                <w:rFonts w:cs="Times New Roman"/>
                <w:highlight w:val="none"/>
              </w:rPr>
            </w:pPr>
            <w:r>
              <w:rPr>
                <w:rFonts w:cs="Times New Roman"/>
                <w:highlight w:val="none"/>
              </w:rPr>
              <w:t>艾氏剂</w:t>
            </w:r>
          </w:p>
        </w:tc>
        <w:tc>
          <w:tcPr>
            <w:tcW w:w="705" w:type="pct"/>
            <w:vAlign w:val="center"/>
          </w:tcPr>
          <w:p>
            <w:pPr>
              <w:pStyle w:val="58"/>
              <w:rPr>
                <w:rFonts w:cs="Times New Roman"/>
                <w:highlight w:val="none"/>
              </w:rPr>
            </w:pPr>
            <w:r>
              <w:rPr>
                <w:rFonts w:cs="Times New Roman"/>
                <w:highlight w:val="none"/>
              </w:rPr>
              <w:t>309-00-2</w:t>
            </w:r>
          </w:p>
        </w:tc>
        <w:tc>
          <w:tcPr>
            <w:tcW w:w="741" w:type="pct"/>
            <w:vAlign w:val="center"/>
          </w:tcPr>
          <w:p>
            <w:pPr>
              <w:pStyle w:val="58"/>
              <w:rPr>
                <w:rFonts w:cs="Times New Roman"/>
                <w:highlight w:val="none"/>
              </w:rPr>
            </w:pPr>
            <w:r>
              <w:rPr>
                <w:rFonts w:cs="Times New Roman"/>
                <w:highlight w:val="none"/>
              </w:rPr>
              <w:t>0.05</w:t>
            </w:r>
          </w:p>
        </w:tc>
        <w:tc>
          <w:tcPr>
            <w:tcW w:w="717" w:type="pct"/>
            <w:vAlign w:val="center"/>
          </w:tcPr>
          <w:p>
            <w:pPr>
              <w:pStyle w:val="58"/>
              <w:rPr>
                <w:rFonts w:cs="Times New Roman"/>
                <w:highlight w:val="none"/>
              </w:rPr>
            </w:pPr>
            <w:r>
              <w:rPr>
                <w:rFonts w:cs="Times New Roman"/>
                <w:highlight w:val="none"/>
              </w:rPr>
              <w:t>0.16</w:t>
            </w:r>
          </w:p>
        </w:tc>
        <w:tc>
          <w:tcPr>
            <w:tcW w:w="717" w:type="pct"/>
            <w:vAlign w:val="center"/>
          </w:tcPr>
          <w:p>
            <w:pPr>
              <w:pStyle w:val="58"/>
              <w:rPr>
                <w:rFonts w:cs="Times New Roman"/>
                <w:highlight w:val="none"/>
              </w:rPr>
            </w:pPr>
            <w:r>
              <w:rPr>
                <w:rFonts w:cs="Times New Roman"/>
                <w:highlight w:val="none"/>
              </w:rPr>
              <w:t>0.46</w:t>
            </w:r>
          </w:p>
        </w:tc>
        <w:tc>
          <w:tcPr>
            <w:tcW w:w="717" w:type="pct"/>
            <w:vAlign w:val="center"/>
          </w:tcPr>
          <w:p>
            <w:pPr>
              <w:pStyle w:val="58"/>
              <w:rPr>
                <w:rFonts w:cs="Times New Roman"/>
                <w:highlight w:val="none"/>
              </w:rPr>
            </w:pPr>
            <w:r>
              <w:rPr>
                <w:rFonts w:cs="Times New Roman"/>
                <w:highlight w:val="none"/>
              </w:rPr>
              <w:t>1.6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47</w:t>
            </w:r>
          </w:p>
        </w:tc>
        <w:tc>
          <w:tcPr>
            <w:tcW w:w="941" w:type="pct"/>
            <w:vAlign w:val="center"/>
          </w:tcPr>
          <w:p>
            <w:pPr>
              <w:pStyle w:val="58"/>
              <w:rPr>
                <w:rFonts w:cs="Times New Roman"/>
                <w:highlight w:val="none"/>
              </w:rPr>
            </w:pPr>
            <w:r>
              <w:rPr>
                <w:rStyle w:val="42"/>
                <w:rFonts w:cs="Times New Roman"/>
                <w:highlight w:val="none"/>
                <w:shd w:val="clear" w:color="auto" w:fill="FFFFFF"/>
              </w:rPr>
              <w:t>δ</w:t>
            </w:r>
            <w:r>
              <w:rPr>
                <w:rFonts w:cs="Times New Roman"/>
                <w:highlight w:val="none"/>
              </w:rPr>
              <w:t>-六六六</w:t>
            </w:r>
          </w:p>
        </w:tc>
        <w:tc>
          <w:tcPr>
            <w:tcW w:w="705" w:type="pct"/>
            <w:vAlign w:val="center"/>
          </w:tcPr>
          <w:p>
            <w:pPr>
              <w:pStyle w:val="58"/>
              <w:rPr>
                <w:rFonts w:cs="Times New Roman"/>
                <w:highlight w:val="none"/>
              </w:rPr>
            </w:pPr>
            <w:r>
              <w:rPr>
                <w:rFonts w:cs="Times New Roman"/>
                <w:highlight w:val="none"/>
              </w:rPr>
              <w:t>319-86-8</w:t>
            </w:r>
          </w:p>
        </w:tc>
        <w:tc>
          <w:tcPr>
            <w:tcW w:w="741" w:type="pct"/>
            <w:vAlign w:val="center"/>
          </w:tcPr>
          <w:p>
            <w:pPr>
              <w:pStyle w:val="58"/>
              <w:rPr>
                <w:rFonts w:cs="Times New Roman"/>
                <w:highlight w:val="none"/>
              </w:rPr>
            </w:pPr>
            <w:r>
              <w:rPr>
                <w:rFonts w:cs="Times New Roman"/>
                <w:highlight w:val="none"/>
              </w:rPr>
              <w:t>0.28</w:t>
            </w:r>
          </w:p>
        </w:tc>
        <w:tc>
          <w:tcPr>
            <w:tcW w:w="717" w:type="pct"/>
            <w:vAlign w:val="center"/>
          </w:tcPr>
          <w:p>
            <w:pPr>
              <w:pStyle w:val="58"/>
              <w:rPr>
                <w:rFonts w:cs="Times New Roman"/>
                <w:highlight w:val="none"/>
              </w:rPr>
            </w:pPr>
            <w:r>
              <w:rPr>
                <w:rFonts w:cs="Times New Roman"/>
                <w:highlight w:val="none"/>
              </w:rPr>
              <w:t>0.7</w:t>
            </w:r>
          </w:p>
        </w:tc>
        <w:tc>
          <w:tcPr>
            <w:tcW w:w="717" w:type="pct"/>
            <w:vAlign w:val="center"/>
          </w:tcPr>
          <w:p>
            <w:pPr>
              <w:pStyle w:val="58"/>
              <w:rPr>
                <w:rFonts w:cs="Times New Roman"/>
                <w:highlight w:val="none"/>
              </w:rPr>
            </w:pPr>
            <w:r>
              <w:rPr>
                <w:rFonts w:cs="Times New Roman"/>
                <w:highlight w:val="none"/>
              </w:rPr>
              <w:t>2.8</w:t>
            </w:r>
          </w:p>
        </w:tc>
        <w:tc>
          <w:tcPr>
            <w:tcW w:w="717" w:type="pct"/>
            <w:vAlign w:val="center"/>
          </w:tcPr>
          <w:p>
            <w:pPr>
              <w:pStyle w:val="58"/>
              <w:rPr>
                <w:rFonts w:cs="Times New Roman"/>
                <w:highlight w:val="none"/>
              </w:rPr>
            </w:pPr>
            <w:r>
              <w:rPr>
                <w:rFonts w:cs="Times New Roman"/>
                <w:highlight w:val="none"/>
              </w:rPr>
              <w:t>7.5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48</w:t>
            </w:r>
          </w:p>
        </w:tc>
        <w:tc>
          <w:tcPr>
            <w:tcW w:w="941" w:type="pct"/>
            <w:vAlign w:val="center"/>
          </w:tcPr>
          <w:p>
            <w:pPr>
              <w:pStyle w:val="58"/>
              <w:rPr>
                <w:rFonts w:cs="Times New Roman"/>
                <w:highlight w:val="none"/>
              </w:rPr>
            </w:pPr>
            <w:r>
              <w:rPr>
                <w:rFonts w:cs="Times New Roman"/>
                <w:highlight w:val="none"/>
              </w:rPr>
              <w:t>草甘腾</w:t>
            </w:r>
          </w:p>
        </w:tc>
        <w:tc>
          <w:tcPr>
            <w:tcW w:w="705" w:type="pct"/>
            <w:vAlign w:val="center"/>
          </w:tcPr>
          <w:p>
            <w:pPr>
              <w:pStyle w:val="58"/>
              <w:rPr>
                <w:rFonts w:cs="Times New Roman"/>
                <w:highlight w:val="none"/>
              </w:rPr>
            </w:pPr>
            <w:r>
              <w:rPr>
                <w:rFonts w:cs="Times New Roman"/>
                <w:highlight w:val="none"/>
              </w:rPr>
              <w:t>1071-83-6</w:t>
            </w:r>
          </w:p>
        </w:tc>
        <w:tc>
          <w:tcPr>
            <w:tcW w:w="741" w:type="pct"/>
            <w:vAlign w:val="center"/>
          </w:tcPr>
          <w:p>
            <w:pPr>
              <w:pStyle w:val="58"/>
              <w:rPr>
                <w:rFonts w:cs="Times New Roman"/>
                <w:highlight w:val="none"/>
              </w:rPr>
            </w:pPr>
            <w:r>
              <w:rPr>
                <w:rFonts w:cs="Times New Roman"/>
                <w:highlight w:val="none"/>
              </w:rPr>
              <w:t>3896</w:t>
            </w:r>
          </w:p>
        </w:tc>
        <w:tc>
          <w:tcPr>
            <w:tcW w:w="717" w:type="pct"/>
            <w:vAlign w:val="center"/>
          </w:tcPr>
          <w:p>
            <w:pPr>
              <w:pStyle w:val="58"/>
              <w:rPr>
                <w:rFonts w:cs="Times New Roman"/>
                <w:highlight w:val="none"/>
              </w:rPr>
            </w:pPr>
            <w:r>
              <w:rPr>
                <w:rFonts w:cs="Times New Roman"/>
                <w:highlight w:val="none"/>
              </w:rPr>
              <w:t>28116</w:t>
            </w:r>
          </w:p>
        </w:tc>
        <w:tc>
          <w:tcPr>
            <w:tcW w:w="717" w:type="pct"/>
            <w:vAlign w:val="center"/>
          </w:tcPr>
          <w:p>
            <w:pPr>
              <w:pStyle w:val="58"/>
              <w:rPr>
                <w:rFonts w:cs="Times New Roman"/>
                <w:highlight w:val="none"/>
              </w:rPr>
            </w:pPr>
            <w:r>
              <w:rPr>
                <w:rFonts w:cs="Times New Roman"/>
                <w:highlight w:val="none"/>
              </w:rPr>
              <w:t>7792</w:t>
            </w:r>
          </w:p>
        </w:tc>
        <w:tc>
          <w:tcPr>
            <w:tcW w:w="717" w:type="pct"/>
            <w:vAlign w:val="center"/>
          </w:tcPr>
          <w:p>
            <w:pPr>
              <w:pStyle w:val="58"/>
              <w:rPr>
                <w:rFonts w:cs="Times New Roman"/>
                <w:highlight w:val="none"/>
              </w:rPr>
            </w:pPr>
            <w:r>
              <w:rPr>
                <w:rFonts w:cs="Times New Roman"/>
                <w:highlight w:val="none"/>
              </w:rPr>
              <w:t>56232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62" w:type="pct"/>
            <w:vAlign w:val="center"/>
          </w:tcPr>
          <w:p>
            <w:pPr>
              <w:pStyle w:val="58"/>
              <w:rPr>
                <w:rFonts w:cs="Times New Roman"/>
                <w:highlight w:val="none"/>
              </w:rPr>
            </w:pPr>
            <w:r>
              <w:rPr>
                <w:rFonts w:cs="Times New Roman"/>
                <w:highlight w:val="none"/>
              </w:rPr>
              <w:t>49</w:t>
            </w:r>
          </w:p>
        </w:tc>
        <w:tc>
          <w:tcPr>
            <w:tcW w:w="941" w:type="pct"/>
            <w:vAlign w:val="center"/>
          </w:tcPr>
          <w:p>
            <w:pPr>
              <w:pStyle w:val="58"/>
              <w:rPr>
                <w:rFonts w:cs="Times New Roman"/>
                <w:highlight w:val="none"/>
              </w:rPr>
            </w:pPr>
            <w:r>
              <w:rPr>
                <w:rFonts w:cs="Times New Roman"/>
                <w:highlight w:val="none"/>
              </w:rPr>
              <w:t>毒死蜱</w:t>
            </w:r>
          </w:p>
        </w:tc>
        <w:tc>
          <w:tcPr>
            <w:tcW w:w="705" w:type="pct"/>
            <w:vAlign w:val="center"/>
          </w:tcPr>
          <w:p>
            <w:pPr>
              <w:pStyle w:val="58"/>
              <w:rPr>
                <w:rFonts w:cs="Times New Roman"/>
                <w:highlight w:val="none"/>
              </w:rPr>
            </w:pPr>
            <w:r>
              <w:rPr>
                <w:rFonts w:cs="Times New Roman"/>
                <w:highlight w:val="none"/>
              </w:rPr>
              <w:t>2921-88-2</w:t>
            </w:r>
          </w:p>
        </w:tc>
        <w:tc>
          <w:tcPr>
            <w:tcW w:w="741" w:type="pct"/>
            <w:vAlign w:val="center"/>
          </w:tcPr>
          <w:p>
            <w:pPr>
              <w:pStyle w:val="58"/>
              <w:rPr>
                <w:rFonts w:cs="Times New Roman"/>
                <w:highlight w:val="none"/>
              </w:rPr>
            </w:pPr>
            <w:r>
              <w:rPr>
                <w:rFonts w:cs="Times New Roman"/>
                <w:highlight w:val="none"/>
              </w:rPr>
              <w:t>96</w:t>
            </w:r>
          </w:p>
        </w:tc>
        <w:tc>
          <w:tcPr>
            <w:tcW w:w="717" w:type="pct"/>
            <w:vAlign w:val="center"/>
          </w:tcPr>
          <w:p>
            <w:pPr>
              <w:pStyle w:val="58"/>
              <w:rPr>
                <w:rFonts w:cs="Times New Roman"/>
                <w:highlight w:val="none"/>
              </w:rPr>
            </w:pPr>
            <w:r>
              <w:rPr>
                <w:rFonts w:cs="Times New Roman"/>
                <w:highlight w:val="none"/>
              </w:rPr>
              <w:t>613</w:t>
            </w:r>
          </w:p>
        </w:tc>
        <w:tc>
          <w:tcPr>
            <w:tcW w:w="717" w:type="pct"/>
            <w:vAlign w:val="center"/>
          </w:tcPr>
          <w:p>
            <w:pPr>
              <w:pStyle w:val="58"/>
              <w:rPr>
                <w:rFonts w:cs="Times New Roman"/>
                <w:highlight w:val="none"/>
              </w:rPr>
            </w:pPr>
            <w:r>
              <w:rPr>
                <w:rFonts w:cs="Times New Roman"/>
                <w:highlight w:val="none"/>
              </w:rPr>
              <w:t>191</w:t>
            </w:r>
          </w:p>
        </w:tc>
        <w:tc>
          <w:tcPr>
            <w:tcW w:w="717" w:type="pct"/>
            <w:vAlign w:val="center"/>
          </w:tcPr>
          <w:p>
            <w:pPr>
              <w:pStyle w:val="58"/>
              <w:rPr>
                <w:rFonts w:cs="Times New Roman"/>
                <w:highlight w:val="none"/>
              </w:rPr>
            </w:pPr>
            <w:r>
              <w:rPr>
                <w:rFonts w:cs="Times New Roman"/>
                <w:highlight w:val="none"/>
              </w:rPr>
              <w:t>1225</w:t>
            </w:r>
          </w:p>
        </w:tc>
      </w:tr>
    </w:tbl>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17</w:t>
      </w:r>
      <w:r>
        <w:rPr>
          <w:highlight w:val="none"/>
        </w:rPr>
        <w:fldChar w:fldCharType="end"/>
      </w:r>
      <w:r>
        <w:rPr>
          <w:highlight w:val="none"/>
        </w:rPr>
        <w:t xml:space="preserve">  </w:t>
      </w:r>
      <w:r>
        <w:rPr>
          <w:rFonts w:hint="eastAsia"/>
          <w:highlight w:val="none"/>
        </w:rPr>
        <w:t>农用地</w:t>
      </w:r>
      <w:r>
        <w:rPr>
          <w:highlight w:val="none"/>
        </w:rPr>
        <w:t>土壤</w:t>
      </w:r>
      <w:r>
        <w:rPr>
          <w:rFonts w:hint="eastAsia"/>
          <w:highlight w:val="none"/>
        </w:rPr>
        <w:t>污染风险筛选和管控标准</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86"/>
        <w:gridCol w:w="955"/>
        <w:gridCol w:w="778"/>
        <w:gridCol w:w="1267"/>
        <w:gridCol w:w="1157"/>
        <w:gridCol w:w="1003"/>
        <w:gridCol w:w="828"/>
        <w:gridCol w:w="955"/>
        <w:gridCol w:w="1075"/>
        <w:gridCol w:w="7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6" w:type="pct"/>
            <w:gridSpan w:val="2"/>
            <w:vMerge w:val="restart"/>
            <w:shd w:val="clear" w:color="auto" w:fill="auto"/>
            <w:vAlign w:val="center"/>
          </w:tcPr>
          <w:p>
            <w:pPr>
              <w:pStyle w:val="58"/>
              <w:rPr>
                <w:highlight w:val="none"/>
              </w:rPr>
            </w:pPr>
            <w:r>
              <w:rPr>
                <w:rFonts w:hint="eastAsia"/>
                <w:highlight w:val="none"/>
              </w:rPr>
              <w:t>项目</w:t>
            </w:r>
          </w:p>
        </w:tc>
        <w:tc>
          <w:tcPr>
            <w:tcW w:w="2264" w:type="pct"/>
            <w:gridSpan w:val="4"/>
            <w:shd w:val="clear" w:color="auto" w:fill="auto"/>
            <w:vAlign w:val="center"/>
          </w:tcPr>
          <w:p>
            <w:pPr>
              <w:pStyle w:val="58"/>
              <w:rPr>
                <w:highlight w:val="none"/>
              </w:rPr>
            </w:pPr>
            <w:r>
              <w:rPr>
                <w:rFonts w:hint="eastAsia"/>
                <w:highlight w:val="none"/>
              </w:rPr>
              <w:t>风险筛选值，单位：</w:t>
            </w:r>
            <w:r>
              <w:rPr>
                <w:highlight w:val="none"/>
              </w:rPr>
              <w:t>mg/kg</w:t>
            </w:r>
          </w:p>
        </w:tc>
        <w:tc>
          <w:tcPr>
            <w:tcW w:w="1960" w:type="pct"/>
            <w:gridSpan w:val="4"/>
            <w:shd w:val="clear" w:color="auto" w:fill="auto"/>
            <w:vAlign w:val="center"/>
          </w:tcPr>
          <w:p>
            <w:pPr>
              <w:pStyle w:val="58"/>
              <w:rPr>
                <w:highlight w:val="none"/>
              </w:rPr>
            </w:pPr>
            <w:r>
              <w:rPr>
                <w:rFonts w:hint="eastAsia"/>
                <w:highlight w:val="none"/>
              </w:rPr>
              <w:t>风险管控值，单位：</w:t>
            </w:r>
            <w:r>
              <w:rPr>
                <w:highlight w:val="none"/>
              </w:rPr>
              <w:t>mg/kg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6" w:type="pct"/>
            <w:gridSpan w:val="2"/>
            <w:vMerge w:val="continue"/>
            <w:shd w:val="clear" w:color="auto" w:fill="auto"/>
            <w:vAlign w:val="center"/>
          </w:tcPr>
          <w:p>
            <w:pPr>
              <w:pStyle w:val="58"/>
              <w:rPr>
                <w:highlight w:val="none"/>
              </w:rPr>
            </w:pPr>
          </w:p>
        </w:tc>
        <w:tc>
          <w:tcPr>
            <w:tcW w:w="419" w:type="pct"/>
            <w:shd w:val="clear" w:color="auto" w:fill="auto"/>
            <w:vAlign w:val="center"/>
          </w:tcPr>
          <w:p>
            <w:pPr>
              <w:pStyle w:val="58"/>
              <w:rPr>
                <w:highlight w:val="none"/>
              </w:rPr>
            </w:pPr>
            <w:r>
              <w:rPr>
                <w:highlight w:val="none"/>
              </w:rPr>
              <w:t>pH</w:t>
            </w:r>
            <w:r>
              <w:rPr>
                <w:rFonts w:hint="eastAsia"/>
                <w:highlight w:val="none"/>
              </w:rPr>
              <w:t>＜5</w:t>
            </w:r>
            <w:r>
              <w:rPr>
                <w:highlight w:val="none"/>
              </w:rPr>
              <w:t>.5</w:t>
            </w:r>
          </w:p>
        </w:tc>
        <w:tc>
          <w:tcPr>
            <w:tcW w:w="682" w:type="pct"/>
            <w:shd w:val="clear" w:color="auto" w:fill="auto"/>
            <w:vAlign w:val="center"/>
          </w:tcPr>
          <w:p>
            <w:pPr>
              <w:pStyle w:val="58"/>
              <w:rPr>
                <w:highlight w:val="none"/>
              </w:rPr>
            </w:pPr>
            <w:r>
              <w:rPr>
                <w:highlight w:val="none"/>
              </w:rPr>
              <w:t>5.5</w:t>
            </w:r>
            <w:r>
              <w:rPr>
                <w:rFonts w:hint="eastAsia"/>
                <w:highlight w:val="none"/>
              </w:rPr>
              <w:t>＜pH≤</w:t>
            </w:r>
            <w:r>
              <w:rPr>
                <w:highlight w:val="none"/>
              </w:rPr>
              <w:t>6.5</w:t>
            </w:r>
          </w:p>
        </w:tc>
        <w:tc>
          <w:tcPr>
            <w:tcW w:w="623" w:type="pct"/>
            <w:shd w:val="clear" w:color="auto" w:fill="auto"/>
            <w:vAlign w:val="center"/>
          </w:tcPr>
          <w:p>
            <w:pPr>
              <w:pStyle w:val="58"/>
              <w:rPr>
                <w:highlight w:val="none"/>
              </w:rPr>
            </w:pPr>
            <w:r>
              <w:rPr>
                <w:rFonts w:hint="eastAsia"/>
                <w:highlight w:val="none"/>
              </w:rPr>
              <w:t>6.5＜pH≤7.5</w:t>
            </w:r>
          </w:p>
        </w:tc>
        <w:tc>
          <w:tcPr>
            <w:tcW w:w="540" w:type="pct"/>
            <w:shd w:val="clear" w:color="auto" w:fill="auto"/>
            <w:vAlign w:val="center"/>
          </w:tcPr>
          <w:p>
            <w:pPr>
              <w:pStyle w:val="58"/>
              <w:rPr>
                <w:highlight w:val="none"/>
              </w:rPr>
            </w:pPr>
            <w:r>
              <w:rPr>
                <w:highlight w:val="none"/>
              </w:rPr>
              <w:t>pH</w:t>
            </w:r>
            <w:r>
              <w:rPr>
                <w:rFonts w:hint="eastAsia"/>
                <w:highlight w:val="none"/>
              </w:rPr>
              <w:t>＞</w:t>
            </w:r>
            <w:r>
              <w:rPr>
                <w:highlight w:val="none"/>
              </w:rPr>
              <w:t>7.5</w:t>
            </w:r>
          </w:p>
        </w:tc>
        <w:tc>
          <w:tcPr>
            <w:tcW w:w="446" w:type="pct"/>
            <w:shd w:val="clear" w:color="auto" w:fill="auto"/>
            <w:vAlign w:val="center"/>
          </w:tcPr>
          <w:p>
            <w:pPr>
              <w:pStyle w:val="58"/>
              <w:rPr>
                <w:highlight w:val="none"/>
              </w:rPr>
            </w:pPr>
            <w:r>
              <w:rPr>
                <w:highlight w:val="none"/>
              </w:rPr>
              <w:t>pH</w:t>
            </w:r>
            <w:r>
              <w:rPr>
                <w:rFonts w:hint="eastAsia"/>
                <w:highlight w:val="none"/>
              </w:rPr>
              <w:t>＜5</w:t>
            </w:r>
            <w:r>
              <w:rPr>
                <w:highlight w:val="none"/>
              </w:rPr>
              <w:t>.5</w:t>
            </w:r>
          </w:p>
        </w:tc>
        <w:tc>
          <w:tcPr>
            <w:tcW w:w="514" w:type="pct"/>
            <w:shd w:val="clear" w:color="auto" w:fill="auto"/>
            <w:vAlign w:val="center"/>
          </w:tcPr>
          <w:p>
            <w:pPr>
              <w:pStyle w:val="58"/>
              <w:rPr>
                <w:highlight w:val="none"/>
              </w:rPr>
            </w:pPr>
            <w:r>
              <w:rPr>
                <w:highlight w:val="none"/>
              </w:rPr>
              <w:t>5.5</w:t>
            </w:r>
            <w:r>
              <w:rPr>
                <w:rFonts w:hint="eastAsia"/>
                <w:highlight w:val="none"/>
              </w:rPr>
              <w:t>＜pH≤</w:t>
            </w:r>
            <w:r>
              <w:rPr>
                <w:highlight w:val="none"/>
              </w:rPr>
              <w:t>6.5</w:t>
            </w:r>
          </w:p>
        </w:tc>
        <w:tc>
          <w:tcPr>
            <w:tcW w:w="579" w:type="pct"/>
            <w:shd w:val="clear" w:color="auto" w:fill="auto"/>
            <w:vAlign w:val="center"/>
          </w:tcPr>
          <w:p>
            <w:pPr>
              <w:pStyle w:val="58"/>
              <w:rPr>
                <w:highlight w:val="none"/>
              </w:rPr>
            </w:pPr>
            <w:r>
              <w:rPr>
                <w:rFonts w:hint="eastAsia"/>
                <w:highlight w:val="none"/>
              </w:rPr>
              <w:t>6.5＜pH≤7.5</w:t>
            </w:r>
          </w:p>
        </w:tc>
        <w:tc>
          <w:tcPr>
            <w:tcW w:w="421" w:type="pct"/>
            <w:shd w:val="clear" w:color="auto" w:fill="auto"/>
            <w:vAlign w:val="center"/>
          </w:tcPr>
          <w:p>
            <w:pPr>
              <w:pStyle w:val="58"/>
              <w:rPr>
                <w:highlight w:val="none"/>
              </w:rPr>
            </w:pPr>
            <w:r>
              <w:rPr>
                <w:highlight w:val="none"/>
              </w:rPr>
              <w:t>pH</w:t>
            </w:r>
            <w:r>
              <w:rPr>
                <w:rFonts w:hint="eastAsia"/>
                <w:highlight w:val="none"/>
              </w:rPr>
              <w:t>＞</w:t>
            </w:r>
            <w:r>
              <w:rPr>
                <w:highlight w:val="none"/>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4" w:hRule="atLeast"/>
        </w:trPr>
        <w:tc>
          <w:tcPr>
            <w:tcW w:w="262" w:type="pct"/>
            <w:vMerge w:val="restart"/>
            <w:shd w:val="clear" w:color="auto" w:fill="auto"/>
            <w:vAlign w:val="center"/>
          </w:tcPr>
          <w:p>
            <w:pPr>
              <w:pStyle w:val="58"/>
              <w:rPr>
                <w:highlight w:val="none"/>
              </w:rPr>
            </w:pPr>
            <w:r>
              <w:rPr>
                <w:highlight w:val="none"/>
              </w:rPr>
              <w:t>Cd</w:t>
            </w:r>
          </w:p>
        </w:tc>
        <w:tc>
          <w:tcPr>
            <w:tcW w:w="514" w:type="pct"/>
            <w:shd w:val="clear" w:color="auto" w:fill="auto"/>
            <w:vAlign w:val="center"/>
          </w:tcPr>
          <w:p>
            <w:pPr>
              <w:pStyle w:val="58"/>
              <w:rPr>
                <w:highlight w:val="none"/>
              </w:rPr>
            </w:pPr>
            <w:r>
              <w:rPr>
                <w:rFonts w:hint="eastAsia"/>
                <w:highlight w:val="none"/>
              </w:rPr>
              <w:t>水田</w:t>
            </w:r>
          </w:p>
        </w:tc>
        <w:tc>
          <w:tcPr>
            <w:tcW w:w="419" w:type="pct"/>
            <w:shd w:val="clear" w:color="auto" w:fill="auto"/>
            <w:vAlign w:val="center"/>
          </w:tcPr>
          <w:p>
            <w:pPr>
              <w:pStyle w:val="58"/>
              <w:rPr>
                <w:highlight w:val="none"/>
              </w:rPr>
            </w:pPr>
            <w:r>
              <w:rPr>
                <w:highlight w:val="none"/>
              </w:rPr>
              <w:t>0.3</w:t>
            </w:r>
          </w:p>
        </w:tc>
        <w:tc>
          <w:tcPr>
            <w:tcW w:w="682" w:type="pct"/>
            <w:shd w:val="clear" w:color="auto" w:fill="auto"/>
            <w:vAlign w:val="center"/>
          </w:tcPr>
          <w:p>
            <w:pPr>
              <w:pStyle w:val="58"/>
              <w:rPr>
                <w:highlight w:val="none"/>
              </w:rPr>
            </w:pPr>
            <w:r>
              <w:rPr>
                <w:highlight w:val="none"/>
              </w:rPr>
              <w:t>0.4</w:t>
            </w:r>
          </w:p>
        </w:tc>
        <w:tc>
          <w:tcPr>
            <w:tcW w:w="623" w:type="pct"/>
            <w:shd w:val="clear" w:color="auto" w:fill="auto"/>
            <w:vAlign w:val="center"/>
          </w:tcPr>
          <w:p>
            <w:pPr>
              <w:pStyle w:val="58"/>
              <w:rPr>
                <w:highlight w:val="none"/>
              </w:rPr>
            </w:pPr>
            <w:r>
              <w:rPr>
                <w:highlight w:val="none"/>
              </w:rPr>
              <w:t>0.6</w:t>
            </w:r>
          </w:p>
        </w:tc>
        <w:tc>
          <w:tcPr>
            <w:tcW w:w="540" w:type="pct"/>
            <w:shd w:val="clear" w:color="auto" w:fill="auto"/>
            <w:vAlign w:val="center"/>
          </w:tcPr>
          <w:p>
            <w:pPr>
              <w:pStyle w:val="58"/>
              <w:rPr>
                <w:highlight w:val="none"/>
              </w:rPr>
            </w:pPr>
            <w:r>
              <w:rPr>
                <w:highlight w:val="none"/>
              </w:rPr>
              <w:t>0.8</w:t>
            </w:r>
          </w:p>
        </w:tc>
        <w:tc>
          <w:tcPr>
            <w:tcW w:w="446" w:type="pct"/>
            <w:vMerge w:val="restart"/>
            <w:shd w:val="clear" w:color="auto" w:fill="auto"/>
            <w:vAlign w:val="center"/>
          </w:tcPr>
          <w:p>
            <w:pPr>
              <w:pStyle w:val="58"/>
              <w:rPr>
                <w:highlight w:val="none"/>
              </w:rPr>
            </w:pPr>
            <w:r>
              <w:rPr>
                <w:rFonts w:hint="eastAsia"/>
                <w:highlight w:val="none"/>
              </w:rPr>
              <w:t>1.5</w:t>
            </w:r>
          </w:p>
        </w:tc>
        <w:tc>
          <w:tcPr>
            <w:tcW w:w="514" w:type="pct"/>
            <w:vMerge w:val="restart"/>
            <w:shd w:val="clear" w:color="auto" w:fill="auto"/>
            <w:vAlign w:val="center"/>
          </w:tcPr>
          <w:p>
            <w:pPr>
              <w:pStyle w:val="58"/>
              <w:rPr>
                <w:highlight w:val="none"/>
              </w:rPr>
            </w:pPr>
            <w:r>
              <w:rPr>
                <w:rFonts w:hint="eastAsia"/>
                <w:highlight w:val="none"/>
              </w:rPr>
              <w:t>2.0</w:t>
            </w:r>
          </w:p>
        </w:tc>
        <w:tc>
          <w:tcPr>
            <w:tcW w:w="579" w:type="pct"/>
            <w:vMerge w:val="restart"/>
            <w:shd w:val="clear" w:color="auto" w:fill="auto"/>
            <w:vAlign w:val="center"/>
          </w:tcPr>
          <w:p>
            <w:pPr>
              <w:pStyle w:val="58"/>
              <w:rPr>
                <w:highlight w:val="none"/>
              </w:rPr>
            </w:pPr>
            <w:r>
              <w:rPr>
                <w:rFonts w:hint="eastAsia"/>
                <w:highlight w:val="none"/>
              </w:rPr>
              <w:t>3.0</w:t>
            </w:r>
          </w:p>
        </w:tc>
        <w:tc>
          <w:tcPr>
            <w:tcW w:w="421" w:type="pct"/>
            <w:vMerge w:val="restart"/>
            <w:shd w:val="clear" w:color="auto" w:fill="auto"/>
            <w:vAlign w:val="center"/>
          </w:tcPr>
          <w:p>
            <w:pPr>
              <w:pStyle w:val="58"/>
              <w:rPr>
                <w:highlight w:val="none"/>
              </w:rPr>
            </w:pPr>
            <w:r>
              <w:rPr>
                <w:rFonts w:hint="eastAsia"/>
                <w:highlight w:val="none"/>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trPr>
        <w:tc>
          <w:tcPr>
            <w:tcW w:w="262" w:type="pct"/>
            <w:vMerge w:val="continue"/>
            <w:shd w:val="clear" w:color="auto" w:fill="auto"/>
            <w:vAlign w:val="center"/>
          </w:tcPr>
          <w:p>
            <w:pPr>
              <w:pStyle w:val="58"/>
              <w:rPr>
                <w:highlight w:val="none"/>
              </w:rPr>
            </w:pPr>
          </w:p>
        </w:tc>
        <w:tc>
          <w:tcPr>
            <w:tcW w:w="514" w:type="pct"/>
            <w:shd w:val="clear" w:color="auto" w:fill="auto"/>
            <w:vAlign w:val="center"/>
          </w:tcPr>
          <w:p>
            <w:pPr>
              <w:pStyle w:val="58"/>
              <w:rPr>
                <w:highlight w:val="none"/>
              </w:rPr>
            </w:pPr>
            <w:r>
              <w:rPr>
                <w:rFonts w:hint="eastAsia"/>
                <w:highlight w:val="none"/>
              </w:rPr>
              <w:t>其他</w:t>
            </w:r>
          </w:p>
        </w:tc>
        <w:tc>
          <w:tcPr>
            <w:tcW w:w="419" w:type="pct"/>
            <w:shd w:val="clear" w:color="auto" w:fill="auto"/>
            <w:vAlign w:val="center"/>
          </w:tcPr>
          <w:p>
            <w:pPr>
              <w:pStyle w:val="58"/>
              <w:rPr>
                <w:highlight w:val="none"/>
              </w:rPr>
            </w:pPr>
            <w:r>
              <w:rPr>
                <w:highlight w:val="none"/>
              </w:rPr>
              <w:t>0.3</w:t>
            </w:r>
          </w:p>
        </w:tc>
        <w:tc>
          <w:tcPr>
            <w:tcW w:w="682" w:type="pct"/>
            <w:shd w:val="clear" w:color="auto" w:fill="auto"/>
            <w:vAlign w:val="center"/>
          </w:tcPr>
          <w:p>
            <w:pPr>
              <w:pStyle w:val="58"/>
              <w:rPr>
                <w:highlight w:val="none"/>
              </w:rPr>
            </w:pPr>
            <w:r>
              <w:rPr>
                <w:highlight w:val="none"/>
              </w:rPr>
              <w:t>0.3</w:t>
            </w:r>
          </w:p>
        </w:tc>
        <w:tc>
          <w:tcPr>
            <w:tcW w:w="623" w:type="pct"/>
            <w:shd w:val="clear" w:color="auto" w:fill="auto"/>
            <w:vAlign w:val="center"/>
          </w:tcPr>
          <w:p>
            <w:pPr>
              <w:pStyle w:val="58"/>
              <w:rPr>
                <w:highlight w:val="none"/>
              </w:rPr>
            </w:pPr>
            <w:r>
              <w:rPr>
                <w:highlight w:val="none"/>
              </w:rPr>
              <w:t>0.3</w:t>
            </w:r>
          </w:p>
        </w:tc>
        <w:tc>
          <w:tcPr>
            <w:tcW w:w="540" w:type="pct"/>
            <w:shd w:val="clear" w:color="auto" w:fill="auto"/>
            <w:vAlign w:val="center"/>
          </w:tcPr>
          <w:p>
            <w:pPr>
              <w:pStyle w:val="58"/>
              <w:rPr>
                <w:highlight w:val="none"/>
              </w:rPr>
            </w:pPr>
            <w:r>
              <w:rPr>
                <w:highlight w:val="none"/>
              </w:rPr>
              <w:t>0.6</w:t>
            </w:r>
          </w:p>
        </w:tc>
        <w:tc>
          <w:tcPr>
            <w:tcW w:w="446" w:type="pct"/>
            <w:vMerge w:val="continue"/>
            <w:shd w:val="clear" w:color="auto" w:fill="auto"/>
            <w:vAlign w:val="center"/>
          </w:tcPr>
          <w:p>
            <w:pPr>
              <w:pStyle w:val="58"/>
              <w:rPr>
                <w:highlight w:val="none"/>
              </w:rPr>
            </w:pPr>
          </w:p>
        </w:tc>
        <w:tc>
          <w:tcPr>
            <w:tcW w:w="514" w:type="pct"/>
            <w:vMerge w:val="continue"/>
            <w:shd w:val="clear" w:color="auto" w:fill="auto"/>
            <w:vAlign w:val="center"/>
          </w:tcPr>
          <w:p>
            <w:pPr>
              <w:pStyle w:val="58"/>
              <w:rPr>
                <w:highlight w:val="none"/>
              </w:rPr>
            </w:pPr>
          </w:p>
        </w:tc>
        <w:tc>
          <w:tcPr>
            <w:tcW w:w="579" w:type="pct"/>
            <w:vMerge w:val="continue"/>
            <w:shd w:val="clear" w:color="auto" w:fill="auto"/>
            <w:vAlign w:val="center"/>
          </w:tcPr>
          <w:p>
            <w:pPr>
              <w:pStyle w:val="58"/>
              <w:rPr>
                <w:highlight w:val="none"/>
              </w:rPr>
            </w:pPr>
          </w:p>
        </w:tc>
        <w:tc>
          <w:tcPr>
            <w:tcW w:w="421"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2" w:type="pct"/>
            <w:vMerge w:val="restart"/>
            <w:shd w:val="clear" w:color="auto" w:fill="auto"/>
            <w:vAlign w:val="center"/>
          </w:tcPr>
          <w:p>
            <w:pPr>
              <w:pStyle w:val="58"/>
              <w:rPr>
                <w:highlight w:val="none"/>
              </w:rPr>
            </w:pPr>
            <w:r>
              <w:rPr>
                <w:highlight w:val="none"/>
              </w:rPr>
              <w:t>Cu</w:t>
            </w:r>
          </w:p>
        </w:tc>
        <w:tc>
          <w:tcPr>
            <w:tcW w:w="514" w:type="pct"/>
            <w:shd w:val="clear" w:color="auto" w:fill="auto"/>
            <w:vAlign w:val="center"/>
          </w:tcPr>
          <w:p>
            <w:pPr>
              <w:pStyle w:val="58"/>
              <w:rPr>
                <w:highlight w:val="none"/>
              </w:rPr>
            </w:pPr>
            <w:r>
              <w:rPr>
                <w:rFonts w:hint="eastAsia"/>
                <w:highlight w:val="none"/>
              </w:rPr>
              <w:t>果园</w:t>
            </w:r>
          </w:p>
        </w:tc>
        <w:tc>
          <w:tcPr>
            <w:tcW w:w="419" w:type="pct"/>
            <w:shd w:val="clear" w:color="auto" w:fill="auto"/>
            <w:vAlign w:val="center"/>
          </w:tcPr>
          <w:p>
            <w:pPr>
              <w:pStyle w:val="58"/>
              <w:rPr>
                <w:highlight w:val="none"/>
              </w:rPr>
            </w:pPr>
            <w:r>
              <w:rPr>
                <w:highlight w:val="none"/>
              </w:rPr>
              <w:t>150</w:t>
            </w:r>
          </w:p>
        </w:tc>
        <w:tc>
          <w:tcPr>
            <w:tcW w:w="682" w:type="pct"/>
            <w:shd w:val="clear" w:color="auto" w:fill="auto"/>
            <w:vAlign w:val="center"/>
          </w:tcPr>
          <w:p>
            <w:pPr>
              <w:pStyle w:val="58"/>
              <w:rPr>
                <w:highlight w:val="none"/>
              </w:rPr>
            </w:pPr>
            <w:r>
              <w:rPr>
                <w:highlight w:val="none"/>
              </w:rPr>
              <w:t>150</w:t>
            </w:r>
          </w:p>
        </w:tc>
        <w:tc>
          <w:tcPr>
            <w:tcW w:w="623" w:type="pct"/>
            <w:shd w:val="clear" w:color="auto" w:fill="auto"/>
            <w:vAlign w:val="center"/>
          </w:tcPr>
          <w:p>
            <w:pPr>
              <w:pStyle w:val="58"/>
              <w:rPr>
                <w:highlight w:val="none"/>
              </w:rPr>
            </w:pPr>
            <w:r>
              <w:rPr>
                <w:highlight w:val="none"/>
              </w:rPr>
              <w:t>200</w:t>
            </w:r>
          </w:p>
        </w:tc>
        <w:tc>
          <w:tcPr>
            <w:tcW w:w="540" w:type="pct"/>
            <w:shd w:val="clear" w:color="auto" w:fill="auto"/>
            <w:vAlign w:val="center"/>
          </w:tcPr>
          <w:p>
            <w:pPr>
              <w:pStyle w:val="58"/>
              <w:rPr>
                <w:highlight w:val="none"/>
              </w:rPr>
            </w:pPr>
            <w:r>
              <w:rPr>
                <w:highlight w:val="none"/>
              </w:rPr>
              <w:t>200</w:t>
            </w:r>
          </w:p>
        </w:tc>
        <w:tc>
          <w:tcPr>
            <w:tcW w:w="446" w:type="pct"/>
            <w:vMerge w:val="restart"/>
            <w:shd w:val="clear" w:color="auto" w:fill="auto"/>
            <w:vAlign w:val="center"/>
          </w:tcPr>
          <w:p>
            <w:pPr>
              <w:pStyle w:val="58"/>
              <w:rPr>
                <w:highlight w:val="none"/>
              </w:rPr>
            </w:pPr>
            <w:r>
              <w:rPr>
                <w:rFonts w:hint="eastAsia"/>
                <w:highlight w:val="none"/>
              </w:rPr>
              <w:t>/</w:t>
            </w:r>
          </w:p>
        </w:tc>
        <w:tc>
          <w:tcPr>
            <w:tcW w:w="514" w:type="pct"/>
            <w:vMerge w:val="restart"/>
            <w:shd w:val="clear" w:color="auto" w:fill="auto"/>
            <w:vAlign w:val="center"/>
          </w:tcPr>
          <w:p>
            <w:pPr>
              <w:pStyle w:val="58"/>
              <w:rPr>
                <w:highlight w:val="none"/>
              </w:rPr>
            </w:pPr>
            <w:r>
              <w:rPr>
                <w:rFonts w:hint="eastAsia"/>
                <w:highlight w:val="none"/>
              </w:rPr>
              <w:t>/</w:t>
            </w:r>
          </w:p>
        </w:tc>
        <w:tc>
          <w:tcPr>
            <w:tcW w:w="579" w:type="pct"/>
            <w:vMerge w:val="restart"/>
            <w:shd w:val="clear" w:color="auto" w:fill="auto"/>
            <w:vAlign w:val="center"/>
          </w:tcPr>
          <w:p>
            <w:pPr>
              <w:pStyle w:val="58"/>
              <w:rPr>
                <w:highlight w:val="none"/>
              </w:rPr>
            </w:pPr>
            <w:r>
              <w:rPr>
                <w:rFonts w:hint="eastAsia"/>
                <w:highlight w:val="none"/>
              </w:rPr>
              <w:t>/</w:t>
            </w:r>
          </w:p>
        </w:tc>
        <w:tc>
          <w:tcPr>
            <w:tcW w:w="421" w:type="pct"/>
            <w:vMerge w:val="restart"/>
            <w:shd w:val="clear" w:color="auto" w:fill="auto"/>
            <w:vAlign w:val="center"/>
          </w:tcPr>
          <w:p>
            <w:pPr>
              <w:pStyle w:val="58"/>
              <w:rPr>
                <w:highlight w:val="none"/>
              </w:rPr>
            </w:pPr>
            <w:r>
              <w:rPr>
                <w:rFonts w:hint="eastAsia"/>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2" w:type="pct"/>
            <w:vMerge w:val="continue"/>
            <w:shd w:val="clear" w:color="auto" w:fill="auto"/>
            <w:vAlign w:val="center"/>
          </w:tcPr>
          <w:p>
            <w:pPr>
              <w:pStyle w:val="58"/>
              <w:rPr>
                <w:highlight w:val="none"/>
              </w:rPr>
            </w:pPr>
          </w:p>
        </w:tc>
        <w:tc>
          <w:tcPr>
            <w:tcW w:w="514" w:type="pct"/>
            <w:shd w:val="clear" w:color="auto" w:fill="auto"/>
            <w:vAlign w:val="center"/>
          </w:tcPr>
          <w:p>
            <w:pPr>
              <w:pStyle w:val="58"/>
              <w:rPr>
                <w:highlight w:val="none"/>
              </w:rPr>
            </w:pPr>
            <w:r>
              <w:rPr>
                <w:rFonts w:hint="eastAsia"/>
                <w:highlight w:val="none"/>
              </w:rPr>
              <w:t>其他</w:t>
            </w:r>
          </w:p>
        </w:tc>
        <w:tc>
          <w:tcPr>
            <w:tcW w:w="419" w:type="pct"/>
            <w:shd w:val="clear" w:color="auto" w:fill="auto"/>
            <w:vAlign w:val="center"/>
          </w:tcPr>
          <w:p>
            <w:pPr>
              <w:pStyle w:val="58"/>
              <w:rPr>
                <w:highlight w:val="none"/>
              </w:rPr>
            </w:pPr>
            <w:r>
              <w:rPr>
                <w:highlight w:val="none"/>
              </w:rPr>
              <w:t>50</w:t>
            </w:r>
          </w:p>
        </w:tc>
        <w:tc>
          <w:tcPr>
            <w:tcW w:w="682" w:type="pct"/>
            <w:shd w:val="clear" w:color="auto" w:fill="auto"/>
            <w:vAlign w:val="center"/>
          </w:tcPr>
          <w:p>
            <w:pPr>
              <w:pStyle w:val="58"/>
              <w:rPr>
                <w:highlight w:val="none"/>
              </w:rPr>
            </w:pPr>
            <w:r>
              <w:rPr>
                <w:highlight w:val="none"/>
              </w:rPr>
              <w:t>50</w:t>
            </w:r>
          </w:p>
        </w:tc>
        <w:tc>
          <w:tcPr>
            <w:tcW w:w="623" w:type="pct"/>
            <w:shd w:val="clear" w:color="auto" w:fill="auto"/>
            <w:vAlign w:val="center"/>
          </w:tcPr>
          <w:p>
            <w:pPr>
              <w:pStyle w:val="58"/>
              <w:rPr>
                <w:highlight w:val="none"/>
              </w:rPr>
            </w:pPr>
            <w:r>
              <w:rPr>
                <w:highlight w:val="none"/>
              </w:rPr>
              <w:t>100</w:t>
            </w:r>
          </w:p>
        </w:tc>
        <w:tc>
          <w:tcPr>
            <w:tcW w:w="540" w:type="pct"/>
            <w:shd w:val="clear" w:color="auto" w:fill="auto"/>
            <w:vAlign w:val="center"/>
          </w:tcPr>
          <w:p>
            <w:pPr>
              <w:pStyle w:val="58"/>
              <w:rPr>
                <w:highlight w:val="none"/>
              </w:rPr>
            </w:pPr>
            <w:r>
              <w:rPr>
                <w:highlight w:val="none"/>
              </w:rPr>
              <w:t>100</w:t>
            </w:r>
          </w:p>
        </w:tc>
        <w:tc>
          <w:tcPr>
            <w:tcW w:w="446" w:type="pct"/>
            <w:vMerge w:val="continue"/>
            <w:shd w:val="clear" w:color="auto" w:fill="auto"/>
            <w:vAlign w:val="center"/>
          </w:tcPr>
          <w:p>
            <w:pPr>
              <w:pStyle w:val="58"/>
              <w:rPr>
                <w:highlight w:val="none"/>
              </w:rPr>
            </w:pPr>
          </w:p>
        </w:tc>
        <w:tc>
          <w:tcPr>
            <w:tcW w:w="514" w:type="pct"/>
            <w:vMerge w:val="continue"/>
            <w:shd w:val="clear" w:color="auto" w:fill="auto"/>
            <w:vAlign w:val="center"/>
          </w:tcPr>
          <w:p>
            <w:pPr>
              <w:pStyle w:val="58"/>
              <w:rPr>
                <w:highlight w:val="none"/>
              </w:rPr>
            </w:pPr>
          </w:p>
        </w:tc>
        <w:tc>
          <w:tcPr>
            <w:tcW w:w="579" w:type="pct"/>
            <w:vMerge w:val="continue"/>
            <w:shd w:val="clear" w:color="auto" w:fill="auto"/>
            <w:vAlign w:val="center"/>
          </w:tcPr>
          <w:p>
            <w:pPr>
              <w:pStyle w:val="58"/>
              <w:rPr>
                <w:highlight w:val="none"/>
              </w:rPr>
            </w:pPr>
          </w:p>
        </w:tc>
        <w:tc>
          <w:tcPr>
            <w:tcW w:w="421"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4" w:hRule="atLeast"/>
        </w:trPr>
        <w:tc>
          <w:tcPr>
            <w:tcW w:w="262" w:type="pct"/>
            <w:vMerge w:val="restart"/>
            <w:shd w:val="clear" w:color="auto" w:fill="auto"/>
            <w:vAlign w:val="center"/>
          </w:tcPr>
          <w:p>
            <w:pPr>
              <w:pStyle w:val="58"/>
              <w:rPr>
                <w:highlight w:val="none"/>
              </w:rPr>
            </w:pPr>
            <w:r>
              <w:rPr>
                <w:highlight w:val="none"/>
              </w:rPr>
              <w:t>Pb</w:t>
            </w:r>
          </w:p>
        </w:tc>
        <w:tc>
          <w:tcPr>
            <w:tcW w:w="514" w:type="pct"/>
            <w:shd w:val="clear" w:color="auto" w:fill="auto"/>
            <w:vAlign w:val="center"/>
          </w:tcPr>
          <w:p>
            <w:pPr>
              <w:pStyle w:val="58"/>
              <w:rPr>
                <w:highlight w:val="none"/>
              </w:rPr>
            </w:pPr>
            <w:r>
              <w:rPr>
                <w:rFonts w:hint="eastAsia"/>
                <w:highlight w:val="none"/>
              </w:rPr>
              <w:t>水田</w:t>
            </w:r>
          </w:p>
        </w:tc>
        <w:tc>
          <w:tcPr>
            <w:tcW w:w="419" w:type="pct"/>
            <w:shd w:val="clear" w:color="auto" w:fill="auto"/>
            <w:vAlign w:val="center"/>
          </w:tcPr>
          <w:p>
            <w:pPr>
              <w:pStyle w:val="58"/>
              <w:rPr>
                <w:highlight w:val="none"/>
              </w:rPr>
            </w:pPr>
            <w:r>
              <w:rPr>
                <w:highlight w:val="none"/>
              </w:rPr>
              <w:t>80</w:t>
            </w:r>
          </w:p>
        </w:tc>
        <w:tc>
          <w:tcPr>
            <w:tcW w:w="682" w:type="pct"/>
            <w:shd w:val="clear" w:color="auto" w:fill="auto"/>
            <w:vAlign w:val="center"/>
          </w:tcPr>
          <w:p>
            <w:pPr>
              <w:pStyle w:val="58"/>
              <w:rPr>
                <w:highlight w:val="none"/>
              </w:rPr>
            </w:pPr>
            <w:r>
              <w:rPr>
                <w:highlight w:val="none"/>
              </w:rPr>
              <w:t>100</w:t>
            </w:r>
          </w:p>
        </w:tc>
        <w:tc>
          <w:tcPr>
            <w:tcW w:w="623" w:type="pct"/>
            <w:shd w:val="clear" w:color="auto" w:fill="auto"/>
            <w:vAlign w:val="center"/>
          </w:tcPr>
          <w:p>
            <w:pPr>
              <w:pStyle w:val="58"/>
              <w:rPr>
                <w:highlight w:val="none"/>
              </w:rPr>
            </w:pPr>
            <w:r>
              <w:rPr>
                <w:highlight w:val="none"/>
              </w:rPr>
              <w:t>140</w:t>
            </w:r>
          </w:p>
        </w:tc>
        <w:tc>
          <w:tcPr>
            <w:tcW w:w="540" w:type="pct"/>
            <w:shd w:val="clear" w:color="auto" w:fill="auto"/>
            <w:vAlign w:val="center"/>
          </w:tcPr>
          <w:p>
            <w:pPr>
              <w:pStyle w:val="58"/>
              <w:rPr>
                <w:highlight w:val="none"/>
              </w:rPr>
            </w:pPr>
            <w:r>
              <w:rPr>
                <w:highlight w:val="none"/>
              </w:rPr>
              <w:t>240</w:t>
            </w:r>
          </w:p>
        </w:tc>
        <w:tc>
          <w:tcPr>
            <w:tcW w:w="446" w:type="pct"/>
            <w:vMerge w:val="restart"/>
            <w:shd w:val="clear" w:color="auto" w:fill="auto"/>
            <w:vAlign w:val="center"/>
          </w:tcPr>
          <w:p>
            <w:pPr>
              <w:pStyle w:val="58"/>
              <w:rPr>
                <w:highlight w:val="none"/>
              </w:rPr>
            </w:pPr>
            <w:r>
              <w:rPr>
                <w:rFonts w:hint="eastAsia"/>
                <w:highlight w:val="none"/>
              </w:rPr>
              <w:t>400</w:t>
            </w:r>
          </w:p>
        </w:tc>
        <w:tc>
          <w:tcPr>
            <w:tcW w:w="514" w:type="pct"/>
            <w:vMerge w:val="restart"/>
            <w:shd w:val="clear" w:color="auto" w:fill="auto"/>
            <w:vAlign w:val="center"/>
          </w:tcPr>
          <w:p>
            <w:pPr>
              <w:pStyle w:val="58"/>
              <w:rPr>
                <w:highlight w:val="none"/>
              </w:rPr>
            </w:pPr>
            <w:r>
              <w:rPr>
                <w:rFonts w:hint="eastAsia"/>
                <w:highlight w:val="none"/>
              </w:rPr>
              <w:t>500</w:t>
            </w:r>
          </w:p>
        </w:tc>
        <w:tc>
          <w:tcPr>
            <w:tcW w:w="579" w:type="pct"/>
            <w:vMerge w:val="restart"/>
            <w:shd w:val="clear" w:color="auto" w:fill="auto"/>
            <w:vAlign w:val="center"/>
          </w:tcPr>
          <w:p>
            <w:pPr>
              <w:pStyle w:val="58"/>
              <w:rPr>
                <w:highlight w:val="none"/>
              </w:rPr>
            </w:pPr>
            <w:r>
              <w:rPr>
                <w:rFonts w:hint="eastAsia"/>
                <w:highlight w:val="none"/>
              </w:rPr>
              <w:t>700</w:t>
            </w:r>
          </w:p>
        </w:tc>
        <w:tc>
          <w:tcPr>
            <w:tcW w:w="421" w:type="pct"/>
            <w:vMerge w:val="restart"/>
            <w:shd w:val="clear" w:color="auto" w:fill="auto"/>
            <w:vAlign w:val="center"/>
          </w:tcPr>
          <w:p>
            <w:pPr>
              <w:pStyle w:val="58"/>
              <w:rPr>
                <w:highlight w:val="none"/>
              </w:rPr>
            </w:pPr>
            <w:r>
              <w:rPr>
                <w:rFonts w:hint="eastAsia"/>
                <w:highlight w:val="none"/>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trPr>
        <w:tc>
          <w:tcPr>
            <w:tcW w:w="262" w:type="pct"/>
            <w:vMerge w:val="continue"/>
            <w:shd w:val="clear" w:color="auto" w:fill="auto"/>
            <w:vAlign w:val="center"/>
          </w:tcPr>
          <w:p>
            <w:pPr>
              <w:pStyle w:val="58"/>
              <w:rPr>
                <w:highlight w:val="none"/>
              </w:rPr>
            </w:pPr>
          </w:p>
        </w:tc>
        <w:tc>
          <w:tcPr>
            <w:tcW w:w="514" w:type="pct"/>
            <w:shd w:val="clear" w:color="auto" w:fill="auto"/>
            <w:vAlign w:val="center"/>
          </w:tcPr>
          <w:p>
            <w:pPr>
              <w:pStyle w:val="58"/>
              <w:rPr>
                <w:highlight w:val="none"/>
              </w:rPr>
            </w:pPr>
            <w:r>
              <w:rPr>
                <w:rFonts w:hint="eastAsia"/>
                <w:highlight w:val="none"/>
              </w:rPr>
              <w:t>其他</w:t>
            </w:r>
          </w:p>
        </w:tc>
        <w:tc>
          <w:tcPr>
            <w:tcW w:w="419" w:type="pct"/>
            <w:shd w:val="clear" w:color="auto" w:fill="auto"/>
            <w:vAlign w:val="center"/>
          </w:tcPr>
          <w:p>
            <w:pPr>
              <w:pStyle w:val="58"/>
              <w:rPr>
                <w:highlight w:val="none"/>
              </w:rPr>
            </w:pPr>
            <w:r>
              <w:rPr>
                <w:highlight w:val="none"/>
              </w:rPr>
              <w:t>70</w:t>
            </w:r>
          </w:p>
        </w:tc>
        <w:tc>
          <w:tcPr>
            <w:tcW w:w="682" w:type="pct"/>
            <w:shd w:val="clear" w:color="auto" w:fill="auto"/>
            <w:vAlign w:val="center"/>
          </w:tcPr>
          <w:p>
            <w:pPr>
              <w:pStyle w:val="58"/>
              <w:rPr>
                <w:highlight w:val="none"/>
              </w:rPr>
            </w:pPr>
            <w:r>
              <w:rPr>
                <w:highlight w:val="none"/>
              </w:rPr>
              <w:t>90</w:t>
            </w:r>
          </w:p>
        </w:tc>
        <w:tc>
          <w:tcPr>
            <w:tcW w:w="623" w:type="pct"/>
            <w:shd w:val="clear" w:color="auto" w:fill="auto"/>
            <w:vAlign w:val="center"/>
          </w:tcPr>
          <w:p>
            <w:pPr>
              <w:pStyle w:val="58"/>
              <w:rPr>
                <w:highlight w:val="none"/>
              </w:rPr>
            </w:pPr>
            <w:r>
              <w:rPr>
                <w:highlight w:val="none"/>
              </w:rPr>
              <w:t>120</w:t>
            </w:r>
          </w:p>
        </w:tc>
        <w:tc>
          <w:tcPr>
            <w:tcW w:w="540" w:type="pct"/>
            <w:shd w:val="clear" w:color="auto" w:fill="auto"/>
            <w:vAlign w:val="center"/>
          </w:tcPr>
          <w:p>
            <w:pPr>
              <w:pStyle w:val="58"/>
              <w:rPr>
                <w:highlight w:val="none"/>
              </w:rPr>
            </w:pPr>
            <w:r>
              <w:rPr>
                <w:highlight w:val="none"/>
              </w:rPr>
              <w:t>170</w:t>
            </w:r>
          </w:p>
        </w:tc>
        <w:tc>
          <w:tcPr>
            <w:tcW w:w="446" w:type="pct"/>
            <w:vMerge w:val="continue"/>
            <w:shd w:val="clear" w:color="auto" w:fill="auto"/>
            <w:vAlign w:val="center"/>
          </w:tcPr>
          <w:p>
            <w:pPr>
              <w:pStyle w:val="58"/>
              <w:rPr>
                <w:highlight w:val="none"/>
              </w:rPr>
            </w:pPr>
          </w:p>
        </w:tc>
        <w:tc>
          <w:tcPr>
            <w:tcW w:w="514" w:type="pct"/>
            <w:vMerge w:val="continue"/>
            <w:shd w:val="clear" w:color="auto" w:fill="auto"/>
            <w:vAlign w:val="center"/>
          </w:tcPr>
          <w:p>
            <w:pPr>
              <w:pStyle w:val="58"/>
              <w:rPr>
                <w:highlight w:val="none"/>
              </w:rPr>
            </w:pPr>
          </w:p>
        </w:tc>
        <w:tc>
          <w:tcPr>
            <w:tcW w:w="579" w:type="pct"/>
            <w:vMerge w:val="continue"/>
            <w:shd w:val="clear" w:color="auto" w:fill="auto"/>
            <w:vAlign w:val="center"/>
          </w:tcPr>
          <w:p>
            <w:pPr>
              <w:pStyle w:val="58"/>
              <w:rPr>
                <w:highlight w:val="none"/>
              </w:rPr>
            </w:pPr>
          </w:p>
        </w:tc>
        <w:tc>
          <w:tcPr>
            <w:tcW w:w="421"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6" w:type="pct"/>
            <w:gridSpan w:val="2"/>
            <w:shd w:val="clear" w:color="auto" w:fill="auto"/>
            <w:vAlign w:val="center"/>
          </w:tcPr>
          <w:p>
            <w:pPr>
              <w:pStyle w:val="58"/>
              <w:rPr>
                <w:rFonts w:eastAsia="黑体"/>
                <w:highlight w:val="none"/>
              </w:rPr>
            </w:pPr>
            <w:r>
              <w:rPr>
                <w:highlight w:val="none"/>
              </w:rPr>
              <w:t>Zn</w:t>
            </w:r>
          </w:p>
        </w:tc>
        <w:tc>
          <w:tcPr>
            <w:tcW w:w="419" w:type="pct"/>
            <w:shd w:val="clear" w:color="auto" w:fill="auto"/>
            <w:vAlign w:val="center"/>
          </w:tcPr>
          <w:p>
            <w:pPr>
              <w:pStyle w:val="58"/>
              <w:rPr>
                <w:highlight w:val="none"/>
              </w:rPr>
            </w:pPr>
            <w:r>
              <w:rPr>
                <w:highlight w:val="none"/>
              </w:rPr>
              <w:t>200</w:t>
            </w:r>
          </w:p>
        </w:tc>
        <w:tc>
          <w:tcPr>
            <w:tcW w:w="682" w:type="pct"/>
            <w:shd w:val="clear" w:color="auto" w:fill="auto"/>
            <w:vAlign w:val="center"/>
          </w:tcPr>
          <w:p>
            <w:pPr>
              <w:pStyle w:val="58"/>
              <w:rPr>
                <w:highlight w:val="none"/>
              </w:rPr>
            </w:pPr>
            <w:r>
              <w:rPr>
                <w:highlight w:val="none"/>
              </w:rPr>
              <w:t>200</w:t>
            </w:r>
          </w:p>
        </w:tc>
        <w:tc>
          <w:tcPr>
            <w:tcW w:w="623" w:type="pct"/>
            <w:shd w:val="clear" w:color="auto" w:fill="auto"/>
            <w:vAlign w:val="center"/>
          </w:tcPr>
          <w:p>
            <w:pPr>
              <w:pStyle w:val="58"/>
              <w:rPr>
                <w:highlight w:val="none"/>
              </w:rPr>
            </w:pPr>
            <w:r>
              <w:rPr>
                <w:highlight w:val="none"/>
              </w:rPr>
              <w:t>250</w:t>
            </w:r>
          </w:p>
        </w:tc>
        <w:tc>
          <w:tcPr>
            <w:tcW w:w="540" w:type="pct"/>
            <w:shd w:val="clear" w:color="auto" w:fill="auto"/>
            <w:vAlign w:val="center"/>
          </w:tcPr>
          <w:p>
            <w:pPr>
              <w:pStyle w:val="58"/>
              <w:rPr>
                <w:highlight w:val="none"/>
              </w:rPr>
            </w:pPr>
            <w:r>
              <w:rPr>
                <w:highlight w:val="none"/>
              </w:rPr>
              <w:t>300</w:t>
            </w:r>
          </w:p>
        </w:tc>
        <w:tc>
          <w:tcPr>
            <w:tcW w:w="446" w:type="pct"/>
            <w:shd w:val="clear" w:color="auto" w:fill="auto"/>
            <w:vAlign w:val="center"/>
          </w:tcPr>
          <w:p>
            <w:pPr>
              <w:pStyle w:val="58"/>
              <w:rPr>
                <w:highlight w:val="none"/>
              </w:rPr>
            </w:pPr>
            <w:r>
              <w:rPr>
                <w:rFonts w:hint="eastAsia"/>
                <w:highlight w:val="none"/>
              </w:rPr>
              <w:t>/</w:t>
            </w:r>
          </w:p>
        </w:tc>
        <w:tc>
          <w:tcPr>
            <w:tcW w:w="514" w:type="pct"/>
            <w:shd w:val="clear" w:color="auto" w:fill="auto"/>
            <w:vAlign w:val="center"/>
          </w:tcPr>
          <w:p>
            <w:pPr>
              <w:pStyle w:val="58"/>
              <w:rPr>
                <w:highlight w:val="none"/>
              </w:rPr>
            </w:pPr>
            <w:r>
              <w:rPr>
                <w:rFonts w:hint="eastAsia"/>
                <w:highlight w:val="none"/>
              </w:rPr>
              <w:t>/</w:t>
            </w:r>
          </w:p>
        </w:tc>
        <w:tc>
          <w:tcPr>
            <w:tcW w:w="579" w:type="pct"/>
            <w:shd w:val="clear" w:color="auto" w:fill="auto"/>
            <w:vAlign w:val="center"/>
          </w:tcPr>
          <w:p>
            <w:pPr>
              <w:pStyle w:val="58"/>
              <w:rPr>
                <w:highlight w:val="none"/>
              </w:rPr>
            </w:pPr>
            <w:r>
              <w:rPr>
                <w:rFonts w:hint="eastAsia"/>
                <w:highlight w:val="none"/>
              </w:rPr>
              <w:t>/</w:t>
            </w:r>
          </w:p>
        </w:tc>
        <w:tc>
          <w:tcPr>
            <w:tcW w:w="421" w:type="pct"/>
            <w:shd w:val="clear" w:color="auto" w:fill="auto"/>
            <w:vAlign w:val="center"/>
          </w:tcPr>
          <w:p>
            <w:pPr>
              <w:pStyle w:val="58"/>
              <w:rPr>
                <w:highlight w:val="none"/>
              </w:rPr>
            </w:pPr>
            <w:r>
              <w:rPr>
                <w:rFonts w:hint="eastAsia"/>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4" w:hRule="atLeast"/>
        </w:trPr>
        <w:tc>
          <w:tcPr>
            <w:tcW w:w="262" w:type="pct"/>
            <w:vMerge w:val="restart"/>
            <w:shd w:val="clear" w:color="auto" w:fill="auto"/>
            <w:vAlign w:val="center"/>
          </w:tcPr>
          <w:p>
            <w:pPr>
              <w:pStyle w:val="58"/>
              <w:rPr>
                <w:highlight w:val="none"/>
              </w:rPr>
            </w:pPr>
            <w:r>
              <w:rPr>
                <w:highlight w:val="none"/>
              </w:rPr>
              <w:t>Hg</w:t>
            </w:r>
          </w:p>
        </w:tc>
        <w:tc>
          <w:tcPr>
            <w:tcW w:w="514" w:type="pct"/>
            <w:shd w:val="clear" w:color="auto" w:fill="auto"/>
            <w:vAlign w:val="center"/>
          </w:tcPr>
          <w:p>
            <w:pPr>
              <w:pStyle w:val="58"/>
              <w:rPr>
                <w:highlight w:val="none"/>
              </w:rPr>
            </w:pPr>
            <w:r>
              <w:rPr>
                <w:rFonts w:hint="eastAsia"/>
                <w:highlight w:val="none"/>
              </w:rPr>
              <w:t>水田</w:t>
            </w:r>
          </w:p>
        </w:tc>
        <w:tc>
          <w:tcPr>
            <w:tcW w:w="419" w:type="pct"/>
            <w:shd w:val="clear" w:color="auto" w:fill="auto"/>
            <w:vAlign w:val="center"/>
          </w:tcPr>
          <w:p>
            <w:pPr>
              <w:pStyle w:val="58"/>
              <w:rPr>
                <w:highlight w:val="none"/>
              </w:rPr>
            </w:pPr>
            <w:r>
              <w:rPr>
                <w:highlight w:val="none"/>
              </w:rPr>
              <w:t>0.5</w:t>
            </w:r>
          </w:p>
        </w:tc>
        <w:tc>
          <w:tcPr>
            <w:tcW w:w="682" w:type="pct"/>
            <w:shd w:val="clear" w:color="auto" w:fill="auto"/>
            <w:vAlign w:val="center"/>
          </w:tcPr>
          <w:p>
            <w:pPr>
              <w:pStyle w:val="58"/>
              <w:rPr>
                <w:highlight w:val="none"/>
              </w:rPr>
            </w:pPr>
            <w:r>
              <w:rPr>
                <w:highlight w:val="none"/>
              </w:rPr>
              <w:t>0.5</w:t>
            </w:r>
          </w:p>
        </w:tc>
        <w:tc>
          <w:tcPr>
            <w:tcW w:w="623" w:type="pct"/>
            <w:shd w:val="clear" w:color="auto" w:fill="auto"/>
            <w:vAlign w:val="center"/>
          </w:tcPr>
          <w:p>
            <w:pPr>
              <w:pStyle w:val="58"/>
              <w:rPr>
                <w:highlight w:val="none"/>
              </w:rPr>
            </w:pPr>
            <w:r>
              <w:rPr>
                <w:highlight w:val="none"/>
              </w:rPr>
              <w:t>0.6</w:t>
            </w:r>
          </w:p>
        </w:tc>
        <w:tc>
          <w:tcPr>
            <w:tcW w:w="540" w:type="pct"/>
            <w:shd w:val="clear" w:color="auto" w:fill="auto"/>
            <w:vAlign w:val="center"/>
          </w:tcPr>
          <w:p>
            <w:pPr>
              <w:pStyle w:val="58"/>
              <w:rPr>
                <w:highlight w:val="none"/>
              </w:rPr>
            </w:pPr>
            <w:r>
              <w:rPr>
                <w:highlight w:val="none"/>
              </w:rPr>
              <w:t>1.0</w:t>
            </w:r>
          </w:p>
        </w:tc>
        <w:tc>
          <w:tcPr>
            <w:tcW w:w="446" w:type="pct"/>
            <w:vMerge w:val="restart"/>
            <w:shd w:val="clear" w:color="auto" w:fill="auto"/>
            <w:vAlign w:val="center"/>
          </w:tcPr>
          <w:p>
            <w:pPr>
              <w:pStyle w:val="58"/>
              <w:rPr>
                <w:highlight w:val="none"/>
              </w:rPr>
            </w:pPr>
            <w:r>
              <w:rPr>
                <w:rFonts w:hint="eastAsia"/>
                <w:highlight w:val="none"/>
              </w:rPr>
              <w:t>2.0</w:t>
            </w:r>
          </w:p>
        </w:tc>
        <w:tc>
          <w:tcPr>
            <w:tcW w:w="514" w:type="pct"/>
            <w:vMerge w:val="restart"/>
            <w:shd w:val="clear" w:color="auto" w:fill="auto"/>
            <w:vAlign w:val="center"/>
          </w:tcPr>
          <w:p>
            <w:pPr>
              <w:pStyle w:val="58"/>
              <w:rPr>
                <w:highlight w:val="none"/>
              </w:rPr>
            </w:pPr>
            <w:r>
              <w:rPr>
                <w:rFonts w:hint="eastAsia"/>
                <w:highlight w:val="none"/>
              </w:rPr>
              <w:t>2.5</w:t>
            </w:r>
          </w:p>
        </w:tc>
        <w:tc>
          <w:tcPr>
            <w:tcW w:w="579" w:type="pct"/>
            <w:vMerge w:val="restart"/>
            <w:shd w:val="clear" w:color="auto" w:fill="auto"/>
            <w:vAlign w:val="center"/>
          </w:tcPr>
          <w:p>
            <w:pPr>
              <w:pStyle w:val="58"/>
              <w:rPr>
                <w:highlight w:val="none"/>
              </w:rPr>
            </w:pPr>
            <w:r>
              <w:rPr>
                <w:rFonts w:hint="eastAsia"/>
                <w:highlight w:val="none"/>
              </w:rPr>
              <w:t>4.0</w:t>
            </w:r>
          </w:p>
        </w:tc>
        <w:tc>
          <w:tcPr>
            <w:tcW w:w="421" w:type="pct"/>
            <w:vMerge w:val="restart"/>
            <w:shd w:val="clear" w:color="auto" w:fill="auto"/>
            <w:vAlign w:val="center"/>
          </w:tcPr>
          <w:p>
            <w:pPr>
              <w:pStyle w:val="58"/>
              <w:rPr>
                <w:highlight w:val="none"/>
              </w:rPr>
            </w:pPr>
            <w:r>
              <w:rPr>
                <w:rFonts w:hint="eastAsia"/>
                <w:highlight w:val="none"/>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trPr>
        <w:tc>
          <w:tcPr>
            <w:tcW w:w="262" w:type="pct"/>
            <w:vMerge w:val="continue"/>
            <w:shd w:val="clear" w:color="auto" w:fill="auto"/>
            <w:vAlign w:val="center"/>
          </w:tcPr>
          <w:p>
            <w:pPr>
              <w:pStyle w:val="58"/>
              <w:rPr>
                <w:highlight w:val="none"/>
              </w:rPr>
            </w:pPr>
          </w:p>
        </w:tc>
        <w:tc>
          <w:tcPr>
            <w:tcW w:w="514" w:type="pct"/>
            <w:shd w:val="clear" w:color="auto" w:fill="auto"/>
            <w:vAlign w:val="center"/>
          </w:tcPr>
          <w:p>
            <w:pPr>
              <w:pStyle w:val="58"/>
              <w:rPr>
                <w:highlight w:val="none"/>
              </w:rPr>
            </w:pPr>
            <w:r>
              <w:rPr>
                <w:rFonts w:hint="eastAsia"/>
                <w:highlight w:val="none"/>
              </w:rPr>
              <w:t>其他</w:t>
            </w:r>
          </w:p>
        </w:tc>
        <w:tc>
          <w:tcPr>
            <w:tcW w:w="419" w:type="pct"/>
            <w:shd w:val="clear" w:color="auto" w:fill="auto"/>
            <w:vAlign w:val="center"/>
          </w:tcPr>
          <w:p>
            <w:pPr>
              <w:pStyle w:val="58"/>
              <w:rPr>
                <w:highlight w:val="none"/>
              </w:rPr>
            </w:pPr>
            <w:r>
              <w:rPr>
                <w:highlight w:val="none"/>
              </w:rPr>
              <w:t>1.3</w:t>
            </w:r>
          </w:p>
        </w:tc>
        <w:tc>
          <w:tcPr>
            <w:tcW w:w="682" w:type="pct"/>
            <w:shd w:val="clear" w:color="auto" w:fill="auto"/>
            <w:vAlign w:val="center"/>
          </w:tcPr>
          <w:p>
            <w:pPr>
              <w:pStyle w:val="58"/>
              <w:rPr>
                <w:highlight w:val="none"/>
              </w:rPr>
            </w:pPr>
            <w:r>
              <w:rPr>
                <w:highlight w:val="none"/>
              </w:rPr>
              <w:t>1.8</w:t>
            </w:r>
          </w:p>
        </w:tc>
        <w:tc>
          <w:tcPr>
            <w:tcW w:w="623" w:type="pct"/>
            <w:shd w:val="clear" w:color="auto" w:fill="auto"/>
            <w:vAlign w:val="center"/>
          </w:tcPr>
          <w:p>
            <w:pPr>
              <w:pStyle w:val="58"/>
              <w:rPr>
                <w:highlight w:val="none"/>
              </w:rPr>
            </w:pPr>
            <w:r>
              <w:rPr>
                <w:highlight w:val="none"/>
              </w:rPr>
              <w:t>2.4</w:t>
            </w:r>
          </w:p>
        </w:tc>
        <w:tc>
          <w:tcPr>
            <w:tcW w:w="540" w:type="pct"/>
            <w:shd w:val="clear" w:color="auto" w:fill="auto"/>
            <w:vAlign w:val="center"/>
          </w:tcPr>
          <w:p>
            <w:pPr>
              <w:pStyle w:val="58"/>
              <w:rPr>
                <w:highlight w:val="none"/>
              </w:rPr>
            </w:pPr>
            <w:r>
              <w:rPr>
                <w:highlight w:val="none"/>
              </w:rPr>
              <w:t>3.4</w:t>
            </w:r>
          </w:p>
        </w:tc>
        <w:tc>
          <w:tcPr>
            <w:tcW w:w="446" w:type="pct"/>
            <w:vMerge w:val="continue"/>
            <w:shd w:val="clear" w:color="auto" w:fill="auto"/>
            <w:vAlign w:val="center"/>
          </w:tcPr>
          <w:p>
            <w:pPr>
              <w:pStyle w:val="58"/>
              <w:rPr>
                <w:highlight w:val="none"/>
              </w:rPr>
            </w:pPr>
          </w:p>
        </w:tc>
        <w:tc>
          <w:tcPr>
            <w:tcW w:w="514" w:type="pct"/>
            <w:vMerge w:val="continue"/>
            <w:shd w:val="clear" w:color="auto" w:fill="auto"/>
            <w:vAlign w:val="center"/>
          </w:tcPr>
          <w:p>
            <w:pPr>
              <w:pStyle w:val="58"/>
              <w:rPr>
                <w:highlight w:val="none"/>
              </w:rPr>
            </w:pPr>
          </w:p>
        </w:tc>
        <w:tc>
          <w:tcPr>
            <w:tcW w:w="579" w:type="pct"/>
            <w:vMerge w:val="continue"/>
            <w:shd w:val="clear" w:color="auto" w:fill="auto"/>
            <w:vAlign w:val="center"/>
          </w:tcPr>
          <w:p>
            <w:pPr>
              <w:pStyle w:val="58"/>
              <w:rPr>
                <w:highlight w:val="none"/>
              </w:rPr>
            </w:pPr>
          </w:p>
        </w:tc>
        <w:tc>
          <w:tcPr>
            <w:tcW w:w="421"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6" w:type="pct"/>
            <w:gridSpan w:val="2"/>
            <w:shd w:val="clear" w:color="auto" w:fill="auto"/>
            <w:vAlign w:val="center"/>
          </w:tcPr>
          <w:p>
            <w:pPr>
              <w:pStyle w:val="58"/>
              <w:rPr>
                <w:rFonts w:eastAsia="黑体"/>
                <w:highlight w:val="none"/>
              </w:rPr>
            </w:pPr>
            <w:r>
              <w:rPr>
                <w:highlight w:val="none"/>
              </w:rPr>
              <w:t>Ni</w:t>
            </w:r>
          </w:p>
        </w:tc>
        <w:tc>
          <w:tcPr>
            <w:tcW w:w="419" w:type="pct"/>
            <w:shd w:val="clear" w:color="auto" w:fill="auto"/>
            <w:vAlign w:val="center"/>
          </w:tcPr>
          <w:p>
            <w:pPr>
              <w:pStyle w:val="58"/>
              <w:rPr>
                <w:highlight w:val="none"/>
              </w:rPr>
            </w:pPr>
            <w:r>
              <w:rPr>
                <w:rFonts w:hint="eastAsia"/>
                <w:highlight w:val="none"/>
              </w:rPr>
              <w:t>60</w:t>
            </w:r>
          </w:p>
        </w:tc>
        <w:tc>
          <w:tcPr>
            <w:tcW w:w="682" w:type="pct"/>
            <w:shd w:val="clear" w:color="auto" w:fill="auto"/>
            <w:vAlign w:val="center"/>
          </w:tcPr>
          <w:p>
            <w:pPr>
              <w:pStyle w:val="58"/>
              <w:rPr>
                <w:highlight w:val="none"/>
              </w:rPr>
            </w:pPr>
            <w:r>
              <w:rPr>
                <w:rFonts w:hint="eastAsia"/>
                <w:highlight w:val="none"/>
              </w:rPr>
              <w:t>70</w:t>
            </w:r>
          </w:p>
        </w:tc>
        <w:tc>
          <w:tcPr>
            <w:tcW w:w="623" w:type="pct"/>
            <w:shd w:val="clear" w:color="auto" w:fill="auto"/>
            <w:vAlign w:val="center"/>
          </w:tcPr>
          <w:p>
            <w:pPr>
              <w:pStyle w:val="58"/>
              <w:rPr>
                <w:highlight w:val="none"/>
              </w:rPr>
            </w:pPr>
            <w:r>
              <w:rPr>
                <w:rFonts w:hint="eastAsia"/>
                <w:highlight w:val="none"/>
              </w:rPr>
              <w:t>100</w:t>
            </w:r>
          </w:p>
        </w:tc>
        <w:tc>
          <w:tcPr>
            <w:tcW w:w="540" w:type="pct"/>
            <w:shd w:val="clear" w:color="auto" w:fill="auto"/>
            <w:vAlign w:val="center"/>
          </w:tcPr>
          <w:p>
            <w:pPr>
              <w:pStyle w:val="58"/>
              <w:rPr>
                <w:highlight w:val="none"/>
              </w:rPr>
            </w:pPr>
            <w:r>
              <w:rPr>
                <w:rFonts w:hint="eastAsia"/>
                <w:highlight w:val="none"/>
              </w:rPr>
              <w:t>100</w:t>
            </w:r>
          </w:p>
        </w:tc>
        <w:tc>
          <w:tcPr>
            <w:tcW w:w="446" w:type="pct"/>
            <w:shd w:val="clear" w:color="auto" w:fill="auto"/>
            <w:vAlign w:val="center"/>
          </w:tcPr>
          <w:p>
            <w:pPr>
              <w:pStyle w:val="58"/>
              <w:rPr>
                <w:highlight w:val="none"/>
              </w:rPr>
            </w:pPr>
            <w:r>
              <w:rPr>
                <w:rFonts w:hint="eastAsia"/>
                <w:highlight w:val="none"/>
              </w:rPr>
              <w:t>/</w:t>
            </w:r>
          </w:p>
        </w:tc>
        <w:tc>
          <w:tcPr>
            <w:tcW w:w="514" w:type="pct"/>
            <w:shd w:val="clear" w:color="auto" w:fill="auto"/>
            <w:vAlign w:val="center"/>
          </w:tcPr>
          <w:p>
            <w:pPr>
              <w:pStyle w:val="58"/>
              <w:rPr>
                <w:highlight w:val="none"/>
              </w:rPr>
            </w:pPr>
            <w:r>
              <w:rPr>
                <w:rFonts w:hint="eastAsia"/>
                <w:highlight w:val="none"/>
              </w:rPr>
              <w:t>/</w:t>
            </w:r>
          </w:p>
        </w:tc>
        <w:tc>
          <w:tcPr>
            <w:tcW w:w="579" w:type="pct"/>
            <w:shd w:val="clear" w:color="auto" w:fill="auto"/>
            <w:vAlign w:val="center"/>
          </w:tcPr>
          <w:p>
            <w:pPr>
              <w:pStyle w:val="58"/>
              <w:rPr>
                <w:highlight w:val="none"/>
              </w:rPr>
            </w:pPr>
            <w:r>
              <w:rPr>
                <w:rFonts w:hint="eastAsia"/>
                <w:highlight w:val="none"/>
              </w:rPr>
              <w:t>/</w:t>
            </w:r>
          </w:p>
        </w:tc>
        <w:tc>
          <w:tcPr>
            <w:tcW w:w="421" w:type="pct"/>
            <w:shd w:val="clear" w:color="auto" w:fill="auto"/>
            <w:vAlign w:val="center"/>
          </w:tcPr>
          <w:p>
            <w:pPr>
              <w:pStyle w:val="58"/>
              <w:rPr>
                <w:highlight w:val="none"/>
              </w:rPr>
            </w:pPr>
            <w:r>
              <w:rPr>
                <w:rFonts w:hint="eastAsia"/>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2" w:type="pct"/>
            <w:vMerge w:val="restart"/>
            <w:shd w:val="clear" w:color="auto" w:fill="auto"/>
            <w:vAlign w:val="center"/>
          </w:tcPr>
          <w:p>
            <w:pPr>
              <w:pStyle w:val="58"/>
              <w:rPr>
                <w:highlight w:val="none"/>
              </w:rPr>
            </w:pPr>
            <w:r>
              <w:rPr>
                <w:highlight w:val="none"/>
              </w:rPr>
              <w:t>As</w:t>
            </w:r>
          </w:p>
        </w:tc>
        <w:tc>
          <w:tcPr>
            <w:tcW w:w="514" w:type="pct"/>
            <w:shd w:val="clear" w:color="auto" w:fill="auto"/>
            <w:vAlign w:val="center"/>
          </w:tcPr>
          <w:p>
            <w:pPr>
              <w:pStyle w:val="58"/>
              <w:rPr>
                <w:highlight w:val="none"/>
              </w:rPr>
            </w:pPr>
            <w:r>
              <w:rPr>
                <w:rFonts w:hint="eastAsia"/>
                <w:highlight w:val="none"/>
              </w:rPr>
              <w:t>水田</w:t>
            </w:r>
          </w:p>
        </w:tc>
        <w:tc>
          <w:tcPr>
            <w:tcW w:w="419" w:type="pct"/>
            <w:shd w:val="clear" w:color="auto" w:fill="auto"/>
            <w:vAlign w:val="center"/>
          </w:tcPr>
          <w:p>
            <w:pPr>
              <w:pStyle w:val="58"/>
              <w:rPr>
                <w:highlight w:val="none"/>
              </w:rPr>
            </w:pPr>
            <w:r>
              <w:rPr>
                <w:highlight w:val="none"/>
              </w:rPr>
              <w:t>30</w:t>
            </w:r>
          </w:p>
        </w:tc>
        <w:tc>
          <w:tcPr>
            <w:tcW w:w="682" w:type="pct"/>
            <w:shd w:val="clear" w:color="auto" w:fill="auto"/>
            <w:vAlign w:val="center"/>
          </w:tcPr>
          <w:p>
            <w:pPr>
              <w:pStyle w:val="58"/>
              <w:rPr>
                <w:highlight w:val="none"/>
              </w:rPr>
            </w:pPr>
            <w:r>
              <w:rPr>
                <w:highlight w:val="none"/>
              </w:rPr>
              <w:t>30</w:t>
            </w:r>
          </w:p>
        </w:tc>
        <w:tc>
          <w:tcPr>
            <w:tcW w:w="623" w:type="pct"/>
            <w:shd w:val="clear" w:color="auto" w:fill="auto"/>
            <w:vAlign w:val="center"/>
          </w:tcPr>
          <w:p>
            <w:pPr>
              <w:pStyle w:val="58"/>
              <w:rPr>
                <w:highlight w:val="none"/>
              </w:rPr>
            </w:pPr>
            <w:r>
              <w:rPr>
                <w:highlight w:val="none"/>
              </w:rPr>
              <w:t>25</w:t>
            </w:r>
          </w:p>
        </w:tc>
        <w:tc>
          <w:tcPr>
            <w:tcW w:w="540" w:type="pct"/>
            <w:shd w:val="clear" w:color="auto" w:fill="auto"/>
            <w:vAlign w:val="center"/>
          </w:tcPr>
          <w:p>
            <w:pPr>
              <w:pStyle w:val="58"/>
              <w:rPr>
                <w:highlight w:val="none"/>
              </w:rPr>
            </w:pPr>
            <w:r>
              <w:rPr>
                <w:highlight w:val="none"/>
              </w:rPr>
              <w:t>20</w:t>
            </w:r>
          </w:p>
        </w:tc>
        <w:tc>
          <w:tcPr>
            <w:tcW w:w="446" w:type="pct"/>
            <w:vMerge w:val="restart"/>
            <w:shd w:val="clear" w:color="auto" w:fill="auto"/>
            <w:vAlign w:val="center"/>
          </w:tcPr>
          <w:p>
            <w:pPr>
              <w:pStyle w:val="58"/>
              <w:rPr>
                <w:highlight w:val="none"/>
              </w:rPr>
            </w:pPr>
            <w:r>
              <w:rPr>
                <w:rFonts w:hint="eastAsia"/>
                <w:highlight w:val="none"/>
              </w:rPr>
              <w:t>200</w:t>
            </w:r>
          </w:p>
        </w:tc>
        <w:tc>
          <w:tcPr>
            <w:tcW w:w="514" w:type="pct"/>
            <w:vMerge w:val="restart"/>
            <w:shd w:val="clear" w:color="auto" w:fill="auto"/>
            <w:vAlign w:val="center"/>
          </w:tcPr>
          <w:p>
            <w:pPr>
              <w:pStyle w:val="58"/>
              <w:rPr>
                <w:highlight w:val="none"/>
              </w:rPr>
            </w:pPr>
            <w:r>
              <w:rPr>
                <w:rFonts w:hint="eastAsia"/>
                <w:highlight w:val="none"/>
              </w:rPr>
              <w:t>150</w:t>
            </w:r>
          </w:p>
        </w:tc>
        <w:tc>
          <w:tcPr>
            <w:tcW w:w="579" w:type="pct"/>
            <w:vMerge w:val="restart"/>
            <w:shd w:val="clear" w:color="auto" w:fill="auto"/>
            <w:vAlign w:val="center"/>
          </w:tcPr>
          <w:p>
            <w:pPr>
              <w:pStyle w:val="58"/>
              <w:rPr>
                <w:highlight w:val="none"/>
              </w:rPr>
            </w:pPr>
            <w:r>
              <w:rPr>
                <w:rFonts w:hint="eastAsia"/>
                <w:highlight w:val="none"/>
              </w:rPr>
              <w:t>120</w:t>
            </w:r>
          </w:p>
        </w:tc>
        <w:tc>
          <w:tcPr>
            <w:tcW w:w="421" w:type="pct"/>
            <w:vMerge w:val="restart"/>
            <w:shd w:val="clear" w:color="auto" w:fill="auto"/>
            <w:vAlign w:val="center"/>
          </w:tcPr>
          <w:p>
            <w:pPr>
              <w:pStyle w:val="58"/>
              <w:rPr>
                <w:highlight w:val="none"/>
              </w:rPr>
            </w:pPr>
            <w:r>
              <w:rPr>
                <w:rFonts w:hint="eastAsia"/>
                <w:highlight w:val="non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2" w:type="pct"/>
            <w:vMerge w:val="continue"/>
            <w:shd w:val="clear" w:color="auto" w:fill="auto"/>
            <w:vAlign w:val="center"/>
          </w:tcPr>
          <w:p>
            <w:pPr>
              <w:pStyle w:val="58"/>
              <w:rPr>
                <w:highlight w:val="none"/>
              </w:rPr>
            </w:pPr>
          </w:p>
        </w:tc>
        <w:tc>
          <w:tcPr>
            <w:tcW w:w="514" w:type="pct"/>
            <w:shd w:val="clear" w:color="auto" w:fill="auto"/>
            <w:vAlign w:val="center"/>
          </w:tcPr>
          <w:p>
            <w:pPr>
              <w:pStyle w:val="58"/>
              <w:rPr>
                <w:highlight w:val="none"/>
              </w:rPr>
            </w:pPr>
            <w:r>
              <w:rPr>
                <w:rFonts w:hint="eastAsia"/>
                <w:highlight w:val="none"/>
              </w:rPr>
              <w:t>其他</w:t>
            </w:r>
          </w:p>
        </w:tc>
        <w:tc>
          <w:tcPr>
            <w:tcW w:w="419" w:type="pct"/>
            <w:shd w:val="clear" w:color="auto" w:fill="auto"/>
            <w:vAlign w:val="center"/>
          </w:tcPr>
          <w:p>
            <w:pPr>
              <w:pStyle w:val="58"/>
              <w:rPr>
                <w:highlight w:val="none"/>
              </w:rPr>
            </w:pPr>
            <w:r>
              <w:rPr>
                <w:highlight w:val="none"/>
              </w:rPr>
              <w:t>40</w:t>
            </w:r>
          </w:p>
        </w:tc>
        <w:tc>
          <w:tcPr>
            <w:tcW w:w="682" w:type="pct"/>
            <w:shd w:val="clear" w:color="auto" w:fill="auto"/>
            <w:vAlign w:val="center"/>
          </w:tcPr>
          <w:p>
            <w:pPr>
              <w:pStyle w:val="58"/>
              <w:rPr>
                <w:highlight w:val="none"/>
              </w:rPr>
            </w:pPr>
            <w:r>
              <w:rPr>
                <w:highlight w:val="none"/>
              </w:rPr>
              <w:t>40</w:t>
            </w:r>
          </w:p>
        </w:tc>
        <w:tc>
          <w:tcPr>
            <w:tcW w:w="623" w:type="pct"/>
            <w:shd w:val="clear" w:color="auto" w:fill="auto"/>
            <w:vAlign w:val="center"/>
          </w:tcPr>
          <w:p>
            <w:pPr>
              <w:pStyle w:val="58"/>
              <w:rPr>
                <w:highlight w:val="none"/>
              </w:rPr>
            </w:pPr>
            <w:r>
              <w:rPr>
                <w:highlight w:val="none"/>
              </w:rPr>
              <w:t>30</w:t>
            </w:r>
          </w:p>
        </w:tc>
        <w:tc>
          <w:tcPr>
            <w:tcW w:w="540" w:type="pct"/>
            <w:shd w:val="clear" w:color="auto" w:fill="auto"/>
            <w:vAlign w:val="center"/>
          </w:tcPr>
          <w:p>
            <w:pPr>
              <w:pStyle w:val="58"/>
              <w:rPr>
                <w:highlight w:val="none"/>
              </w:rPr>
            </w:pPr>
            <w:r>
              <w:rPr>
                <w:highlight w:val="none"/>
              </w:rPr>
              <w:t>25</w:t>
            </w:r>
          </w:p>
        </w:tc>
        <w:tc>
          <w:tcPr>
            <w:tcW w:w="446" w:type="pct"/>
            <w:vMerge w:val="continue"/>
            <w:shd w:val="clear" w:color="auto" w:fill="auto"/>
            <w:vAlign w:val="center"/>
          </w:tcPr>
          <w:p>
            <w:pPr>
              <w:pStyle w:val="58"/>
              <w:rPr>
                <w:highlight w:val="none"/>
              </w:rPr>
            </w:pPr>
          </w:p>
        </w:tc>
        <w:tc>
          <w:tcPr>
            <w:tcW w:w="514" w:type="pct"/>
            <w:vMerge w:val="continue"/>
            <w:shd w:val="clear" w:color="auto" w:fill="auto"/>
            <w:vAlign w:val="center"/>
          </w:tcPr>
          <w:p>
            <w:pPr>
              <w:pStyle w:val="58"/>
              <w:rPr>
                <w:highlight w:val="none"/>
              </w:rPr>
            </w:pPr>
          </w:p>
        </w:tc>
        <w:tc>
          <w:tcPr>
            <w:tcW w:w="579" w:type="pct"/>
            <w:vMerge w:val="continue"/>
            <w:shd w:val="clear" w:color="auto" w:fill="auto"/>
            <w:vAlign w:val="center"/>
          </w:tcPr>
          <w:p>
            <w:pPr>
              <w:pStyle w:val="58"/>
              <w:rPr>
                <w:highlight w:val="none"/>
              </w:rPr>
            </w:pPr>
          </w:p>
        </w:tc>
        <w:tc>
          <w:tcPr>
            <w:tcW w:w="421"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2" w:type="pct"/>
            <w:vMerge w:val="restart"/>
            <w:shd w:val="clear" w:color="auto" w:fill="auto"/>
            <w:vAlign w:val="center"/>
          </w:tcPr>
          <w:p>
            <w:pPr>
              <w:pStyle w:val="58"/>
              <w:rPr>
                <w:highlight w:val="none"/>
              </w:rPr>
            </w:pPr>
            <w:r>
              <w:rPr>
                <w:highlight w:val="none"/>
              </w:rPr>
              <w:t>Cr</w:t>
            </w:r>
          </w:p>
        </w:tc>
        <w:tc>
          <w:tcPr>
            <w:tcW w:w="514" w:type="pct"/>
            <w:shd w:val="clear" w:color="auto" w:fill="auto"/>
            <w:vAlign w:val="center"/>
          </w:tcPr>
          <w:p>
            <w:pPr>
              <w:pStyle w:val="58"/>
              <w:rPr>
                <w:highlight w:val="none"/>
              </w:rPr>
            </w:pPr>
            <w:r>
              <w:rPr>
                <w:rFonts w:hint="eastAsia"/>
                <w:highlight w:val="none"/>
              </w:rPr>
              <w:t>水田</w:t>
            </w:r>
          </w:p>
        </w:tc>
        <w:tc>
          <w:tcPr>
            <w:tcW w:w="419" w:type="pct"/>
            <w:shd w:val="clear" w:color="auto" w:fill="auto"/>
            <w:vAlign w:val="center"/>
          </w:tcPr>
          <w:p>
            <w:pPr>
              <w:pStyle w:val="58"/>
              <w:rPr>
                <w:highlight w:val="none"/>
              </w:rPr>
            </w:pPr>
            <w:r>
              <w:rPr>
                <w:highlight w:val="none"/>
              </w:rPr>
              <w:t>250</w:t>
            </w:r>
          </w:p>
        </w:tc>
        <w:tc>
          <w:tcPr>
            <w:tcW w:w="682" w:type="pct"/>
            <w:shd w:val="clear" w:color="auto" w:fill="auto"/>
            <w:vAlign w:val="center"/>
          </w:tcPr>
          <w:p>
            <w:pPr>
              <w:pStyle w:val="58"/>
              <w:rPr>
                <w:highlight w:val="none"/>
              </w:rPr>
            </w:pPr>
            <w:r>
              <w:rPr>
                <w:highlight w:val="none"/>
              </w:rPr>
              <w:t>250</w:t>
            </w:r>
          </w:p>
        </w:tc>
        <w:tc>
          <w:tcPr>
            <w:tcW w:w="623" w:type="pct"/>
            <w:shd w:val="clear" w:color="auto" w:fill="auto"/>
            <w:vAlign w:val="center"/>
          </w:tcPr>
          <w:p>
            <w:pPr>
              <w:pStyle w:val="58"/>
              <w:rPr>
                <w:highlight w:val="none"/>
              </w:rPr>
            </w:pPr>
            <w:r>
              <w:rPr>
                <w:highlight w:val="none"/>
              </w:rPr>
              <w:t>300</w:t>
            </w:r>
          </w:p>
        </w:tc>
        <w:tc>
          <w:tcPr>
            <w:tcW w:w="540" w:type="pct"/>
            <w:shd w:val="clear" w:color="auto" w:fill="auto"/>
            <w:vAlign w:val="center"/>
          </w:tcPr>
          <w:p>
            <w:pPr>
              <w:pStyle w:val="58"/>
              <w:rPr>
                <w:highlight w:val="none"/>
              </w:rPr>
            </w:pPr>
            <w:r>
              <w:rPr>
                <w:highlight w:val="none"/>
              </w:rPr>
              <w:t>350</w:t>
            </w:r>
          </w:p>
        </w:tc>
        <w:tc>
          <w:tcPr>
            <w:tcW w:w="446" w:type="pct"/>
            <w:vMerge w:val="restart"/>
            <w:shd w:val="clear" w:color="auto" w:fill="auto"/>
            <w:vAlign w:val="center"/>
          </w:tcPr>
          <w:p>
            <w:pPr>
              <w:pStyle w:val="58"/>
              <w:rPr>
                <w:highlight w:val="none"/>
              </w:rPr>
            </w:pPr>
            <w:r>
              <w:rPr>
                <w:rFonts w:hint="eastAsia"/>
                <w:highlight w:val="none"/>
              </w:rPr>
              <w:t>800</w:t>
            </w:r>
          </w:p>
        </w:tc>
        <w:tc>
          <w:tcPr>
            <w:tcW w:w="514" w:type="pct"/>
            <w:vMerge w:val="restart"/>
            <w:shd w:val="clear" w:color="auto" w:fill="auto"/>
            <w:vAlign w:val="center"/>
          </w:tcPr>
          <w:p>
            <w:pPr>
              <w:pStyle w:val="58"/>
              <w:rPr>
                <w:highlight w:val="none"/>
              </w:rPr>
            </w:pPr>
            <w:r>
              <w:rPr>
                <w:rFonts w:hint="eastAsia"/>
                <w:highlight w:val="none"/>
              </w:rPr>
              <w:t>850</w:t>
            </w:r>
          </w:p>
        </w:tc>
        <w:tc>
          <w:tcPr>
            <w:tcW w:w="579" w:type="pct"/>
            <w:vMerge w:val="restart"/>
            <w:shd w:val="clear" w:color="auto" w:fill="auto"/>
            <w:vAlign w:val="center"/>
          </w:tcPr>
          <w:p>
            <w:pPr>
              <w:pStyle w:val="58"/>
              <w:rPr>
                <w:highlight w:val="none"/>
              </w:rPr>
            </w:pPr>
            <w:r>
              <w:rPr>
                <w:rFonts w:hint="eastAsia"/>
                <w:highlight w:val="none"/>
              </w:rPr>
              <w:t>1000</w:t>
            </w:r>
          </w:p>
        </w:tc>
        <w:tc>
          <w:tcPr>
            <w:tcW w:w="421" w:type="pct"/>
            <w:vMerge w:val="restart"/>
            <w:shd w:val="clear" w:color="auto" w:fill="auto"/>
            <w:vAlign w:val="center"/>
          </w:tcPr>
          <w:p>
            <w:pPr>
              <w:pStyle w:val="58"/>
              <w:rPr>
                <w:highlight w:val="none"/>
              </w:rPr>
            </w:pPr>
            <w:r>
              <w:rPr>
                <w:rFonts w:hint="eastAsia"/>
                <w:highlight w:val="none"/>
              </w:rPr>
              <w:t>1300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2" w:type="pct"/>
            <w:vMerge w:val="continue"/>
            <w:shd w:val="clear" w:color="auto" w:fill="auto"/>
            <w:vAlign w:val="center"/>
          </w:tcPr>
          <w:p>
            <w:pPr>
              <w:pStyle w:val="58"/>
              <w:rPr>
                <w:highlight w:val="none"/>
              </w:rPr>
            </w:pPr>
          </w:p>
        </w:tc>
        <w:tc>
          <w:tcPr>
            <w:tcW w:w="514" w:type="pct"/>
            <w:shd w:val="clear" w:color="auto" w:fill="auto"/>
            <w:vAlign w:val="center"/>
          </w:tcPr>
          <w:p>
            <w:pPr>
              <w:pStyle w:val="58"/>
              <w:rPr>
                <w:highlight w:val="none"/>
              </w:rPr>
            </w:pPr>
            <w:r>
              <w:rPr>
                <w:rFonts w:hint="eastAsia"/>
                <w:highlight w:val="none"/>
              </w:rPr>
              <w:t>其他</w:t>
            </w:r>
          </w:p>
        </w:tc>
        <w:tc>
          <w:tcPr>
            <w:tcW w:w="419" w:type="pct"/>
            <w:shd w:val="clear" w:color="auto" w:fill="auto"/>
            <w:vAlign w:val="center"/>
          </w:tcPr>
          <w:p>
            <w:pPr>
              <w:pStyle w:val="58"/>
              <w:rPr>
                <w:highlight w:val="none"/>
              </w:rPr>
            </w:pPr>
            <w:r>
              <w:rPr>
                <w:highlight w:val="none"/>
              </w:rPr>
              <w:t>150</w:t>
            </w:r>
          </w:p>
        </w:tc>
        <w:tc>
          <w:tcPr>
            <w:tcW w:w="682" w:type="pct"/>
            <w:shd w:val="clear" w:color="auto" w:fill="auto"/>
            <w:vAlign w:val="center"/>
          </w:tcPr>
          <w:p>
            <w:pPr>
              <w:pStyle w:val="58"/>
              <w:rPr>
                <w:highlight w:val="none"/>
              </w:rPr>
            </w:pPr>
            <w:r>
              <w:rPr>
                <w:highlight w:val="none"/>
              </w:rPr>
              <w:t>150</w:t>
            </w:r>
          </w:p>
        </w:tc>
        <w:tc>
          <w:tcPr>
            <w:tcW w:w="623" w:type="pct"/>
            <w:shd w:val="clear" w:color="auto" w:fill="auto"/>
            <w:vAlign w:val="center"/>
          </w:tcPr>
          <w:p>
            <w:pPr>
              <w:pStyle w:val="58"/>
              <w:rPr>
                <w:highlight w:val="none"/>
              </w:rPr>
            </w:pPr>
            <w:r>
              <w:rPr>
                <w:highlight w:val="none"/>
              </w:rPr>
              <w:t>200</w:t>
            </w:r>
          </w:p>
        </w:tc>
        <w:tc>
          <w:tcPr>
            <w:tcW w:w="540" w:type="pct"/>
            <w:shd w:val="clear" w:color="auto" w:fill="auto"/>
            <w:vAlign w:val="center"/>
          </w:tcPr>
          <w:p>
            <w:pPr>
              <w:pStyle w:val="58"/>
              <w:rPr>
                <w:highlight w:val="none"/>
              </w:rPr>
            </w:pPr>
            <w:r>
              <w:rPr>
                <w:highlight w:val="none"/>
              </w:rPr>
              <w:t>250</w:t>
            </w:r>
          </w:p>
        </w:tc>
        <w:tc>
          <w:tcPr>
            <w:tcW w:w="446" w:type="pct"/>
            <w:vMerge w:val="continue"/>
            <w:shd w:val="clear" w:color="auto" w:fill="auto"/>
            <w:vAlign w:val="center"/>
          </w:tcPr>
          <w:p>
            <w:pPr>
              <w:pStyle w:val="58"/>
              <w:rPr>
                <w:highlight w:val="none"/>
              </w:rPr>
            </w:pPr>
          </w:p>
        </w:tc>
        <w:tc>
          <w:tcPr>
            <w:tcW w:w="514" w:type="pct"/>
            <w:vMerge w:val="continue"/>
            <w:shd w:val="clear" w:color="auto" w:fill="auto"/>
            <w:vAlign w:val="center"/>
          </w:tcPr>
          <w:p>
            <w:pPr>
              <w:pStyle w:val="58"/>
              <w:rPr>
                <w:highlight w:val="none"/>
              </w:rPr>
            </w:pPr>
          </w:p>
        </w:tc>
        <w:tc>
          <w:tcPr>
            <w:tcW w:w="579" w:type="pct"/>
            <w:vMerge w:val="continue"/>
            <w:shd w:val="clear" w:color="auto" w:fill="auto"/>
            <w:vAlign w:val="center"/>
          </w:tcPr>
          <w:p>
            <w:pPr>
              <w:pStyle w:val="58"/>
              <w:rPr>
                <w:highlight w:val="none"/>
              </w:rPr>
            </w:pPr>
          </w:p>
        </w:tc>
        <w:tc>
          <w:tcPr>
            <w:tcW w:w="421" w:type="pct"/>
            <w:vMerge w:val="continue"/>
            <w:shd w:val="clear" w:color="auto" w:fill="auto"/>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6" w:type="pct"/>
            <w:gridSpan w:val="2"/>
            <w:shd w:val="clear" w:color="auto" w:fill="auto"/>
            <w:vAlign w:val="center"/>
          </w:tcPr>
          <w:p>
            <w:pPr>
              <w:pStyle w:val="58"/>
              <w:rPr>
                <w:highlight w:val="none"/>
              </w:rPr>
            </w:pPr>
            <w:r>
              <w:rPr>
                <w:rFonts w:hint="eastAsia"/>
                <w:highlight w:val="none"/>
              </w:rPr>
              <w:t>六六六总量</w:t>
            </w:r>
          </w:p>
        </w:tc>
        <w:tc>
          <w:tcPr>
            <w:tcW w:w="2264" w:type="pct"/>
            <w:gridSpan w:val="4"/>
            <w:shd w:val="clear" w:color="auto" w:fill="auto"/>
            <w:vAlign w:val="center"/>
          </w:tcPr>
          <w:p>
            <w:pPr>
              <w:pStyle w:val="58"/>
              <w:rPr>
                <w:highlight w:val="none"/>
              </w:rPr>
            </w:pPr>
            <w:r>
              <w:rPr>
                <w:rFonts w:hint="eastAsia"/>
                <w:highlight w:val="none"/>
              </w:rPr>
              <w:t>0.10</w:t>
            </w:r>
          </w:p>
        </w:tc>
        <w:tc>
          <w:tcPr>
            <w:tcW w:w="1960" w:type="pct"/>
            <w:gridSpan w:val="4"/>
            <w:shd w:val="clear" w:color="auto" w:fill="auto"/>
            <w:vAlign w:val="center"/>
          </w:tcPr>
          <w:p>
            <w:pPr>
              <w:pStyle w:val="58"/>
              <w:rPr>
                <w:highlight w:val="none"/>
              </w:rPr>
            </w:pPr>
            <w:r>
              <w:rPr>
                <w:rFonts w:hint="eastAsia"/>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6" w:type="pct"/>
            <w:gridSpan w:val="2"/>
            <w:shd w:val="clear" w:color="auto" w:fill="auto"/>
            <w:vAlign w:val="center"/>
          </w:tcPr>
          <w:p>
            <w:pPr>
              <w:pStyle w:val="58"/>
              <w:rPr>
                <w:highlight w:val="none"/>
              </w:rPr>
            </w:pPr>
            <w:r>
              <w:rPr>
                <w:rFonts w:hint="eastAsia"/>
                <w:highlight w:val="none"/>
              </w:rPr>
              <w:t>滴滴涕总量</w:t>
            </w:r>
          </w:p>
        </w:tc>
        <w:tc>
          <w:tcPr>
            <w:tcW w:w="2264" w:type="pct"/>
            <w:gridSpan w:val="4"/>
            <w:shd w:val="clear" w:color="auto" w:fill="auto"/>
            <w:vAlign w:val="center"/>
          </w:tcPr>
          <w:p>
            <w:pPr>
              <w:pStyle w:val="58"/>
              <w:rPr>
                <w:highlight w:val="none"/>
              </w:rPr>
            </w:pPr>
            <w:r>
              <w:rPr>
                <w:rFonts w:hint="eastAsia"/>
                <w:highlight w:val="none"/>
              </w:rPr>
              <w:t>0.10</w:t>
            </w:r>
          </w:p>
        </w:tc>
        <w:tc>
          <w:tcPr>
            <w:tcW w:w="1960" w:type="pct"/>
            <w:gridSpan w:val="4"/>
            <w:shd w:val="clear" w:color="auto" w:fill="auto"/>
            <w:vAlign w:val="center"/>
          </w:tcPr>
          <w:p>
            <w:pPr>
              <w:pStyle w:val="58"/>
              <w:rPr>
                <w:highlight w:val="none"/>
              </w:rPr>
            </w:pPr>
            <w:r>
              <w:rPr>
                <w:rFonts w:hint="eastAsia"/>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6" w:type="pct"/>
            <w:gridSpan w:val="2"/>
            <w:shd w:val="clear" w:color="auto" w:fill="auto"/>
            <w:vAlign w:val="center"/>
          </w:tcPr>
          <w:p>
            <w:pPr>
              <w:pStyle w:val="58"/>
              <w:rPr>
                <w:highlight w:val="none"/>
              </w:rPr>
            </w:pPr>
            <w:r>
              <w:rPr>
                <w:rFonts w:hint="eastAsia"/>
                <w:highlight w:val="none"/>
              </w:rPr>
              <w:t>苯并[a]芘</w:t>
            </w:r>
          </w:p>
        </w:tc>
        <w:tc>
          <w:tcPr>
            <w:tcW w:w="2264" w:type="pct"/>
            <w:gridSpan w:val="4"/>
            <w:shd w:val="clear" w:color="auto" w:fill="auto"/>
            <w:vAlign w:val="center"/>
          </w:tcPr>
          <w:p>
            <w:pPr>
              <w:pStyle w:val="58"/>
              <w:rPr>
                <w:highlight w:val="none"/>
              </w:rPr>
            </w:pPr>
            <w:r>
              <w:rPr>
                <w:rFonts w:hint="eastAsia"/>
                <w:highlight w:val="none"/>
              </w:rPr>
              <w:t>0.55</w:t>
            </w:r>
          </w:p>
        </w:tc>
        <w:tc>
          <w:tcPr>
            <w:tcW w:w="1960" w:type="pct"/>
            <w:gridSpan w:val="4"/>
            <w:shd w:val="clear" w:color="auto" w:fill="auto"/>
            <w:vAlign w:val="center"/>
          </w:tcPr>
          <w:p>
            <w:pPr>
              <w:pStyle w:val="58"/>
              <w:rPr>
                <w:highlight w:val="none"/>
              </w:rPr>
            </w:pPr>
            <w:r>
              <w:rPr>
                <w:rFonts w:hint="eastAsia"/>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10"/>
            <w:shd w:val="clear" w:color="auto" w:fill="auto"/>
            <w:vAlign w:val="center"/>
          </w:tcPr>
          <w:p>
            <w:pPr>
              <w:pStyle w:val="58"/>
              <w:jc w:val="left"/>
              <w:rPr>
                <w:highlight w:val="none"/>
              </w:rPr>
            </w:pPr>
            <w:r>
              <w:rPr>
                <w:rFonts w:hint="eastAsia"/>
                <w:sz w:val="18"/>
                <w:szCs w:val="18"/>
                <w:highlight w:val="none"/>
              </w:rPr>
              <w:t>注：①重金属和类金属砷均按元素总量计；②对于水旱轮作地，采用其中较严格的风险筛选值。</w:t>
            </w:r>
          </w:p>
        </w:tc>
      </w:tr>
    </w:tbl>
    <w:p>
      <w:pPr>
        <w:pStyle w:val="58"/>
        <w:rPr>
          <w:highlight w:val="none"/>
        </w:rPr>
      </w:pPr>
    </w:p>
    <w:p>
      <w:pPr>
        <w:pStyle w:val="89"/>
        <w:ind w:firstLine="482"/>
        <w:outlineLvl w:val="4"/>
        <w:rPr>
          <w:b/>
          <w:bCs w:val="0"/>
          <w:highlight w:val="none"/>
        </w:rPr>
      </w:pPr>
      <w:r>
        <w:rPr>
          <w:rFonts w:hint="eastAsia"/>
          <w:b/>
          <w:bCs w:val="0"/>
          <w:highlight w:val="none"/>
        </w:rPr>
        <w:t>6、固体废物控制标准</w:t>
      </w:r>
    </w:p>
    <w:p>
      <w:pPr>
        <w:pStyle w:val="89"/>
        <w:ind w:firstLine="480"/>
        <w:rPr>
          <w:highlight w:val="none"/>
        </w:rPr>
      </w:pPr>
      <w:r>
        <w:rPr>
          <w:rFonts w:hint="eastAsia"/>
          <w:kern w:val="0"/>
          <w:highlight w:val="none"/>
        </w:rPr>
        <w:t>一般工业固废厂内贮存应满足相应防渗漏、防雨淋、防扬尘等环境保护要求；</w:t>
      </w:r>
      <w:r>
        <w:rPr>
          <w:kern w:val="0"/>
          <w:highlight w:val="none"/>
        </w:rPr>
        <w:t>一般工业固体废物执行《一般工业固体废物贮存和填埋污染控制标准》</w:t>
      </w:r>
      <w:r>
        <w:rPr>
          <w:highlight w:val="none"/>
        </w:rPr>
        <w:t>（GB18599-2020）；危险废物执行《</w:t>
      </w:r>
      <w:r>
        <w:rPr>
          <w:rFonts w:hint="eastAsia"/>
          <w:highlight w:val="none"/>
        </w:rPr>
        <w:t>危险废物贮存污染控制标准</w:t>
      </w:r>
      <w:r>
        <w:rPr>
          <w:highlight w:val="none"/>
        </w:rPr>
        <w:t>》</w:t>
      </w:r>
      <w:r>
        <w:rPr>
          <w:rFonts w:hint="eastAsia"/>
          <w:sz w:val="22"/>
          <w:highlight w:val="none"/>
        </w:rPr>
        <w:t>（</w:t>
      </w:r>
      <w:r>
        <w:rPr>
          <w:sz w:val="22"/>
          <w:highlight w:val="none"/>
        </w:rPr>
        <w:t>GB18597-2023</w:t>
      </w:r>
      <w:r>
        <w:rPr>
          <w:rFonts w:hint="eastAsia"/>
          <w:sz w:val="22"/>
          <w:highlight w:val="none"/>
        </w:rPr>
        <w:t>）</w:t>
      </w:r>
      <w:r>
        <w:rPr>
          <w:highlight w:val="none"/>
        </w:rPr>
        <w:t>。</w:t>
      </w:r>
    </w:p>
    <w:p>
      <w:pPr>
        <w:pStyle w:val="89"/>
        <w:ind w:firstLine="482"/>
        <w:outlineLvl w:val="4"/>
        <w:rPr>
          <w:b/>
          <w:bCs w:val="0"/>
          <w:highlight w:val="none"/>
        </w:rPr>
      </w:pPr>
      <w:r>
        <w:rPr>
          <w:rFonts w:hint="eastAsia"/>
          <w:b/>
          <w:bCs w:val="0"/>
          <w:highlight w:val="none"/>
        </w:rPr>
        <w:t>7、生态环境</w:t>
      </w:r>
    </w:p>
    <w:p>
      <w:pPr>
        <w:pStyle w:val="89"/>
        <w:ind w:firstLine="480"/>
        <w:rPr>
          <w:highlight w:val="none"/>
        </w:rPr>
      </w:pPr>
      <w:r>
        <w:rPr>
          <w:highlight w:val="none"/>
        </w:rPr>
        <w:t>水土流失以不改变规划区现状土壤侵蚀类型为标准，其中水土流失评价标准为《土壤侵蚀分级标准》（SL190-2007）见下表。</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18</w:t>
      </w:r>
      <w:r>
        <w:rPr>
          <w:highlight w:val="none"/>
        </w:rPr>
        <w:fldChar w:fldCharType="end"/>
      </w:r>
      <w:r>
        <w:rPr>
          <w:highlight w:val="none"/>
        </w:rPr>
        <w:t xml:space="preserve">  </w:t>
      </w:r>
      <w:r>
        <w:rPr>
          <w:rFonts w:hint="eastAsia"/>
          <w:highlight w:val="none"/>
        </w:rPr>
        <w:t>土壤侵蚀分级标准</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99"/>
        <w:gridCol w:w="4350"/>
        <w:gridCol w:w="30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3" w:type="pct"/>
            <w:shd w:val="clear" w:color="auto" w:fill="auto"/>
            <w:vAlign w:val="center"/>
          </w:tcPr>
          <w:p>
            <w:pPr>
              <w:pStyle w:val="58"/>
              <w:rPr>
                <w:highlight w:val="none"/>
              </w:rPr>
            </w:pPr>
            <w:r>
              <w:rPr>
                <w:highlight w:val="none"/>
              </w:rPr>
              <w:t>类型</w:t>
            </w:r>
          </w:p>
        </w:tc>
        <w:tc>
          <w:tcPr>
            <w:tcW w:w="2342" w:type="pct"/>
            <w:shd w:val="clear" w:color="auto" w:fill="auto"/>
            <w:vAlign w:val="center"/>
          </w:tcPr>
          <w:p>
            <w:pPr>
              <w:pStyle w:val="58"/>
              <w:rPr>
                <w:highlight w:val="none"/>
              </w:rPr>
            </w:pPr>
            <w:r>
              <w:rPr>
                <w:highlight w:val="none"/>
              </w:rPr>
              <w:t>级别</w:t>
            </w:r>
          </w:p>
        </w:tc>
        <w:tc>
          <w:tcPr>
            <w:tcW w:w="1636" w:type="pct"/>
            <w:shd w:val="clear" w:color="auto" w:fill="auto"/>
            <w:vAlign w:val="center"/>
          </w:tcPr>
          <w:p>
            <w:pPr>
              <w:pStyle w:val="58"/>
              <w:rPr>
                <w:highlight w:val="none"/>
              </w:rPr>
            </w:pPr>
            <w:r>
              <w:rPr>
                <w:highlight w:val="none"/>
              </w:rPr>
              <w:t>侵蚀模数（t/km</w:t>
            </w:r>
            <w:r>
              <w:rPr>
                <w:highlight w:val="none"/>
                <w:vertAlign w:val="superscript"/>
              </w:rPr>
              <w:t>2</w:t>
            </w:r>
            <w:r>
              <w:rPr>
                <w:highlight w:val="none"/>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3" w:type="pct"/>
            <w:shd w:val="clear" w:color="auto" w:fill="auto"/>
            <w:vAlign w:val="center"/>
          </w:tcPr>
          <w:p>
            <w:pPr>
              <w:pStyle w:val="58"/>
              <w:rPr>
                <w:highlight w:val="none"/>
              </w:rPr>
            </w:pPr>
            <w:r>
              <w:rPr>
                <w:highlight w:val="none"/>
              </w:rPr>
              <w:t>Ⅰ</w:t>
            </w:r>
          </w:p>
        </w:tc>
        <w:tc>
          <w:tcPr>
            <w:tcW w:w="2342" w:type="pct"/>
            <w:shd w:val="clear" w:color="auto" w:fill="auto"/>
            <w:vAlign w:val="center"/>
          </w:tcPr>
          <w:p>
            <w:pPr>
              <w:pStyle w:val="58"/>
              <w:rPr>
                <w:highlight w:val="none"/>
              </w:rPr>
            </w:pPr>
            <w:r>
              <w:rPr>
                <w:rFonts w:hint="eastAsia"/>
                <w:highlight w:val="none"/>
              </w:rPr>
              <w:t>微度侵蚀（无明显侵蚀）</w:t>
            </w:r>
          </w:p>
        </w:tc>
        <w:tc>
          <w:tcPr>
            <w:tcW w:w="1636" w:type="pct"/>
            <w:shd w:val="clear" w:color="auto" w:fill="auto"/>
            <w:vAlign w:val="center"/>
          </w:tcPr>
          <w:p>
            <w:pPr>
              <w:pStyle w:val="58"/>
              <w:rPr>
                <w:highlight w:val="none"/>
              </w:rPr>
            </w:pPr>
            <w:r>
              <w:rPr>
                <w:rFonts w:hint="eastAsia"/>
                <w:highlight w:val="none"/>
              </w:rPr>
              <w:t>＜</w:t>
            </w:r>
            <w:r>
              <w:rPr>
                <w:highlight w:val="none"/>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3" w:type="pct"/>
            <w:shd w:val="clear" w:color="auto" w:fill="auto"/>
            <w:vAlign w:val="center"/>
          </w:tcPr>
          <w:p>
            <w:pPr>
              <w:pStyle w:val="58"/>
              <w:rPr>
                <w:highlight w:val="none"/>
              </w:rPr>
            </w:pPr>
            <w:r>
              <w:rPr>
                <w:rFonts w:hint="eastAsia"/>
                <w:highlight w:val="none"/>
              </w:rPr>
              <w:t>Ⅱ</w:t>
            </w:r>
          </w:p>
        </w:tc>
        <w:tc>
          <w:tcPr>
            <w:tcW w:w="2342" w:type="pct"/>
            <w:shd w:val="clear" w:color="auto" w:fill="auto"/>
            <w:vAlign w:val="center"/>
          </w:tcPr>
          <w:p>
            <w:pPr>
              <w:pStyle w:val="58"/>
              <w:rPr>
                <w:highlight w:val="none"/>
              </w:rPr>
            </w:pPr>
            <w:r>
              <w:rPr>
                <w:rFonts w:hint="eastAsia"/>
                <w:highlight w:val="none"/>
              </w:rPr>
              <w:t>轻度侵蚀</w:t>
            </w:r>
          </w:p>
        </w:tc>
        <w:tc>
          <w:tcPr>
            <w:tcW w:w="1636" w:type="pct"/>
            <w:shd w:val="clear" w:color="auto" w:fill="auto"/>
            <w:vAlign w:val="center"/>
          </w:tcPr>
          <w:p>
            <w:pPr>
              <w:pStyle w:val="58"/>
              <w:rPr>
                <w:highlight w:val="none"/>
              </w:rPr>
            </w:pPr>
            <w:r>
              <w:rPr>
                <w:highlight w:val="none"/>
              </w:rPr>
              <w:t>200~2500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3" w:type="pct"/>
            <w:shd w:val="clear" w:color="auto" w:fill="auto"/>
            <w:vAlign w:val="center"/>
          </w:tcPr>
          <w:p>
            <w:pPr>
              <w:pStyle w:val="58"/>
              <w:rPr>
                <w:highlight w:val="none"/>
              </w:rPr>
            </w:pPr>
            <w:r>
              <w:rPr>
                <w:rFonts w:hint="eastAsia"/>
                <w:highlight w:val="none"/>
              </w:rPr>
              <w:t>Ⅲ</w:t>
            </w:r>
          </w:p>
        </w:tc>
        <w:tc>
          <w:tcPr>
            <w:tcW w:w="2342" w:type="pct"/>
            <w:shd w:val="clear" w:color="auto" w:fill="auto"/>
            <w:vAlign w:val="center"/>
          </w:tcPr>
          <w:p>
            <w:pPr>
              <w:pStyle w:val="58"/>
              <w:rPr>
                <w:highlight w:val="none"/>
              </w:rPr>
            </w:pPr>
            <w:r>
              <w:rPr>
                <w:rFonts w:hint="eastAsia"/>
                <w:highlight w:val="none"/>
              </w:rPr>
              <w:t>中度侵蚀</w:t>
            </w:r>
          </w:p>
        </w:tc>
        <w:tc>
          <w:tcPr>
            <w:tcW w:w="1636" w:type="pct"/>
            <w:shd w:val="clear" w:color="auto" w:fill="auto"/>
            <w:vAlign w:val="center"/>
          </w:tcPr>
          <w:p>
            <w:pPr>
              <w:pStyle w:val="58"/>
              <w:rPr>
                <w:highlight w:val="none"/>
              </w:rPr>
            </w:pPr>
            <w:r>
              <w:rPr>
                <w:highlight w:val="none"/>
              </w:rPr>
              <w:t>2500~5000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3" w:type="pct"/>
            <w:shd w:val="clear" w:color="auto" w:fill="auto"/>
            <w:vAlign w:val="center"/>
          </w:tcPr>
          <w:p>
            <w:pPr>
              <w:pStyle w:val="58"/>
              <w:rPr>
                <w:highlight w:val="none"/>
              </w:rPr>
            </w:pPr>
            <w:r>
              <w:rPr>
                <w:rFonts w:hint="eastAsia"/>
                <w:highlight w:val="none"/>
              </w:rPr>
              <w:t>Ⅳ</w:t>
            </w:r>
          </w:p>
        </w:tc>
        <w:tc>
          <w:tcPr>
            <w:tcW w:w="2342" w:type="pct"/>
            <w:shd w:val="clear" w:color="auto" w:fill="auto"/>
            <w:vAlign w:val="center"/>
          </w:tcPr>
          <w:p>
            <w:pPr>
              <w:pStyle w:val="58"/>
              <w:rPr>
                <w:highlight w:val="none"/>
              </w:rPr>
            </w:pPr>
            <w:r>
              <w:rPr>
                <w:rFonts w:hint="eastAsia"/>
                <w:highlight w:val="none"/>
              </w:rPr>
              <w:t>强度侵蚀</w:t>
            </w:r>
          </w:p>
        </w:tc>
        <w:tc>
          <w:tcPr>
            <w:tcW w:w="1636" w:type="pct"/>
            <w:shd w:val="clear" w:color="auto" w:fill="auto"/>
            <w:vAlign w:val="center"/>
          </w:tcPr>
          <w:p>
            <w:pPr>
              <w:pStyle w:val="58"/>
              <w:rPr>
                <w:highlight w:val="none"/>
              </w:rPr>
            </w:pPr>
            <w:r>
              <w:rPr>
                <w:highlight w:val="none"/>
              </w:rPr>
              <w:t>5000~8000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3" w:type="pct"/>
            <w:shd w:val="clear" w:color="auto" w:fill="auto"/>
            <w:vAlign w:val="center"/>
          </w:tcPr>
          <w:p>
            <w:pPr>
              <w:pStyle w:val="58"/>
              <w:rPr>
                <w:highlight w:val="none"/>
              </w:rPr>
            </w:pPr>
            <w:r>
              <w:rPr>
                <w:rFonts w:hint="eastAsia"/>
                <w:highlight w:val="none"/>
              </w:rPr>
              <w:t>Ⅴ</w:t>
            </w:r>
          </w:p>
        </w:tc>
        <w:tc>
          <w:tcPr>
            <w:tcW w:w="2342" w:type="pct"/>
            <w:shd w:val="clear" w:color="auto" w:fill="auto"/>
            <w:vAlign w:val="center"/>
          </w:tcPr>
          <w:p>
            <w:pPr>
              <w:pStyle w:val="58"/>
              <w:rPr>
                <w:highlight w:val="none"/>
              </w:rPr>
            </w:pPr>
            <w:r>
              <w:rPr>
                <w:rFonts w:hint="eastAsia"/>
                <w:highlight w:val="none"/>
              </w:rPr>
              <w:t>极强度侵蚀</w:t>
            </w:r>
          </w:p>
        </w:tc>
        <w:tc>
          <w:tcPr>
            <w:tcW w:w="1636" w:type="pct"/>
            <w:shd w:val="clear" w:color="auto" w:fill="auto"/>
            <w:vAlign w:val="center"/>
          </w:tcPr>
          <w:p>
            <w:pPr>
              <w:pStyle w:val="58"/>
              <w:rPr>
                <w:highlight w:val="none"/>
              </w:rPr>
            </w:pPr>
            <w:r>
              <w:rPr>
                <w:highlight w:val="none"/>
              </w:rPr>
              <w:t>8000~15000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23" w:type="pct"/>
            <w:shd w:val="clear" w:color="auto" w:fill="auto"/>
            <w:vAlign w:val="center"/>
          </w:tcPr>
          <w:p>
            <w:pPr>
              <w:pStyle w:val="58"/>
              <w:rPr>
                <w:highlight w:val="none"/>
              </w:rPr>
            </w:pPr>
            <w:r>
              <w:rPr>
                <w:rFonts w:hint="eastAsia"/>
                <w:highlight w:val="none"/>
              </w:rPr>
              <w:t>Ⅵ</w:t>
            </w:r>
          </w:p>
        </w:tc>
        <w:tc>
          <w:tcPr>
            <w:tcW w:w="2342" w:type="pct"/>
            <w:shd w:val="clear" w:color="auto" w:fill="auto"/>
            <w:vAlign w:val="center"/>
          </w:tcPr>
          <w:p>
            <w:pPr>
              <w:pStyle w:val="58"/>
              <w:rPr>
                <w:highlight w:val="none"/>
              </w:rPr>
            </w:pPr>
            <w:r>
              <w:rPr>
                <w:rFonts w:hint="eastAsia"/>
                <w:highlight w:val="none"/>
              </w:rPr>
              <w:t>剧烈侵蚀</w:t>
            </w:r>
          </w:p>
        </w:tc>
        <w:tc>
          <w:tcPr>
            <w:tcW w:w="1636" w:type="pct"/>
            <w:shd w:val="clear" w:color="auto" w:fill="auto"/>
            <w:vAlign w:val="center"/>
          </w:tcPr>
          <w:p>
            <w:pPr>
              <w:pStyle w:val="58"/>
              <w:rPr>
                <w:highlight w:val="none"/>
              </w:rPr>
            </w:pPr>
            <w:r>
              <w:rPr>
                <w:rFonts w:hint="eastAsia"/>
                <w:highlight w:val="none"/>
              </w:rPr>
              <w:t>＞</w:t>
            </w:r>
            <w:r>
              <w:rPr>
                <w:highlight w:val="none"/>
              </w:rPr>
              <w:t>15000</w:t>
            </w:r>
          </w:p>
        </w:tc>
      </w:tr>
    </w:tbl>
    <w:p>
      <w:pPr>
        <w:pStyle w:val="58"/>
        <w:rPr>
          <w:highlight w:val="none"/>
        </w:rPr>
      </w:pPr>
    </w:p>
    <w:p>
      <w:pPr>
        <w:pStyle w:val="3"/>
        <w:ind w:left="300" w:hanging="300"/>
        <w:rPr>
          <w:highlight w:val="none"/>
        </w:rPr>
      </w:pPr>
      <w:bookmarkStart w:id="7" w:name="_Toc154518127"/>
      <w:r>
        <w:rPr>
          <w:rFonts w:hint="eastAsia"/>
          <w:highlight w:val="none"/>
        </w:rPr>
        <w:t>评价范围</w:t>
      </w:r>
      <w:bookmarkEnd w:id="7"/>
    </w:p>
    <w:p>
      <w:pPr>
        <w:ind w:firstLine="480"/>
        <w:rPr>
          <w:highlight w:val="none"/>
        </w:rPr>
      </w:pPr>
      <w:r>
        <w:rPr>
          <w:rFonts w:hint="eastAsia"/>
          <w:highlight w:val="none"/>
        </w:rPr>
        <w:t>以规划实施的时间跨度和可能影响的空间尺度确定评价范围。</w:t>
      </w:r>
    </w:p>
    <w:p>
      <w:pPr>
        <w:pStyle w:val="4"/>
        <w:rPr>
          <w:highlight w:val="none"/>
        </w:rPr>
      </w:pPr>
      <w:r>
        <w:rPr>
          <w:rFonts w:hint="eastAsia"/>
          <w:highlight w:val="none"/>
        </w:rPr>
        <w:t>时间范围</w:t>
      </w:r>
    </w:p>
    <w:p>
      <w:pPr>
        <w:ind w:firstLine="480"/>
        <w:rPr>
          <w:highlight w:val="none"/>
        </w:rPr>
      </w:pPr>
      <w:r>
        <w:rPr>
          <w:rFonts w:hint="eastAsia"/>
          <w:highlight w:val="none"/>
        </w:rPr>
        <w:t>规划期限：2024-2030年。</w:t>
      </w:r>
    </w:p>
    <w:p>
      <w:pPr>
        <w:ind w:firstLine="480"/>
        <w:rPr>
          <w:highlight w:val="none"/>
        </w:rPr>
      </w:pPr>
      <w:r>
        <w:rPr>
          <w:rFonts w:hint="eastAsia"/>
          <w:highlight w:val="none"/>
        </w:rPr>
        <w:t>评价基准年：环境现状水平年为现状调查的2023年。</w:t>
      </w:r>
    </w:p>
    <w:p>
      <w:pPr>
        <w:ind w:firstLine="480"/>
        <w:rPr>
          <w:highlight w:val="none"/>
        </w:rPr>
      </w:pPr>
      <w:r>
        <w:rPr>
          <w:rFonts w:hint="eastAsia"/>
          <w:highlight w:val="none"/>
        </w:rPr>
        <w:t>预测水平年：规划完全实施2030年。</w:t>
      </w:r>
    </w:p>
    <w:p>
      <w:pPr>
        <w:pStyle w:val="4"/>
        <w:rPr>
          <w:highlight w:val="none"/>
        </w:rPr>
      </w:pPr>
      <w:r>
        <w:rPr>
          <w:rFonts w:hint="eastAsia"/>
          <w:highlight w:val="none"/>
        </w:rPr>
        <w:t>空间范围</w:t>
      </w:r>
    </w:p>
    <w:p>
      <w:pPr>
        <w:pStyle w:val="89"/>
        <w:ind w:firstLine="480"/>
        <w:rPr>
          <w:highlight w:val="none"/>
        </w:rPr>
      </w:pPr>
      <w:r>
        <w:rPr>
          <w:rFonts w:hint="eastAsia"/>
          <w:highlight w:val="none"/>
        </w:rPr>
        <w:t>（1）按不同环境要素及其规划的区域开发建设活动可能影响的范围确定环境影响评价的范围。环境影响评价范围应包括规划区、周边地域以及与开发建设活动直接联系的区域；</w:t>
      </w:r>
    </w:p>
    <w:p>
      <w:pPr>
        <w:pStyle w:val="89"/>
        <w:ind w:firstLine="480"/>
        <w:rPr>
          <w:highlight w:val="none"/>
        </w:rPr>
      </w:pPr>
      <w:r>
        <w:rPr>
          <w:rFonts w:hint="eastAsia"/>
          <w:highlight w:val="none"/>
        </w:rPr>
        <w:t>（2）开发建设活动涉及的环境敏感区域等重要区域必须纳入环境影响评价的范围，并应保持环境功能区的完整性。</w:t>
      </w:r>
    </w:p>
    <w:p>
      <w:pPr>
        <w:pStyle w:val="89"/>
        <w:ind w:firstLine="480"/>
        <w:rPr>
          <w:rFonts w:eastAsiaTheme="majorEastAsia"/>
          <w:highlight w:val="none"/>
        </w:rPr>
      </w:pPr>
      <w:r>
        <w:rPr>
          <w:rFonts w:eastAsiaTheme="majorEastAsia"/>
          <w:highlight w:val="none"/>
        </w:rPr>
        <w:t>确定规划</w:t>
      </w:r>
      <w:r>
        <w:rPr>
          <w:rFonts w:hint="eastAsia" w:eastAsiaTheme="majorEastAsia"/>
          <w:highlight w:val="none"/>
        </w:rPr>
        <w:t>园区规划环境影响</w:t>
      </w:r>
      <w:r>
        <w:rPr>
          <w:rFonts w:eastAsiaTheme="majorEastAsia"/>
          <w:highlight w:val="none"/>
        </w:rPr>
        <w:t>评价范围的基本原则见</w:t>
      </w:r>
      <w:r>
        <w:rPr>
          <w:rFonts w:hint="eastAsia" w:eastAsiaTheme="majorEastAsia"/>
          <w:highlight w:val="none"/>
        </w:rPr>
        <w:t>下</w:t>
      </w:r>
      <w:r>
        <w:rPr>
          <w:rFonts w:eastAsiaTheme="majorEastAsia"/>
          <w:highlight w:val="none"/>
        </w:rPr>
        <w:t>表。</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1.5</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1</w:t>
      </w:r>
      <w:r>
        <w:rPr>
          <w:highlight w:val="none"/>
        </w:rPr>
        <w:fldChar w:fldCharType="end"/>
      </w:r>
      <w:r>
        <w:rPr>
          <w:highlight w:val="none"/>
        </w:rPr>
        <w:t xml:space="preserve">  </w:t>
      </w:r>
      <w:r>
        <w:rPr>
          <w:rFonts w:hint="eastAsia"/>
          <w:highlight w:val="none"/>
        </w:rPr>
        <w:t>确定评价范围的基本原则</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88"/>
        <w:gridCol w:w="76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855" w:type="pct"/>
            <w:shd w:val="clear" w:color="auto" w:fill="auto"/>
            <w:vAlign w:val="center"/>
          </w:tcPr>
          <w:p>
            <w:pPr>
              <w:pStyle w:val="58"/>
              <w:rPr>
                <w:highlight w:val="none"/>
              </w:rPr>
            </w:pPr>
            <w:r>
              <w:rPr>
                <w:rFonts w:hint="eastAsia"/>
                <w:highlight w:val="none"/>
              </w:rPr>
              <w:t>评价要素</w:t>
            </w:r>
          </w:p>
        </w:tc>
        <w:tc>
          <w:tcPr>
            <w:tcW w:w="4145" w:type="pct"/>
            <w:shd w:val="clear" w:color="auto" w:fill="auto"/>
            <w:vAlign w:val="center"/>
          </w:tcPr>
          <w:p>
            <w:pPr>
              <w:pStyle w:val="58"/>
              <w:rPr>
                <w:highlight w:val="none"/>
              </w:rPr>
            </w:pPr>
            <w:r>
              <w:rPr>
                <w:rFonts w:hint="eastAsia"/>
                <w:highlight w:val="none"/>
              </w:rPr>
              <w:t>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855" w:type="pct"/>
            <w:shd w:val="clear" w:color="auto" w:fill="auto"/>
            <w:vAlign w:val="center"/>
          </w:tcPr>
          <w:p>
            <w:pPr>
              <w:pStyle w:val="58"/>
              <w:rPr>
                <w:kern w:val="0"/>
                <w:highlight w:val="none"/>
              </w:rPr>
            </w:pPr>
            <w:r>
              <w:rPr>
                <w:rFonts w:hint="eastAsia" w:hAnsi="宋体"/>
                <w:kern w:val="0"/>
                <w:highlight w:val="none"/>
              </w:rPr>
              <w:t>生态环境</w:t>
            </w:r>
          </w:p>
        </w:tc>
        <w:tc>
          <w:tcPr>
            <w:tcW w:w="4145" w:type="pct"/>
            <w:shd w:val="clear" w:color="auto" w:fill="auto"/>
            <w:vAlign w:val="center"/>
          </w:tcPr>
          <w:p>
            <w:pPr>
              <w:pStyle w:val="58"/>
              <w:jc w:val="left"/>
              <w:rPr>
                <w:kern w:val="0"/>
                <w:highlight w:val="none"/>
              </w:rPr>
            </w:pPr>
            <w:r>
              <w:rPr>
                <w:rFonts w:hint="eastAsia" w:hAnsi="宋体"/>
                <w:kern w:val="0"/>
                <w:highlight w:val="none"/>
              </w:rPr>
              <w:t>规划区及其周边地域，参考</w:t>
            </w:r>
            <w:r>
              <w:rPr>
                <w:kern w:val="0"/>
                <w:highlight w:val="none"/>
              </w:rPr>
              <w:t>H</w:t>
            </w:r>
            <w:r>
              <w:rPr>
                <w:rFonts w:hint="eastAsia"/>
                <w:kern w:val="0"/>
                <w:highlight w:val="none"/>
              </w:rPr>
              <w:t>J</w:t>
            </w:r>
            <w:r>
              <w:rPr>
                <w:kern w:val="0"/>
                <w:highlight w:val="none"/>
              </w:rPr>
              <w:t xml:space="preserve"> 19-2022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5" w:type="pct"/>
            <w:shd w:val="clear" w:color="auto" w:fill="auto"/>
            <w:vAlign w:val="center"/>
          </w:tcPr>
          <w:p>
            <w:pPr>
              <w:pStyle w:val="58"/>
              <w:rPr>
                <w:kern w:val="0"/>
                <w:highlight w:val="none"/>
              </w:rPr>
            </w:pPr>
            <w:r>
              <w:rPr>
                <w:rFonts w:hint="eastAsia"/>
                <w:kern w:val="0"/>
                <w:highlight w:val="none"/>
              </w:rPr>
              <w:t>大气环境</w:t>
            </w:r>
          </w:p>
        </w:tc>
        <w:tc>
          <w:tcPr>
            <w:tcW w:w="4145" w:type="pct"/>
            <w:shd w:val="clear" w:color="auto" w:fill="auto"/>
            <w:vAlign w:val="center"/>
          </w:tcPr>
          <w:p>
            <w:pPr>
              <w:pStyle w:val="58"/>
              <w:jc w:val="left"/>
              <w:rPr>
                <w:kern w:val="0"/>
                <w:highlight w:val="none"/>
              </w:rPr>
            </w:pPr>
            <w:r>
              <w:rPr>
                <w:rFonts w:hint="eastAsia" w:hAnsi="宋体"/>
                <w:kern w:val="0"/>
                <w:highlight w:val="none"/>
              </w:rPr>
              <w:t>可能受到区内和区外大气污染影响的，根据所在区域现状大气污染源、拟建大气污染源和当地气象、地形等条件而定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5" w:type="pct"/>
            <w:shd w:val="clear" w:color="auto" w:fill="auto"/>
            <w:vAlign w:val="center"/>
          </w:tcPr>
          <w:p>
            <w:pPr>
              <w:pStyle w:val="58"/>
              <w:rPr>
                <w:kern w:val="0"/>
                <w:highlight w:val="none"/>
              </w:rPr>
            </w:pPr>
            <w:r>
              <w:rPr>
                <w:rFonts w:hint="eastAsia" w:hAnsi="宋体"/>
                <w:kern w:val="0"/>
                <w:highlight w:val="none"/>
              </w:rPr>
              <w:t>地表水环境</w:t>
            </w:r>
          </w:p>
        </w:tc>
        <w:tc>
          <w:tcPr>
            <w:tcW w:w="4145" w:type="pct"/>
            <w:shd w:val="clear" w:color="auto" w:fill="auto"/>
            <w:vAlign w:val="center"/>
          </w:tcPr>
          <w:p>
            <w:pPr>
              <w:pStyle w:val="58"/>
              <w:jc w:val="left"/>
              <w:rPr>
                <w:kern w:val="0"/>
                <w:highlight w:val="none"/>
              </w:rPr>
            </w:pPr>
            <w:r>
              <w:rPr>
                <w:rFonts w:hint="eastAsia" w:hAnsi="宋体"/>
                <w:kern w:val="0"/>
                <w:highlight w:val="none"/>
              </w:rPr>
              <w:t>与规划建设相关的重要水体</w:t>
            </w:r>
            <w:r>
              <w:rPr>
                <w:kern w:val="0"/>
                <w:highlight w:val="none"/>
              </w:rPr>
              <w:t>/</w:t>
            </w:r>
            <w:r>
              <w:rPr>
                <w:rFonts w:hint="eastAsia" w:hAnsi="宋体"/>
                <w:kern w:val="0"/>
                <w:highlight w:val="none"/>
              </w:rPr>
              <w:t>水域（如水源地、水源保护区）和水污染物受纳水体，根据废水特征、排放量、排放方式、受纳水体特征确定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5" w:type="pct"/>
            <w:shd w:val="clear" w:color="auto" w:fill="auto"/>
            <w:vAlign w:val="center"/>
          </w:tcPr>
          <w:p>
            <w:pPr>
              <w:pStyle w:val="58"/>
              <w:rPr>
                <w:kern w:val="0"/>
                <w:highlight w:val="none"/>
              </w:rPr>
            </w:pPr>
            <w:r>
              <w:rPr>
                <w:rFonts w:hint="eastAsia" w:hAnsi="宋体"/>
                <w:kern w:val="0"/>
                <w:highlight w:val="none"/>
              </w:rPr>
              <w:t>地下水环境</w:t>
            </w:r>
          </w:p>
        </w:tc>
        <w:tc>
          <w:tcPr>
            <w:tcW w:w="4145" w:type="pct"/>
            <w:shd w:val="clear" w:color="auto" w:fill="auto"/>
            <w:vAlign w:val="center"/>
          </w:tcPr>
          <w:p>
            <w:pPr>
              <w:pStyle w:val="58"/>
              <w:jc w:val="left"/>
              <w:rPr>
                <w:kern w:val="0"/>
                <w:highlight w:val="none"/>
              </w:rPr>
            </w:pPr>
            <w:r>
              <w:rPr>
                <w:rFonts w:hint="eastAsia" w:hAnsi="宋体"/>
                <w:kern w:val="0"/>
                <w:highlight w:val="none"/>
              </w:rPr>
              <w:t>根据规划区所在区域地下水补给、径流、排泄条件，地下水开采利用状况量，及其与工业集中发展区建设活动的关系确定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855" w:type="pct"/>
            <w:shd w:val="clear" w:color="auto" w:fill="auto"/>
            <w:vAlign w:val="center"/>
          </w:tcPr>
          <w:p>
            <w:pPr>
              <w:pStyle w:val="58"/>
              <w:rPr>
                <w:kern w:val="0"/>
                <w:highlight w:val="none"/>
              </w:rPr>
            </w:pPr>
            <w:r>
              <w:rPr>
                <w:rFonts w:hint="eastAsia" w:hAnsi="宋体"/>
                <w:kern w:val="0"/>
                <w:highlight w:val="none"/>
              </w:rPr>
              <w:t>声环境</w:t>
            </w:r>
          </w:p>
        </w:tc>
        <w:tc>
          <w:tcPr>
            <w:tcW w:w="4145" w:type="pct"/>
            <w:shd w:val="clear" w:color="auto" w:fill="auto"/>
            <w:vAlign w:val="center"/>
          </w:tcPr>
          <w:p>
            <w:pPr>
              <w:pStyle w:val="58"/>
              <w:jc w:val="left"/>
              <w:rPr>
                <w:kern w:val="0"/>
                <w:highlight w:val="none"/>
              </w:rPr>
            </w:pPr>
            <w:r>
              <w:rPr>
                <w:rFonts w:hint="eastAsia" w:hAnsi="宋体"/>
                <w:kern w:val="0"/>
                <w:highlight w:val="none"/>
              </w:rPr>
              <w:t>规划区与相邻区域噪声适用区划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5" w:type="pct"/>
            <w:shd w:val="clear" w:color="auto" w:fill="auto"/>
            <w:vAlign w:val="center"/>
          </w:tcPr>
          <w:p>
            <w:pPr>
              <w:pStyle w:val="58"/>
              <w:rPr>
                <w:kern w:val="0"/>
                <w:highlight w:val="none"/>
              </w:rPr>
            </w:pPr>
            <w:r>
              <w:rPr>
                <w:rFonts w:hint="eastAsia" w:hAnsi="宋体"/>
                <w:kern w:val="0"/>
                <w:highlight w:val="none"/>
              </w:rPr>
              <w:t>固体废物管理</w:t>
            </w:r>
          </w:p>
        </w:tc>
        <w:tc>
          <w:tcPr>
            <w:tcW w:w="4145" w:type="pct"/>
            <w:shd w:val="clear" w:color="auto" w:fill="auto"/>
            <w:vAlign w:val="center"/>
          </w:tcPr>
          <w:p>
            <w:pPr>
              <w:pStyle w:val="58"/>
              <w:jc w:val="left"/>
              <w:rPr>
                <w:kern w:val="0"/>
                <w:highlight w:val="none"/>
              </w:rPr>
            </w:pPr>
            <w:r>
              <w:rPr>
                <w:rFonts w:hint="eastAsia" w:hAnsi="宋体"/>
                <w:kern w:val="0"/>
                <w:highlight w:val="none"/>
              </w:rPr>
              <w:t>收集、贮存场所周围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5" w:type="pct"/>
            <w:shd w:val="clear" w:color="auto" w:fill="auto"/>
            <w:vAlign w:val="center"/>
          </w:tcPr>
          <w:p>
            <w:pPr>
              <w:pStyle w:val="58"/>
              <w:rPr>
                <w:highlight w:val="none"/>
              </w:rPr>
            </w:pPr>
            <w:r>
              <w:rPr>
                <w:rFonts w:hint="eastAsia" w:hAnsi="宋体"/>
                <w:highlight w:val="none"/>
              </w:rPr>
              <w:t>环境风险</w:t>
            </w:r>
          </w:p>
        </w:tc>
        <w:tc>
          <w:tcPr>
            <w:tcW w:w="4145" w:type="pct"/>
            <w:shd w:val="clear" w:color="auto" w:fill="auto"/>
            <w:vAlign w:val="center"/>
          </w:tcPr>
          <w:p>
            <w:pPr>
              <w:pStyle w:val="58"/>
              <w:jc w:val="left"/>
              <w:rPr>
                <w:highlight w:val="none"/>
              </w:rPr>
            </w:pPr>
            <w:r>
              <w:rPr>
                <w:rFonts w:hint="eastAsia" w:hAnsi="宋体"/>
                <w:highlight w:val="none"/>
              </w:rPr>
              <w:t>可能受到区内和区外环境风险影响的区域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5" w:type="pct"/>
            <w:shd w:val="clear" w:color="auto" w:fill="auto"/>
            <w:vAlign w:val="center"/>
          </w:tcPr>
          <w:p>
            <w:pPr>
              <w:pStyle w:val="58"/>
              <w:rPr>
                <w:rFonts w:hAnsi="宋体"/>
                <w:highlight w:val="none"/>
              </w:rPr>
            </w:pPr>
            <w:r>
              <w:rPr>
                <w:rFonts w:hint="eastAsia" w:hAnsi="宋体"/>
                <w:highlight w:val="none"/>
              </w:rPr>
              <w:t>社会环境</w:t>
            </w:r>
          </w:p>
        </w:tc>
        <w:tc>
          <w:tcPr>
            <w:tcW w:w="4145" w:type="pct"/>
            <w:shd w:val="clear" w:color="auto" w:fill="auto"/>
            <w:vAlign w:val="center"/>
          </w:tcPr>
          <w:p>
            <w:pPr>
              <w:pStyle w:val="58"/>
              <w:jc w:val="left"/>
              <w:rPr>
                <w:rFonts w:hAnsi="宋体"/>
                <w:highlight w:val="none"/>
              </w:rPr>
            </w:pPr>
            <w:r>
              <w:rPr>
                <w:rFonts w:hint="eastAsia" w:hAnsi="宋体"/>
                <w:highlight w:val="none"/>
              </w:rPr>
              <w:t>规划直接影响区域和间接影响区域</w:t>
            </w:r>
          </w:p>
        </w:tc>
      </w:tr>
    </w:tbl>
    <w:p>
      <w:pPr>
        <w:pStyle w:val="58"/>
        <w:rPr>
          <w:highlight w:val="none"/>
        </w:rPr>
      </w:pPr>
    </w:p>
    <w:p>
      <w:pPr>
        <w:ind w:firstLine="480"/>
        <w:rPr>
          <w:rFonts w:eastAsia="黑体"/>
          <w:sz w:val="21"/>
          <w:highlight w:val="none"/>
        </w:rPr>
      </w:pPr>
      <w:r>
        <w:rPr>
          <w:rFonts w:hint="eastAsia"/>
          <w:highlight w:val="none"/>
        </w:rPr>
        <w:t>根据上述原则对本规划区环境影响评价的范围进行界定，本次规划环境影响评价范围见下表。</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1.5</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2</w:t>
      </w:r>
      <w:r>
        <w:rPr>
          <w:highlight w:val="none"/>
        </w:rPr>
        <w:fldChar w:fldCharType="end"/>
      </w:r>
      <w:r>
        <w:rPr>
          <w:rFonts w:hint="eastAsia"/>
          <w:highlight w:val="none"/>
        </w:rPr>
        <w:t>规划环境影响评价范围</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33"/>
        <w:gridCol w:w="7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933" w:type="pct"/>
            <w:shd w:val="clear" w:color="auto" w:fill="auto"/>
            <w:vAlign w:val="center"/>
          </w:tcPr>
          <w:p>
            <w:pPr>
              <w:pStyle w:val="58"/>
              <w:rPr>
                <w:highlight w:val="none"/>
              </w:rPr>
            </w:pPr>
            <w:bookmarkStart w:id="8" w:name="_Hlk46049992"/>
            <w:r>
              <w:rPr>
                <w:highlight w:val="none"/>
              </w:rPr>
              <w:t>评价要素</w:t>
            </w:r>
          </w:p>
        </w:tc>
        <w:tc>
          <w:tcPr>
            <w:tcW w:w="4067" w:type="pct"/>
            <w:shd w:val="clear" w:color="auto" w:fill="auto"/>
            <w:vAlign w:val="center"/>
          </w:tcPr>
          <w:p>
            <w:pPr>
              <w:pStyle w:val="58"/>
              <w:rPr>
                <w:highlight w:val="none"/>
              </w:rPr>
            </w:pPr>
            <w:r>
              <w:rPr>
                <w:highlight w:val="none"/>
              </w:rPr>
              <w:t>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33" w:type="pct"/>
            <w:shd w:val="clear" w:color="auto" w:fill="auto"/>
            <w:vAlign w:val="center"/>
          </w:tcPr>
          <w:p>
            <w:pPr>
              <w:pStyle w:val="58"/>
              <w:rPr>
                <w:highlight w:val="none"/>
              </w:rPr>
            </w:pPr>
            <w:r>
              <w:rPr>
                <w:rFonts w:hint="eastAsia"/>
                <w:highlight w:val="none"/>
              </w:rPr>
              <w:t>规划面积</w:t>
            </w:r>
          </w:p>
        </w:tc>
        <w:tc>
          <w:tcPr>
            <w:tcW w:w="4067" w:type="pct"/>
            <w:shd w:val="clear" w:color="auto" w:fill="auto"/>
            <w:vAlign w:val="center"/>
          </w:tcPr>
          <w:p>
            <w:pPr>
              <w:pStyle w:val="58"/>
              <w:jc w:val="left"/>
              <w:rPr>
                <w:highlight w:val="none"/>
              </w:rPr>
            </w:pPr>
            <w:r>
              <w:rPr>
                <w:rFonts w:hint="eastAsia"/>
                <w:highlight w:val="none"/>
              </w:rPr>
              <w:t>1.3664km</w:t>
            </w:r>
            <w:r>
              <w:rPr>
                <w:rFonts w:hint="eastAsia"/>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33" w:type="pct"/>
            <w:shd w:val="clear" w:color="auto" w:fill="auto"/>
            <w:vAlign w:val="center"/>
          </w:tcPr>
          <w:p>
            <w:pPr>
              <w:pStyle w:val="58"/>
              <w:rPr>
                <w:highlight w:val="none"/>
              </w:rPr>
            </w:pPr>
            <w:r>
              <w:rPr>
                <w:rFonts w:hint="eastAsia"/>
                <w:highlight w:val="none"/>
              </w:rPr>
              <w:t>大</w:t>
            </w:r>
            <w:r>
              <w:rPr>
                <w:highlight w:val="none"/>
              </w:rPr>
              <w:t>气环境</w:t>
            </w:r>
          </w:p>
        </w:tc>
        <w:tc>
          <w:tcPr>
            <w:tcW w:w="4067" w:type="pct"/>
            <w:shd w:val="clear" w:color="auto" w:fill="auto"/>
            <w:vAlign w:val="center"/>
          </w:tcPr>
          <w:p>
            <w:pPr>
              <w:pStyle w:val="58"/>
              <w:jc w:val="left"/>
              <w:rPr>
                <w:highlight w:val="none"/>
              </w:rPr>
            </w:pPr>
            <w:r>
              <w:rPr>
                <w:rFonts w:hint="eastAsia"/>
                <w:highlight w:val="none"/>
              </w:rPr>
              <w:t>以规划区边界为起点，外延2.5km的区域。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33" w:type="pct"/>
            <w:shd w:val="clear" w:color="auto" w:fill="auto"/>
            <w:vAlign w:val="center"/>
          </w:tcPr>
          <w:p>
            <w:pPr>
              <w:pStyle w:val="58"/>
              <w:rPr>
                <w:highlight w:val="none"/>
              </w:rPr>
            </w:pPr>
            <w:r>
              <w:rPr>
                <w:rFonts w:hint="eastAsia"/>
                <w:highlight w:val="none"/>
              </w:rPr>
              <w:t>环境风险</w:t>
            </w:r>
          </w:p>
        </w:tc>
        <w:tc>
          <w:tcPr>
            <w:tcW w:w="4067" w:type="pct"/>
            <w:shd w:val="clear" w:color="auto" w:fill="auto"/>
            <w:vAlign w:val="center"/>
          </w:tcPr>
          <w:p>
            <w:pPr>
              <w:pStyle w:val="58"/>
              <w:jc w:val="left"/>
              <w:rPr>
                <w:highlight w:val="none"/>
              </w:rPr>
            </w:pPr>
            <w:r>
              <w:rPr>
                <w:rFonts w:hint="eastAsia"/>
                <w:highlight w:val="none"/>
              </w:rPr>
              <w:t>大气：规划区边界外3km范围；</w:t>
            </w:r>
          </w:p>
          <w:p>
            <w:pPr>
              <w:pStyle w:val="58"/>
              <w:jc w:val="left"/>
              <w:rPr>
                <w:highlight w:val="none"/>
              </w:rPr>
            </w:pPr>
            <w:r>
              <w:rPr>
                <w:rFonts w:hint="eastAsia"/>
                <w:highlight w:val="none"/>
              </w:rPr>
              <w:t>地表水：事故废水泄漏点（嘉陵江）上游500m至泄漏点下游5.5km河段；</w:t>
            </w:r>
          </w:p>
          <w:p>
            <w:pPr>
              <w:pStyle w:val="58"/>
              <w:jc w:val="left"/>
              <w:rPr>
                <w:highlight w:val="none"/>
              </w:rPr>
            </w:pPr>
            <w:r>
              <w:rPr>
                <w:rFonts w:hint="eastAsia"/>
                <w:highlight w:val="none"/>
              </w:rPr>
              <w:t>地下水：参考地下水环境影响评价范围。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33" w:type="pct"/>
            <w:shd w:val="clear" w:color="auto" w:fill="auto"/>
            <w:vAlign w:val="center"/>
          </w:tcPr>
          <w:p>
            <w:pPr>
              <w:pStyle w:val="58"/>
              <w:rPr>
                <w:highlight w:val="none"/>
              </w:rPr>
            </w:pPr>
            <w:r>
              <w:rPr>
                <w:highlight w:val="none"/>
              </w:rPr>
              <w:t>地表水</w:t>
            </w:r>
          </w:p>
        </w:tc>
        <w:tc>
          <w:tcPr>
            <w:tcW w:w="4067" w:type="pct"/>
            <w:shd w:val="clear" w:color="auto" w:fill="auto"/>
            <w:vAlign w:val="center"/>
          </w:tcPr>
          <w:p>
            <w:pPr>
              <w:pStyle w:val="58"/>
              <w:jc w:val="left"/>
              <w:rPr>
                <w:highlight w:val="none"/>
              </w:rPr>
            </w:pPr>
            <w:r>
              <w:rPr>
                <w:rFonts w:hint="eastAsia"/>
                <w:highlight w:val="none"/>
              </w:rPr>
              <w:t>嘉陵江</w:t>
            </w:r>
            <w:r>
              <w:rPr>
                <w:highlight w:val="none"/>
              </w:rPr>
              <w:t>：</w:t>
            </w:r>
            <w:r>
              <w:rPr>
                <w:rFonts w:hint="eastAsia"/>
                <w:szCs w:val="24"/>
                <w:highlight w:val="none"/>
              </w:rPr>
              <w:t>百利新区污水处理厂</w:t>
            </w:r>
            <w:r>
              <w:rPr>
                <w:highlight w:val="none"/>
              </w:rPr>
              <w:t>排污口上游500m至下游</w:t>
            </w:r>
            <w:r>
              <w:rPr>
                <w:rFonts w:hint="eastAsia"/>
                <w:highlight w:val="none"/>
              </w:rPr>
              <w:t>5.5</w:t>
            </w:r>
            <w:r>
              <w:rPr>
                <w:highlight w:val="none"/>
              </w:rPr>
              <w:t>km河段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33" w:type="pct"/>
            <w:shd w:val="clear" w:color="auto" w:fill="auto"/>
            <w:vAlign w:val="center"/>
          </w:tcPr>
          <w:p>
            <w:pPr>
              <w:pStyle w:val="58"/>
              <w:rPr>
                <w:highlight w:val="none"/>
              </w:rPr>
            </w:pPr>
            <w:r>
              <w:rPr>
                <w:highlight w:val="none"/>
              </w:rPr>
              <w:t>地下水</w:t>
            </w:r>
            <w:r>
              <w:rPr>
                <w:rFonts w:hint="eastAsia"/>
                <w:highlight w:val="none"/>
              </w:rPr>
              <w:t>环境</w:t>
            </w:r>
          </w:p>
        </w:tc>
        <w:tc>
          <w:tcPr>
            <w:tcW w:w="4067" w:type="pct"/>
            <w:shd w:val="clear" w:color="auto" w:fill="auto"/>
            <w:vAlign w:val="center"/>
          </w:tcPr>
          <w:p>
            <w:pPr>
              <w:pStyle w:val="58"/>
              <w:jc w:val="left"/>
              <w:rPr>
                <w:highlight w:val="none"/>
              </w:rPr>
            </w:pPr>
            <w:r>
              <w:rPr>
                <w:rFonts w:hint="eastAsia"/>
                <w:szCs w:val="18"/>
                <w:highlight w:val="none"/>
              </w:rPr>
              <w:t>规划用地范围及所在水文地质单元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33" w:type="pct"/>
            <w:shd w:val="clear" w:color="auto" w:fill="auto"/>
            <w:vAlign w:val="center"/>
          </w:tcPr>
          <w:p>
            <w:pPr>
              <w:pStyle w:val="58"/>
              <w:rPr>
                <w:highlight w:val="none"/>
              </w:rPr>
            </w:pPr>
            <w:r>
              <w:rPr>
                <w:highlight w:val="none"/>
              </w:rPr>
              <w:t>声环境</w:t>
            </w:r>
          </w:p>
        </w:tc>
        <w:tc>
          <w:tcPr>
            <w:tcW w:w="4067" w:type="pct"/>
            <w:shd w:val="clear" w:color="auto" w:fill="auto"/>
            <w:vAlign w:val="center"/>
          </w:tcPr>
          <w:p>
            <w:pPr>
              <w:pStyle w:val="58"/>
              <w:jc w:val="left"/>
              <w:rPr>
                <w:highlight w:val="none"/>
              </w:rPr>
            </w:pPr>
            <w:r>
              <w:rPr>
                <w:highlight w:val="none"/>
              </w:rPr>
              <w:t>规划范围及其周围200m范围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33" w:type="pct"/>
            <w:shd w:val="clear" w:color="auto" w:fill="auto"/>
            <w:vAlign w:val="center"/>
          </w:tcPr>
          <w:p>
            <w:pPr>
              <w:pStyle w:val="58"/>
              <w:rPr>
                <w:highlight w:val="none"/>
              </w:rPr>
            </w:pPr>
            <w:r>
              <w:rPr>
                <w:highlight w:val="none"/>
              </w:rPr>
              <w:t>生态环境</w:t>
            </w:r>
          </w:p>
        </w:tc>
        <w:tc>
          <w:tcPr>
            <w:tcW w:w="4067" w:type="pct"/>
            <w:shd w:val="clear" w:color="auto" w:fill="auto"/>
            <w:vAlign w:val="center"/>
          </w:tcPr>
          <w:p>
            <w:pPr>
              <w:pStyle w:val="58"/>
              <w:jc w:val="left"/>
              <w:rPr>
                <w:highlight w:val="none"/>
              </w:rPr>
            </w:pPr>
            <w:r>
              <w:rPr>
                <w:highlight w:val="none"/>
              </w:rPr>
              <w:t>规划范围及其</w:t>
            </w:r>
            <w:r>
              <w:rPr>
                <w:rFonts w:hint="eastAsia"/>
                <w:highlight w:val="none"/>
              </w:rPr>
              <w:t>周围200</w:t>
            </w:r>
            <w:r>
              <w:rPr>
                <w:highlight w:val="none"/>
              </w:rPr>
              <w:t>m范围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33" w:type="pct"/>
            <w:shd w:val="clear" w:color="auto" w:fill="auto"/>
            <w:vAlign w:val="center"/>
          </w:tcPr>
          <w:p>
            <w:pPr>
              <w:pStyle w:val="58"/>
              <w:rPr>
                <w:highlight w:val="none"/>
              </w:rPr>
            </w:pPr>
            <w:r>
              <w:rPr>
                <w:highlight w:val="none"/>
              </w:rPr>
              <w:t>固体废物管理</w:t>
            </w:r>
          </w:p>
        </w:tc>
        <w:tc>
          <w:tcPr>
            <w:tcW w:w="4067" w:type="pct"/>
            <w:shd w:val="clear" w:color="auto" w:fill="auto"/>
            <w:vAlign w:val="center"/>
          </w:tcPr>
          <w:p>
            <w:pPr>
              <w:pStyle w:val="58"/>
              <w:jc w:val="left"/>
              <w:rPr>
                <w:highlight w:val="none"/>
              </w:rPr>
            </w:pPr>
            <w:r>
              <w:rPr>
                <w:highlight w:val="none"/>
              </w:rPr>
              <w:t>收集、中转贮存及处置场所周边区域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33" w:type="pct"/>
            <w:shd w:val="clear" w:color="auto" w:fill="auto"/>
            <w:vAlign w:val="center"/>
          </w:tcPr>
          <w:p>
            <w:pPr>
              <w:pStyle w:val="58"/>
              <w:rPr>
                <w:highlight w:val="none"/>
              </w:rPr>
            </w:pPr>
            <w:r>
              <w:rPr>
                <w:rFonts w:hint="eastAsia"/>
                <w:highlight w:val="none"/>
              </w:rPr>
              <w:t>土壤环境</w:t>
            </w:r>
          </w:p>
        </w:tc>
        <w:tc>
          <w:tcPr>
            <w:tcW w:w="4067" w:type="pct"/>
            <w:shd w:val="clear" w:color="auto" w:fill="auto"/>
            <w:vAlign w:val="center"/>
          </w:tcPr>
          <w:p>
            <w:pPr>
              <w:pStyle w:val="58"/>
              <w:jc w:val="left"/>
              <w:rPr>
                <w:highlight w:val="none"/>
              </w:rPr>
            </w:pPr>
            <w:r>
              <w:rPr>
                <w:rFonts w:hint="eastAsia"/>
                <w:highlight w:val="none"/>
              </w:rPr>
              <w:t>规划区域及园区边界外1km范围。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33" w:type="pct"/>
            <w:shd w:val="clear" w:color="auto" w:fill="auto"/>
            <w:vAlign w:val="center"/>
          </w:tcPr>
          <w:p>
            <w:pPr>
              <w:pStyle w:val="58"/>
              <w:rPr>
                <w:highlight w:val="none"/>
              </w:rPr>
            </w:pPr>
            <w:r>
              <w:rPr>
                <w:highlight w:val="none"/>
              </w:rPr>
              <w:t>社会环境</w:t>
            </w:r>
          </w:p>
        </w:tc>
        <w:tc>
          <w:tcPr>
            <w:tcW w:w="4067" w:type="pct"/>
            <w:shd w:val="clear" w:color="auto" w:fill="auto"/>
            <w:vAlign w:val="center"/>
          </w:tcPr>
          <w:p>
            <w:pPr>
              <w:pStyle w:val="58"/>
              <w:jc w:val="left"/>
              <w:rPr>
                <w:highlight w:val="none"/>
              </w:rPr>
            </w:pPr>
            <w:r>
              <w:rPr>
                <w:rFonts w:hint="eastAsia"/>
                <w:highlight w:val="none"/>
              </w:rPr>
              <w:t>园区</w:t>
            </w:r>
            <w:r>
              <w:rPr>
                <w:highlight w:val="none"/>
              </w:rPr>
              <w:t>直接和间接影响区域</w:t>
            </w:r>
          </w:p>
        </w:tc>
      </w:tr>
      <w:bookmarkEnd w:id="8"/>
    </w:tbl>
    <w:p>
      <w:pPr>
        <w:pStyle w:val="58"/>
        <w:rPr>
          <w:highlight w:val="none"/>
        </w:rPr>
      </w:pPr>
    </w:p>
    <w:p>
      <w:pPr>
        <w:pStyle w:val="3"/>
        <w:ind w:left="300" w:hanging="300"/>
        <w:rPr>
          <w:highlight w:val="none"/>
        </w:rPr>
      </w:pPr>
      <w:bookmarkStart w:id="9" w:name="_Toc154518128"/>
      <w:r>
        <w:rPr>
          <w:rFonts w:hint="eastAsia"/>
          <w:highlight w:val="none"/>
        </w:rPr>
        <w:t>外环境关系及环境保护目标</w:t>
      </w:r>
      <w:bookmarkEnd w:id="9"/>
    </w:p>
    <w:p>
      <w:pPr>
        <w:pStyle w:val="4"/>
        <w:rPr>
          <w:highlight w:val="none"/>
        </w:rPr>
      </w:pPr>
      <w:r>
        <w:rPr>
          <w:rFonts w:hint="eastAsia"/>
          <w:highlight w:val="none"/>
        </w:rPr>
        <w:t>外环境关系介绍</w:t>
      </w:r>
    </w:p>
    <w:p>
      <w:pPr>
        <w:ind w:firstLine="482"/>
        <w:rPr>
          <w:b/>
          <w:bCs/>
          <w:highlight w:val="none"/>
        </w:rPr>
      </w:pPr>
      <w:r>
        <w:rPr>
          <w:rFonts w:hint="eastAsia"/>
          <w:b/>
          <w:bCs/>
          <w:highlight w:val="none"/>
        </w:rPr>
        <w:t>1、园区周边外环境</w:t>
      </w:r>
    </w:p>
    <w:p>
      <w:pPr>
        <w:ind w:firstLine="480"/>
        <w:rPr>
          <w:highlight w:val="none"/>
        </w:rPr>
      </w:pPr>
      <w:r>
        <w:rPr>
          <w:rFonts w:hint="eastAsia"/>
          <w:highlight w:val="none"/>
        </w:rPr>
        <w:t>苍溪县常年主导风向为NNW风，园区位于苍溪县百利镇东北方向。园区东侧紧邻嘉陵江，隔江为云峰镇；园区南侧紧邻嘉陵江，隔江为阆中市。园区东北方向隔嘉陵江为四川苍溪经济开发区。</w:t>
      </w:r>
    </w:p>
    <w:p>
      <w:pPr>
        <w:ind w:firstLine="482"/>
        <w:rPr>
          <w:b/>
          <w:bCs/>
          <w:highlight w:val="none"/>
        </w:rPr>
      </w:pPr>
      <w:r>
        <w:rPr>
          <w:rFonts w:hint="eastAsia"/>
          <w:b/>
          <w:bCs/>
          <w:highlight w:val="none"/>
        </w:rPr>
        <w:t>2、附近水源地</w:t>
      </w:r>
    </w:p>
    <w:p>
      <w:pPr>
        <w:ind w:firstLine="480"/>
        <w:rPr>
          <w:highlight w:val="none"/>
        </w:rPr>
      </w:pPr>
      <w:r>
        <w:rPr>
          <w:rFonts w:hint="eastAsia"/>
          <w:highlight w:val="none"/>
        </w:rPr>
        <w:t>园区下游11.3km处为</w:t>
      </w:r>
      <w:r>
        <w:rPr>
          <w:rFonts w:hint="eastAsia" w:eastAsia="宋体" w:cs="Times New Roman"/>
          <w:highlight w:val="none"/>
        </w:rPr>
        <w:t>嘉陵江郑家坝水源地，园区规划范围距离</w:t>
      </w:r>
      <w:r>
        <w:rPr>
          <w:rFonts w:hint="eastAsia"/>
          <w:highlight w:val="none"/>
        </w:rPr>
        <w:t>水源地准保护区最近距离为2.8km。</w:t>
      </w:r>
    </w:p>
    <w:p>
      <w:pPr>
        <w:pStyle w:val="4"/>
        <w:rPr>
          <w:highlight w:val="none"/>
        </w:rPr>
      </w:pPr>
      <w:r>
        <w:rPr>
          <w:rFonts w:hint="eastAsia"/>
          <w:highlight w:val="none"/>
        </w:rPr>
        <w:t>主要环境保护目标</w:t>
      </w:r>
    </w:p>
    <w:p>
      <w:pPr>
        <w:pStyle w:val="89"/>
        <w:ind w:firstLine="482"/>
        <w:rPr>
          <w:b/>
          <w:bCs w:val="0"/>
          <w:highlight w:val="none"/>
        </w:rPr>
      </w:pPr>
      <w:r>
        <w:rPr>
          <w:rFonts w:hint="eastAsia"/>
          <w:b/>
          <w:bCs w:val="0"/>
          <w:highlight w:val="none"/>
        </w:rPr>
        <w:t>1、大气环境</w:t>
      </w:r>
      <w:r>
        <w:rPr>
          <w:b/>
          <w:bCs w:val="0"/>
          <w:highlight w:val="none"/>
        </w:rPr>
        <w:t>保护目标</w:t>
      </w:r>
    </w:p>
    <w:p>
      <w:pPr>
        <w:pStyle w:val="101"/>
        <w:ind w:firstLine="480"/>
        <w:rPr>
          <w:highlight w:val="none"/>
        </w:rPr>
      </w:pPr>
      <w:r>
        <w:rPr>
          <w:rFonts w:hint="eastAsia"/>
          <w:highlight w:val="none"/>
        </w:rPr>
        <w:t>大气环境保护目标为本园区规划范围内及园区边界外扩2.5km范围内居民区、学校、医院等环境敏感点。保护级别为</w:t>
      </w:r>
      <w:r>
        <w:rPr>
          <w:highlight w:val="none"/>
        </w:rPr>
        <w:t>《环境空气质量标准》（GB3095-2012）</w:t>
      </w:r>
      <w:r>
        <w:rPr>
          <w:rFonts w:hint="eastAsia"/>
          <w:highlight w:val="none"/>
        </w:rPr>
        <w:t>二级。</w:t>
      </w:r>
    </w:p>
    <w:p>
      <w:pPr>
        <w:pStyle w:val="101"/>
        <w:ind w:firstLine="482"/>
        <w:rPr>
          <w:b/>
          <w:highlight w:val="none"/>
        </w:rPr>
      </w:pPr>
      <w:r>
        <w:rPr>
          <w:rFonts w:hint="eastAsia"/>
          <w:b/>
          <w:highlight w:val="none"/>
        </w:rPr>
        <w:t>2、</w:t>
      </w:r>
      <w:r>
        <w:rPr>
          <w:b/>
          <w:highlight w:val="none"/>
        </w:rPr>
        <w:t>地表水</w:t>
      </w:r>
      <w:r>
        <w:rPr>
          <w:rFonts w:hint="eastAsia"/>
          <w:b/>
          <w:highlight w:val="none"/>
        </w:rPr>
        <w:t>环境</w:t>
      </w:r>
      <w:r>
        <w:rPr>
          <w:b/>
          <w:highlight w:val="none"/>
        </w:rPr>
        <w:t>保护目标</w:t>
      </w:r>
    </w:p>
    <w:p>
      <w:pPr>
        <w:pStyle w:val="101"/>
        <w:ind w:firstLine="480"/>
        <w:rPr>
          <w:rFonts w:eastAsia="仿宋_GB2312"/>
          <w:sz w:val="32"/>
          <w:szCs w:val="32"/>
          <w:highlight w:val="none"/>
        </w:rPr>
      </w:pPr>
      <w:r>
        <w:rPr>
          <w:rFonts w:hint="eastAsia"/>
          <w:highlight w:val="none"/>
        </w:rPr>
        <w:t>规划区东面和南面紧邻嘉陵江，园区废水受纳水体为嘉陵江，因此</w:t>
      </w:r>
      <w:r>
        <w:rPr>
          <w:highlight w:val="none"/>
        </w:rPr>
        <w:t>地表水环境保护</w:t>
      </w:r>
      <w:r>
        <w:rPr>
          <w:rFonts w:hint="eastAsia"/>
          <w:highlight w:val="none"/>
        </w:rPr>
        <w:t>即嘉陵江</w:t>
      </w:r>
      <w:r>
        <w:rPr>
          <w:highlight w:val="none"/>
        </w:rPr>
        <w:t>。</w:t>
      </w:r>
    </w:p>
    <w:p>
      <w:pPr>
        <w:pStyle w:val="101"/>
        <w:ind w:firstLine="482"/>
        <w:rPr>
          <w:b/>
          <w:highlight w:val="none"/>
        </w:rPr>
      </w:pPr>
      <w:r>
        <w:rPr>
          <w:rFonts w:hint="eastAsia"/>
          <w:b/>
          <w:highlight w:val="none"/>
        </w:rPr>
        <w:t>3、</w:t>
      </w:r>
      <w:r>
        <w:rPr>
          <w:b/>
          <w:highlight w:val="none"/>
        </w:rPr>
        <w:t>地下水</w:t>
      </w:r>
      <w:r>
        <w:rPr>
          <w:rFonts w:hint="eastAsia"/>
          <w:b/>
          <w:highlight w:val="none"/>
        </w:rPr>
        <w:t>环境</w:t>
      </w:r>
      <w:r>
        <w:rPr>
          <w:b/>
          <w:highlight w:val="none"/>
        </w:rPr>
        <w:t>保护目标</w:t>
      </w:r>
    </w:p>
    <w:p>
      <w:pPr>
        <w:pStyle w:val="101"/>
        <w:ind w:firstLine="480"/>
        <w:rPr>
          <w:highlight w:val="none"/>
        </w:rPr>
      </w:pPr>
      <w:r>
        <w:rPr>
          <w:rFonts w:hint="eastAsia"/>
          <w:highlight w:val="none"/>
        </w:rPr>
        <w:t>地下水环境保护目标为本园区规划范围内地下水不受到污染，满足《地下水质量标准》（GB/T14848-</w:t>
      </w:r>
      <w:r>
        <w:rPr>
          <w:highlight w:val="none"/>
        </w:rPr>
        <w:t>2017</w:t>
      </w:r>
      <w:r>
        <w:rPr>
          <w:rFonts w:hint="eastAsia"/>
          <w:highlight w:val="none"/>
        </w:rPr>
        <w:t>）中III类。</w:t>
      </w:r>
    </w:p>
    <w:p>
      <w:pPr>
        <w:pStyle w:val="101"/>
        <w:ind w:firstLine="482"/>
        <w:rPr>
          <w:b/>
          <w:bCs w:val="0"/>
          <w:highlight w:val="none"/>
        </w:rPr>
      </w:pPr>
      <w:r>
        <w:rPr>
          <w:rFonts w:hint="eastAsia"/>
          <w:b/>
          <w:bCs w:val="0"/>
          <w:highlight w:val="none"/>
        </w:rPr>
        <w:t>4、声环境</w:t>
      </w:r>
      <w:r>
        <w:rPr>
          <w:b/>
          <w:bCs w:val="0"/>
          <w:highlight w:val="none"/>
        </w:rPr>
        <w:t>保护目标</w:t>
      </w:r>
    </w:p>
    <w:p>
      <w:pPr>
        <w:pStyle w:val="101"/>
        <w:ind w:firstLine="480"/>
        <w:rPr>
          <w:highlight w:val="none"/>
        </w:rPr>
      </w:pPr>
      <w:r>
        <w:rPr>
          <w:rFonts w:hint="eastAsia"/>
          <w:highlight w:val="none"/>
        </w:rPr>
        <w:t>声环境评价范围规划范围内及范围外2</w:t>
      </w:r>
      <w:r>
        <w:rPr>
          <w:highlight w:val="none"/>
        </w:rPr>
        <w:t>00</w:t>
      </w:r>
      <w:r>
        <w:rPr>
          <w:rFonts w:hint="eastAsia"/>
          <w:highlight w:val="none"/>
        </w:rPr>
        <w:t>m范围内需要保持安静的建筑物及建筑物集中区。声环境保护目标</w:t>
      </w:r>
      <w:r>
        <w:rPr>
          <w:highlight w:val="none"/>
        </w:rPr>
        <w:t>保护级别为《声环境质量标准》（GB3096-2008）2类，不得产生噪声扰民现象。</w:t>
      </w:r>
    </w:p>
    <w:p>
      <w:pPr>
        <w:pStyle w:val="101"/>
        <w:ind w:firstLine="482"/>
        <w:rPr>
          <w:b/>
          <w:bCs w:val="0"/>
          <w:highlight w:val="none"/>
        </w:rPr>
      </w:pPr>
      <w:r>
        <w:rPr>
          <w:rFonts w:hint="eastAsia"/>
          <w:b/>
          <w:bCs w:val="0"/>
          <w:highlight w:val="none"/>
        </w:rPr>
        <w:t>5、</w:t>
      </w:r>
      <w:r>
        <w:rPr>
          <w:b/>
          <w:bCs w:val="0"/>
          <w:highlight w:val="none"/>
        </w:rPr>
        <w:t>土壤</w:t>
      </w:r>
      <w:r>
        <w:rPr>
          <w:rFonts w:hint="eastAsia"/>
          <w:b/>
          <w:bCs w:val="0"/>
          <w:highlight w:val="none"/>
        </w:rPr>
        <w:t>环境</w:t>
      </w:r>
      <w:r>
        <w:rPr>
          <w:b/>
          <w:bCs w:val="0"/>
          <w:highlight w:val="none"/>
        </w:rPr>
        <w:t>保护目标</w:t>
      </w:r>
    </w:p>
    <w:p>
      <w:pPr>
        <w:pStyle w:val="101"/>
        <w:ind w:firstLine="480"/>
        <w:rPr>
          <w:highlight w:val="none"/>
        </w:rPr>
      </w:pPr>
      <w:r>
        <w:rPr>
          <w:rFonts w:hint="eastAsia"/>
          <w:highlight w:val="none"/>
        </w:rPr>
        <w:t>评价将规划区域及园区边界外1km范围的土壤环境质量不致因开发活动而受到影响，土壤质量满足相应的环境质量标准要求。</w:t>
      </w:r>
    </w:p>
    <w:p>
      <w:pPr>
        <w:pStyle w:val="101"/>
        <w:ind w:firstLine="482"/>
        <w:rPr>
          <w:b/>
          <w:bCs w:val="0"/>
          <w:highlight w:val="none"/>
        </w:rPr>
      </w:pPr>
      <w:r>
        <w:rPr>
          <w:rFonts w:hint="eastAsia"/>
          <w:b/>
          <w:bCs w:val="0"/>
          <w:highlight w:val="none"/>
        </w:rPr>
        <w:t>6、生态环境保护目标</w:t>
      </w:r>
    </w:p>
    <w:p>
      <w:pPr>
        <w:pStyle w:val="101"/>
        <w:ind w:firstLine="480"/>
        <w:rPr>
          <w:highlight w:val="none"/>
        </w:rPr>
      </w:pPr>
      <w:r>
        <w:rPr>
          <w:rFonts w:hint="eastAsia"/>
          <w:highlight w:val="none"/>
        </w:rPr>
        <w:t>生态环境保护目标为本园区必须保持良好的生态系统，与周围地区相协调，尽量降低园区建设对生态环境的影响，形成良好的生态环境系统。生态环境保护对象主要为区域的景观格局、水体的水域生态系统等。</w:t>
      </w:r>
    </w:p>
    <w:p>
      <w:pPr>
        <w:pStyle w:val="101"/>
        <w:ind w:firstLine="482"/>
        <w:rPr>
          <w:b/>
          <w:bCs w:val="0"/>
          <w:highlight w:val="none"/>
        </w:rPr>
      </w:pPr>
      <w:r>
        <w:rPr>
          <w:rFonts w:hint="eastAsia"/>
          <w:b/>
          <w:bCs w:val="0"/>
          <w:highlight w:val="none"/>
        </w:rPr>
        <w:t>7、</w:t>
      </w:r>
      <w:r>
        <w:rPr>
          <w:b/>
          <w:bCs w:val="0"/>
          <w:highlight w:val="none"/>
        </w:rPr>
        <w:t>环境风险保护目标</w:t>
      </w:r>
    </w:p>
    <w:p>
      <w:pPr>
        <w:pStyle w:val="101"/>
        <w:ind w:firstLine="480"/>
        <w:rPr>
          <w:bCs w:val="0"/>
          <w:highlight w:val="none"/>
        </w:rPr>
      </w:pPr>
      <w:r>
        <w:rPr>
          <w:bCs w:val="0"/>
          <w:highlight w:val="none"/>
        </w:rPr>
        <w:t>大气、地表水、地下水环境风险保护目标与各要素环境保护目标一致</w:t>
      </w:r>
      <w:r>
        <w:rPr>
          <w:rFonts w:hint="eastAsia"/>
          <w:bCs w:val="0"/>
          <w:highlight w:val="none"/>
        </w:rPr>
        <w:t>。</w:t>
      </w:r>
    </w:p>
    <w:p>
      <w:pPr>
        <w:pStyle w:val="101"/>
        <w:ind w:firstLine="482"/>
        <w:rPr>
          <w:b/>
          <w:bCs w:val="0"/>
          <w:highlight w:val="none"/>
        </w:rPr>
      </w:pPr>
      <w:r>
        <w:rPr>
          <w:rFonts w:hint="eastAsia"/>
          <w:b/>
          <w:bCs w:val="0"/>
          <w:highlight w:val="none"/>
        </w:rPr>
        <w:t>8、</w:t>
      </w:r>
      <w:r>
        <w:rPr>
          <w:b/>
          <w:bCs w:val="0"/>
          <w:highlight w:val="none"/>
        </w:rPr>
        <w:t>社会环境</w:t>
      </w:r>
    </w:p>
    <w:p>
      <w:pPr>
        <w:pStyle w:val="101"/>
        <w:ind w:firstLine="480"/>
        <w:rPr>
          <w:bCs w:val="0"/>
          <w:highlight w:val="none"/>
        </w:rPr>
      </w:pPr>
      <w:r>
        <w:rPr>
          <w:bCs w:val="0"/>
          <w:highlight w:val="none"/>
        </w:rPr>
        <w:t>不降低规划区拆迁居民的生活水平，妥善解决规划实施导致的社会、经济、环境影响。</w:t>
      </w:r>
    </w:p>
    <w:p>
      <w:pPr>
        <w:pStyle w:val="101"/>
        <w:ind w:firstLine="480"/>
        <w:rPr>
          <w:highlight w:val="none"/>
        </w:rPr>
      </w:pPr>
      <w:r>
        <w:rPr>
          <w:rFonts w:hint="eastAsia"/>
          <w:highlight w:val="none"/>
        </w:rPr>
        <w:t>园区</w:t>
      </w:r>
      <w:r>
        <w:rPr>
          <w:highlight w:val="none"/>
        </w:rPr>
        <w:t>外环境关系</w:t>
      </w:r>
      <w:r>
        <w:rPr>
          <w:rFonts w:hint="eastAsia"/>
          <w:highlight w:val="none"/>
        </w:rPr>
        <w:t>及环境保护目标</w:t>
      </w:r>
      <w:r>
        <w:rPr>
          <w:highlight w:val="none"/>
        </w:rPr>
        <w:t>具体见</w:t>
      </w:r>
      <w:r>
        <w:rPr>
          <w:rFonts w:hint="eastAsia"/>
          <w:highlight w:val="none"/>
        </w:rPr>
        <w:t>下表。</w:t>
      </w:r>
    </w:p>
    <w:p>
      <w:pPr>
        <w:pStyle w:val="101"/>
        <w:ind w:firstLine="480"/>
        <w:rPr>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18" w:right="1418" w:bottom="1418" w:left="1418" w:header="851" w:footer="992" w:gutter="0"/>
          <w:pgNumType w:start="1" w:chapStyle="1"/>
          <w:cols w:space="425" w:num="1"/>
          <w:titlePg/>
          <w:docGrid w:type="lines" w:linePitch="326" w:charSpace="0"/>
        </w:sectPr>
      </w:pPr>
    </w:p>
    <w:p>
      <w:pPr>
        <w:pStyle w:val="56"/>
        <w:spacing w:before="163"/>
        <w:rPr>
          <w:highlight w:val="none"/>
        </w:rPr>
      </w:pPr>
      <w:bookmarkStart w:id="10" w:name="_Ref152186536"/>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1.6</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1</w:t>
      </w:r>
      <w:r>
        <w:rPr>
          <w:highlight w:val="none"/>
        </w:rPr>
        <w:fldChar w:fldCharType="end"/>
      </w:r>
      <w:r>
        <w:rPr>
          <w:highlight w:val="none"/>
        </w:rPr>
        <w:t xml:space="preserve">  主要环境保护目标表</w:t>
      </w:r>
      <w:bookmarkEnd w:id="10"/>
    </w:p>
    <w:tbl>
      <w:tblPr>
        <w:tblStyle w:val="102"/>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66"/>
        <w:gridCol w:w="3283"/>
        <w:gridCol w:w="2441"/>
        <w:gridCol w:w="2151"/>
        <w:gridCol w:w="1159"/>
        <w:gridCol w:w="1429"/>
        <w:gridCol w:w="28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6" w:hRule="atLeast"/>
          <w:tblHeader/>
        </w:trPr>
        <w:tc>
          <w:tcPr>
            <w:tcW w:w="359" w:type="pct"/>
            <w:vMerge w:val="restart"/>
            <w:vAlign w:val="center"/>
          </w:tcPr>
          <w:p>
            <w:pPr>
              <w:pStyle w:val="58"/>
              <w:rPr>
                <w:rFonts w:hint="default" w:cs="Times New Roman"/>
                <w:kern w:val="0"/>
                <w:highlight w:val="none"/>
              </w:rPr>
            </w:pPr>
            <w:r>
              <w:rPr>
                <w:rFonts w:hint="eastAsia" w:cs="Times New Roman"/>
                <w:kern w:val="0"/>
                <w:highlight w:val="none"/>
              </w:rPr>
              <w:t>环境要素</w:t>
            </w:r>
          </w:p>
        </w:tc>
        <w:tc>
          <w:tcPr>
            <w:tcW w:w="1209" w:type="pct"/>
            <w:vMerge w:val="restart"/>
            <w:vAlign w:val="center"/>
          </w:tcPr>
          <w:p>
            <w:pPr>
              <w:pStyle w:val="58"/>
              <w:rPr>
                <w:rFonts w:hint="default" w:cs="Times New Roman"/>
                <w:kern w:val="0"/>
                <w:highlight w:val="none"/>
              </w:rPr>
            </w:pPr>
            <w:r>
              <w:rPr>
                <w:rFonts w:hint="eastAsia" w:cs="Times New Roman"/>
                <w:kern w:val="0"/>
                <w:highlight w:val="none"/>
              </w:rPr>
              <w:t>环境保护目标名称</w:t>
            </w:r>
          </w:p>
        </w:tc>
        <w:tc>
          <w:tcPr>
            <w:tcW w:w="913" w:type="pct"/>
            <w:vMerge w:val="restart"/>
            <w:vAlign w:val="center"/>
          </w:tcPr>
          <w:p>
            <w:pPr>
              <w:pStyle w:val="58"/>
              <w:rPr>
                <w:rFonts w:hint="default" w:cs="Times New Roman"/>
                <w:kern w:val="0"/>
                <w:highlight w:val="none"/>
              </w:rPr>
            </w:pPr>
            <w:r>
              <w:rPr>
                <w:rFonts w:hint="eastAsia" w:cs="Times New Roman"/>
                <w:kern w:val="0"/>
                <w:highlight w:val="none"/>
              </w:rPr>
              <w:t>相对园区方位</w:t>
            </w:r>
          </w:p>
        </w:tc>
        <w:tc>
          <w:tcPr>
            <w:tcW w:w="811" w:type="pct"/>
            <w:vMerge w:val="restart"/>
            <w:vAlign w:val="center"/>
          </w:tcPr>
          <w:p>
            <w:pPr>
              <w:pStyle w:val="58"/>
              <w:rPr>
                <w:rFonts w:hint="default" w:cs="Times New Roman"/>
                <w:kern w:val="0"/>
                <w:highlight w:val="none"/>
              </w:rPr>
            </w:pPr>
            <w:r>
              <w:rPr>
                <w:rFonts w:hint="eastAsia" w:cs="Times New Roman"/>
                <w:kern w:val="0"/>
                <w:highlight w:val="none"/>
              </w:rPr>
              <w:t>相对园区距离（最近）</w:t>
            </w:r>
            <w:r>
              <w:rPr>
                <w:rFonts w:hint="default" w:cs="Times New Roman"/>
                <w:kern w:val="0"/>
                <w:highlight w:val="none"/>
              </w:rPr>
              <w:t>/km</w:t>
            </w:r>
          </w:p>
        </w:tc>
        <w:tc>
          <w:tcPr>
            <w:tcW w:w="462" w:type="pct"/>
            <w:vMerge w:val="restart"/>
            <w:vAlign w:val="center"/>
          </w:tcPr>
          <w:p>
            <w:pPr>
              <w:pStyle w:val="58"/>
              <w:rPr>
                <w:rFonts w:hint="default" w:cs="Times New Roman"/>
                <w:kern w:val="0"/>
                <w:highlight w:val="none"/>
              </w:rPr>
            </w:pPr>
            <w:r>
              <w:rPr>
                <w:rFonts w:hint="eastAsia" w:cs="Times New Roman"/>
                <w:kern w:val="0"/>
                <w:highlight w:val="none"/>
              </w:rPr>
              <w:t>保护对象</w:t>
            </w:r>
          </w:p>
        </w:tc>
        <w:tc>
          <w:tcPr>
            <w:tcW w:w="557" w:type="pct"/>
            <w:vMerge w:val="restart"/>
            <w:vAlign w:val="center"/>
          </w:tcPr>
          <w:p>
            <w:pPr>
              <w:pStyle w:val="58"/>
              <w:rPr>
                <w:rFonts w:hint="default" w:cs="Times New Roman"/>
                <w:kern w:val="0"/>
                <w:highlight w:val="none"/>
              </w:rPr>
            </w:pPr>
            <w:r>
              <w:rPr>
                <w:rFonts w:hint="eastAsia" w:cs="Times New Roman"/>
                <w:kern w:val="0"/>
                <w:highlight w:val="none"/>
              </w:rPr>
              <w:t>保护内容</w:t>
            </w:r>
          </w:p>
        </w:tc>
        <w:tc>
          <w:tcPr>
            <w:tcW w:w="689" w:type="pct"/>
            <w:vMerge w:val="restart"/>
            <w:vAlign w:val="center"/>
          </w:tcPr>
          <w:p>
            <w:pPr>
              <w:pStyle w:val="58"/>
              <w:rPr>
                <w:rFonts w:hint="default" w:cs="Times New Roman"/>
                <w:kern w:val="0"/>
                <w:highlight w:val="none"/>
              </w:rPr>
            </w:pPr>
            <w:r>
              <w:rPr>
                <w:rFonts w:hint="eastAsia" w:cs="Times New Roman"/>
                <w:kern w:val="0"/>
                <w:highlight w:val="none"/>
              </w:rPr>
              <w:t>环境功能/保护要求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6" w:hRule="atLeast"/>
          <w:tblHeader/>
        </w:trPr>
        <w:tc>
          <w:tcPr>
            <w:tcW w:w="359" w:type="pct"/>
            <w:vMerge w:val="continue"/>
            <w:vAlign w:val="center"/>
          </w:tcPr>
          <w:p>
            <w:pPr>
              <w:pStyle w:val="58"/>
              <w:rPr>
                <w:rFonts w:hint="default" w:cs="Times New Roman"/>
                <w:kern w:val="0"/>
                <w:highlight w:val="none"/>
              </w:rPr>
            </w:pPr>
          </w:p>
        </w:tc>
        <w:tc>
          <w:tcPr>
            <w:tcW w:w="1209" w:type="pct"/>
            <w:vMerge w:val="continue"/>
            <w:vAlign w:val="center"/>
          </w:tcPr>
          <w:p>
            <w:pPr>
              <w:pStyle w:val="58"/>
              <w:rPr>
                <w:rFonts w:hint="default" w:cs="Times New Roman"/>
                <w:kern w:val="0"/>
                <w:highlight w:val="none"/>
              </w:rPr>
            </w:pPr>
          </w:p>
        </w:tc>
        <w:tc>
          <w:tcPr>
            <w:tcW w:w="913" w:type="pct"/>
            <w:vMerge w:val="continue"/>
            <w:vAlign w:val="center"/>
          </w:tcPr>
          <w:p>
            <w:pPr>
              <w:pStyle w:val="58"/>
              <w:rPr>
                <w:rFonts w:hint="default" w:cs="Times New Roman"/>
                <w:kern w:val="0"/>
                <w:highlight w:val="none"/>
              </w:rPr>
            </w:pPr>
          </w:p>
        </w:tc>
        <w:tc>
          <w:tcPr>
            <w:tcW w:w="811" w:type="pct"/>
            <w:vMerge w:val="continue"/>
            <w:vAlign w:val="center"/>
          </w:tcPr>
          <w:p>
            <w:pPr>
              <w:pStyle w:val="58"/>
              <w:rPr>
                <w:rFonts w:hint="default" w:cs="Times New Roman"/>
                <w:kern w:val="0"/>
                <w:highlight w:val="none"/>
              </w:rPr>
            </w:pPr>
          </w:p>
        </w:tc>
        <w:tc>
          <w:tcPr>
            <w:tcW w:w="462" w:type="pct"/>
            <w:vMerge w:val="continue"/>
            <w:vAlign w:val="center"/>
          </w:tcPr>
          <w:p>
            <w:pPr>
              <w:pStyle w:val="58"/>
              <w:rPr>
                <w:rFonts w:hint="default" w:cs="Times New Roman"/>
                <w:kern w:val="0"/>
                <w:highlight w:val="none"/>
              </w:rPr>
            </w:pPr>
          </w:p>
        </w:tc>
        <w:tc>
          <w:tcPr>
            <w:tcW w:w="557" w:type="pct"/>
            <w:vMerge w:val="continue"/>
            <w:vAlign w:val="center"/>
          </w:tcPr>
          <w:p>
            <w:pPr>
              <w:pStyle w:val="58"/>
              <w:rPr>
                <w:rFonts w:hint="default" w:cs="Times New Roman"/>
                <w:kern w:val="0"/>
                <w:highlight w:val="none"/>
              </w:rPr>
            </w:pPr>
          </w:p>
        </w:tc>
        <w:tc>
          <w:tcPr>
            <w:tcW w:w="689" w:type="pct"/>
            <w:vMerge w:val="continue"/>
            <w:vAlign w:val="center"/>
          </w:tcPr>
          <w:p>
            <w:pPr>
              <w:pStyle w:val="58"/>
              <w:rPr>
                <w:rFonts w:hint="default"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restart"/>
            <w:vAlign w:val="center"/>
          </w:tcPr>
          <w:p>
            <w:pPr>
              <w:pStyle w:val="58"/>
              <w:jc w:val="both"/>
              <w:rPr>
                <w:rFonts w:cs="Times New Roman"/>
                <w:kern w:val="0"/>
                <w:highlight w:val="none"/>
              </w:rPr>
            </w:pPr>
            <w:r>
              <w:rPr>
                <w:rFonts w:hint="eastAsia" w:cs="Times New Roman"/>
                <w:kern w:val="0"/>
                <w:highlight w:val="none"/>
              </w:rPr>
              <w:t>大气环境及环境风险</w:t>
            </w:r>
          </w:p>
        </w:tc>
        <w:tc>
          <w:tcPr>
            <w:tcW w:w="1209" w:type="pct"/>
            <w:vAlign w:val="center"/>
          </w:tcPr>
          <w:p>
            <w:pPr>
              <w:pStyle w:val="58"/>
              <w:rPr>
                <w:rFonts w:cs="Times New Roman"/>
                <w:kern w:val="0"/>
                <w:highlight w:val="none"/>
              </w:rPr>
            </w:pPr>
            <w:r>
              <w:rPr>
                <w:rFonts w:hint="eastAsia" w:cs="Times New Roman"/>
                <w:kern w:val="0"/>
                <w:highlight w:val="none"/>
              </w:rPr>
              <w:t>百利镇-金陵村（百利村、金花村、嘉陵村）</w:t>
            </w:r>
          </w:p>
        </w:tc>
        <w:tc>
          <w:tcPr>
            <w:tcW w:w="913" w:type="pct"/>
            <w:vAlign w:val="center"/>
          </w:tcPr>
          <w:p>
            <w:pPr>
              <w:pStyle w:val="58"/>
              <w:rPr>
                <w:rFonts w:cs="Times New Roman"/>
                <w:kern w:val="0"/>
                <w:highlight w:val="none"/>
              </w:rPr>
            </w:pPr>
            <w:r>
              <w:rPr>
                <w:rFonts w:hint="eastAsia" w:cs="Times New Roman"/>
                <w:kern w:val="0"/>
                <w:highlight w:val="none"/>
              </w:rPr>
              <w:t>规划范围内、西、西北</w:t>
            </w:r>
          </w:p>
        </w:tc>
        <w:tc>
          <w:tcPr>
            <w:tcW w:w="811" w:type="pct"/>
            <w:vAlign w:val="center"/>
          </w:tcPr>
          <w:p>
            <w:pPr>
              <w:pStyle w:val="58"/>
              <w:rPr>
                <w:rFonts w:hint="eastAsia" w:cs="Times New Roman"/>
                <w:kern w:val="0"/>
                <w:highlight w:val="none"/>
              </w:rPr>
            </w:pPr>
            <w:r>
              <w:rPr>
                <w:rFonts w:hint="eastAsia" w:cs="Times New Roman"/>
                <w:kern w:val="0"/>
                <w:highlight w:val="none"/>
              </w:rPr>
              <w:t>/、紧邻~1.3、1.1~3.0</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hint="eastAsia" w:cs="Times New Roman"/>
                <w:kern w:val="0"/>
                <w:highlight w:val="none"/>
              </w:rPr>
            </w:pPr>
            <w:r>
              <w:rPr>
                <w:rFonts w:hint="eastAsia" w:cs="Times New Roman"/>
                <w:kern w:val="0"/>
                <w:highlight w:val="none"/>
              </w:rPr>
              <w:t>约1300人</w:t>
            </w:r>
          </w:p>
        </w:tc>
        <w:tc>
          <w:tcPr>
            <w:tcW w:w="689" w:type="pct"/>
            <w:vMerge w:val="restart"/>
            <w:vAlign w:val="center"/>
          </w:tcPr>
          <w:p>
            <w:pPr>
              <w:pStyle w:val="58"/>
              <w:rPr>
                <w:rFonts w:cs="Times New Roman"/>
                <w:kern w:val="0"/>
                <w:highlight w:val="none"/>
              </w:rPr>
            </w:pPr>
            <w:r>
              <w:rPr>
                <w:rFonts w:cs="Times New Roman"/>
                <w:kern w:val="0"/>
                <w:highlight w:val="none"/>
              </w:rPr>
              <w:t>GB3095-2012</w:t>
            </w:r>
            <w:r>
              <w:rPr>
                <w:rFonts w:hint="eastAsia" w:cs="Times New Roman"/>
                <w:kern w:val="0"/>
                <w:highlight w:val="none"/>
              </w:rPr>
              <w:t>二级标准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百利镇-胡家梁村</w:t>
            </w:r>
          </w:p>
        </w:tc>
        <w:tc>
          <w:tcPr>
            <w:tcW w:w="913" w:type="pct"/>
            <w:vAlign w:val="center"/>
          </w:tcPr>
          <w:p>
            <w:pPr>
              <w:pStyle w:val="58"/>
              <w:rPr>
                <w:rFonts w:cs="Times New Roman"/>
                <w:kern w:val="0"/>
                <w:highlight w:val="none"/>
              </w:rPr>
            </w:pPr>
            <w:r>
              <w:rPr>
                <w:rFonts w:hint="eastAsia" w:cs="Times New Roman"/>
                <w:kern w:val="0"/>
                <w:highlight w:val="none"/>
              </w:rPr>
              <w:t>北、规划范围内</w:t>
            </w:r>
          </w:p>
        </w:tc>
        <w:tc>
          <w:tcPr>
            <w:tcW w:w="811" w:type="pct"/>
            <w:vAlign w:val="center"/>
          </w:tcPr>
          <w:p>
            <w:pPr>
              <w:pStyle w:val="58"/>
              <w:rPr>
                <w:rFonts w:cs="Times New Roman"/>
                <w:kern w:val="0"/>
                <w:highlight w:val="none"/>
              </w:rPr>
            </w:pPr>
            <w:r>
              <w:rPr>
                <w:rFonts w:hint="eastAsia" w:cs="Times New Roman"/>
                <w:kern w:val="0"/>
                <w:highlight w:val="none"/>
              </w:rPr>
              <w:t>紧邻~0.7</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cs="Times New Roman"/>
                <w:kern w:val="0"/>
                <w:highlight w:val="none"/>
              </w:rPr>
            </w:pPr>
            <w:r>
              <w:rPr>
                <w:rFonts w:hint="eastAsia" w:cs="Times New Roman"/>
                <w:kern w:val="0"/>
                <w:highlight w:val="none"/>
              </w:rPr>
              <w:t>约1400人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东青镇-玉京村</w:t>
            </w:r>
          </w:p>
        </w:tc>
        <w:tc>
          <w:tcPr>
            <w:tcW w:w="913" w:type="pct"/>
            <w:vAlign w:val="center"/>
          </w:tcPr>
          <w:p>
            <w:pPr>
              <w:pStyle w:val="58"/>
              <w:rPr>
                <w:rFonts w:cs="Times New Roman"/>
                <w:kern w:val="0"/>
                <w:highlight w:val="none"/>
              </w:rPr>
            </w:pPr>
            <w:r>
              <w:rPr>
                <w:rFonts w:hint="eastAsia" w:cs="Times New Roman"/>
                <w:kern w:val="0"/>
                <w:highlight w:val="none"/>
              </w:rPr>
              <w:t>西</w:t>
            </w:r>
          </w:p>
        </w:tc>
        <w:tc>
          <w:tcPr>
            <w:tcW w:w="811" w:type="pct"/>
            <w:vAlign w:val="center"/>
          </w:tcPr>
          <w:p>
            <w:pPr>
              <w:pStyle w:val="58"/>
              <w:rPr>
                <w:rFonts w:cs="Times New Roman"/>
                <w:kern w:val="0"/>
                <w:highlight w:val="none"/>
              </w:rPr>
            </w:pPr>
            <w:r>
              <w:rPr>
                <w:rFonts w:hint="eastAsia" w:cs="Times New Roman"/>
                <w:kern w:val="0"/>
                <w:highlight w:val="none"/>
              </w:rPr>
              <w:t>0.3~1.8</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cs="Times New Roman"/>
                <w:kern w:val="0"/>
                <w:highlight w:val="none"/>
              </w:rPr>
            </w:pPr>
            <w:r>
              <w:rPr>
                <w:rFonts w:hint="eastAsia" w:cs="Times New Roman"/>
                <w:kern w:val="0"/>
                <w:highlight w:val="none"/>
              </w:rPr>
              <w:t>约600人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八庙镇-举台村</w:t>
            </w:r>
          </w:p>
        </w:tc>
        <w:tc>
          <w:tcPr>
            <w:tcW w:w="913" w:type="pct"/>
            <w:vAlign w:val="center"/>
          </w:tcPr>
          <w:p>
            <w:pPr>
              <w:pStyle w:val="58"/>
              <w:rPr>
                <w:rFonts w:cs="Times New Roman"/>
                <w:kern w:val="0"/>
                <w:highlight w:val="none"/>
              </w:rPr>
            </w:pPr>
            <w:r>
              <w:rPr>
                <w:rFonts w:hint="eastAsia" w:cs="Times New Roman"/>
                <w:kern w:val="0"/>
                <w:highlight w:val="none"/>
              </w:rPr>
              <w:t>南</w:t>
            </w:r>
          </w:p>
        </w:tc>
        <w:tc>
          <w:tcPr>
            <w:tcW w:w="811" w:type="pct"/>
            <w:vAlign w:val="center"/>
          </w:tcPr>
          <w:p>
            <w:pPr>
              <w:pStyle w:val="58"/>
              <w:rPr>
                <w:rFonts w:cs="Times New Roman"/>
                <w:kern w:val="0"/>
                <w:highlight w:val="none"/>
              </w:rPr>
            </w:pPr>
            <w:r>
              <w:rPr>
                <w:rFonts w:hint="eastAsia" w:cs="Times New Roman"/>
                <w:kern w:val="0"/>
                <w:highlight w:val="none"/>
              </w:rPr>
              <w:t>0.4~2.6</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hint="eastAsia" w:cs="Times New Roman"/>
                <w:kern w:val="0"/>
                <w:highlight w:val="none"/>
              </w:rPr>
            </w:pPr>
            <w:r>
              <w:rPr>
                <w:rFonts w:hint="eastAsia" w:cs="Times New Roman"/>
                <w:kern w:val="0"/>
                <w:highlight w:val="none"/>
              </w:rPr>
              <w:t>约900人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云峰镇-皇观村</w:t>
            </w:r>
          </w:p>
        </w:tc>
        <w:tc>
          <w:tcPr>
            <w:tcW w:w="913" w:type="pct"/>
            <w:vAlign w:val="center"/>
          </w:tcPr>
          <w:p>
            <w:pPr>
              <w:pStyle w:val="58"/>
              <w:rPr>
                <w:rFonts w:cs="Times New Roman"/>
                <w:kern w:val="0"/>
                <w:highlight w:val="none"/>
              </w:rPr>
            </w:pPr>
            <w:r>
              <w:rPr>
                <w:rFonts w:hint="eastAsia" w:cs="Times New Roman"/>
                <w:kern w:val="0"/>
                <w:highlight w:val="none"/>
              </w:rPr>
              <w:t>东北偏东</w:t>
            </w:r>
          </w:p>
        </w:tc>
        <w:tc>
          <w:tcPr>
            <w:tcW w:w="811" w:type="pct"/>
            <w:vAlign w:val="center"/>
          </w:tcPr>
          <w:p>
            <w:pPr>
              <w:pStyle w:val="58"/>
              <w:rPr>
                <w:rFonts w:cs="Times New Roman"/>
                <w:kern w:val="0"/>
                <w:highlight w:val="none"/>
              </w:rPr>
            </w:pPr>
            <w:r>
              <w:rPr>
                <w:rFonts w:hint="eastAsia" w:cs="Times New Roman"/>
                <w:kern w:val="0"/>
                <w:highlight w:val="none"/>
              </w:rPr>
              <w:t>0.5~2.0</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hint="eastAsia" w:cs="Times New Roman"/>
                <w:kern w:val="0"/>
                <w:highlight w:val="none"/>
              </w:rPr>
            </w:pPr>
            <w:r>
              <w:rPr>
                <w:rFonts w:hint="eastAsia" w:cs="Times New Roman"/>
                <w:kern w:val="0"/>
                <w:highlight w:val="none"/>
              </w:rPr>
              <w:t>约600人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云峰镇-石家坝社区</w:t>
            </w:r>
          </w:p>
        </w:tc>
        <w:tc>
          <w:tcPr>
            <w:tcW w:w="913" w:type="pct"/>
            <w:vAlign w:val="center"/>
          </w:tcPr>
          <w:p>
            <w:pPr>
              <w:pStyle w:val="58"/>
              <w:rPr>
                <w:rFonts w:cs="Times New Roman"/>
                <w:kern w:val="0"/>
                <w:highlight w:val="none"/>
              </w:rPr>
            </w:pPr>
            <w:r>
              <w:rPr>
                <w:rFonts w:hint="eastAsia" w:cs="Times New Roman"/>
                <w:kern w:val="0"/>
                <w:highlight w:val="none"/>
              </w:rPr>
              <w:t>北</w:t>
            </w:r>
          </w:p>
        </w:tc>
        <w:tc>
          <w:tcPr>
            <w:tcW w:w="811" w:type="pct"/>
            <w:vAlign w:val="center"/>
          </w:tcPr>
          <w:p>
            <w:pPr>
              <w:pStyle w:val="58"/>
              <w:rPr>
                <w:rFonts w:cs="Times New Roman"/>
                <w:kern w:val="0"/>
                <w:highlight w:val="none"/>
              </w:rPr>
            </w:pPr>
            <w:r>
              <w:rPr>
                <w:rFonts w:hint="eastAsia" w:cs="Times New Roman"/>
                <w:kern w:val="0"/>
                <w:highlight w:val="none"/>
              </w:rPr>
              <w:t>0.5~2.3</w:t>
            </w:r>
          </w:p>
        </w:tc>
        <w:tc>
          <w:tcPr>
            <w:tcW w:w="462" w:type="pct"/>
            <w:vAlign w:val="center"/>
          </w:tcPr>
          <w:p>
            <w:pPr>
              <w:pStyle w:val="58"/>
              <w:rPr>
                <w:rFonts w:cs="Times New Roman"/>
                <w:kern w:val="0"/>
                <w:highlight w:val="none"/>
              </w:rPr>
            </w:pPr>
            <w:r>
              <w:rPr>
                <w:rFonts w:hint="eastAsia" w:cs="Times New Roman"/>
                <w:kern w:val="0"/>
                <w:highlight w:val="none"/>
              </w:rPr>
              <w:t>人</w:t>
            </w:r>
            <w:r>
              <w:rPr>
                <w:rFonts w:cs="Times New Roman"/>
                <w:kern w:val="0"/>
                <w:highlight w:val="none"/>
              </w:rPr>
              <w:t>群聚居区</w:t>
            </w:r>
          </w:p>
        </w:tc>
        <w:tc>
          <w:tcPr>
            <w:tcW w:w="557" w:type="pct"/>
            <w:vAlign w:val="center"/>
          </w:tcPr>
          <w:p>
            <w:pPr>
              <w:pStyle w:val="58"/>
              <w:rPr>
                <w:rFonts w:hint="eastAsia" w:cs="Times New Roman"/>
                <w:kern w:val="0"/>
                <w:highlight w:val="none"/>
              </w:rPr>
            </w:pPr>
            <w:r>
              <w:rPr>
                <w:rFonts w:hint="eastAsia" w:cs="Times New Roman"/>
                <w:kern w:val="0"/>
                <w:highlight w:val="none"/>
              </w:rPr>
              <w:t>约1000人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陵江镇-古梁社区</w:t>
            </w:r>
          </w:p>
        </w:tc>
        <w:tc>
          <w:tcPr>
            <w:tcW w:w="913" w:type="pct"/>
            <w:vAlign w:val="center"/>
          </w:tcPr>
          <w:p>
            <w:pPr>
              <w:pStyle w:val="58"/>
              <w:rPr>
                <w:rFonts w:cs="Times New Roman"/>
                <w:kern w:val="0"/>
                <w:highlight w:val="none"/>
              </w:rPr>
            </w:pPr>
            <w:r>
              <w:rPr>
                <w:rFonts w:hint="eastAsia" w:cs="Times New Roman"/>
                <w:kern w:val="0"/>
                <w:highlight w:val="none"/>
              </w:rPr>
              <w:t>北侧、西南</w:t>
            </w:r>
          </w:p>
        </w:tc>
        <w:tc>
          <w:tcPr>
            <w:tcW w:w="811" w:type="pct"/>
            <w:vAlign w:val="center"/>
          </w:tcPr>
          <w:p>
            <w:pPr>
              <w:pStyle w:val="58"/>
              <w:rPr>
                <w:rFonts w:cs="Times New Roman"/>
                <w:kern w:val="0"/>
                <w:highlight w:val="none"/>
              </w:rPr>
            </w:pPr>
            <w:r>
              <w:rPr>
                <w:rFonts w:hint="eastAsia" w:cs="Times New Roman"/>
                <w:kern w:val="0"/>
                <w:highlight w:val="none"/>
              </w:rPr>
              <w:t>0.5~2.1、1.1~2.7</w:t>
            </w:r>
          </w:p>
        </w:tc>
        <w:tc>
          <w:tcPr>
            <w:tcW w:w="462" w:type="pct"/>
            <w:vAlign w:val="center"/>
          </w:tcPr>
          <w:p>
            <w:pPr>
              <w:pStyle w:val="58"/>
              <w:rPr>
                <w:rFonts w:cs="Times New Roman"/>
                <w:kern w:val="0"/>
                <w:highlight w:val="none"/>
              </w:rPr>
            </w:pPr>
            <w:r>
              <w:rPr>
                <w:rFonts w:hint="eastAsia" w:cs="Times New Roman"/>
                <w:kern w:val="0"/>
                <w:highlight w:val="none"/>
              </w:rPr>
              <w:t>人</w:t>
            </w:r>
            <w:r>
              <w:rPr>
                <w:rFonts w:cs="Times New Roman"/>
                <w:kern w:val="0"/>
                <w:highlight w:val="none"/>
              </w:rPr>
              <w:t>群聚居区</w:t>
            </w:r>
          </w:p>
        </w:tc>
        <w:tc>
          <w:tcPr>
            <w:tcW w:w="557" w:type="pct"/>
            <w:vAlign w:val="center"/>
          </w:tcPr>
          <w:p>
            <w:pPr>
              <w:pStyle w:val="58"/>
              <w:rPr>
                <w:rFonts w:cs="Times New Roman"/>
                <w:kern w:val="0"/>
                <w:highlight w:val="none"/>
              </w:rPr>
            </w:pPr>
            <w:r>
              <w:rPr>
                <w:rFonts w:hint="eastAsia" w:cs="Times New Roman"/>
                <w:kern w:val="0"/>
                <w:highlight w:val="none"/>
              </w:rPr>
              <w:t>约900人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百利镇-郁家沟村</w:t>
            </w:r>
          </w:p>
        </w:tc>
        <w:tc>
          <w:tcPr>
            <w:tcW w:w="913" w:type="pct"/>
            <w:vAlign w:val="center"/>
          </w:tcPr>
          <w:p>
            <w:pPr>
              <w:pStyle w:val="58"/>
              <w:rPr>
                <w:rFonts w:cs="Times New Roman"/>
                <w:kern w:val="0"/>
                <w:highlight w:val="none"/>
              </w:rPr>
            </w:pPr>
            <w:r>
              <w:rPr>
                <w:rFonts w:hint="eastAsia" w:cs="Times New Roman"/>
                <w:kern w:val="0"/>
                <w:highlight w:val="none"/>
              </w:rPr>
              <w:t>西南偏西</w:t>
            </w:r>
          </w:p>
        </w:tc>
        <w:tc>
          <w:tcPr>
            <w:tcW w:w="811" w:type="pct"/>
            <w:vAlign w:val="center"/>
          </w:tcPr>
          <w:p>
            <w:pPr>
              <w:pStyle w:val="58"/>
              <w:rPr>
                <w:rFonts w:cs="Times New Roman"/>
                <w:kern w:val="0"/>
                <w:highlight w:val="none"/>
              </w:rPr>
            </w:pPr>
            <w:r>
              <w:rPr>
                <w:rFonts w:hint="eastAsia" w:cs="Times New Roman"/>
                <w:kern w:val="0"/>
                <w:highlight w:val="none"/>
              </w:rPr>
              <w:t>0.7~2.9</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cs="Times New Roman"/>
                <w:kern w:val="0"/>
                <w:highlight w:val="none"/>
              </w:rPr>
            </w:pPr>
            <w:r>
              <w:rPr>
                <w:rFonts w:hint="eastAsia" w:cs="Times New Roman"/>
                <w:kern w:val="0"/>
                <w:highlight w:val="none"/>
              </w:rPr>
              <w:t>约900人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云峰镇-柏树村</w:t>
            </w:r>
          </w:p>
        </w:tc>
        <w:tc>
          <w:tcPr>
            <w:tcW w:w="913" w:type="pct"/>
            <w:vAlign w:val="center"/>
          </w:tcPr>
          <w:p>
            <w:pPr>
              <w:pStyle w:val="58"/>
              <w:rPr>
                <w:rFonts w:cs="Times New Roman"/>
                <w:kern w:val="0"/>
                <w:highlight w:val="none"/>
              </w:rPr>
            </w:pPr>
            <w:r>
              <w:rPr>
                <w:rFonts w:hint="eastAsia" w:cs="Times New Roman"/>
                <w:kern w:val="0"/>
                <w:highlight w:val="none"/>
              </w:rPr>
              <w:t>东侧</w:t>
            </w:r>
          </w:p>
        </w:tc>
        <w:tc>
          <w:tcPr>
            <w:tcW w:w="811" w:type="pct"/>
            <w:vAlign w:val="center"/>
          </w:tcPr>
          <w:p>
            <w:pPr>
              <w:pStyle w:val="58"/>
              <w:rPr>
                <w:rFonts w:cs="Times New Roman"/>
                <w:kern w:val="0"/>
                <w:highlight w:val="none"/>
              </w:rPr>
            </w:pPr>
            <w:r>
              <w:rPr>
                <w:rFonts w:hint="eastAsia" w:cs="Times New Roman"/>
                <w:kern w:val="0"/>
                <w:highlight w:val="none"/>
              </w:rPr>
              <w:t>1.0~2.9</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cs="Times New Roman"/>
                <w:kern w:val="0"/>
                <w:highlight w:val="none"/>
              </w:rPr>
            </w:pPr>
            <w:r>
              <w:rPr>
                <w:rFonts w:hint="eastAsia" w:cs="Times New Roman"/>
                <w:kern w:val="0"/>
                <w:highlight w:val="none"/>
              </w:rPr>
              <w:t>约700人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东青镇-中心村</w:t>
            </w:r>
          </w:p>
        </w:tc>
        <w:tc>
          <w:tcPr>
            <w:tcW w:w="913" w:type="pct"/>
            <w:vAlign w:val="center"/>
          </w:tcPr>
          <w:p>
            <w:pPr>
              <w:pStyle w:val="58"/>
              <w:rPr>
                <w:rFonts w:cs="Times New Roman"/>
                <w:kern w:val="0"/>
                <w:highlight w:val="none"/>
              </w:rPr>
            </w:pPr>
            <w:r>
              <w:rPr>
                <w:rFonts w:hint="eastAsia" w:cs="Times New Roman"/>
                <w:kern w:val="0"/>
                <w:highlight w:val="none"/>
              </w:rPr>
              <w:t>西北偏西</w:t>
            </w:r>
          </w:p>
        </w:tc>
        <w:tc>
          <w:tcPr>
            <w:tcW w:w="811" w:type="pct"/>
            <w:vAlign w:val="center"/>
          </w:tcPr>
          <w:p>
            <w:pPr>
              <w:pStyle w:val="58"/>
              <w:rPr>
                <w:rFonts w:cs="Times New Roman"/>
                <w:kern w:val="0"/>
                <w:highlight w:val="none"/>
              </w:rPr>
            </w:pPr>
            <w:r>
              <w:rPr>
                <w:rFonts w:hint="eastAsia" w:cs="Times New Roman"/>
                <w:kern w:val="0"/>
                <w:highlight w:val="none"/>
              </w:rPr>
              <w:t>1.5~3.0</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hint="eastAsia" w:cs="Times New Roman"/>
                <w:kern w:val="0"/>
                <w:highlight w:val="none"/>
              </w:rPr>
            </w:pPr>
            <w:r>
              <w:rPr>
                <w:rFonts w:hint="eastAsia" w:cs="Times New Roman"/>
                <w:kern w:val="0"/>
                <w:highlight w:val="none"/>
              </w:rPr>
              <w:t>约600人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ab/>
            </w:r>
            <w:r>
              <w:rPr>
                <w:rFonts w:hint="eastAsia" w:cs="Times New Roman"/>
                <w:kern w:val="0"/>
                <w:highlight w:val="none"/>
              </w:rPr>
              <w:t>云峰镇-紫云社区</w:t>
            </w:r>
          </w:p>
        </w:tc>
        <w:tc>
          <w:tcPr>
            <w:tcW w:w="913" w:type="pct"/>
            <w:vAlign w:val="center"/>
          </w:tcPr>
          <w:p>
            <w:pPr>
              <w:pStyle w:val="58"/>
              <w:rPr>
                <w:rFonts w:cs="Times New Roman"/>
                <w:kern w:val="0"/>
                <w:highlight w:val="none"/>
              </w:rPr>
            </w:pPr>
            <w:r>
              <w:rPr>
                <w:rFonts w:hint="eastAsia" w:cs="Times New Roman"/>
                <w:kern w:val="0"/>
                <w:highlight w:val="none"/>
              </w:rPr>
              <w:t>东北</w:t>
            </w:r>
          </w:p>
        </w:tc>
        <w:tc>
          <w:tcPr>
            <w:tcW w:w="811" w:type="pct"/>
            <w:vAlign w:val="center"/>
          </w:tcPr>
          <w:p>
            <w:pPr>
              <w:pStyle w:val="58"/>
              <w:rPr>
                <w:rFonts w:cs="Times New Roman"/>
                <w:kern w:val="0"/>
                <w:highlight w:val="none"/>
              </w:rPr>
            </w:pPr>
            <w:r>
              <w:rPr>
                <w:rFonts w:hint="eastAsia" w:cs="Times New Roman"/>
                <w:kern w:val="0"/>
                <w:highlight w:val="none"/>
              </w:rPr>
              <w:t>2.2~3.0</w:t>
            </w:r>
          </w:p>
        </w:tc>
        <w:tc>
          <w:tcPr>
            <w:tcW w:w="462" w:type="pct"/>
            <w:vAlign w:val="center"/>
          </w:tcPr>
          <w:p>
            <w:pPr>
              <w:pStyle w:val="58"/>
              <w:rPr>
                <w:rFonts w:cs="Times New Roman"/>
                <w:kern w:val="0"/>
                <w:highlight w:val="none"/>
              </w:rPr>
            </w:pPr>
            <w:r>
              <w:rPr>
                <w:rFonts w:hint="eastAsia" w:cs="Times New Roman"/>
                <w:kern w:val="0"/>
                <w:highlight w:val="none"/>
              </w:rPr>
              <w:t>人</w:t>
            </w:r>
            <w:r>
              <w:rPr>
                <w:rFonts w:cs="Times New Roman"/>
                <w:kern w:val="0"/>
                <w:highlight w:val="none"/>
              </w:rPr>
              <w:t>群聚居区</w:t>
            </w:r>
          </w:p>
        </w:tc>
        <w:tc>
          <w:tcPr>
            <w:tcW w:w="557" w:type="pct"/>
            <w:vAlign w:val="center"/>
          </w:tcPr>
          <w:p>
            <w:pPr>
              <w:pStyle w:val="58"/>
              <w:rPr>
                <w:rFonts w:cs="Times New Roman"/>
                <w:kern w:val="0"/>
                <w:highlight w:val="none"/>
              </w:rPr>
            </w:pPr>
            <w:r>
              <w:rPr>
                <w:rFonts w:hint="eastAsia" w:cs="Times New Roman"/>
                <w:kern w:val="0"/>
                <w:highlight w:val="none"/>
              </w:rPr>
              <w:t>约1900人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hint="eastAsia" w:cs="Times New Roman"/>
                <w:kern w:val="0"/>
                <w:highlight w:val="none"/>
              </w:rPr>
            </w:pPr>
            <w:r>
              <w:rPr>
                <w:rFonts w:hint="eastAsia" w:cs="Times New Roman"/>
                <w:kern w:val="0"/>
                <w:highlight w:val="none"/>
              </w:rPr>
              <w:tab/>
            </w:r>
            <w:r>
              <w:rPr>
                <w:rFonts w:hint="eastAsia" w:cs="Times New Roman"/>
                <w:kern w:val="0"/>
                <w:highlight w:val="none"/>
              </w:rPr>
              <w:t>云峰镇-五里社区</w:t>
            </w:r>
          </w:p>
        </w:tc>
        <w:tc>
          <w:tcPr>
            <w:tcW w:w="913" w:type="pct"/>
            <w:vAlign w:val="center"/>
          </w:tcPr>
          <w:p>
            <w:pPr>
              <w:pStyle w:val="58"/>
              <w:rPr>
                <w:rFonts w:cs="Times New Roman"/>
                <w:kern w:val="0"/>
                <w:highlight w:val="none"/>
              </w:rPr>
            </w:pPr>
            <w:r>
              <w:rPr>
                <w:rFonts w:hint="eastAsia" w:cs="Times New Roman"/>
                <w:kern w:val="0"/>
                <w:highlight w:val="none"/>
              </w:rPr>
              <w:t>东</w:t>
            </w:r>
          </w:p>
        </w:tc>
        <w:tc>
          <w:tcPr>
            <w:tcW w:w="811" w:type="pct"/>
            <w:vAlign w:val="center"/>
          </w:tcPr>
          <w:p>
            <w:pPr>
              <w:pStyle w:val="58"/>
              <w:rPr>
                <w:rFonts w:cs="Times New Roman"/>
                <w:kern w:val="0"/>
                <w:highlight w:val="none"/>
              </w:rPr>
            </w:pPr>
            <w:r>
              <w:rPr>
                <w:rFonts w:hint="eastAsia" w:cs="Times New Roman"/>
                <w:kern w:val="0"/>
                <w:highlight w:val="none"/>
              </w:rPr>
              <w:t>2.3~3.0</w:t>
            </w:r>
          </w:p>
        </w:tc>
        <w:tc>
          <w:tcPr>
            <w:tcW w:w="462" w:type="pct"/>
            <w:vAlign w:val="center"/>
          </w:tcPr>
          <w:p>
            <w:pPr>
              <w:pStyle w:val="58"/>
              <w:rPr>
                <w:rFonts w:cs="Times New Roman"/>
                <w:kern w:val="0"/>
                <w:highlight w:val="none"/>
              </w:rPr>
            </w:pPr>
            <w:r>
              <w:rPr>
                <w:rFonts w:hint="eastAsia" w:cs="Times New Roman"/>
                <w:kern w:val="0"/>
                <w:highlight w:val="none"/>
              </w:rPr>
              <w:t>人</w:t>
            </w:r>
            <w:r>
              <w:rPr>
                <w:rFonts w:cs="Times New Roman"/>
                <w:kern w:val="0"/>
                <w:highlight w:val="none"/>
              </w:rPr>
              <w:t>群聚居区</w:t>
            </w:r>
          </w:p>
        </w:tc>
        <w:tc>
          <w:tcPr>
            <w:tcW w:w="557" w:type="pct"/>
            <w:vAlign w:val="center"/>
          </w:tcPr>
          <w:p>
            <w:pPr>
              <w:pStyle w:val="58"/>
              <w:rPr>
                <w:rFonts w:hint="eastAsia" w:cs="Times New Roman"/>
                <w:kern w:val="0"/>
                <w:highlight w:val="none"/>
              </w:rPr>
            </w:pPr>
            <w:r>
              <w:rPr>
                <w:rFonts w:hint="eastAsia" w:cs="Times New Roman"/>
                <w:kern w:val="0"/>
                <w:highlight w:val="none"/>
              </w:rPr>
              <w:t>约1100人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hint="eastAsia" w:cs="Times New Roman"/>
                <w:kern w:val="0"/>
                <w:highlight w:val="none"/>
              </w:rPr>
            </w:pPr>
            <w:r>
              <w:rPr>
                <w:rFonts w:hint="eastAsia" w:cs="Times New Roman"/>
                <w:kern w:val="0"/>
                <w:highlight w:val="none"/>
              </w:rPr>
              <w:t>百利镇-青玉村（青春村）</w:t>
            </w:r>
          </w:p>
        </w:tc>
        <w:tc>
          <w:tcPr>
            <w:tcW w:w="913" w:type="pct"/>
            <w:vAlign w:val="center"/>
          </w:tcPr>
          <w:p>
            <w:pPr>
              <w:pStyle w:val="58"/>
              <w:rPr>
                <w:rFonts w:cs="Times New Roman"/>
                <w:kern w:val="0"/>
                <w:highlight w:val="none"/>
              </w:rPr>
            </w:pPr>
            <w:r>
              <w:rPr>
                <w:rFonts w:hint="eastAsia" w:cs="Times New Roman"/>
                <w:kern w:val="0"/>
                <w:highlight w:val="none"/>
              </w:rPr>
              <w:t>西</w:t>
            </w:r>
          </w:p>
        </w:tc>
        <w:tc>
          <w:tcPr>
            <w:tcW w:w="811" w:type="pct"/>
            <w:vAlign w:val="center"/>
          </w:tcPr>
          <w:p>
            <w:pPr>
              <w:pStyle w:val="58"/>
              <w:rPr>
                <w:rFonts w:cs="Times New Roman"/>
                <w:kern w:val="0"/>
                <w:highlight w:val="none"/>
              </w:rPr>
            </w:pPr>
            <w:r>
              <w:rPr>
                <w:rFonts w:hint="eastAsia" w:cs="Times New Roman"/>
                <w:kern w:val="0"/>
                <w:highlight w:val="none"/>
              </w:rPr>
              <w:t>2.1~3.0</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hint="eastAsia" w:cs="Times New Roman"/>
                <w:kern w:val="0"/>
                <w:highlight w:val="none"/>
              </w:rPr>
            </w:pPr>
            <w:r>
              <w:rPr>
                <w:rFonts w:hint="eastAsia" w:cs="Times New Roman"/>
                <w:kern w:val="0"/>
                <w:highlight w:val="none"/>
              </w:rPr>
              <w:t>约300人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百利镇-涧溪村</w:t>
            </w:r>
          </w:p>
        </w:tc>
        <w:tc>
          <w:tcPr>
            <w:tcW w:w="913" w:type="pct"/>
            <w:vAlign w:val="center"/>
          </w:tcPr>
          <w:p>
            <w:pPr>
              <w:pStyle w:val="58"/>
              <w:rPr>
                <w:rFonts w:cs="Times New Roman"/>
                <w:kern w:val="0"/>
                <w:highlight w:val="none"/>
              </w:rPr>
            </w:pPr>
            <w:r>
              <w:rPr>
                <w:rFonts w:hint="eastAsia" w:cs="Times New Roman"/>
                <w:kern w:val="0"/>
                <w:highlight w:val="none"/>
              </w:rPr>
              <w:t>西南偏南</w:t>
            </w:r>
          </w:p>
        </w:tc>
        <w:tc>
          <w:tcPr>
            <w:tcW w:w="811" w:type="pct"/>
            <w:vAlign w:val="center"/>
          </w:tcPr>
          <w:p>
            <w:pPr>
              <w:pStyle w:val="58"/>
              <w:rPr>
                <w:rFonts w:cs="Times New Roman"/>
                <w:kern w:val="0"/>
                <w:highlight w:val="none"/>
              </w:rPr>
            </w:pPr>
            <w:r>
              <w:rPr>
                <w:rFonts w:hint="eastAsia" w:cs="Times New Roman"/>
                <w:kern w:val="0"/>
                <w:highlight w:val="none"/>
              </w:rPr>
              <w:t>2.2~3.0</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hint="eastAsia" w:cs="Times New Roman"/>
                <w:kern w:val="0"/>
                <w:highlight w:val="none"/>
              </w:rPr>
            </w:pPr>
            <w:r>
              <w:rPr>
                <w:rFonts w:hint="eastAsia" w:cs="Times New Roman"/>
                <w:kern w:val="0"/>
                <w:highlight w:val="none"/>
              </w:rPr>
              <w:t>约800人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百利镇-塘坪村五组</w:t>
            </w:r>
          </w:p>
        </w:tc>
        <w:tc>
          <w:tcPr>
            <w:tcW w:w="913" w:type="pct"/>
            <w:vAlign w:val="center"/>
          </w:tcPr>
          <w:p>
            <w:pPr>
              <w:pStyle w:val="58"/>
              <w:rPr>
                <w:rFonts w:cs="Times New Roman"/>
                <w:kern w:val="0"/>
                <w:highlight w:val="none"/>
              </w:rPr>
            </w:pPr>
            <w:r>
              <w:rPr>
                <w:rFonts w:hint="eastAsia" w:cs="Times New Roman"/>
                <w:kern w:val="0"/>
                <w:highlight w:val="none"/>
              </w:rPr>
              <w:t>西南</w:t>
            </w:r>
          </w:p>
        </w:tc>
        <w:tc>
          <w:tcPr>
            <w:tcW w:w="811" w:type="pct"/>
            <w:vAlign w:val="center"/>
          </w:tcPr>
          <w:p>
            <w:pPr>
              <w:pStyle w:val="58"/>
              <w:rPr>
                <w:rFonts w:cs="Times New Roman"/>
                <w:kern w:val="0"/>
                <w:highlight w:val="none"/>
              </w:rPr>
            </w:pPr>
            <w:r>
              <w:rPr>
                <w:rFonts w:hint="eastAsia" w:cs="Times New Roman"/>
                <w:kern w:val="0"/>
                <w:highlight w:val="none"/>
              </w:rPr>
              <w:t>2.3~3.0</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cs="Times New Roman"/>
                <w:kern w:val="0"/>
                <w:highlight w:val="none"/>
              </w:rPr>
            </w:pPr>
            <w:r>
              <w:rPr>
                <w:rFonts w:hint="eastAsia" w:cs="Times New Roman"/>
                <w:kern w:val="0"/>
                <w:highlight w:val="none"/>
              </w:rPr>
              <w:t>约100人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东青镇-广福村四组、五组、六组</w:t>
            </w:r>
          </w:p>
        </w:tc>
        <w:tc>
          <w:tcPr>
            <w:tcW w:w="913" w:type="pct"/>
            <w:vAlign w:val="center"/>
          </w:tcPr>
          <w:p>
            <w:pPr>
              <w:pStyle w:val="58"/>
              <w:rPr>
                <w:rFonts w:cs="Times New Roman"/>
                <w:kern w:val="0"/>
                <w:highlight w:val="none"/>
              </w:rPr>
            </w:pPr>
            <w:r>
              <w:rPr>
                <w:rFonts w:hint="eastAsia" w:cs="Times New Roman"/>
                <w:kern w:val="0"/>
                <w:highlight w:val="none"/>
              </w:rPr>
              <w:t>西</w:t>
            </w:r>
          </w:p>
        </w:tc>
        <w:tc>
          <w:tcPr>
            <w:tcW w:w="811" w:type="pct"/>
            <w:vAlign w:val="center"/>
          </w:tcPr>
          <w:p>
            <w:pPr>
              <w:pStyle w:val="58"/>
              <w:rPr>
                <w:rFonts w:cs="Times New Roman"/>
                <w:kern w:val="0"/>
                <w:highlight w:val="none"/>
              </w:rPr>
            </w:pPr>
            <w:r>
              <w:rPr>
                <w:rFonts w:hint="eastAsia" w:cs="Times New Roman"/>
                <w:kern w:val="0"/>
                <w:highlight w:val="none"/>
              </w:rPr>
              <w:t>2.3~3.0</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cs="Times New Roman"/>
                <w:kern w:val="0"/>
                <w:highlight w:val="none"/>
              </w:rPr>
            </w:pPr>
            <w:r>
              <w:rPr>
                <w:rFonts w:hint="eastAsia" w:cs="Times New Roman"/>
                <w:kern w:val="0"/>
                <w:highlight w:val="none"/>
              </w:rPr>
              <w:t>约300人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云峰镇-张王村</w:t>
            </w:r>
          </w:p>
        </w:tc>
        <w:tc>
          <w:tcPr>
            <w:tcW w:w="913" w:type="pct"/>
            <w:vAlign w:val="center"/>
          </w:tcPr>
          <w:p>
            <w:pPr>
              <w:pStyle w:val="58"/>
              <w:rPr>
                <w:rFonts w:cs="Times New Roman"/>
                <w:kern w:val="0"/>
                <w:highlight w:val="none"/>
              </w:rPr>
            </w:pPr>
            <w:r>
              <w:rPr>
                <w:rFonts w:hint="eastAsia" w:cs="Times New Roman"/>
                <w:kern w:val="0"/>
                <w:highlight w:val="none"/>
              </w:rPr>
              <w:t>东北偏北</w:t>
            </w:r>
          </w:p>
        </w:tc>
        <w:tc>
          <w:tcPr>
            <w:tcW w:w="811" w:type="pct"/>
            <w:vAlign w:val="center"/>
          </w:tcPr>
          <w:p>
            <w:pPr>
              <w:pStyle w:val="58"/>
              <w:rPr>
                <w:rFonts w:cs="Times New Roman"/>
                <w:kern w:val="0"/>
                <w:highlight w:val="none"/>
              </w:rPr>
            </w:pPr>
            <w:r>
              <w:rPr>
                <w:rFonts w:hint="eastAsia" w:cs="Times New Roman"/>
                <w:kern w:val="0"/>
                <w:highlight w:val="none"/>
              </w:rPr>
              <w:t>2.5~3.0</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cs="Times New Roman"/>
                <w:kern w:val="0"/>
                <w:highlight w:val="none"/>
              </w:rPr>
            </w:pPr>
            <w:r>
              <w:rPr>
                <w:rFonts w:hint="eastAsia" w:cs="Times New Roman"/>
                <w:kern w:val="0"/>
                <w:highlight w:val="none"/>
              </w:rPr>
              <w:t>约200人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东青镇-高峰村一组、二组</w:t>
            </w:r>
          </w:p>
        </w:tc>
        <w:tc>
          <w:tcPr>
            <w:tcW w:w="913" w:type="pct"/>
            <w:vAlign w:val="center"/>
          </w:tcPr>
          <w:p>
            <w:pPr>
              <w:pStyle w:val="58"/>
              <w:rPr>
                <w:rFonts w:cs="Times New Roman"/>
                <w:kern w:val="0"/>
                <w:highlight w:val="none"/>
              </w:rPr>
            </w:pPr>
            <w:r>
              <w:rPr>
                <w:rFonts w:hint="eastAsia" w:cs="Times New Roman"/>
                <w:kern w:val="0"/>
                <w:highlight w:val="none"/>
              </w:rPr>
              <w:t>西南偏西</w:t>
            </w:r>
          </w:p>
        </w:tc>
        <w:tc>
          <w:tcPr>
            <w:tcW w:w="811" w:type="pct"/>
            <w:vAlign w:val="center"/>
          </w:tcPr>
          <w:p>
            <w:pPr>
              <w:pStyle w:val="58"/>
              <w:rPr>
                <w:rFonts w:cs="Times New Roman"/>
                <w:kern w:val="0"/>
                <w:highlight w:val="none"/>
              </w:rPr>
            </w:pPr>
            <w:r>
              <w:rPr>
                <w:rFonts w:hint="eastAsia" w:cs="Times New Roman"/>
                <w:kern w:val="0"/>
                <w:highlight w:val="none"/>
              </w:rPr>
              <w:t>2.6~3.0</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hint="eastAsia" w:cs="Times New Roman"/>
                <w:kern w:val="0"/>
                <w:highlight w:val="none"/>
              </w:rPr>
            </w:pPr>
            <w:r>
              <w:rPr>
                <w:rFonts w:hint="eastAsia" w:cs="Times New Roman"/>
                <w:kern w:val="0"/>
                <w:highlight w:val="none"/>
              </w:rPr>
              <w:t>约100人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陵江镇-镇水社区</w:t>
            </w:r>
          </w:p>
        </w:tc>
        <w:tc>
          <w:tcPr>
            <w:tcW w:w="913" w:type="pct"/>
            <w:vAlign w:val="center"/>
          </w:tcPr>
          <w:p>
            <w:pPr>
              <w:pStyle w:val="58"/>
              <w:rPr>
                <w:rFonts w:cs="Times New Roman"/>
                <w:kern w:val="0"/>
                <w:highlight w:val="none"/>
              </w:rPr>
            </w:pPr>
            <w:r>
              <w:rPr>
                <w:rFonts w:hint="eastAsia" w:cs="Times New Roman"/>
                <w:kern w:val="0"/>
                <w:highlight w:val="none"/>
              </w:rPr>
              <w:t>西北</w:t>
            </w:r>
          </w:p>
        </w:tc>
        <w:tc>
          <w:tcPr>
            <w:tcW w:w="811" w:type="pct"/>
            <w:vAlign w:val="center"/>
          </w:tcPr>
          <w:p>
            <w:pPr>
              <w:pStyle w:val="58"/>
              <w:rPr>
                <w:rFonts w:cs="Times New Roman"/>
                <w:kern w:val="0"/>
                <w:highlight w:val="none"/>
              </w:rPr>
            </w:pPr>
            <w:r>
              <w:rPr>
                <w:rFonts w:hint="eastAsia" w:cs="Times New Roman"/>
                <w:kern w:val="0"/>
                <w:highlight w:val="none"/>
              </w:rPr>
              <w:t>2.6~3.0</w:t>
            </w:r>
          </w:p>
        </w:tc>
        <w:tc>
          <w:tcPr>
            <w:tcW w:w="462" w:type="pct"/>
            <w:vAlign w:val="center"/>
          </w:tcPr>
          <w:p>
            <w:pPr>
              <w:pStyle w:val="58"/>
              <w:rPr>
                <w:rFonts w:cs="Times New Roman"/>
                <w:kern w:val="0"/>
                <w:highlight w:val="none"/>
              </w:rPr>
            </w:pPr>
            <w:r>
              <w:rPr>
                <w:rFonts w:hint="eastAsia" w:cs="Times New Roman"/>
                <w:kern w:val="0"/>
                <w:highlight w:val="none"/>
              </w:rPr>
              <w:t>人</w:t>
            </w:r>
            <w:r>
              <w:rPr>
                <w:rFonts w:cs="Times New Roman"/>
                <w:kern w:val="0"/>
                <w:highlight w:val="none"/>
              </w:rPr>
              <w:t>群聚居区</w:t>
            </w:r>
          </w:p>
        </w:tc>
        <w:tc>
          <w:tcPr>
            <w:tcW w:w="557" w:type="pct"/>
            <w:vAlign w:val="center"/>
          </w:tcPr>
          <w:p>
            <w:pPr>
              <w:pStyle w:val="58"/>
              <w:rPr>
                <w:rFonts w:cs="Times New Roman"/>
                <w:kern w:val="0"/>
                <w:highlight w:val="none"/>
              </w:rPr>
            </w:pPr>
            <w:r>
              <w:rPr>
                <w:rFonts w:hint="eastAsia" w:cs="Times New Roman"/>
                <w:kern w:val="0"/>
                <w:highlight w:val="none"/>
              </w:rPr>
              <w:t>约300人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陵江镇-杜里社区六组</w:t>
            </w:r>
          </w:p>
        </w:tc>
        <w:tc>
          <w:tcPr>
            <w:tcW w:w="913" w:type="pct"/>
            <w:vAlign w:val="center"/>
          </w:tcPr>
          <w:p>
            <w:pPr>
              <w:pStyle w:val="58"/>
              <w:rPr>
                <w:rFonts w:cs="Times New Roman"/>
                <w:kern w:val="0"/>
                <w:highlight w:val="none"/>
              </w:rPr>
            </w:pPr>
            <w:r>
              <w:rPr>
                <w:rFonts w:hint="eastAsia" w:cs="Times New Roman"/>
                <w:kern w:val="0"/>
                <w:highlight w:val="none"/>
              </w:rPr>
              <w:t>北</w:t>
            </w:r>
          </w:p>
        </w:tc>
        <w:tc>
          <w:tcPr>
            <w:tcW w:w="811" w:type="pct"/>
            <w:vAlign w:val="center"/>
          </w:tcPr>
          <w:p>
            <w:pPr>
              <w:pStyle w:val="58"/>
              <w:rPr>
                <w:rFonts w:cs="Times New Roman"/>
                <w:kern w:val="0"/>
                <w:highlight w:val="none"/>
              </w:rPr>
            </w:pPr>
            <w:r>
              <w:rPr>
                <w:rFonts w:hint="eastAsia" w:cs="Times New Roman"/>
                <w:kern w:val="0"/>
                <w:highlight w:val="none"/>
              </w:rPr>
              <w:t>2.8~3.0</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cs="Times New Roman"/>
                <w:kern w:val="0"/>
                <w:highlight w:val="none"/>
              </w:rPr>
            </w:pPr>
            <w:r>
              <w:rPr>
                <w:rFonts w:hint="eastAsia" w:cs="Times New Roman"/>
                <w:kern w:val="0"/>
                <w:highlight w:val="none"/>
              </w:rPr>
              <w:t>约100人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东青镇-天桥村一组</w:t>
            </w:r>
          </w:p>
        </w:tc>
        <w:tc>
          <w:tcPr>
            <w:tcW w:w="913" w:type="pct"/>
            <w:vAlign w:val="center"/>
          </w:tcPr>
          <w:p>
            <w:pPr>
              <w:pStyle w:val="58"/>
              <w:rPr>
                <w:rFonts w:cs="Times New Roman"/>
                <w:kern w:val="0"/>
                <w:highlight w:val="none"/>
              </w:rPr>
            </w:pPr>
            <w:r>
              <w:rPr>
                <w:rFonts w:hint="eastAsia" w:cs="Times New Roman"/>
                <w:kern w:val="0"/>
                <w:highlight w:val="none"/>
              </w:rPr>
              <w:t>西</w:t>
            </w:r>
          </w:p>
        </w:tc>
        <w:tc>
          <w:tcPr>
            <w:tcW w:w="811" w:type="pct"/>
            <w:vAlign w:val="center"/>
          </w:tcPr>
          <w:p>
            <w:pPr>
              <w:pStyle w:val="58"/>
              <w:rPr>
                <w:rFonts w:cs="Times New Roman"/>
                <w:kern w:val="0"/>
                <w:highlight w:val="none"/>
              </w:rPr>
            </w:pPr>
            <w:r>
              <w:rPr>
                <w:rFonts w:hint="eastAsia" w:cs="Times New Roman"/>
                <w:kern w:val="0"/>
                <w:highlight w:val="none"/>
              </w:rPr>
              <w:t>2.8~3.0</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cs="Times New Roman"/>
                <w:kern w:val="0"/>
                <w:highlight w:val="none"/>
              </w:rPr>
            </w:pPr>
            <w:r>
              <w:rPr>
                <w:rFonts w:hint="eastAsia" w:cs="Times New Roman"/>
                <w:kern w:val="0"/>
                <w:highlight w:val="none"/>
              </w:rPr>
              <w:t>约50人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陵江镇-金斗村</w:t>
            </w:r>
          </w:p>
        </w:tc>
        <w:tc>
          <w:tcPr>
            <w:tcW w:w="913" w:type="pct"/>
            <w:vAlign w:val="center"/>
          </w:tcPr>
          <w:p>
            <w:pPr>
              <w:pStyle w:val="58"/>
              <w:rPr>
                <w:rFonts w:cs="Times New Roman"/>
                <w:kern w:val="0"/>
                <w:highlight w:val="none"/>
              </w:rPr>
            </w:pPr>
            <w:r>
              <w:rPr>
                <w:rFonts w:hint="eastAsia" w:cs="Times New Roman"/>
                <w:kern w:val="0"/>
                <w:highlight w:val="none"/>
              </w:rPr>
              <w:t>西北偏北</w:t>
            </w:r>
          </w:p>
        </w:tc>
        <w:tc>
          <w:tcPr>
            <w:tcW w:w="811" w:type="pct"/>
            <w:vAlign w:val="center"/>
          </w:tcPr>
          <w:p>
            <w:pPr>
              <w:pStyle w:val="58"/>
              <w:rPr>
                <w:rFonts w:cs="Times New Roman"/>
                <w:kern w:val="0"/>
                <w:highlight w:val="none"/>
              </w:rPr>
            </w:pPr>
            <w:r>
              <w:rPr>
                <w:rFonts w:hint="eastAsia" w:cs="Times New Roman"/>
                <w:kern w:val="0"/>
                <w:highlight w:val="none"/>
              </w:rPr>
              <w:t>2.9~3.0</w:t>
            </w:r>
          </w:p>
        </w:tc>
        <w:tc>
          <w:tcPr>
            <w:tcW w:w="462" w:type="pct"/>
            <w:vAlign w:val="center"/>
          </w:tcPr>
          <w:p>
            <w:pPr>
              <w:pStyle w:val="58"/>
              <w:rPr>
                <w:rFonts w:cs="Times New Roman"/>
                <w:kern w:val="0"/>
                <w:highlight w:val="none"/>
              </w:rPr>
            </w:pPr>
            <w:r>
              <w:rPr>
                <w:rFonts w:hint="eastAsia" w:cs="Times New Roman"/>
                <w:kern w:val="0"/>
                <w:highlight w:val="none"/>
              </w:rPr>
              <w:t>散住居民</w:t>
            </w:r>
          </w:p>
        </w:tc>
        <w:tc>
          <w:tcPr>
            <w:tcW w:w="557" w:type="pct"/>
            <w:vAlign w:val="center"/>
          </w:tcPr>
          <w:p>
            <w:pPr>
              <w:pStyle w:val="58"/>
              <w:rPr>
                <w:rFonts w:hint="eastAsia" w:cs="Times New Roman"/>
                <w:kern w:val="0"/>
                <w:highlight w:val="none"/>
              </w:rPr>
            </w:pPr>
            <w:r>
              <w:rPr>
                <w:rFonts w:hint="eastAsia" w:cs="Times New Roman"/>
                <w:kern w:val="0"/>
                <w:highlight w:val="none"/>
              </w:rPr>
              <w:t>约1400人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石家坝村小</w:t>
            </w:r>
          </w:p>
        </w:tc>
        <w:tc>
          <w:tcPr>
            <w:tcW w:w="913" w:type="pct"/>
            <w:vAlign w:val="center"/>
          </w:tcPr>
          <w:p>
            <w:pPr>
              <w:pStyle w:val="58"/>
              <w:rPr>
                <w:rFonts w:cs="Times New Roman"/>
                <w:kern w:val="0"/>
                <w:highlight w:val="none"/>
              </w:rPr>
            </w:pPr>
            <w:r>
              <w:rPr>
                <w:rFonts w:hint="eastAsia" w:cs="Times New Roman"/>
                <w:kern w:val="0"/>
                <w:highlight w:val="none"/>
              </w:rPr>
              <w:t>东北</w:t>
            </w:r>
          </w:p>
        </w:tc>
        <w:tc>
          <w:tcPr>
            <w:tcW w:w="811" w:type="pct"/>
            <w:vAlign w:val="center"/>
          </w:tcPr>
          <w:p>
            <w:pPr>
              <w:pStyle w:val="58"/>
              <w:rPr>
                <w:rFonts w:hint="eastAsia" w:cs="Times New Roman"/>
                <w:kern w:val="0"/>
                <w:highlight w:val="none"/>
              </w:rPr>
            </w:pPr>
            <w:r>
              <w:rPr>
                <w:rFonts w:hint="eastAsia" w:cs="Times New Roman"/>
                <w:kern w:val="0"/>
                <w:highlight w:val="none"/>
              </w:rPr>
              <w:t>0.8</w:t>
            </w:r>
          </w:p>
        </w:tc>
        <w:tc>
          <w:tcPr>
            <w:tcW w:w="462" w:type="pct"/>
            <w:vAlign w:val="center"/>
          </w:tcPr>
          <w:p>
            <w:pPr>
              <w:pStyle w:val="58"/>
              <w:rPr>
                <w:rFonts w:cs="Times New Roman"/>
                <w:kern w:val="0"/>
                <w:highlight w:val="none"/>
              </w:rPr>
            </w:pPr>
            <w:r>
              <w:rPr>
                <w:rFonts w:hint="eastAsia" w:cs="Times New Roman"/>
                <w:kern w:val="0"/>
                <w:highlight w:val="none"/>
              </w:rPr>
              <w:t>学校</w:t>
            </w:r>
          </w:p>
        </w:tc>
        <w:tc>
          <w:tcPr>
            <w:tcW w:w="557" w:type="pct"/>
            <w:vAlign w:val="center"/>
          </w:tcPr>
          <w:p>
            <w:pPr>
              <w:pStyle w:val="58"/>
              <w:rPr>
                <w:rFonts w:cs="Times New Roman"/>
                <w:kern w:val="0"/>
                <w:highlight w:val="none"/>
              </w:rPr>
            </w:pPr>
            <w:r>
              <w:rPr>
                <w:rFonts w:hint="eastAsia" w:cs="Times New Roman"/>
                <w:kern w:val="0"/>
                <w:highlight w:val="none"/>
              </w:rPr>
              <w:t>约 100 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云峰镇五里小学</w:t>
            </w:r>
          </w:p>
        </w:tc>
        <w:tc>
          <w:tcPr>
            <w:tcW w:w="913" w:type="pct"/>
            <w:vAlign w:val="center"/>
          </w:tcPr>
          <w:p>
            <w:pPr>
              <w:pStyle w:val="58"/>
              <w:rPr>
                <w:rFonts w:cs="Times New Roman"/>
                <w:kern w:val="0"/>
                <w:highlight w:val="none"/>
              </w:rPr>
            </w:pPr>
            <w:r>
              <w:rPr>
                <w:rFonts w:hint="eastAsia" w:cs="Times New Roman"/>
                <w:kern w:val="0"/>
                <w:highlight w:val="none"/>
              </w:rPr>
              <w:t>东</w:t>
            </w:r>
          </w:p>
        </w:tc>
        <w:tc>
          <w:tcPr>
            <w:tcW w:w="811" w:type="pct"/>
            <w:vAlign w:val="center"/>
          </w:tcPr>
          <w:p>
            <w:pPr>
              <w:pStyle w:val="58"/>
              <w:rPr>
                <w:rFonts w:hint="eastAsia" w:cs="Times New Roman"/>
                <w:kern w:val="0"/>
                <w:highlight w:val="none"/>
              </w:rPr>
            </w:pPr>
            <w:r>
              <w:rPr>
                <w:rFonts w:hint="eastAsia" w:cs="Times New Roman"/>
                <w:kern w:val="0"/>
                <w:highlight w:val="none"/>
              </w:rPr>
              <w:t>2.9</w:t>
            </w:r>
          </w:p>
        </w:tc>
        <w:tc>
          <w:tcPr>
            <w:tcW w:w="462" w:type="pct"/>
            <w:vAlign w:val="center"/>
          </w:tcPr>
          <w:p>
            <w:pPr>
              <w:pStyle w:val="58"/>
              <w:rPr>
                <w:rFonts w:cs="Times New Roman"/>
                <w:kern w:val="0"/>
                <w:highlight w:val="none"/>
              </w:rPr>
            </w:pPr>
            <w:r>
              <w:rPr>
                <w:rFonts w:hint="eastAsia" w:cs="Times New Roman"/>
                <w:kern w:val="0"/>
                <w:highlight w:val="none"/>
              </w:rPr>
              <w:t>学校</w:t>
            </w:r>
          </w:p>
        </w:tc>
        <w:tc>
          <w:tcPr>
            <w:tcW w:w="557" w:type="pct"/>
            <w:vAlign w:val="center"/>
          </w:tcPr>
          <w:p>
            <w:pPr>
              <w:pStyle w:val="58"/>
              <w:rPr>
                <w:rFonts w:cs="Times New Roman"/>
                <w:kern w:val="0"/>
                <w:highlight w:val="none"/>
              </w:rPr>
            </w:pPr>
            <w:r>
              <w:rPr>
                <w:rFonts w:hint="eastAsia" w:cs="Times New Roman"/>
                <w:kern w:val="0"/>
                <w:highlight w:val="none"/>
              </w:rPr>
              <w:t>约 100 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hint="eastAsia" w:cs="Times New Roman"/>
                <w:kern w:val="0"/>
                <w:highlight w:val="none"/>
              </w:rPr>
            </w:pPr>
            <w:r>
              <w:rPr>
                <w:rFonts w:hint="eastAsia" w:cs="Times New Roman"/>
                <w:kern w:val="0"/>
                <w:highlight w:val="none"/>
              </w:rPr>
              <w:t>苍溪县云峰镇敬老院</w:t>
            </w:r>
          </w:p>
        </w:tc>
        <w:tc>
          <w:tcPr>
            <w:tcW w:w="913" w:type="pct"/>
            <w:vAlign w:val="center"/>
          </w:tcPr>
          <w:p>
            <w:pPr>
              <w:pStyle w:val="58"/>
              <w:rPr>
                <w:rFonts w:hint="eastAsia" w:cs="Times New Roman"/>
                <w:kern w:val="0"/>
                <w:highlight w:val="none"/>
              </w:rPr>
            </w:pPr>
            <w:r>
              <w:rPr>
                <w:rFonts w:hint="eastAsia" w:cs="Times New Roman"/>
                <w:kern w:val="0"/>
                <w:highlight w:val="none"/>
              </w:rPr>
              <w:t>东</w:t>
            </w:r>
          </w:p>
        </w:tc>
        <w:tc>
          <w:tcPr>
            <w:tcW w:w="811" w:type="pct"/>
            <w:vAlign w:val="center"/>
          </w:tcPr>
          <w:p>
            <w:pPr>
              <w:pStyle w:val="58"/>
              <w:rPr>
                <w:rFonts w:hint="eastAsia" w:cs="Times New Roman"/>
                <w:kern w:val="0"/>
                <w:highlight w:val="none"/>
              </w:rPr>
            </w:pPr>
            <w:r>
              <w:rPr>
                <w:rFonts w:hint="eastAsia" w:cs="Times New Roman"/>
                <w:kern w:val="0"/>
                <w:highlight w:val="none"/>
              </w:rPr>
              <w:t>3.0</w:t>
            </w:r>
          </w:p>
        </w:tc>
        <w:tc>
          <w:tcPr>
            <w:tcW w:w="462" w:type="pct"/>
            <w:vAlign w:val="center"/>
          </w:tcPr>
          <w:p>
            <w:pPr>
              <w:pStyle w:val="58"/>
              <w:rPr>
                <w:rFonts w:hint="eastAsia" w:cs="Times New Roman"/>
                <w:kern w:val="0"/>
                <w:highlight w:val="none"/>
              </w:rPr>
            </w:pPr>
            <w:r>
              <w:rPr>
                <w:rFonts w:hint="eastAsia" w:cs="Times New Roman"/>
                <w:kern w:val="0"/>
                <w:highlight w:val="none"/>
              </w:rPr>
              <w:t>疗养</w:t>
            </w:r>
          </w:p>
        </w:tc>
        <w:tc>
          <w:tcPr>
            <w:tcW w:w="557" w:type="pct"/>
            <w:vAlign w:val="center"/>
          </w:tcPr>
          <w:p>
            <w:pPr>
              <w:pStyle w:val="58"/>
              <w:rPr>
                <w:rFonts w:hint="eastAsia" w:cs="Times New Roman"/>
                <w:kern w:val="0"/>
                <w:highlight w:val="none"/>
              </w:rPr>
            </w:pPr>
            <w:r>
              <w:rPr>
                <w:rFonts w:hint="eastAsia" w:cs="Times New Roman"/>
                <w:kern w:val="0"/>
                <w:highlight w:val="none"/>
              </w:rPr>
              <w:t>约30人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苍溪县精神卫生中心</w:t>
            </w:r>
          </w:p>
        </w:tc>
        <w:tc>
          <w:tcPr>
            <w:tcW w:w="913" w:type="pct"/>
            <w:vAlign w:val="center"/>
          </w:tcPr>
          <w:p>
            <w:pPr>
              <w:pStyle w:val="58"/>
              <w:rPr>
                <w:rFonts w:cs="Times New Roman"/>
                <w:kern w:val="0"/>
                <w:highlight w:val="none"/>
              </w:rPr>
            </w:pPr>
            <w:r>
              <w:rPr>
                <w:rFonts w:hint="eastAsia" w:cs="Times New Roman"/>
                <w:kern w:val="0"/>
                <w:highlight w:val="none"/>
              </w:rPr>
              <w:t>东</w:t>
            </w:r>
          </w:p>
        </w:tc>
        <w:tc>
          <w:tcPr>
            <w:tcW w:w="811" w:type="pct"/>
            <w:vAlign w:val="center"/>
          </w:tcPr>
          <w:p>
            <w:pPr>
              <w:pStyle w:val="58"/>
              <w:rPr>
                <w:rFonts w:hint="eastAsia" w:cs="Times New Roman"/>
                <w:kern w:val="0"/>
                <w:highlight w:val="none"/>
              </w:rPr>
            </w:pPr>
            <w:r>
              <w:rPr>
                <w:rFonts w:hint="eastAsia" w:cs="Times New Roman"/>
                <w:kern w:val="0"/>
                <w:highlight w:val="none"/>
              </w:rPr>
              <w:t>3.0</w:t>
            </w:r>
          </w:p>
        </w:tc>
        <w:tc>
          <w:tcPr>
            <w:tcW w:w="462" w:type="pct"/>
            <w:vAlign w:val="center"/>
          </w:tcPr>
          <w:p>
            <w:pPr>
              <w:pStyle w:val="58"/>
              <w:rPr>
                <w:rFonts w:hint="eastAsia" w:cs="Times New Roman"/>
                <w:kern w:val="0"/>
                <w:highlight w:val="none"/>
              </w:rPr>
            </w:pPr>
            <w:r>
              <w:rPr>
                <w:rFonts w:hint="eastAsia" w:cs="Times New Roman"/>
                <w:kern w:val="0"/>
                <w:highlight w:val="none"/>
              </w:rPr>
              <w:t>医院</w:t>
            </w:r>
          </w:p>
        </w:tc>
        <w:tc>
          <w:tcPr>
            <w:tcW w:w="557" w:type="pct"/>
            <w:vAlign w:val="center"/>
          </w:tcPr>
          <w:p>
            <w:pPr>
              <w:pStyle w:val="58"/>
              <w:rPr>
                <w:rFonts w:cs="Times New Roman"/>
                <w:kern w:val="0"/>
                <w:highlight w:val="none"/>
              </w:rPr>
            </w:pPr>
            <w:r>
              <w:rPr>
                <w:rFonts w:hint="eastAsia" w:cs="Times New Roman"/>
                <w:kern w:val="0"/>
                <w:highlight w:val="none"/>
              </w:rPr>
              <w:t>约 500 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hint="eastAsia" w:cs="Times New Roman"/>
                <w:kern w:val="0"/>
                <w:highlight w:val="none"/>
              </w:rPr>
            </w:pPr>
            <w:r>
              <w:rPr>
                <w:rFonts w:hint="eastAsia" w:cs="Times New Roman"/>
                <w:kern w:val="0"/>
                <w:highlight w:val="none"/>
              </w:rPr>
              <w:t>镇水卫生院</w:t>
            </w:r>
          </w:p>
        </w:tc>
        <w:tc>
          <w:tcPr>
            <w:tcW w:w="913" w:type="pct"/>
            <w:vAlign w:val="center"/>
          </w:tcPr>
          <w:p>
            <w:pPr>
              <w:pStyle w:val="58"/>
              <w:rPr>
                <w:rFonts w:hint="eastAsia" w:cs="Times New Roman"/>
                <w:kern w:val="0"/>
                <w:highlight w:val="none"/>
              </w:rPr>
            </w:pPr>
            <w:r>
              <w:rPr>
                <w:rFonts w:hint="eastAsia" w:cs="Times New Roman"/>
                <w:kern w:val="0"/>
                <w:highlight w:val="none"/>
              </w:rPr>
              <w:t>西北</w:t>
            </w:r>
          </w:p>
        </w:tc>
        <w:tc>
          <w:tcPr>
            <w:tcW w:w="811" w:type="pct"/>
            <w:vAlign w:val="center"/>
          </w:tcPr>
          <w:p>
            <w:pPr>
              <w:pStyle w:val="58"/>
              <w:rPr>
                <w:rFonts w:hint="eastAsia" w:cs="Times New Roman"/>
                <w:kern w:val="0"/>
                <w:highlight w:val="none"/>
              </w:rPr>
            </w:pPr>
            <w:r>
              <w:rPr>
                <w:rFonts w:hint="eastAsia" w:cs="Times New Roman"/>
                <w:kern w:val="0"/>
                <w:highlight w:val="none"/>
              </w:rPr>
              <w:t>2.9</w:t>
            </w:r>
          </w:p>
        </w:tc>
        <w:tc>
          <w:tcPr>
            <w:tcW w:w="462" w:type="pct"/>
            <w:vAlign w:val="center"/>
          </w:tcPr>
          <w:p>
            <w:pPr>
              <w:pStyle w:val="58"/>
              <w:rPr>
                <w:rFonts w:hint="eastAsia" w:cs="Times New Roman"/>
                <w:kern w:val="0"/>
                <w:highlight w:val="none"/>
              </w:rPr>
            </w:pPr>
            <w:r>
              <w:rPr>
                <w:rFonts w:hint="eastAsia" w:cs="Times New Roman"/>
                <w:kern w:val="0"/>
                <w:highlight w:val="none"/>
              </w:rPr>
              <w:t>医院</w:t>
            </w:r>
          </w:p>
        </w:tc>
        <w:tc>
          <w:tcPr>
            <w:tcW w:w="557" w:type="pct"/>
            <w:vAlign w:val="center"/>
          </w:tcPr>
          <w:p>
            <w:pPr>
              <w:pStyle w:val="58"/>
              <w:rPr>
                <w:rFonts w:hint="eastAsia" w:cs="Times New Roman"/>
                <w:kern w:val="0"/>
                <w:highlight w:val="none"/>
              </w:rPr>
            </w:pPr>
            <w:r>
              <w:rPr>
                <w:rFonts w:hint="eastAsia" w:cs="Times New Roman"/>
                <w:kern w:val="0"/>
                <w:highlight w:val="none"/>
              </w:rPr>
              <w:t>约30人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jc w:val="both"/>
              <w:rPr>
                <w:rFonts w:cs="Times New Roman"/>
                <w:kern w:val="0"/>
                <w:highlight w:val="none"/>
              </w:rPr>
            </w:pPr>
          </w:p>
        </w:tc>
        <w:tc>
          <w:tcPr>
            <w:tcW w:w="1209" w:type="pct"/>
            <w:vAlign w:val="center"/>
          </w:tcPr>
          <w:p>
            <w:pPr>
              <w:pStyle w:val="58"/>
              <w:rPr>
                <w:rFonts w:cs="Times New Roman"/>
                <w:kern w:val="0"/>
                <w:highlight w:val="none"/>
              </w:rPr>
            </w:pPr>
            <w:r>
              <w:rPr>
                <w:rFonts w:hint="eastAsia" w:cs="Times New Roman"/>
                <w:kern w:val="0"/>
                <w:highlight w:val="none"/>
              </w:rPr>
              <w:t>苍溪县陵江镇镇水小学校</w:t>
            </w:r>
          </w:p>
        </w:tc>
        <w:tc>
          <w:tcPr>
            <w:tcW w:w="913" w:type="pct"/>
            <w:vAlign w:val="center"/>
          </w:tcPr>
          <w:p>
            <w:pPr>
              <w:pStyle w:val="58"/>
              <w:rPr>
                <w:rFonts w:hint="eastAsia" w:cs="Times New Roman"/>
                <w:kern w:val="0"/>
                <w:highlight w:val="none"/>
              </w:rPr>
            </w:pPr>
            <w:r>
              <w:rPr>
                <w:rFonts w:hint="eastAsia" w:cs="Times New Roman"/>
                <w:kern w:val="0"/>
                <w:highlight w:val="none"/>
              </w:rPr>
              <w:t>西北</w:t>
            </w:r>
          </w:p>
        </w:tc>
        <w:tc>
          <w:tcPr>
            <w:tcW w:w="811" w:type="pct"/>
            <w:vAlign w:val="center"/>
          </w:tcPr>
          <w:p>
            <w:pPr>
              <w:pStyle w:val="58"/>
              <w:rPr>
                <w:rFonts w:hint="eastAsia" w:cs="Times New Roman"/>
                <w:kern w:val="0"/>
                <w:highlight w:val="none"/>
              </w:rPr>
            </w:pPr>
            <w:r>
              <w:rPr>
                <w:rFonts w:hint="eastAsia" w:cs="Times New Roman"/>
                <w:kern w:val="0"/>
                <w:highlight w:val="none"/>
              </w:rPr>
              <w:t>3.0</w:t>
            </w:r>
          </w:p>
        </w:tc>
        <w:tc>
          <w:tcPr>
            <w:tcW w:w="462" w:type="pct"/>
            <w:vAlign w:val="center"/>
          </w:tcPr>
          <w:p>
            <w:pPr>
              <w:pStyle w:val="58"/>
              <w:rPr>
                <w:rFonts w:cs="Times New Roman"/>
                <w:kern w:val="0"/>
                <w:highlight w:val="none"/>
              </w:rPr>
            </w:pPr>
            <w:r>
              <w:rPr>
                <w:rFonts w:hint="eastAsia" w:cs="Times New Roman"/>
                <w:kern w:val="0"/>
                <w:highlight w:val="none"/>
              </w:rPr>
              <w:t>学校</w:t>
            </w:r>
          </w:p>
        </w:tc>
        <w:tc>
          <w:tcPr>
            <w:tcW w:w="557" w:type="pct"/>
            <w:vAlign w:val="center"/>
          </w:tcPr>
          <w:p>
            <w:pPr>
              <w:pStyle w:val="58"/>
              <w:rPr>
                <w:rFonts w:cs="Times New Roman"/>
                <w:kern w:val="0"/>
                <w:highlight w:val="none"/>
              </w:rPr>
            </w:pPr>
            <w:r>
              <w:rPr>
                <w:rFonts w:hint="eastAsia" w:cs="Times New Roman"/>
                <w:kern w:val="0"/>
                <w:highlight w:val="none"/>
              </w:rPr>
              <w:t>约 100 人</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restart"/>
            <w:vAlign w:val="center"/>
          </w:tcPr>
          <w:p>
            <w:pPr>
              <w:pStyle w:val="58"/>
              <w:rPr>
                <w:rFonts w:cs="Times New Roman"/>
                <w:kern w:val="0"/>
                <w:highlight w:val="none"/>
              </w:rPr>
            </w:pPr>
            <w:r>
              <w:rPr>
                <w:rFonts w:hint="eastAsia" w:cs="Times New Roman"/>
                <w:kern w:val="0"/>
                <w:highlight w:val="none"/>
              </w:rPr>
              <w:t>地表水环境</w:t>
            </w:r>
          </w:p>
        </w:tc>
        <w:tc>
          <w:tcPr>
            <w:tcW w:w="1209" w:type="pct"/>
            <w:vMerge w:val="restart"/>
            <w:vAlign w:val="center"/>
          </w:tcPr>
          <w:p>
            <w:pPr>
              <w:pStyle w:val="58"/>
              <w:rPr>
                <w:rFonts w:cs="Times New Roman"/>
                <w:kern w:val="0"/>
                <w:highlight w:val="none"/>
              </w:rPr>
            </w:pPr>
            <w:r>
              <w:rPr>
                <w:rFonts w:hint="eastAsia" w:cs="Times New Roman"/>
                <w:kern w:val="0"/>
                <w:highlight w:val="none"/>
              </w:rPr>
              <w:t>嘉陵江</w:t>
            </w:r>
          </w:p>
        </w:tc>
        <w:tc>
          <w:tcPr>
            <w:tcW w:w="913" w:type="pct"/>
            <w:vAlign w:val="center"/>
          </w:tcPr>
          <w:p>
            <w:pPr>
              <w:pStyle w:val="58"/>
              <w:rPr>
                <w:rFonts w:cs="Times New Roman"/>
                <w:kern w:val="0"/>
                <w:highlight w:val="none"/>
              </w:rPr>
            </w:pPr>
            <w:r>
              <w:rPr>
                <w:rFonts w:hint="eastAsia" w:cs="Times New Roman"/>
                <w:kern w:val="0"/>
                <w:highlight w:val="none"/>
              </w:rPr>
              <w:t>园区</w:t>
            </w:r>
            <w:r>
              <w:rPr>
                <w:rFonts w:cs="Times New Roman"/>
                <w:kern w:val="0"/>
                <w:highlight w:val="none"/>
              </w:rPr>
              <w:t>东</w:t>
            </w:r>
            <w:r>
              <w:rPr>
                <w:rFonts w:hint="eastAsia" w:cs="Times New Roman"/>
                <w:kern w:val="0"/>
                <w:highlight w:val="none"/>
              </w:rPr>
              <w:t>、南</w:t>
            </w:r>
          </w:p>
        </w:tc>
        <w:tc>
          <w:tcPr>
            <w:tcW w:w="811" w:type="pct"/>
            <w:vAlign w:val="center"/>
          </w:tcPr>
          <w:p>
            <w:pPr>
              <w:pStyle w:val="58"/>
              <w:rPr>
                <w:rFonts w:cs="Times New Roman"/>
                <w:kern w:val="0"/>
                <w:highlight w:val="none"/>
              </w:rPr>
            </w:pPr>
            <w:r>
              <w:rPr>
                <w:rFonts w:cs="Times New Roman"/>
                <w:kern w:val="0"/>
                <w:highlight w:val="none"/>
              </w:rPr>
              <w:t>紧邻</w:t>
            </w:r>
          </w:p>
        </w:tc>
        <w:tc>
          <w:tcPr>
            <w:tcW w:w="1019" w:type="pct"/>
            <w:gridSpan w:val="2"/>
            <w:vAlign w:val="center"/>
          </w:tcPr>
          <w:p>
            <w:pPr>
              <w:pStyle w:val="58"/>
              <w:rPr>
                <w:rFonts w:cs="Times New Roman"/>
                <w:kern w:val="0"/>
                <w:highlight w:val="none"/>
              </w:rPr>
            </w:pPr>
            <w:r>
              <w:rPr>
                <w:rFonts w:hint="eastAsia" w:cs="Times New Roman"/>
                <w:kern w:val="0"/>
                <w:highlight w:val="none"/>
              </w:rPr>
              <w:t>农灌、泄洪、纳污</w:t>
            </w:r>
          </w:p>
        </w:tc>
        <w:tc>
          <w:tcPr>
            <w:tcW w:w="689" w:type="pct"/>
            <w:vMerge w:val="restart"/>
            <w:vAlign w:val="center"/>
          </w:tcPr>
          <w:p>
            <w:pPr>
              <w:pStyle w:val="58"/>
              <w:rPr>
                <w:rFonts w:cs="Times New Roman"/>
                <w:kern w:val="0"/>
                <w:highlight w:val="none"/>
              </w:rPr>
            </w:pPr>
            <w:r>
              <w:rPr>
                <w:rFonts w:cs="Times New Roman"/>
                <w:kern w:val="0"/>
                <w:highlight w:val="none"/>
              </w:rPr>
              <w:t>GB3838-2002</w:t>
            </w:r>
            <w:r>
              <w:rPr>
                <w:rFonts w:hint="eastAsia" w:cs="Times New Roman"/>
                <w:kern w:val="0"/>
                <w:highlight w:val="none"/>
              </w:rPr>
              <w:t>中</w:t>
            </w:r>
            <w:r>
              <w:rPr>
                <w:rFonts w:cs="Times New Roman"/>
                <w:kern w:val="0"/>
                <w:highlight w:val="none"/>
              </w:rPr>
              <w:t>III</w:t>
            </w:r>
            <w:r>
              <w:rPr>
                <w:rFonts w:hint="eastAsia" w:cs="Times New Roman"/>
                <w:kern w:val="0"/>
                <w:highlight w:val="none"/>
              </w:rPr>
              <w:t>类水域标准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Merge w:val="continue"/>
            <w:vAlign w:val="center"/>
          </w:tcPr>
          <w:p>
            <w:pPr>
              <w:pStyle w:val="58"/>
              <w:rPr>
                <w:rFonts w:cs="Times New Roman"/>
                <w:kern w:val="0"/>
                <w:highlight w:val="none"/>
              </w:rPr>
            </w:pPr>
          </w:p>
        </w:tc>
        <w:tc>
          <w:tcPr>
            <w:tcW w:w="1209" w:type="pct"/>
            <w:vMerge w:val="continue"/>
            <w:vAlign w:val="center"/>
          </w:tcPr>
          <w:p>
            <w:pPr>
              <w:pStyle w:val="58"/>
              <w:rPr>
                <w:rFonts w:cs="Times New Roman"/>
                <w:kern w:val="0"/>
                <w:highlight w:val="none"/>
              </w:rPr>
            </w:pPr>
          </w:p>
        </w:tc>
        <w:tc>
          <w:tcPr>
            <w:tcW w:w="913" w:type="pct"/>
            <w:vAlign w:val="center"/>
          </w:tcPr>
          <w:p>
            <w:pPr>
              <w:pStyle w:val="58"/>
              <w:rPr>
                <w:rFonts w:cs="Times New Roman"/>
                <w:kern w:val="0"/>
                <w:highlight w:val="none"/>
              </w:rPr>
            </w:pPr>
            <w:r>
              <w:rPr>
                <w:rFonts w:hint="eastAsia" w:cs="Times New Roman"/>
                <w:kern w:val="0"/>
                <w:highlight w:val="none"/>
              </w:rPr>
              <w:t>园区下游</w:t>
            </w:r>
          </w:p>
        </w:tc>
        <w:tc>
          <w:tcPr>
            <w:tcW w:w="811" w:type="pct"/>
            <w:vAlign w:val="center"/>
          </w:tcPr>
          <w:p>
            <w:pPr>
              <w:pStyle w:val="58"/>
              <w:rPr>
                <w:rFonts w:cs="Times New Roman"/>
                <w:kern w:val="0"/>
                <w:highlight w:val="none"/>
              </w:rPr>
            </w:pPr>
            <w:r>
              <w:rPr>
                <w:rFonts w:hint="eastAsia" w:cs="Times New Roman"/>
                <w:kern w:val="0"/>
                <w:highlight w:val="none"/>
              </w:rPr>
              <w:t>2.8</w:t>
            </w:r>
          </w:p>
        </w:tc>
        <w:tc>
          <w:tcPr>
            <w:tcW w:w="1019" w:type="pct"/>
            <w:gridSpan w:val="2"/>
            <w:vAlign w:val="center"/>
          </w:tcPr>
          <w:p>
            <w:pPr>
              <w:pStyle w:val="58"/>
              <w:rPr>
                <w:rFonts w:cs="Times New Roman"/>
                <w:kern w:val="0"/>
                <w:highlight w:val="none"/>
              </w:rPr>
            </w:pPr>
            <w:r>
              <w:rPr>
                <w:rFonts w:cs="Times New Roman"/>
                <w:kern w:val="0"/>
                <w:highlight w:val="none"/>
              </w:rPr>
              <w:t>饮用水水源地</w:t>
            </w:r>
          </w:p>
        </w:tc>
        <w:tc>
          <w:tcPr>
            <w:tcW w:w="689" w:type="pct"/>
            <w:vMerge w:val="continue"/>
            <w:vAlign w:val="center"/>
          </w:tcPr>
          <w:p>
            <w:pPr>
              <w:pStyle w:val="58"/>
              <w:rPr>
                <w:rFonts w:cs="Times New Roman"/>
                <w:kern w:val="0"/>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Align w:val="center"/>
          </w:tcPr>
          <w:p>
            <w:pPr>
              <w:pStyle w:val="58"/>
              <w:rPr>
                <w:rFonts w:cs="Times New Roman"/>
                <w:kern w:val="0"/>
                <w:highlight w:val="none"/>
              </w:rPr>
            </w:pPr>
            <w:r>
              <w:rPr>
                <w:rFonts w:hint="eastAsia" w:cs="Times New Roman"/>
                <w:kern w:val="0"/>
                <w:highlight w:val="none"/>
              </w:rPr>
              <w:t>地下水</w:t>
            </w:r>
          </w:p>
        </w:tc>
        <w:tc>
          <w:tcPr>
            <w:tcW w:w="1209" w:type="pct"/>
            <w:vAlign w:val="center"/>
          </w:tcPr>
          <w:p>
            <w:pPr>
              <w:pStyle w:val="58"/>
              <w:rPr>
                <w:rFonts w:cs="Times New Roman"/>
                <w:kern w:val="0"/>
                <w:highlight w:val="none"/>
              </w:rPr>
            </w:pPr>
            <w:r>
              <w:rPr>
                <w:rFonts w:cs="Times New Roman"/>
                <w:kern w:val="0"/>
                <w:highlight w:val="none"/>
              </w:rPr>
              <w:t>评价范围内的地下水</w:t>
            </w:r>
          </w:p>
        </w:tc>
        <w:tc>
          <w:tcPr>
            <w:tcW w:w="2743" w:type="pct"/>
            <w:gridSpan w:val="4"/>
            <w:vAlign w:val="center"/>
          </w:tcPr>
          <w:p>
            <w:pPr>
              <w:pStyle w:val="58"/>
              <w:rPr>
                <w:rFonts w:cs="Times New Roman"/>
                <w:kern w:val="0"/>
                <w:highlight w:val="none"/>
              </w:rPr>
            </w:pPr>
            <w:r>
              <w:rPr>
                <w:rFonts w:hint="eastAsia" w:cs="Times New Roman"/>
                <w:kern w:val="0"/>
                <w:highlight w:val="none"/>
              </w:rPr>
              <w:t>区域规划用地范围及所在的水文地质单元的地下水水质</w:t>
            </w:r>
          </w:p>
        </w:tc>
        <w:tc>
          <w:tcPr>
            <w:tcW w:w="689" w:type="pct"/>
            <w:vAlign w:val="center"/>
          </w:tcPr>
          <w:p>
            <w:pPr>
              <w:pStyle w:val="58"/>
              <w:rPr>
                <w:rFonts w:cs="Times New Roman"/>
                <w:kern w:val="0"/>
                <w:highlight w:val="none"/>
              </w:rPr>
            </w:pPr>
            <w:r>
              <w:rPr>
                <w:rFonts w:cs="Times New Roman"/>
                <w:kern w:val="0"/>
                <w:highlight w:val="none"/>
              </w:rPr>
              <w:t>GB/T14848-2017</w:t>
            </w:r>
            <w:r>
              <w:rPr>
                <w:rFonts w:hint="eastAsia" w:cs="Times New Roman"/>
                <w:kern w:val="0"/>
                <w:highlight w:val="none"/>
              </w:rPr>
              <w:t>中</w:t>
            </w:r>
            <w:r>
              <w:rPr>
                <w:rFonts w:cs="Times New Roman"/>
                <w:kern w:val="0"/>
                <w:highlight w:val="none"/>
              </w:rPr>
              <w:t>Ⅲ</w:t>
            </w:r>
            <w:r>
              <w:rPr>
                <w:rFonts w:hint="eastAsia" w:cs="Times New Roman"/>
                <w:kern w:val="0"/>
                <w:highlight w:val="none"/>
              </w:rPr>
              <w:t>类标准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Align w:val="center"/>
          </w:tcPr>
          <w:p>
            <w:pPr>
              <w:pStyle w:val="58"/>
              <w:rPr>
                <w:rFonts w:cs="Times New Roman"/>
                <w:kern w:val="0"/>
                <w:highlight w:val="none"/>
              </w:rPr>
            </w:pPr>
            <w:r>
              <w:rPr>
                <w:rFonts w:hint="eastAsia" w:cs="Times New Roman"/>
                <w:kern w:val="0"/>
                <w:highlight w:val="none"/>
              </w:rPr>
              <w:t>声环境</w:t>
            </w:r>
          </w:p>
        </w:tc>
        <w:tc>
          <w:tcPr>
            <w:tcW w:w="1209" w:type="pct"/>
            <w:vAlign w:val="center"/>
          </w:tcPr>
          <w:p>
            <w:pPr>
              <w:pStyle w:val="58"/>
              <w:rPr>
                <w:rFonts w:cs="Times New Roman"/>
                <w:kern w:val="0"/>
                <w:highlight w:val="none"/>
              </w:rPr>
            </w:pPr>
            <w:r>
              <w:rPr>
                <w:rFonts w:hint="eastAsia" w:cs="Times New Roman"/>
                <w:kern w:val="0"/>
                <w:highlight w:val="none"/>
              </w:rPr>
              <w:t>园区内及周边学校、医院、人群</w:t>
            </w:r>
          </w:p>
        </w:tc>
        <w:tc>
          <w:tcPr>
            <w:tcW w:w="2743" w:type="pct"/>
            <w:gridSpan w:val="4"/>
            <w:vAlign w:val="center"/>
          </w:tcPr>
          <w:p>
            <w:pPr>
              <w:pStyle w:val="58"/>
              <w:rPr>
                <w:rFonts w:cs="Times New Roman"/>
                <w:kern w:val="0"/>
                <w:highlight w:val="none"/>
              </w:rPr>
            </w:pPr>
            <w:r>
              <w:rPr>
                <w:rFonts w:hint="eastAsia" w:cs="Times New Roman"/>
                <w:kern w:val="0"/>
                <w:highlight w:val="none"/>
              </w:rPr>
              <w:t>园区内及园区外</w:t>
            </w:r>
            <w:r>
              <w:rPr>
                <w:rFonts w:cs="Times New Roman"/>
                <w:kern w:val="0"/>
                <w:highlight w:val="none"/>
              </w:rPr>
              <w:t>200m</w:t>
            </w:r>
            <w:r>
              <w:rPr>
                <w:rFonts w:hint="eastAsia" w:cs="Times New Roman"/>
                <w:kern w:val="0"/>
                <w:highlight w:val="none"/>
              </w:rPr>
              <w:t>范围声环境敏感保护目标</w:t>
            </w:r>
          </w:p>
        </w:tc>
        <w:tc>
          <w:tcPr>
            <w:tcW w:w="689" w:type="pct"/>
            <w:vAlign w:val="center"/>
          </w:tcPr>
          <w:p>
            <w:pPr>
              <w:pStyle w:val="58"/>
              <w:rPr>
                <w:rFonts w:cs="Times New Roman"/>
                <w:kern w:val="0"/>
                <w:highlight w:val="none"/>
              </w:rPr>
            </w:pPr>
            <w:r>
              <w:rPr>
                <w:rFonts w:cs="Times New Roman"/>
                <w:kern w:val="0"/>
                <w:highlight w:val="none"/>
              </w:rPr>
              <w:t>GB3096-2008</w:t>
            </w:r>
            <w:r>
              <w:rPr>
                <w:rFonts w:hint="eastAsia" w:cs="Times New Roman"/>
                <w:kern w:val="0"/>
                <w:highlight w:val="none"/>
              </w:rPr>
              <w:t>中</w:t>
            </w:r>
            <w:r>
              <w:rPr>
                <w:rFonts w:cs="Times New Roman"/>
                <w:kern w:val="0"/>
                <w:highlight w:val="none"/>
              </w:rPr>
              <w:t>2</w:t>
            </w:r>
            <w:r>
              <w:rPr>
                <w:rFonts w:hint="eastAsia" w:cs="Times New Roman"/>
                <w:kern w:val="0"/>
                <w:highlight w:val="none"/>
              </w:rPr>
              <w:t>类标准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Align w:val="center"/>
          </w:tcPr>
          <w:p>
            <w:pPr>
              <w:pStyle w:val="58"/>
              <w:rPr>
                <w:rFonts w:cs="Times New Roman"/>
                <w:kern w:val="0"/>
                <w:highlight w:val="none"/>
              </w:rPr>
            </w:pPr>
            <w:r>
              <w:rPr>
                <w:rFonts w:hint="eastAsia" w:cs="Times New Roman"/>
                <w:kern w:val="0"/>
                <w:highlight w:val="none"/>
              </w:rPr>
              <w:t>土壤环境</w:t>
            </w:r>
          </w:p>
        </w:tc>
        <w:tc>
          <w:tcPr>
            <w:tcW w:w="1209" w:type="pct"/>
            <w:vAlign w:val="center"/>
          </w:tcPr>
          <w:p>
            <w:pPr>
              <w:pStyle w:val="58"/>
              <w:rPr>
                <w:rFonts w:cs="Times New Roman"/>
                <w:kern w:val="0"/>
                <w:highlight w:val="none"/>
              </w:rPr>
            </w:pPr>
            <w:r>
              <w:rPr>
                <w:rFonts w:hint="eastAsia" w:cs="Times New Roman"/>
                <w:kern w:val="0"/>
                <w:highlight w:val="none"/>
              </w:rPr>
              <w:t>园区内及周边土壤环境</w:t>
            </w:r>
          </w:p>
        </w:tc>
        <w:tc>
          <w:tcPr>
            <w:tcW w:w="2743" w:type="pct"/>
            <w:gridSpan w:val="4"/>
            <w:vAlign w:val="center"/>
          </w:tcPr>
          <w:p>
            <w:pPr>
              <w:pStyle w:val="58"/>
              <w:rPr>
                <w:rFonts w:cs="Times New Roman"/>
                <w:kern w:val="0"/>
                <w:highlight w:val="none"/>
              </w:rPr>
            </w:pPr>
            <w:r>
              <w:rPr>
                <w:rFonts w:hint="eastAsia" w:cs="Times New Roman"/>
                <w:kern w:val="0"/>
                <w:highlight w:val="none"/>
              </w:rPr>
              <w:t>园区内及园区外1</w:t>
            </w:r>
            <w:r>
              <w:rPr>
                <w:rFonts w:cs="Times New Roman"/>
                <w:kern w:val="0"/>
                <w:highlight w:val="none"/>
              </w:rPr>
              <w:t>000m</w:t>
            </w:r>
            <w:r>
              <w:rPr>
                <w:rFonts w:hint="eastAsia" w:cs="Times New Roman"/>
                <w:kern w:val="0"/>
                <w:highlight w:val="none"/>
              </w:rPr>
              <w:t>范围土壤环境</w:t>
            </w:r>
          </w:p>
        </w:tc>
        <w:tc>
          <w:tcPr>
            <w:tcW w:w="689" w:type="pct"/>
            <w:vAlign w:val="center"/>
          </w:tcPr>
          <w:p>
            <w:pPr>
              <w:pStyle w:val="58"/>
              <w:rPr>
                <w:rFonts w:cs="Times New Roman"/>
                <w:kern w:val="0"/>
                <w:highlight w:val="none"/>
              </w:rPr>
            </w:pPr>
            <w:r>
              <w:rPr>
                <w:rFonts w:cs="Times New Roman"/>
                <w:kern w:val="0"/>
                <w:highlight w:val="none"/>
              </w:rPr>
              <w:t>GB36600-2018</w:t>
            </w:r>
            <w:r>
              <w:rPr>
                <w:rFonts w:hint="eastAsia" w:cs="Times New Roman"/>
                <w:kern w:val="0"/>
                <w:highlight w:val="none"/>
              </w:rPr>
              <w:t>/</w:t>
            </w:r>
            <w:r>
              <w:rPr>
                <w:rFonts w:cs="Times New Roman"/>
                <w:kern w:val="0"/>
                <w:highlight w:val="none"/>
              </w:rPr>
              <w:t>GB15618-2018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59" w:type="pct"/>
            <w:vAlign w:val="center"/>
          </w:tcPr>
          <w:p>
            <w:pPr>
              <w:pStyle w:val="58"/>
              <w:rPr>
                <w:rFonts w:cs="Times New Roman"/>
                <w:kern w:val="0"/>
                <w:highlight w:val="none"/>
              </w:rPr>
            </w:pPr>
            <w:r>
              <w:rPr>
                <w:rFonts w:hint="eastAsia" w:cs="Times New Roman"/>
                <w:kern w:val="0"/>
                <w:highlight w:val="none"/>
              </w:rPr>
              <w:t>社会环境</w:t>
            </w:r>
          </w:p>
        </w:tc>
        <w:tc>
          <w:tcPr>
            <w:tcW w:w="1209" w:type="pct"/>
            <w:vAlign w:val="center"/>
          </w:tcPr>
          <w:p>
            <w:pPr>
              <w:pStyle w:val="58"/>
              <w:rPr>
                <w:rFonts w:cs="Times New Roman"/>
                <w:kern w:val="0"/>
                <w:highlight w:val="none"/>
              </w:rPr>
            </w:pPr>
            <w:r>
              <w:rPr>
                <w:rFonts w:cs="Times New Roman"/>
                <w:kern w:val="0"/>
                <w:highlight w:val="none"/>
              </w:rPr>
              <w:t>区域内拆迁户</w:t>
            </w:r>
          </w:p>
        </w:tc>
        <w:tc>
          <w:tcPr>
            <w:tcW w:w="2743" w:type="pct"/>
            <w:gridSpan w:val="4"/>
            <w:vAlign w:val="center"/>
          </w:tcPr>
          <w:p>
            <w:pPr>
              <w:pStyle w:val="58"/>
              <w:rPr>
                <w:rFonts w:cs="Times New Roman"/>
                <w:kern w:val="0"/>
                <w:highlight w:val="none"/>
              </w:rPr>
            </w:pPr>
            <w:r>
              <w:rPr>
                <w:rFonts w:cs="Times New Roman"/>
                <w:kern w:val="0"/>
                <w:highlight w:val="none"/>
              </w:rPr>
              <w:t>评价区域内</w:t>
            </w:r>
            <w:r>
              <w:rPr>
                <w:rFonts w:hint="eastAsia" w:cs="Times New Roman"/>
                <w:kern w:val="0"/>
                <w:highlight w:val="none"/>
              </w:rPr>
              <w:t>（胡家梁社区3个组1180人，金陵村1个组30户120人）</w:t>
            </w:r>
          </w:p>
        </w:tc>
        <w:tc>
          <w:tcPr>
            <w:tcW w:w="689" w:type="pct"/>
            <w:vAlign w:val="center"/>
          </w:tcPr>
          <w:p>
            <w:pPr>
              <w:pStyle w:val="58"/>
              <w:rPr>
                <w:rFonts w:cs="Times New Roman"/>
                <w:kern w:val="0"/>
                <w:highlight w:val="none"/>
              </w:rPr>
            </w:pPr>
            <w:r>
              <w:rPr>
                <w:rFonts w:cs="Times New Roman"/>
                <w:kern w:val="0"/>
                <w:highlight w:val="none"/>
              </w:rPr>
              <w:t>分批次进行拆迁安置，不因区域开发导致拆迁安置居民生活水平下降</w:t>
            </w:r>
          </w:p>
        </w:tc>
      </w:tr>
    </w:tbl>
    <w:p>
      <w:pPr>
        <w:ind w:firstLine="480"/>
        <w:rPr>
          <w:highlight w:val="none"/>
        </w:rPr>
        <w:sectPr>
          <w:headerReference r:id="rId18" w:type="first"/>
          <w:footerReference r:id="rId21" w:type="first"/>
          <w:footerReference r:id="rId19" w:type="default"/>
          <w:headerReference r:id="rId17" w:type="even"/>
          <w:footerReference r:id="rId20" w:type="even"/>
          <w:pgSz w:w="16838" w:h="11906" w:orient="landscape"/>
          <w:pgMar w:top="1418" w:right="1418" w:bottom="1418" w:left="1418" w:header="851" w:footer="992" w:gutter="0"/>
          <w:pgNumType w:chapStyle="1"/>
          <w:cols w:space="425" w:num="1"/>
          <w:docGrid w:type="lines" w:linePitch="326" w:charSpace="0"/>
        </w:sectPr>
      </w:pPr>
    </w:p>
    <w:p>
      <w:pPr>
        <w:pStyle w:val="3"/>
        <w:ind w:left="300" w:hanging="300"/>
        <w:rPr>
          <w:highlight w:val="none"/>
        </w:rPr>
      </w:pPr>
      <w:bookmarkStart w:id="11" w:name="_Toc154518129"/>
      <w:r>
        <w:rPr>
          <w:rFonts w:hint="eastAsia"/>
          <w:highlight w:val="none"/>
        </w:rPr>
        <w:t>评价方法</w:t>
      </w:r>
      <w:bookmarkEnd w:id="11"/>
    </w:p>
    <w:p>
      <w:pPr>
        <w:pStyle w:val="89"/>
        <w:ind w:firstLine="480"/>
        <w:rPr>
          <w:highlight w:val="none"/>
        </w:rPr>
      </w:pPr>
      <w:r>
        <w:rPr>
          <w:rFonts w:hint="eastAsia"/>
          <w:highlight w:val="none"/>
        </w:rPr>
        <w:t>在规划环境影响评价中采用的技术方法大致可分为两大类别，一类是在建设项目环境影响评价中采取的可适用于规划环境影响评价的方法，如识别影响的各种方法（清单、矩阵、网络分析）、描述基本现状、环境影响预测模型等；另一类是在经济部门、规划研究中使用的可用于规划环境影响评价的方法，如各种形式的情景和模拟分析、区域预测、投入产出方法、地理信息系统、投资-效益分析、环境承载力分析等。</w:t>
      </w:r>
    </w:p>
    <w:p>
      <w:pPr>
        <w:pStyle w:val="89"/>
        <w:ind w:firstLine="480"/>
        <w:rPr>
          <w:highlight w:val="none"/>
        </w:rPr>
      </w:pPr>
      <w:r>
        <w:rPr>
          <w:rFonts w:hint="eastAsia"/>
          <w:highlight w:val="none"/>
        </w:rPr>
        <w:t>本次规划环评各评价环节所采用的评价方法见下表。</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1.7</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2</w:instrText>
      </w:r>
      <w:r>
        <w:rPr>
          <w:highlight w:val="none"/>
        </w:rPr>
        <w:instrText xml:space="preserve"> </w:instrText>
      </w:r>
      <w:r>
        <w:rPr>
          <w:highlight w:val="none"/>
        </w:rPr>
        <w:fldChar w:fldCharType="separate"/>
      </w:r>
      <w:r>
        <w:rPr>
          <w:highlight w:val="none"/>
        </w:rPr>
        <w:t>1</w:t>
      </w:r>
      <w:r>
        <w:rPr>
          <w:highlight w:val="none"/>
        </w:rPr>
        <w:fldChar w:fldCharType="end"/>
      </w:r>
      <w:r>
        <w:rPr>
          <w:highlight w:val="none"/>
        </w:rPr>
        <w:t xml:space="preserve">  规划的环境影响评价各环节评价方法</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61"/>
        <w:gridCol w:w="62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48" w:type="pct"/>
            <w:shd w:val="clear" w:color="auto" w:fill="auto"/>
            <w:vAlign w:val="center"/>
          </w:tcPr>
          <w:p>
            <w:pPr>
              <w:pStyle w:val="58"/>
              <w:rPr>
                <w:kern w:val="0"/>
                <w:highlight w:val="none"/>
              </w:rPr>
            </w:pPr>
            <w:r>
              <w:rPr>
                <w:highlight w:val="none"/>
              </w:rPr>
              <w:t>评价环节</w:t>
            </w:r>
          </w:p>
        </w:tc>
        <w:tc>
          <w:tcPr>
            <w:tcW w:w="3352" w:type="pct"/>
            <w:shd w:val="clear" w:color="auto" w:fill="auto"/>
            <w:vAlign w:val="center"/>
          </w:tcPr>
          <w:p>
            <w:pPr>
              <w:pStyle w:val="58"/>
              <w:rPr>
                <w:kern w:val="0"/>
                <w:highlight w:val="none"/>
              </w:rPr>
            </w:pPr>
            <w:r>
              <w:rPr>
                <w:highlight w:val="none"/>
              </w:rPr>
              <w:t>方法名称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48" w:type="pct"/>
            <w:shd w:val="clear" w:color="auto" w:fill="auto"/>
            <w:vAlign w:val="center"/>
          </w:tcPr>
          <w:p>
            <w:pPr>
              <w:pStyle w:val="58"/>
              <w:rPr>
                <w:kern w:val="0"/>
                <w:highlight w:val="none"/>
              </w:rPr>
            </w:pPr>
            <w:r>
              <w:rPr>
                <w:highlight w:val="none"/>
              </w:rPr>
              <w:t>规划方案的初步筛选</w:t>
            </w:r>
          </w:p>
        </w:tc>
        <w:tc>
          <w:tcPr>
            <w:tcW w:w="3352" w:type="pct"/>
            <w:shd w:val="clear" w:color="auto" w:fill="auto"/>
            <w:vAlign w:val="center"/>
          </w:tcPr>
          <w:p>
            <w:pPr>
              <w:pStyle w:val="58"/>
              <w:rPr>
                <w:kern w:val="0"/>
                <w:highlight w:val="none"/>
              </w:rPr>
            </w:pPr>
            <w:r>
              <w:rPr>
                <w:highlight w:val="none"/>
              </w:rPr>
              <w:t>专家咨询法、对比、类比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48" w:type="pct"/>
            <w:shd w:val="clear" w:color="auto" w:fill="auto"/>
            <w:vAlign w:val="center"/>
          </w:tcPr>
          <w:p>
            <w:pPr>
              <w:pStyle w:val="58"/>
              <w:rPr>
                <w:kern w:val="0"/>
                <w:highlight w:val="none"/>
              </w:rPr>
            </w:pPr>
            <w:r>
              <w:rPr>
                <w:highlight w:val="none"/>
              </w:rPr>
              <w:t>环境背景调查分析</w:t>
            </w:r>
          </w:p>
        </w:tc>
        <w:tc>
          <w:tcPr>
            <w:tcW w:w="3352" w:type="pct"/>
            <w:shd w:val="clear" w:color="auto" w:fill="auto"/>
            <w:vAlign w:val="center"/>
          </w:tcPr>
          <w:p>
            <w:pPr>
              <w:pStyle w:val="58"/>
              <w:rPr>
                <w:kern w:val="0"/>
                <w:highlight w:val="none"/>
              </w:rPr>
            </w:pPr>
            <w:r>
              <w:rPr>
                <w:highlight w:val="none"/>
              </w:rPr>
              <w:t>收集资料法、现场调查和监测法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48" w:type="pct"/>
            <w:shd w:val="clear" w:color="auto" w:fill="auto"/>
            <w:vAlign w:val="center"/>
          </w:tcPr>
          <w:p>
            <w:pPr>
              <w:pStyle w:val="58"/>
              <w:rPr>
                <w:kern w:val="0"/>
                <w:highlight w:val="none"/>
              </w:rPr>
            </w:pPr>
            <w:r>
              <w:rPr>
                <w:highlight w:val="none"/>
              </w:rPr>
              <w:t>规划环境影响的识别</w:t>
            </w:r>
          </w:p>
        </w:tc>
        <w:tc>
          <w:tcPr>
            <w:tcW w:w="3352" w:type="pct"/>
            <w:shd w:val="clear" w:color="auto" w:fill="auto"/>
            <w:vAlign w:val="center"/>
          </w:tcPr>
          <w:p>
            <w:pPr>
              <w:pStyle w:val="58"/>
              <w:rPr>
                <w:kern w:val="0"/>
                <w:highlight w:val="none"/>
              </w:rPr>
            </w:pPr>
            <w:r>
              <w:rPr>
                <w:highlight w:val="none"/>
              </w:rPr>
              <w:t>核查表法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48" w:type="pct"/>
            <w:shd w:val="clear" w:color="auto" w:fill="auto"/>
            <w:vAlign w:val="center"/>
          </w:tcPr>
          <w:p>
            <w:pPr>
              <w:pStyle w:val="58"/>
              <w:rPr>
                <w:kern w:val="0"/>
                <w:highlight w:val="none"/>
              </w:rPr>
            </w:pPr>
            <w:r>
              <w:rPr>
                <w:highlight w:val="none"/>
              </w:rPr>
              <w:t>规划环境影响的预测与评价</w:t>
            </w:r>
          </w:p>
        </w:tc>
        <w:tc>
          <w:tcPr>
            <w:tcW w:w="3352" w:type="pct"/>
            <w:shd w:val="clear" w:color="auto" w:fill="auto"/>
            <w:vAlign w:val="center"/>
          </w:tcPr>
          <w:p>
            <w:pPr>
              <w:pStyle w:val="58"/>
              <w:rPr>
                <w:kern w:val="0"/>
                <w:highlight w:val="none"/>
              </w:rPr>
            </w:pPr>
            <w:r>
              <w:rPr>
                <w:rFonts w:hint="eastAsia"/>
                <w:highlight w:val="none"/>
              </w:rPr>
              <w:t>情景预测法、</w:t>
            </w:r>
            <w:r>
              <w:rPr>
                <w:highlight w:val="none"/>
              </w:rPr>
              <w:t>环境数学模型、环境承载力分析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48" w:type="pct"/>
            <w:shd w:val="clear" w:color="auto" w:fill="auto"/>
            <w:vAlign w:val="center"/>
          </w:tcPr>
          <w:p>
            <w:pPr>
              <w:pStyle w:val="58"/>
              <w:rPr>
                <w:highlight w:val="none"/>
              </w:rPr>
            </w:pPr>
            <w:r>
              <w:rPr>
                <w:highlight w:val="none"/>
              </w:rPr>
              <w:t>累积环境影响评价</w:t>
            </w:r>
          </w:p>
        </w:tc>
        <w:tc>
          <w:tcPr>
            <w:tcW w:w="3352" w:type="pct"/>
            <w:shd w:val="clear" w:color="auto" w:fill="auto"/>
            <w:vAlign w:val="center"/>
          </w:tcPr>
          <w:p>
            <w:pPr>
              <w:pStyle w:val="58"/>
              <w:rPr>
                <w:kern w:val="0"/>
                <w:highlight w:val="none"/>
              </w:rPr>
            </w:pPr>
            <w:r>
              <w:rPr>
                <w:highlight w:val="none"/>
              </w:rPr>
              <w:t>专家咨询法、环境数学模型法、承载力分析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48" w:type="pct"/>
            <w:shd w:val="clear" w:color="auto" w:fill="auto"/>
            <w:vAlign w:val="center"/>
          </w:tcPr>
          <w:p>
            <w:pPr>
              <w:pStyle w:val="58"/>
              <w:rPr>
                <w:kern w:val="0"/>
                <w:highlight w:val="none"/>
              </w:rPr>
            </w:pPr>
            <w:r>
              <w:rPr>
                <w:highlight w:val="none"/>
              </w:rPr>
              <w:t>公众参与</w:t>
            </w:r>
          </w:p>
        </w:tc>
        <w:tc>
          <w:tcPr>
            <w:tcW w:w="3352" w:type="pct"/>
            <w:shd w:val="clear" w:color="auto" w:fill="auto"/>
            <w:vAlign w:val="center"/>
          </w:tcPr>
          <w:p>
            <w:pPr>
              <w:pStyle w:val="58"/>
              <w:rPr>
                <w:kern w:val="0"/>
                <w:highlight w:val="none"/>
              </w:rPr>
            </w:pPr>
            <w:r>
              <w:rPr>
                <w:highlight w:val="none"/>
              </w:rPr>
              <w:t>媒体公示</w:t>
            </w:r>
            <w:r>
              <w:rPr>
                <w:rFonts w:hint="eastAsia"/>
                <w:highlight w:val="none"/>
              </w:rPr>
              <w:t>、公众</w:t>
            </w:r>
            <w:r>
              <w:rPr>
                <w:highlight w:val="none"/>
              </w:rPr>
              <w:t>调查表</w:t>
            </w:r>
          </w:p>
        </w:tc>
      </w:tr>
    </w:tbl>
    <w:p>
      <w:pPr>
        <w:pStyle w:val="58"/>
        <w:rPr>
          <w:highlight w:val="none"/>
        </w:rPr>
      </w:pPr>
    </w:p>
    <w:p>
      <w:pPr>
        <w:pStyle w:val="3"/>
        <w:ind w:left="300" w:hanging="300"/>
        <w:rPr>
          <w:highlight w:val="none"/>
        </w:rPr>
      </w:pPr>
      <w:bookmarkStart w:id="12" w:name="_Toc154518130"/>
      <w:r>
        <w:rPr>
          <w:rFonts w:hint="eastAsia"/>
          <w:highlight w:val="none"/>
        </w:rPr>
        <w:t>评价基本任务</w:t>
      </w:r>
      <w:bookmarkEnd w:id="12"/>
    </w:p>
    <w:p>
      <w:pPr>
        <w:pStyle w:val="89"/>
        <w:ind w:firstLine="480"/>
        <w:rPr>
          <w:highlight w:val="none"/>
        </w:rPr>
      </w:pPr>
      <w:r>
        <w:rPr>
          <w:rFonts w:hint="eastAsia"/>
          <w:highlight w:val="none"/>
        </w:rPr>
        <w:t>（1）开展园区发展情况与区域生态环境现状调查、生态环境影响回顾性评价，规划实施主要生态、环境、资源制约因素分析。</w:t>
      </w:r>
    </w:p>
    <w:p>
      <w:pPr>
        <w:pStyle w:val="89"/>
        <w:ind w:firstLine="480"/>
        <w:rPr>
          <w:highlight w:val="none"/>
        </w:rPr>
      </w:pPr>
      <w:r>
        <w:rPr>
          <w:rFonts w:hint="eastAsia"/>
          <w:highlight w:val="none"/>
        </w:rPr>
        <w:t>（2）识别规划实施主要生态环境影响和风险因子，分析规划实施生态环境压力、污染物减排和节能降碳潜力，预测与评价规划实施环境影响和潜在风险，分析资源与环境承载状态。</w:t>
      </w:r>
    </w:p>
    <w:p>
      <w:pPr>
        <w:pStyle w:val="89"/>
        <w:ind w:firstLine="480"/>
        <w:rPr>
          <w:highlight w:val="none"/>
        </w:rPr>
      </w:pPr>
      <w:r>
        <w:rPr>
          <w:rFonts w:hint="eastAsia"/>
          <w:highlight w:val="none"/>
        </w:rPr>
        <w:t>（3）论证规划产业定位、发展规模、产业结构、布局、建设时序及环境基础设施等的环境合理性，并提出优化调整建议，说明优化调整的依据和潜在效果或效益。</w:t>
      </w:r>
    </w:p>
    <w:p>
      <w:pPr>
        <w:pStyle w:val="89"/>
        <w:ind w:firstLine="480"/>
        <w:rPr>
          <w:highlight w:val="none"/>
        </w:rPr>
      </w:pPr>
      <w:r>
        <w:rPr>
          <w:rFonts w:hint="eastAsia"/>
          <w:highlight w:val="none"/>
        </w:rPr>
        <w:t>（4）提出既有环境问题及不良环境影响的减缓对策、措施，明确规划实施环境影响跟踪监测与评价要求、规划所含建设项目的环境影响评价重点，制定或完善产业园区环境准入及产业园区环境管理要求，形成评价结论与建议。</w:t>
      </w:r>
    </w:p>
    <w:p>
      <w:pPr>
        <w:pStyle w:val="3"/>
        <w:ind w:left="300" w:hanging="300"/>
        <w:rPr>
          <w:highlight w:val="none"/>
        </w:rPr>
      </w:pPr>
      <w:bookmarkStart w:id="13" w:name="_Toc154518131"/>
      <w:r>
        <w:rPr>
          <w:rFonts w:hint="eastAsia"/>
          <w:highlight w:val="none"/>
        </w:rPr>
        <w:t>技术路线</w:t>
      </w:r>
      <w:bookmarkEnd w:id="13"/>
    </w:p>
    <w:p>
      <w:pPr>
        <w:pStyle w:val="89"/>
        <w:ind w:firstLine="480"/>
        <w:rPr>
          <w:highlight w:val="none"/>
        </w:rPr>
      </w:pPr>
      <w:r>
        <w:rPr>
          <w:rFonts w:hint="eastAsia"/>
          <w:highlight w:val="none"/>
        </w:rPr>
        <w:t>评价工作程序主要分为以下三个阶段进行：</w:t>
      </w:r>
    </w:p>
    <w:p>
      <w:pPr>
        <w:pStyle w:val="89"/>
        <w:ind w:firstLine="480"/>
        <w:rPr>
          <w:highlight w:val="none"/>
        </w:rPr>
      </w:pPr>
      <w:r>
        <w:rPr>
          <w:rFonts w:hint="eastAsia"/>
          <w:highlight w:val="none"/>
        </w:rPr>
        <w:t>（1）规划分析阶段</w:t>
      </w:r>
    </w:p>
    <w:p>
      <w:pPr>
        <w:pStyle w:val="89"/>
        <w:ind w:firstLine="480"/>
        <w:rPr>
          <w:highlight w:val="none"/>
        </w:rPr>
      </w:pPr>
      <w:r>
        <w:rPr>
          <w:rFonts w:hint="eastAsia"/>
          <w:highlight w:val="none"/>
        </w:rPr>
        <w:t>通过对规划可能涉及内容的分析，收集与规划相关的法律、法规、环境政策和产业政策，对规划区域进行现场踏勘，收集有关基础数据，初步调查环境敏感区域的有关情况，识别规划实施的主要环境影响，分析提出规划实施的资源和环境制约因素，反馈给规划编制机关。同时确定规划环境影响评价方案。</w:t>
      </w:r>
    </w:p>
    <w:p>
      <w:pPr>
        <w:pStyle w:val="89"/>
        <w:ind w:firstLine="480"/>
        <w:rPr>
          <w:highlight w:val="none"/>
        </w:rPr>
      </w:pPr>
      <w:r>
        <w:rPr>
          <w:rFonts w:hint="eastAsia"/>
          <w:highlight w:val="none"/>
        </w:rPr>
        <w:t>（2）规划方案环境综合论证阶段</w:t>
      </w:r>
    </w:p>
    <w:p>
      <w:pPr>
        <w:pStyle w:val="89"/>
        <w:ind w:firstLine="480"/>
        <w:rPr>
          <w:highlight w:val="none"/>
        </w:rPr>
      </w:pPr>
      <w:r>
        <w:rPr>
          <w:rFonts w:hint="eastAsia"/>
          <w:highlight w:val="none"/>
        </w:rPr>
        <w:t>评价随着规划的不断深入，及时对不同规划方案实施的资源、环境、生态环境进行分析、预测和评估，结合生态环境分区管控体系综合论证规划方案的合理性，提出优化调整建议，反馈给规划编制机关，供其在不同规划方案的比选中参考与利用。</w:t>
      </w:r>
    </w:p>
    <w:p>
      <w:pPr>
        <w:pStyle w:val="89"/>
        <w:ind w:firstLine="480"/>
        <w:rPr>
          <w:highlight w:val="none"/>
        </w:rPr>
      </w:pPr>
      <w:r>
        <w:rPr>
          <w:rFonts w:hint="eastAsia"/>
          <w:highlight w:val="none"/>
        </w:rPr>
        <w:t>（3）规划优化调整阶段</w:t>
      </w:r>
    </w:p>
    <w:p>
      <w:pPr>
        <w:pStyle w:val="89"/>
        <w:ind w:firstLine="480"/>
        <w:rPr>
          <w:highlight w:val="none"/>
        </w:rPr>
      </w:pPr>
      <w:r>
        <w:rPr>
          <w:rFonts w:hint="eastAsia"/>
          <w:highlight w:val="none"/>
        </w:rPr>
        <w:t>应针对环境影响评价推荐的环境可行的规划方案，从战略和政策层面提出环境影响减缓措施。如果规划未采纳环境影响评价的推荐方案，还应重点对规划方案提出必要的优化调整建议。编制环境影响跟踪评价方案，提出产业园区环境准入、规划所含项目的环评要求等。最后给出规划环境影响评价结论。</w:t>
      </w:r>
    </w:p>
    <w:p>
      <w:pPr>
        <w:pStyle w:val="89"/>
        <w:ind w:firstLine="480"/>
        <w:rPr>
          <w:highlight w:val="none"/>
        </w:rPr>
      </w:pPr>
      <w:r>
        <w:rPr>
          <w:rFonts w:hint="eastAsia"/>
          <w:highlight w:val="none"/>
        </w:rPr>
        <w:t>如果规划选择的方案资源环境无法承载、可能造成重大不良环境影响且无法提出切实可行的预防或减轻对策和措施，以及对可能产生的不良环境影响的程度或范围尚无法做出科学判断时，应提出放弃规划方案的建议，反馈给规划编制机关。</w:t>
      </w:r>
    </w:p>
    <w:p>
      <w:pPr>
        <w:pStyle w:val="57"/>
        <w:spacing w:after="163"/>
        <w:rPr>
          <w:highlight w:val="none"/>
        </w:rPr>
      </w:pPr>
      <w:r>
        <w:rPr>
          <w:sz w:val="24"/>
          <w:highlight w:val="none"/>
        </w:rPr>
        <w:object>
          <v:shape id="_x0000_i1025" o:spt="75" type="#_x0000_t75" style="height:461.9pt;width:487.7pt;" o:ole="t" filled="f" o:preferrelative="t" stroked="f" coordsize="21600,21600">
            <v:path/>
            <v:fill on="f" focussize="0,0"/>
            <v:stroke on="f" joinstyle="miter"/>
            <v:imagedata r:id="rId36" o:title=""/>
            <o:lock v:ext="edit" aspectratio="t"/>
            <w10:wrap type="none"/>
            <w10:anchorlock/>
          </v:shape>
          <o:OLEObject Type="Embed" ProgID="Visio.Drawing.11" ShapeID="_x0000_i1025" DrawAspect="Content" ObjectID="_1468075725" r:id="rId35">
            <o:LockedField>false</o:LockedField>
          </o:OLEObject>
        </w:object>
      </w:r>
    </w:p>
    <w:p>
      <w:pPr>
        <w:pStyle w:val="57"/>
        <w:spacing w:after="163"/>
        <w:rPr>
          <w:highlight w:val="none"/>
        </w:rPr>
      </w:pPr>
      <w:r>
        <w:rPr>
          <w:rFonts w:hint="eastAsia"/>
          <w:highlight w:val="none"/>
        </w:rPr>
        <w:t xml:space="preserve">图 </w:t>
      </w:r>
      <w:r>
        <w:rPr>
          <w:highlight w:val="none"/>
        </w:rPr>
        <w:fldChar w:fldCharType="begin"/>
      </w:r>
      <w:r>
        <w:rPr>
          <w:highlight w:val="none"/>
        </w:rPr>
        <w:instrText xml:space="preserve"> </w:instrText>
      </w:r>
      <w:r>
        <w:rPr>
          <w:rFonts w:hint="eastAsia"/>
          <w:highlight w:val="none"/>
        </w:rPr>
        <w:instrText xml:space="preserve">STYLEREF 2 \s</w:instrText>
      </w:r>
      <w:r>
        <w:rPr>
          <w:highlight w:val="none"/>
        </w:rPr>
        <w:instrText xml:space="preserve"> </w:instrText>
      </w:r>
      <w:r>
        <w:rPr>
          <w:highlight w:val="none"/>
        </w:rPr>
        <w:fldChar w:fldCharType="separate"/>
      </w:r>
      <w:r>
        <w:rPr>
          <w:highlight w:val="none"/>
        </w:rPr>
        <w:t>1.9</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图 \* ARABIC \s 2</w:instrText>
      </w:r>
      <w:r>
        <w:rPr>
          <w:highlight w:val="none"/>
        </w:rPr>
        <w:instrText xml:space="preserve"> </w:instrText>
      </w:r>
      <w:r>
        <w:rPr>
          <w:highlight w:val="none"/>
        </w:rPr>
        <w:fldChar w:fldCharType="separate"/>
      </w:r>
      <w:r>
        <w:rPr>
          <w:highlight w:val="none"/>
        </w:rPr>
        <w:t>1</w:t>
      </w:r>
      <w:r>
        <w:rPr>
          <w:highlight w:val="none"/>
        </w:rPr>
        <w:fldChar w:fldCharType="end"/>
      </w:r>
      <w:r>
        <w:rPr>
          <w:highlight w:val="none"/>
        </w:rPr>
        <w:t xml:space="preserve">  </w:t>
      </w:r>
      <w:r>
        <w:rPr>
          <w:rFonts w:hint="eastAsia"/>
          <w:highlight w:val="none"/>
        </w:rPr>
        <w:t>环境影响评价工作程序</w:t>
      </w:r>
    </w:p>
    <w:p>
      <w:pPr>
        <w:rPr>
          <w:highlight w:val="none"/>
        </w:rPr>
      </w:pPr>
      <w:r>
        <w:rPr>
          <w:highlight w:val="none"/>
        </w:rPr>
        <w:br w:type="page"/>
      </w:r>
    </w:p>
    <w:p>
      <w:pPr>
        <w:keepNext/>
        <w:keepLines/>
        <w:widowControl w:val="0"/>
        <w:numPr>
          <w:ilvl w:val="0"/>
          <w:numId w:val="1"/>
        </w:numPr>
        <w:spacing w:before="163" w:beforeLines="50" w:after="163" w:afterLines="50" w:line="480" w:lineRule="auto"/>
        <w:ind w:left="440" w:hanging="440" w:firstLineChars="0"/>
        <w:jc w:val="left"/>
        <w:outlineLvl w:val="0"/>
        <w:rPr>
          <w:rFonts w:ascii="Times New Roman" w:hAnsi="Times New Roman" w:eastAsia="黑体" w:cs="Times New Roman"/>
          <w:bCs/>
          <w:kern w:val="44"/>
          <w:sz w:val="44"/>
          <w:szCs w:val="44"/>
          <w:highlight w:val="none"/>
          <w:lang w:val="en-US" w:eastAsia="zh-CN" w:bidi="ar-SA"/>
        </w:rPr>
      </w:pPr>
      <w:bookmarkStart w:id="14" w:name="_Toc145434589"/>
      <w:bookmarkStart w:id="15" w:name="文字1"/>
      <w:r>
        <w:rPr>
          <w:rFonts w:hint="eastAsia" w:ascii="Times New Roman" w:hAnsi="Times New Roman" w:eastAsia="黑体" w:cs="Times New Roman"/>
          <w:bCs/>
          <w:kern w:val="44"/>
          <w:sz w:val="44"/>
          <w:szCs w:val="44"/>
          <w:highlight w:val="none"/>
          <w:lang w:val="en-US" w:eastAsia="zh-CN" w:bidi="ar-SA"/>
        </w:rPr>
        <w:t>规划分析</w:t>
      </w:r>
      <w:bookmarkEnd w:id="14"/>
    </w:p>
    <w:p>
      <w:pPr>
        <w:keepNext/>
        <w:keepLines/>
        <w:widowControl w:val="0"/>
        <w:numPr>
          <w:ilvl w:val="1"/>
          <w:numId w:val="1"/>
        </w:numPr>
        <w:spacing w:line="480" w:lineRule="auto"/>
        <w:ind w:left="0" w:firstLine="0" w:firstLineChars="0"/>
        <w:jc w:val="left"/>
        <w:outlineLvl w:val="1"/>
        <w:rPr>
          <w:rFonts w:ascii="Times New Roman" w:hAnsi="Times New Roman" w:eastAsia="黑体" w:cs="Times New Roman"/>
          <w:bCs/>
          <w:kern w:val="2"/>
          <w:sz w:val="32"/>
          <w:szCs w:val="32"/>
          <w:highlight w:val="none"/>
          <w:lang w:val="en-US" w:eastAsia="zh-CN" w:bidi="ar-SA"/>
        </w:rPr>
      </w:pPr>
      <w:bookmarkStart w:id="16" w:name="_Toc145434590"/>
      <w:r>
        <w:rPr>
          <w:rFonts w:hint="eastAsia" w:ascii="Times New Roman" w:hAnsi="Times New Roman" w:eastAsia="黑体" w:cs="Times New Roman"/>
          <w:bCs/>
          <w:kern w:val="2"/>
          <w:sz w:val="32"/>
          <w:szCs w:val="32"/>
          <w:highlight w:val="none"/>
          <w:lang w:val="en-US" w:eastAsia="zh-CN" w:bidi="ar-SA"/>
        </w:rPr>
        <w:t>规划概况</w:t>
      </w:r>
      <w:bookmarkEnd w:id="16"/>
    </w:p>
    <w:p>
      <w:pPr>
        <w:keepNext/>
        <w:keepLines/>
        <w:widowControl w:val="0"/>
        <w:numPr>
          <w:ilvl w:val="2"/>
          <w:numId w:val="1"/>
        </w:numPr>
        <w:spacing w:line="360" w:lineRule="auto"/>
        <w:ind w:left="0" w:firstLine="0" w:firstLineChars="0"/>
        <w:jc w:val="left"/>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规划总体安排</w:t>
      </w:r>
    </w:p>
    <w:p>
      <w:pPr>
        <w:keepNext/>
        <w:widowControl w:val="0"/>
        <w:spacing w:line="360" w:lineRule="auto"/>
        <w:ind w:firstLine="360" w:firstLineChars="0"/>
        <w:jc w:val="center"/>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表</w:t>
      </w:r>
      <w:r>
        <w:rPr>
          <w:rFonts w:ascii="Times New Roman" w:hAnsi="Times New Roman" w:eastAsia="黑体" w:cs="Times New Roman"/>
          <w:kern w:val="2"/>
          <w:sz w:val="21"/>
          <w:szCs w:val="20"/>
          <w:highlight w:val="none"/>
          <w:lang w:val="en-US" w:eastAsia="zh-CN" w:bidi="ar-SA"/>
        </w:rPr>
        <w:fldChar w:fldCharType="begin"/>
      </w:r>
      <w:r>
        <w:rPr>
          <w:rFonts w:ascii="Times New Roman" w:hAnsi="Times New Roman" w:eastAsia="黑体" w:cs="Times New Roman"/>
          <w:kern w:val="2"/>
          <w:sz w:val="21"/>
          <w:szCs w:val="20"/>
          <w:highlight w:val="none"/>
          <w:lang w:val="en-US" w:eastAsia="zh-CN" w:bidi="ar-SA"/>
        </w:rPr>
        <w:instrText xml:space="preserve"> </w:instrText>
      </w:r>
      <w:r>
        <w:rPr>
          <w:rFonts w:hint="eastAsia" w:ascii="Times New Roman" w:hAnsi="Times New Roman" w:eastAsia="黑体" w:cs="Times New Roman"/>
          <w:kern w:val="2"/>
          <w:sz w:val="21"/>
          <w:szCs w:val="20"/>
          <w:highlight w:val="none"/>
          <w:lang w:val="en-US" w:eastAsia="zh-CN" w:bidi="ar-SA"/>
        </w:rPr>
        <w:instrText xml:space="preserve">STYLEREF 2 \s</w:instrText>
      </w:r>
      <w:r>
        <w:rPr>
          <w:rFonts w:ascii="Times New Roman" w:hAnsi="Times New Roman" w:eastAsia="黑体" w:cs="Times New Roman"/>
          <w:kern w:val="2"/>
          <w:sz w:val="21"/>
          <w:szCs w:val="20"/>
          <w:highlight w:val="none"/>
          <w:lang w:val="en-US" w:eastAsia="zh-CN" w:bidi="ar-SA"/>
        </w:rPr>
        <w:instrText xml:space="preserve"> </w:instrText>
      </w:r>
      <w:r>
        <w:rPr>
          <w:rFonts w:ascii="Times New Roman" w:hAnsi="Times New Roman" w:eastAsia="黑体" w:cs="Times New Roman"/>
          <w:kern w:val="2"/>
          <w:sz w:val="21"/>
          <w:szCs w:val="20"/>
          <w:highlight w:val="none"/>
          <w:lang w:val="en-US" w:eastAsia="zh-CN" w:bidi="ar-SA"/>
        </w:rPr>
        <w:fldChar w:fldCharType="separate"/>
      </w:r>
      <w:r>
        <w:rPr>
          <w:rFonts w:ascii="Times New Roman" w:hAnsi="Times New Roman" w:eastAsia="黑体" w:cs="Times New Roman"/>
          <w:kern w:val="2"/>
          <w:sz w:val="21"/>
          <w:szCs w:val="20"/>
          <w:highlight w:val="none"/>
          <w:lang w:val="en-US" w:eastAsia="zh-CN" w:bidi="ar-SA"/>
        </w:rPr>
        <w:t>2.1</w:t>
      </w:r>
      <w:r>
        <w:rPr>
          <w:rFonts w:ascii="Times New Roman" w:hAnsi="Times New Roman" w:eastAsia="黑体" w:cs="Times New Roman"/>
          <w:kern w:val="2"/>
          <w:sz w:val="21"/>
          <w:szCs w:val="20"/>
          <w:highlight w:val="none"/>
          <w:lang w:val="en-US" w:eastAsia="zh-CN" w:bidi="ar-SA"/>
        </w:rPr>
        <w:fldChar w:fldCharType="end"/>
      </w:r>
      <w:r>
        <w:rPr>
          <w:rFonts w:ascii="Times New Roman" w:hAnsi="Times New Roman" w:eastAsia="黑体" w:cs="Times New Roman"/>
          <w:kern w:val="2"/>
          <w:sz w:val="21"/>
          <w:szCs w:val="20"/>
          <w:highlight w:val="none"/>
          <w:lang w:val="en-US" w:eastAsia="zh-CN" w:bidi="ar-SA"/>
        </w:rPr>
        <w:noBreakHyphen/>
      </w:r>
      <w:r>
        <w:rPr>
          <w:rFonts w:ascii="Times New Roman" w:hAnsi="Times New Roman" w:eastAsia="黑体" w:cs="Times New Roman"/>
          <w:kern w:val="2"/>
          <w:sz w:val="21"/>
          <w:szCs w:val="20"/>
          <w:highlight w:val="none"/>
          <w:lang w:val="en-US" w:eastAsia="zh-CN" w:bidi="ar-SA"/>
        </w:rPr>
        <w:fldChar w:fldCharType="begin"/>
      </w:r>
      <w:r>
        <w:rPr>
          <w:rFonts w:ascii="Times New Roman" w:hAnsi="Times New Roman" w:eastAsia="黑体" w:cs="Times New Roman"/>
          <w:kern w:val="2"/>
          <w:sz w:val="21"/>
          <w:szCs w:val="20"/>
          <w:highlight w:val="none"/>
          <w:lang w:val="en-US" w:eastAsia="zh-CN" w:bidi="ar-SA"/>
        </w:rPr>
        <w:instrText xml:space="preserve"> </w:instrText>
      </w:r>
      <w:r>
        <w:rPr>
          <w:rFonts w:hint="eastAsia" w:ascii="Times New Roman" w:hAnsi="Times New Roman" w:eastAsia="黑体" w:cs="Times New Roman"/>
          <w:kern w:val="2"/>
          <w:sz w:val="21"/>
          <w:szCs w:val="20"/>
          <w:highlight w:val="none"/>
          <w:lang w:val="en-US" w:eastAsia="zh-CN" w:bidi="ar-SA"/>
        </w:rPr>
        <w:instrText xml:space="preserve">SEQ 表 \* ARABIC \s 2</w:instrText>
      </w:r>
      <w:r>
        <w:rPr>
          <w:rFonts w:ascii="Times New Roman" w:hAnsi="Times New Roman" w:eastAsia="黑体" w:cs="Times New Roman"/>
          <w:kern w:val="2"/>
          <w:sz w:val="21"/>
          <w:szCs w:val="20"/>
          <w:highlight w:val="none"/>
          <w:lang w:val="en-US" w:eastAsia="zh-CN" w:bidi="ar-SA"/>
        </w:rPr>
        <w:instrText xml:space="preserve"> </w:instrText>
      </w:r>
      <w:r>
        <w:rPr>
          <w:rFonts w:ascii="Times New Roman" w:hAnsi="Times New Roman" w:eastAsia="黑体" w:cs="Times New Roman"/>
          <w:kern w:val="2"/>
          <w:sz w:val="21"/>
          <w:szCs w:val="20"/>
          <w:highlight w:val="none"/>
          <w:lang w:val="en-US" w:eastAsia="zh-CN" w:bidi="ar-SA"/>
        </w:rPr>
        <w:fldChar w:fldCharType="separate"/>
      </w:r>
      <w:r>
        <w:rPr>
          <w:rFonts w:ascii="Times New Roman" w:hAnsi="Times New Roman" w:eastAsia="黑体" w:cs="Times New Roman"/>
          <w:kern w:val="2"/>
          <w:sz w:val="21"/>
          <w:szCs w:val="20"/>
          <w:highlight w:val="none"/>
          <w:lang w:val="en-US" w:eastAsia="zh-CN" w:bidi="ar-SA"/>
        </w:rPr>
        <w:t>1</w:t>
      </w:r>
      <w:r>
        <w:rPr>
          <w:rFonts w:ascii="Times New Roman" w:hAnsi="Times New Roman" w:eastAsia="黑体" w:cs="Times New Roman"/>
          <w:kern w:val="2"/>
          <w:sz w:val="21"/>
          <w:szCs w:val="20"/>
          <w:highlight w:val="none"/>
          <w:lang w:val="en-US" w:eastAsia="zh-CN" w:bidi="ar-SA"/>
        </w:rPr>
        <w:fldChar w:fldCharType="end"/>
      </w:r>
      <w:r>
        <w:rPr>
          <w:rFonts w:hint="eastAsia" w:ascii="Times New Roman" w:hAnsi="Times New Roman" w:eastAsia="黑体" w:cs="Times New Roman"/>
          <w:kern w:val="2"/>
          <w:sz w:val="21"/>
          <w:szCs w:val="20"/>
          <w:highlight w:val="none"/>
          <w:lang w:val="en-US" w:eastAsia="zh-CN" w:bidi="ar-SA"/>
        </w:rPr>
        <w:t>百利工业园产业发展规划概况</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6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widowControl w:val="0"/>
              <w:spacing w:before="0" w:beforeLines="0" w:line="240" w:lineRule="auto"/>
              <w:ind w:firstLine="0" w:firstLineChars="0"/>
              <w:jc w:val="center"/>
              <w:rPr>
                <w:rFonts w:ascii="Times New Roman" w:hAnsi="Times New Roman" w:eastAsia="黑体" w:cs="Times New Roman"/>
                <w:kern w:val="2"/>
                <w:sz w:val="21"/>
                <w:szCs w:val="22"/>
                <w:highlight w:val="none"/>
                <w:lang w:val="en-US" w:eastAsia="zh-CN" w:bidi="ar-SA"/>
              </w:rPr>
            </w:pPr>
            <w:r>
              <w:rPr>
                <w:rFonts w:hint="eastAsia" w:ascii="Times New Roman" w:hAnsi="Times New Roman" w:eastAsia="黑体" w:cs="Times New Roman"/>
                <w:kern w:val="2"/>
                <w:sz w:val="21"/>
                <w:szCs w:val="22"/>
                <w:highlight w:val="none"/>
                <w:lang w:val="en-US" w:eastAsia="zh-CN" w:bidi="ar-SA"/>
              </w:rPr>
              <w:t>项目</w:t>
            </w:r>
          </w:p>
        </w:tc>
        <w:tc>
          <w:tcPr>
            <w:tcW w:w="6768" w:type="dxa"/>
            <w:noWrap w:val="0"/>
            <w:vAlign w:val="center"/>
          </w:tcPr>
          <w:p>
            <w:pPr>
              <w:widowControl w:val="0"/>
              <w:spacing w:before="0" w:beforeLines="0" w:line="240" w:lineRule="auto"/>
              <w:ind w:firstLine="0" w:firstLineChars="0"/>
              <w:jc w:val="center"/>
              <w:rPr>
                <w:rFonts w:ascii="Times New Roman" w:hAnsi="Times New Roman" w:eastAsia="黑体" w:cs="Times New Roman"/>
                <w:kern w:val="2"/>
                <w:sz w:val="21"/>
                <w:szCs w:val="22"/>
                <w:highlight w:val="none"/>
                <w:lang w:val="en-US" w:eastAsia="zh-CN" w:bidi="ar-SA"/>
              </w:rPr>
            </w:pPr>
            <w:r>
              <w:rPr>
                <w:rFonts w:hint="eastAsia" w:ascii="Times New Roman" w:hAnsi="Times New Roman" w:eastAsia="黑体" w:cs="Times New Roman"/>
                <w:kern w:val="2"/>
                <w:sz w:val="21"/>
                <w:szCs w:val="22"/>
                <w:highlight w:val="none"/>
                <w:lang w:val="en-US" w:eastAsia="zh-CN" w:bidi="ar-SA"/>
              </w:rPr>
              <w:t>本次规划内容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widowControl w:val="0"/>
              <w:spacing w:before="0" w:beforeLines="0" w:line="240" w:lineRule="auto"/>
              <w:ind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规划名称</w:t>
            </w:r>
          </w:p>
        </w:tc>
        <w:tc>
          <w:tcPr>
            <w:tcW w:w="6768" w:type="dxa"/>
            <w:noWrap w:val="0"/>
            <w:vAlign w:val="center"/>
          </w:tcPr>
          <w:p>
            <w:pPr>
              <w:widowControl w:val="0"/>
              <w:spacing w:before="0" w:beforeLines="0"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苍溪县百利工业园区（先期启动区）产业发展规划</w:t>
            </w:r>
          </w:p>
          <w:p>
            <w:pPr>
              <w:widowControl w:val="0"/>
              <w:spacing w:before="0" w:beforeLines="0" w:line="240" w:lineRule="auto"/>
              <w:ind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（2024-2030年）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widowControl w:val="0"/>
              <w:spacing w:before="0" w:beforeLines="0" w:line="240" w:lineRule="auto"/>
              <w:ind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面积</w:t>
            </w:r>
          </w:p>
        </w:tc>
        <w:tc>
          <w:tcPr>
            <w:tcW w:w="6768" w:type="dxa"/>
            <w:noWrap w:val="0"/>
            <w:vAlign w:val="center"/>
          </w:tcPr>
          <w:p>
            <w:pPr>
              <w:widowControl w:val="0"/>
              <w:spacing w:before="0" w:beforeLines="0" w:line="240" w:lineRule="auto"/>
              <w:ind w:firstLine="0" w:firstLineChars="0"/>
              <w:jc w:val="center"/>
              <w:rPr>
                <w:rFonts w:ascii="Times New Roman" w:hAnsi="Times New Roman" w:eastAsia="宋体" w:cs="Times New Roman"/>
                <w:kern w:val="2"/>
                <w:sz w:val="21"/>
                <w:szCs w:val="21"/>
                <w:highlight w:val="none"/>
                <w:lang w:val="en-US" w:eastAsia="zh-CN" w:bidi="ar-SA"/>
              </w:rPr>
            </w:pPr>
            <w:r>
              <w:rPr>
                <w:rFonts w:ascii="Times New Roman" w:hAnsi="Times New Roman" w:eastAsia="宋体" w:cs="Times New Roman"/>
                <w:kern w:val="2"/>
                <w:sz w:val="21"/>
                <w:szCs w:val="21"/>
                <w:highlight w:val="none"/>
                <w:lang w:val="en-US" w:eastAsia="zh-CN" w:bidi="ar-SA"/>
              </w:rPr>
              <w:t>136.64公顷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widowControl w:val="0"/>
              <w:spacing w:before="0" w:beforeLines="0" w:line="240" w:lineRule="auto"/>
              <w:ind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产业定位</w:t>
            </w:r>
          </w:p>
        </w:tc>
        <w:tc>
          <w:tcPr>
            <w:tcW w:w="6768" w:type="dxa"/>
            <w:noWrap w:val="0"/>
            <w:vAlign w:val="center"/>
          </w:tcPr>
          <w:p>
            <w:pPr>
              <w:widowControl w:val="0"/>
              <w:spacing w:before="0" w:beforeLines="0" w:line="240" w:lineRule="auto"/>
              <w:ind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硅基新材料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widowControl w:val="0"/>
              <w:spacing w:before="0" w:beforeLines="0" w:line="240" w:lineRule="auto"/>
              <w:ind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经济发展目标（亿元）</w:t>
            </w:r>
          </w:p>
        </w:tc>
        <w:tc>
          <w:tcPr>
            <w:tcW w:w="6768" w:type="dxa"/>
            <w:noWrap w:val="0"/>
            <w:vAlign w:val="center"/>
          </w:tcPr>
          <w:p>
            <w:pPr>
              <w:widowControl w:val="0"/>
              <w:spacing w:before="0" w:beforeLines="0" w:line="240" w:lineRule="auto"/>
              <w:ind w:firstLine="0" w:firstLineChars="0"/>
              <w:jc w:val="center"/>
              <w:rPr>
                <w:rFonts w:ascii="Times New Roman" w:hAnsi="Times New Roman" w:eastAsia="宋体" w:cs="Times New Roman"/>
                <w:kern w:val="2"/>
                <w:sz w:val="21"/>
                <w:szCs w:val="21"/>
                <w:highlight w:val="none"/>
                <w:lang w:val="en-US" w:eastAsia="zh-CN" w:bidi="ar-SA"/>
              </w:rPr>
            </w:pPr>
            <w:r>
              <w:rPr>
                <w:rFonts w:ascii="Times New Roman" w:hAnsi="Times New Roman" w:eastAsia="宋体" w:cs="Times New Roman"/>
                <w:kern w:val="2"/>
                <w:sz w:val="21"/>
                <w:szCs w:val="21"/>
                <w:highlight w:val="none"/>
                <w:lang w:val="en-US" w:eastAsia="zh-CN" w:bidi="ar-SA"/>
              </w:rPr>
              <w:t>2027年：1700亿元</w:t>
            </w:r>
          </w:p>
          <w:p>
            <w:pPr>
              <w:widowControl w:val="0"/>
              <w:spacing w:before="0" w:beforeLines="0"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w:t>
            </w:r>
            <w:r>
              <w:rPr>
                <w:rFonts w:ascii="Times New Roman" w:hAnsi="Times New Roman" w:eastAsia="宋体" w:cs="Times New Roman"/>
                <w:kern w:val="2"/>
                <w:sz w:val="21"/>
                <w:szCs w:val="21"/>
                <w:highlight w:val="none"/>
                <w:lang w:val="en-US" w:eastAsia="zh-CN" w:bidi="ar-SA"/>
              </w:rPr>
              <w:t>035年：</w:t>
            </w:r>
            <w:r>
              <w:rPr>
                <w:rFonts w:hint="eastAsia" w:ascii="Times New Roman" w:hAnsi="Times New Roman" w:eastAsia="宋体" w:cs="Times New Roman"/>
                <w:kern w:val="2"/>
                <w:sz w:val="21"/>
                <w:szCs w:val="21"/>
                <w:highlight w:val="none"/>
                <w:lang w:val="en-US" w:eastAsia="zh-CN" w:bidi="ar-SA"/>
              </w:rPr>
              <w:t>2</w:t>
            </w:r>
            <w:r>
              <w:rPr>
                <w:rFonts w:ascii="Times New Roman" w:hAnsi="Times New Roman" w:eastAsia="宋体" w:cs="Times New Roman"/>
                <w:kern w:val="2"/>
                <w:sz w:val="21"/>
                <w:szCs w:val="21"/>
                <w:highlight w:val="none"/>
                <w:lang w:val="en-US" w:eastAsia="zh-CN" w:bidi="ar-SA"/>
              </w:rPr>
              <w:t>500亿元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widowControl w:val="0"/>
              <w:spacing w:before="0" w:beforeLines="0" w:line="240" w:lineRule="auto"/>
              <w:ind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规划期限</w:t>
            </w:r>
          </w:p>
        </w:tc>
        <w:tc>
          <w:tcPr>
            <w:tcW w:w="6768" w:type="dxa"/>
            <w:noWrap w:val="0"/>
            <w:vAlign w:val="center"/>
          </w:tcPr>
          <w:p>
            <w:pPr>
              <w:widowControl w:val="0"/>
              <w:spacing w:before="0" w:beforeLines="0" w:line="240" w:lineRule="auto"/>
              <w:ind w:firstLine="0" w:firstLineChars="0"/>
              <w:jc w:val="center"/>
              <w:rPr>
                <w:rFonts w:ascii="Times New Roman" w:hAnsi="Times New Roman" w:eastAsia="宋体" w:cs="Times New Roman"/>
                <w:kern w:val="2"/>
                <w:sz w:val="21"/>
                <w:szCs w:val="21"/>
                <w:highlight w:val="none"/>
                <w:lang w:val="en-US" w:eastAsia="zh-CN" w:bidi="ar-SA"/>
              </w:rPr>
            </w:pPr>
            <w:r>
              <w:rPr>
                <w:rFonts w:ascii="Times New Roman" w:hAnsi="Times New Roman" w:eastAsia="宋体" w:cs="Times New Roman"/>
                <w:kern w:val="2"/>
                <w:sz w:val="21"/>
                <w:szCs w:val="21"/>
                <w:highlight w:val="none"/>
                <w:lang w:val="en-US" w:eastAsia="zh-CN" w:bidi="ar-SA"/>
              </w:rPr>
              <w:t>2023-2027</w:t>
            </w:r>
            <w:r>
              <w:rPr>
                <w:rFonts w:hint="eastAsia" w:ascii="Times New Roman" w:hAnsi="Times New Roman" w:eastAsia="宋体" w:cs="Times New Roman"/>
                <w:kern w:val="2"/>
                <w:sz w:val="21"/>
                <w:szCs w:val="21"/>
                <w:highlight w:val="none"/>
                <w:lang w:val="en-US" w:eastAsia="zh-CN" w:bidi="ar-SA"/>
              </w:rPr>
              <w:t>年，展望至2</w:t>
            </w:r>
            <w:r>
              <w:rPr>
                <w:rFonts w:ascii="Times New Roman" w:hAnsi="Times New Roman" w:eastAsia="宋体" w:cs="Times New Roman"/>
                <w:kern w:val="2"/>
                <w:sz w:val="21"/>
                <w:szCs w:val="21"/>
                <w:highlight w:val="none"/>
                <w:lang w:val="en-US" w:eastAsia="zh-CN" w:bidi="ar-SA"/>
              </w:rPr>
              <w:t>035</w:t>
            </w:r>
            <w:r>
              <w:rPr>
                <w:rFonts w:hint="eastAsia" w:ascii="Times New Roman" w:hAnsi="Times New Roman" w:eastAsia="宋体" w:cs="Times New Roman"/>
                <w:kern w:val="2"/>
                <w:sz w:val="21"/>
                <w:szCs w:val="21"/>
                <w:highlight w:val="none"/>
                <w:lang w:val="en-US" w:eastAsia="zh-CN" w:bidi="ar-S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widowControl w:val="0"/>
              <w:spacing w:before="0" w:beforeLines="0" w:line="240" w:lineRule="auto"/>
              <w:ind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能源结构</w:t>
            </w:r>
          </w:p>
        </w:tc>
        <w:tc>
          <w:tcPr>
            <w:tcW w:w="6768" w:type="dxa"/>
            <w:noWrap w:val="0"/>
            <w:vAlign w:val="center"/>
          </w:tcPr>
          <w:p>
            <w:pPr>
              <w:widowControl w:val="0"/>
              <w:spacing w:before="0" w:beforeLines="0" w:line="240" w:lineRule="auto"/>
              <w:ind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以电力、天然气为主，禁止燃煤</w:t>
            </w:r>
          </w:p>
        </w:tc>
      </w:tr>
    </w:tbl>
    <w:p>
      <w:pPr>
        <w:keepNext/>
        <w:keepLines/>
        <w:widowControl w:val="0"/>
        <w:numPr>
          <w:ilvl w:val="1"/>
          <w:numId w:val="1"/>
        </w:numPr>
        <w:spacing w:line="480" w:lineRule="auto"/>
        <w:ind w:left="0" w:firstLine="0" w:firstLineChars="0"/>
        <w:jc w:val="left"/>
        <w:outlineLvl w:val="1"/>
        <w:rPr>
          <w:rFonts w:ascii="Times New Roman" w:hAnsi="Times New Roman" w:eastAsia="黑体" w:cs="Times New Roman"/>
          <w:bCs/>
          <w:kern w:val="2"/>
          <w:sz w:val="32"/>
          <w:szCs w:val="32"/>
          <w:highlight w:val="none"/>
          <w:lang w:val="en-US" w:eastAsia="zh-CN" w:bidi="ar-SA"/>
        </w:rPr>
      </w:pPr>
      <w:bookmarkStart w:id="17" w:name="_Toc145434591"/>
      <w:r>
        <w:rPr>
          <w:rFonts w:hint="eastAsia" w:ascii="Times New Roman" w:hAnsi="Times New Roman" w:eastAsia="黑体" w:cs="Times New Roman"/>
          <w:bCs/>
          <w:kern w:val="2"/>
          <w:sz w:val="32"/>
          <w:szCs w:val="32"/>
          <w:highlight w:val="none"/>
          <w:lang w:val="en-US" w:eastAsia="zh-CN" w:bidi="ar-SA"/>
        </w:rPr>
        <w:t>规划方案介绍</w:t>
      </w:r>
      <w:bookmarkEnd w:id="17"/>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2"/>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中共广元市委关于以打造中国绿色铝都为引领推动工业经济突破性发展的决定》指出：要构建“1+3+3”工业优势主导产业体系，打造铝基新材料1个超千亿产业集群，能源化工、食品饮料、硅基新材料3个五百亿产业集群，建材家居、机械电子等3个超百亿产业集群，建设全国硅</w:t>
      </w:r>
      <w:r>
        <w:rPr>
          <w:rFonts w:hint="eastAsia" w:ascii="Times New Roman" w:hAnsi="Times New Roman" w:eastAsia="宋体" w:cs="Times New Roman"/>
          <w:bCs/>
          <w:kern w:val="2"/>
          <w:sz w:val="24"/>
          <w:szCs w:val="22"/>
          <w:highlight w:val="none"/>
          <w:lang w:val="en-US" w:eastAsia="zh-CN" w:bidi="ar-SA"/>
        </w:rPr>
        <w:t>基新材料产业绿色发展基地、区域性清洁能源应用基地。</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苍溪县百利工业园区（先期启动区)国土空间详细规划（以下简称“详细规划”)，是对《自然资源部关于加强国土空间详细规划工作的通知》（自然资发（2023)43号)的落实，是指以“三区三线”划定成果和苍溪县国土空间总体规划为依据，对城镇开发边界内的建设用地进行的具体安排，是苍溪县自然资源主管部门在园区内开展用途管制工作、审查项目实施方案、办理土地审批手续、以及各类保护与开发建设活动进行监管的法定依据。</w:t>
      </w:r>
    </w:p>
    <w:p>
      <w:pPr>
        <w:keepNext/>
        <w:keepLines/>
        <w:widowControl w:val="0"/>
        <w:numPr>
          <w:ilvl w:val="2"/>
          <w:numId w:val="1"/>
        </w:numPr>
        <w:spacing w:line="360" w:lineRule="auto"/>
        <w:ind w:left="0" w:firstLine="0" w:firstLineChars="0"/>
        <w:jc w:val="left"/>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发展定位</w:t>
      </w:r>
    </w:p>
    <w:p>
      <w:pPr>
        <w:ind w:firstLine="480"/>
        <w:rPr>
          <w:rFonts w:eastAsia="宋体" w:cs="Times New Roman"/>
          <w:bCs/>
          <w:szCs w:val="21"/>
          <w:highlight w:val="none"/>
        </w:rPr>
      </w:pPr>
      <w:r>
        <w:rPr>
          <w:rFonts w:hint="eastAsia" w:eastAsia="宋体" w:cs="Times New Roman"/>
          <w:bCs/>
          <w:szCs w:val="21"/>
          <w:highlight w:val="none"/>
        </w:rPr>
        <w:t>除有机硅（含有机硅单体）、多晶硅等硅基化工产品外，按照“科技创新、降低‘两高’、链条发展”的思路，突出新技术攻关，围绕苍溪经济开发区紫云园区的工业硅、多品硅积极发展下游产品，着力发展硅基新材料</w:t>
      </w:r>
      <w:r>
        <w:rPr>
          <w:rFonts w:hint="eastAsia" w:eastAsia="宋体" w:cs="Times New Roman"/>
          <w:b/>
          <w:bCs/>
          <w:szCs w:val="21"/>
          <w:highlight w:val="none"/>
        </w:rPr>
        <w:t>核心产品</w:t>
      </w:r>
      <w:r>
        <w:rPr>
          <w:rFonts w:hint="eastAsia" w:eastAsia="宋体" w:cs="Times New Roman"/>
          <w:bCs/>
          <w:szCs w:val="21"/>
          <w:highlight w:val="none"/>
        </w:rPr>
        <w:t>，尽快形成2-4条优势产业链。</w:t>
      </w:r>
    </w:p>
    <w:p>
      <w:pPr>
        <w:keepNext/>
        <w:keepLines/>
        <w:widowControl w:val="0"/>
        <w:numPr>
          <w:ilvl w:val="2"/>
          <w:numId w:val="1"/>
        </w:numPr>
        <w:spacing w:line="360" w:lineRule="auto"/>
        <w:ind w:left="0" w:firstLine="0" w:firstLineChars="0"/>
        <w:jc w:val="left"/>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发展目标及产值</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4"/>
          <w:highlight w:val="none"/>
          <w:lang w:val="en-US" w:eastAsia="zh-CN" w:bidi="ar-SA"/>
        </w:rPr>
      </w:pPr>
      <w:r>
        <w:rPr>
          <w:rFonts w:ascii="Times New Roman" w:hAnsi="Times New Roman" w:eastAsia="宋体" w:cs="Times New Roman"/>
          <w:bCs/>
          <w:color w:val="000000"/>
          <w:kern w:val="2"/>
          <w:sz w:val="24"/>
          <w:szCs w:val="24"/>
          <w:highlight w:val="none"/>
          <w:lang w:val="en-US" w:eastAsia="zh-CN" w:bidi="ar-SA"/>
        </w:rPr>
        <w:t>到2030年，</w:t>
      </w:r>
      <w:r>
        <w:rPr>
          <w:rFonts w:ascii="Times New Roman" w:hAnsi="Times New Roman" w:eastAsia="宋体" w:cs="Times New Roman"/>
          <w:bCs/>
          <w:kern w:val="2"/>
          <w:sz w:val="24"/>
          <w:szCs w:val="24"/>
          <w:highlight w:val="none"/>
          <w:lang w:val="en-US" w:eastAsia="zh-CN" w:bidi="ar-SA"/>
        </w:rPr>
        <w:t>硅基新材料产业规模以上工业企业达到10家，工业总产值超100亿元、力争达</w:t>
      </w:r>
      <w:r>
        <w:rPr>
          <w:rFonts w:ascii="Times New Roman" w:hAnsi="Times New Roman" w:eastAsia="宋体" w:cs="Times New Roman"/>
          <w:bCs/>
          <w:color w:val="000000"/>
          <w:kern w:val="2"/>
          <w:sz w:val="24"/>
          <w:szCs w:val="24"/>
          <w:highlight w:val="none"/>
          <w:lang w:val="en-US" w:eastAsia="zh-CN" w:bidi="ar"/>
        </w:rPr>
        <w:t>到120亿元，利税16亿元；</w:t>
      </w:r>
      <w:r>
        <w:rPr>
          <w:rFonts w:ascii="Times New Roman" w:hAnsi="Times New Roman" w:eastAsia="宋体" w:cs="Times New Roman"/>
          <w:bCs/>
          <w:color w:val="000000"/>
          <w:kern w:val="2"/>
          <w:sz w:val="24"/>
          <w:szCs w:val="24"/>
          <w:highlight w:val="none"/>
          <w:lang w:val="en-US" w:eastAsia="zh-CN" w:bidi="ar-SA"/>
        </w:rPr>
        <w:t>培育工业总产值20—50亿元企业1-2家；培育年纳税5000万元—1亿元企业2家，年纳税1亿元以上企业1家。</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4"/>
          <w:highlight w:val="none"/>
          <w:lang w:val="en-US" w:eastAsia="zh-CN" w:bidi="ar-SA"/>
        </w:rPr>
      </w:pPr>
      <w:r>
        <w:rPr>
          <w:rFonts w:ascii="Times New Roman" w:hAnsi="Times New Roman" w:eastAsia="宋体" w:cs="Times New Roman"/>
          <w:bCs/>
          <w:color w:val="000000"/>
          <w:kern w:val="2"/>
          <w:sz w:val="24"/>
          <w:szCs w:val="24"/>
          <w:highlight w:val="none"/>
          <w:lang w:val="en-US" w:eastAsia="zh-CN" w:bidi="ar-SA"/>
        </w:rPr>
        <w:t>到2030年末，企业科技经费投入占销售收入的比重2.5%、力争达到3.0%；形成省级及以上企业技术中心2个，省级重点试验室1个。</w:t>
      </w:r>
    </w:p>
    <w:p>
      <w:pPr>
        <w:keepNext/>
        <w:keepLines/>
        <w:widowControl w:val="0"/>
        <w:numPr>
          <w:ilvl w:val="2"/>
          <w:numId w:val="1"/>
        </w:numPr>
        <w:spacing w:line="360" w:lineRule="auto"/>
        <w:ind w:left="0" w:firstLine="0" w:firstLineChars="0"/>
        <w:jc w:val="left"/>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空间布局规划</w:t>
      </w:r>
    </w:p>
    <w:p>
      <w:pPr>
        <w:widowControl w:val="0"/>
        <w:adjustRightInd w:val="0"/>
        <w:snapToGrid/>
        <w:spacing w:line="360" w:lineRule="auto"/>
        <w:ind w:firstLine="480" w:firstLineChars="200"/>
        <w:jc w:val="both"/>
        <w:rPr>
          <w:rFonts w:ascii="Times New Roman" w:hAnsi="Times New Roman" w:eastAsia="宋体" w:cs="Times New Roman"/>
          <w:bCs/>
          <w:color w:val="000000"/>
          <w:kern w:val="2"/>
          <w:sz w:val="24"/>
          <w:szCs w:val="24"/>
          <w:highlight w:val="none"/>
          <w:lang w:val="en-US" w:eastAsia="zh-CN" w:bidi="ar-SA"/>
        </w:rPr>
      </w:pPr>
      <w:bookmarkStart w:id="18" w:name="_Hlk124242547"/>
      <w:r>
        <w:rPr>
          <w:rFonts w:hint="eastAsia" w:ascii="Times New Roman" w:hAnsi="Times New Roman" w:eastAsia="宋体" w:cs="Times New Roman"/>
          <w:bCs/>
          <w:color w:val="000000"/>
          <w:kern w:val="2"/>
          <w:sz w:val="24"/>
          <w:szCs w:val="24"/>
          <w:highlight w:val="none"/>
          <w:lang w:val="en-US" w:eastAsia="zh-CN" w:bidi="ar-SA"/>
        </w:rPr>
        <w:t>1、园区布局</w:t>
      </w:r>
    </w:p>
    <w:p>
      <w:pPr>
        <w:widowControl w:val="0"/>
        <w:adjustRightInd w:val="0"/>
        <w:snapToGrid/>
        <w:spacing w:line="360" w:lineRule="auto"/>
        <w:ind w:firstLine="480" w:firstLineChars="200"/>
        <w:jc w:val="both"/>
        <w:rPr>
          <w:rFonts w:hint="eastAsia" w:ascii="Times New Roman" w:hAnsi="Times New Roman" w:eastAsia="宋体" w:cs="Times New Roman"/>
          <w:bCs/>
          <w:color w:val="000000"/>
          <w:kern w:val="2"/>
          <w:sz w:val="24"/>
          <w:szCs w:val="24"/>
          <w:highlight w:val="none"/>
          <w:lang w:val="en-US" w:eastAsia="zh-CN" w:bidi="ar-SA"/>
        </w:rPr>
      </w:pPr>
      <w:r>
        <w:rPr>
          <w:rFonts w:hint="eastAsia" w:ascii="Times New Roman" w:hAnsi="Times New Roman" w:eastAsia="宋体" w:cs="Times New Roman"/>
          <w:bCs/>
          <w:color w:val="000000"/>
          <w:kern w:val="2"/>
          <w:sz w:val="24"/>
          <w:szCs w:val="24"/>
          <w:highlight w:val="none"/>
          <w:lang w:val="en-US" w:eastAsia="zh-CN" w:bidi="ar-SA"/>
        </w:rPr>
        <w:t>规划区为“一心、一轴、两片”空间结构。</w:t>
      </w:r>
    </w:p>
    <w:p>
      <w:pPr>
        <w:widowControl w:val="0"/>
        <w:adjustRightInd w:val="0"/>
        <w:snapToGrid/>
        <w:spacing w:line="360" w:lineRule="auto"/>
        <w:ind w:firstLine="480" w:firstLineChars="200"/>
        <w:jc w:val="both"/>
        <w:rPr>
          <w:rFonts w:ascii="宋体" w:hAnsi="宋体" w:eastAsia="宋体" w:cs="Times New Roman"/>
          <w:bCs/>
          <w:color w:val="000000"/>
          <w:kern w:val="2"/>
          <w:sz w:val="24"/>
          <w:szCs w:val="24"/>
          <w:highlight w:val="none"/>
          <w:lang w:val="en-US" w:eastAsia="zh-CN" w:bidi="ar-SA"/>
        </w:rPr>
      </w:pPr>
      <w:r>
        <w:rPr>
          <w:rFonts w:hint="eastAsia" w:ascii="宋体" w:hAnsi="宋体" w:eastAsia="宋体" w:cs="Times New Roman"/>
          <w:bCs/>
          <w:color w:val="000000"/>
          <w:kern w:val="2"/>
          <w:sz w:val="24"/>
          <w:szCs w:val="24"/>
          <w:highlight w:val="none"/>
          <w:lang w:val="en-US" w:eastAsia="zh-CN" w:bidi="ar-SA"/>
        </w:rPr>
        <w:t>“一心”:以现状在建安置房和规划管委会作为园区服务核心；</w:t>
      </w:r>
    </w:p>
    <w:p>
      <w:pPr>
        <w:widowControl w:val="0"/>
        <w:adjustRightInd w:val="0"/>
        <w:snapToGrid/>
        <w:spacing w:line="360" w:lineRule="auto"/>
        <w:ind w:firstLine="480" w:firstLineChars="200"/>
        <w:jc w:val="both"/>
        <w:rPr>
          <w:rFonts w:ascii="Times New Roman" w:hAnsi="Times New Roman" w:eastAsia="宋体" w:cs="Times New Roman"/>
          <w:bCs/>
          <w:color w:val="000000"/>
          <w:kern w:val="2"/>
          <w:sz w:val="24"/>
          <w:szCs w:val="24"/>
          <w:highlight w:val="none"/>
          <w:lang w:val="en-US" w:eastAsia="zh-CN" w:bidi="ar-SA"/>
        </w:rPr>
      </w:pPr>
      <w:r>
        <w:rPr>
          <w:rFonts w:hint="eastAsia" w:ascii="宋体" w:hAnsi="宋体" w:eastAsia="宋体" w:cs="Times New Roman"/>
          <w:bCs/>
          <w:color w:val="000000"/>
          <w:kern w:val="2"/>
          <w:sz w:val="24"/>
          <w:szCs w:val="24"/>
          <w:highlight w:val="none"/>
          <w:lang w:val="en-US" w:eastAsia="zh-CN" w:bidi="ar-SA"/>
        </w:rPr>
        <w:t>“一轴”：新区</w:t>
      </w:r>
      <w:r>
        <w:rPr>
          <w:rFonts w:hint="eastAsia" w:ascii="Times New Roman" w:hAnsi="Times New Roman" w:eastAsia="宋体" w:cs="Times New Roman"/>
          <w:bCs/>
          <w:color w:val="000000"/>
          <w:kern w:val="2"/>
          <w:sz w:val="24"/>
          <w:szCs w:val="24"/>
          <w:highlight w:val="none"/>
          <w:lang w:val="en-US" w:eastAsia="zh-CN" w:bidi="ar-SA"/>
        </w:rPr>
        <w:t>大道（半岛环路)功能发展轴，新区大道区域联动发展轴线向北联动临港区域、向西通过兰海高速联动广元，同时串联园区配套组团、硅基新材料发展区和临港物流区。</w:t>
      </w:r>
    </w:p>
    <w:p>
      <w:pPr>
        <w:widowControl w:val="0"/>
        <w:adjustRightInd w:val="0"/>
        <w:snapToGrid/>
        <w:spacing w:line="360" w:lineRule="auto"/>
        <w:ind w:firstLine="480" w:firstLineChars="200"/>
        <w:jc w:val="both"/>
        <w:rPr>
          <w:rFonts w:hint="eastAsia" w:ascii="Times New Roman" w:hAnsi="Times New Roman" w:eastAsia="宋体" w:cs="Times New Roman"/>
          <w:bCs/>
          <w:color w:val="000000"/>
          <w:kern w:val="2"/>
          <w:sz w:val="24"/>
          <w:szCs w:val="24"/>
          <w:highlight w:val="none"/>
          <w:lang w:val="en-US" w:eastAsia="zh-CN" w:bidi="ar-SA"/>
        </w:rPr>
      </w:pPr>
      <w:r>
        <w:rPr>
          <w:rFonts w:ascii="宋体" w:hAnsi="宋体" w:eastAsia="宋体" w:cs="Times New Roman"/>
          <w:bCs/>
          <w:color w:val="000000"/>
          <w:kern w:val="2"/>
          <w:sz w:val="24"/>
          <w:szCs w:val="24"/>
          <w:highlight w:val="none"/>
          <w:lang w:val="en-US" w:eastAsia="zh-CN" w:bidi="ar-SA"/>
        </w:rPr>
        <w:t>“两片”:根据</w:t>
      </w:r>
      <w:r>
        <w:rPr>
          <w:rFonts w:ascii="Times New Roman" w:hAnsi="Times New Roman" w:eastAsia="宋体" w:cs="Times New Roman"/>
          <w:bCs/>
          <w:color w:val="000000"/>
          <w:kern w:val="2"/>
          <w:sz w:val="24"/>
          <w:szCs w:val="24"/>
          <w:highlight w:val="none"/>
          <w:lang w:val="en-US" w:eastAsia="zh-CN" w:bidi="ar-SA"/>
        </w:rPr>
        <w:t>园区主要产业形成南北两个产业片区。</w:t>
      </w:r>
    </w:p>
    <w:bookmarkEnd w:id="18"/>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2、规划范围</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根据苍溪县国土空间总体规划和全县三线划定成果，百利工业园区（先期启动区)城镇开发边界规模为136.64公顷，西至张家湾东侧山脚，北侧至百利大桥北侧嘉陵江湿地公园，东至嘉陵江岸线范围以内，南至嘉陵江元山子沟口。本次国土空间详细规划的规划范围与城镇开发边界所确定的范围一致，规划范围面积为136.64公顷。</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3、用地规划</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园区总规划面积</w:t>
      </w:r>
      <w:r>
        <w:rPr>
          <w:rFonts w:ascii="Times New Roman" w:hAnsi="Times New Roman" w:eastAsia="宋体" w:cs="Times New Roman"/>
          <w:bCs/>
          <w:kern w:val="2"/>
          <w:sz w:val="24"/>
          <w:szCs w:val="21"/>
          <w:highlight w:val="none"/>
          <w:lang w:val="en-US" w:eastAsia="zh-CN" w:bidi="ar-SA"/>
        </w:rPr>
        <w:t>136.63</w:t>
      </w:r>
      <w:r>
        <w:rPr>
          <w:rFonts w:hint="eastAsia" w:ascii="Times New Roman" w:hAnsi="Times New Roman" w:eastAsia="宋体" w:cs="Times New Roman"/>
          <w:bCs/>
          <w:kern w:val="2"/>
          <w:sz w:val="24"/>
          <w:szCs w:val="21"/>
          <w:highlight w:val="none"/>
          <w:lang w:val="en-US" w:eastAsia="zh-CN" w:bidi="ar-SA"/>
        </w:rPr>
        <w:t>公顷，其中工业用地</w:t>
      </w:r>
      <w:r>
        <w:rPr>
          <w:rFonts w:ascii="Times New Roman" w:hAnsi="Times New Roman" w:eastAsia="宋体" w:cs="Times New Roman"/>
          <w:bCs/>
          <w:kern w:val="2"/>
          <w:sz w:val="24"/>
          <w:szCs w:val="21"/>
          <w:highlight w:val="none"/>
          <w:lang w:val="en-US" w:eastAsia="zh-CN" w:bidi="ar-SA"/>
        </w:rPr>
        <w:t>2.71</w:t>
      </w:r>
      <w:r>
        <w:rPr>
          <w:rFonts w:hint="eastAsia" w:ascii="Times New Roman" w:hAnsi="Times New Roman" w:eastAsia="宋体" w:cs="Times New Roman"/>
          <w:bCs/>
          <w:kern w:val="2"/>
          <w:sz w:val="24"/>
          <w:szCs w:val="21"/>
          <w:highlight w:val="none"/>
          <w:lang w:val="en-US" w:eastAsia="zh-CN" w:bidi="ar-SA"/>
        </w:rPr>
        <w:t>公顷，占园区建设用地的</w:t>
      </w:r>
      <w:r>
        <w:rPr>
          <w:rFonts w:ascii="Times New Roman" w:hAnsi="Times New Roman" w:eastAsia="宋体" w:cs="Times New Roman"/>
          <w:bCs/>
          <w:kern w:val="2"/>
          <w:sz w:val="24"/>
          <w:szCs w:val="21"/>
          <w:highlight w:val="none"/>
          <w:lang w:val="en-US" w:eastAsia="zh-CN" w:bidi="ar-SA"/>
        </w:rPr>
        <w:t>1.98%</w:t>
      </w:r>
      <w:r>
        <w:rPr>
          <w:rFonts w:hint="eastAsia" w:ascii="Times New Roman" w:hAnsi="Times New Roman" w:eastAsia="宋体" w:cs="Times New Roman"/>
          <w:bCs/>
          <w:kern w:val="2"/>
          <w:sz w:val="24"/>
          <w:szCs w:val="21"/>
          <w:highlight w:val="none"/>
          <w:lang w:val="en-US" w:eastAsia="zh-CN" w:bidi="ar-SA"/>
        </w:rPr>
        <w:t>，。园区用地布局规划详见下表。</w:t>
      </w:r>
    </w:p>
    <w:p>
      <w:pPr>
        <w:keepNext/>
        <w:widowControl w:val="0"/>
        <w:spacing w:line="360" w:lineRule="auto"/>
        <w:ind w:firstLine="360" w:firstLineChars="0"/>
        <w:jc w:val="center"/>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表</w:t>
      </w:r>
      <w:r>
        <w:rPr>
          <w:rFonts w:ascii="Times New Roman" w:hAnsi="Times New Roman" w:eastAsia="黑体" w:cs="Times New Roman"/>
          <w:kern w:val="2"/>
          <w:sz w:val="21"/>
          <w:szCs w:val="20"/>
          <w:highlight w:val="none"/>
          <w:lang w:val="en-US" w:eastAsia="zh-CN" w:bidi="ar-SA"/>
        </w:rPr>
        <w:fldChar w:fldCharType="begin"/>
      </w:r>
      <w:r>
        <w:rPr>
          <w:rFonts w:ascii="Times New Roman" w:hAnsi="Times New Roman" w:eastAsia="黑体" w:cs="Times New Roman"/>
          <w:kern w:val="2"/>
          <w:sz w:val="21"/>
          <w:szCs w:val="20"/>
          <w:highlight w:val="none"/>
          <w:lang w:val="en-US" w:eastAsia="zh-CN" w:bidi="ar-SA"/>
        </w:rPr>
        <w:instrText xml:space="preserve"> </w:instrText>
      </w:r>
      <w:r>
        <w:rPr>
          <w:rFonts w:hint="eastAsia" w:ascii="Times New Roman" w:hAnsi="Times New Roman" w:eastAsia="黑体" w:cs="Times New Roman"/>
          <w:kern w:val="2"/>
          <w:sz w:val="21"/>
          <w:szCs w:val="20"/>
          <w:highlight w:val="none"/>
          <w:lang w:val="en-US" w:eastAsia="zh-CN" w:bidi="ar-SA"/>
        </w:rPr>
        <w:instrText xml:space="preserve">STYLEREF 2 \s</w:instrText>
      </w:r>
      <w:r>
        <w:rPr>
          <w:rFonts w:ascii="Times New Roman" w:hAnsi="Times New Roman" w:eastAsia="黑体" w:cs="Times New Roman"/>
          <w:kern w:val="2"/>
          <w:sz w:val="21"/>
          <w:szCs w:val="20"/>
          <w:highlight w:val="none"/>
          <w:lang w:val="en-US" w:eastAsia="zh-CN" w:bidi="ar-SA"/>
        </w:rPr>
        <w:instrText xml:space="preserve"> </w:instrText>
      </w:r>
      <w:r>
        <w:rPr>
          <w:rFonts w:ascii="Times New Roman" w:hAnsi="Times New Roman" w:eastAsia="黑体" w:cs="Times New Roman"/>
          <w:kern w:val="2"/>
          <w:sz w:val="21"/>
          <w:szCs w:val="20"/>
          <w:highlight w:val="none"/>
          <w:lang w:val="en-US" w:eastAsia="zh-CN" w:bidi="ar-SA"/>
        </w:rPr>
        <w:fldChar w:fldCharType="separate"/>
      </w:r>
      <w:r>
        <w:rPr>
          <w:rFonts w:ascii="Times New Roman" w:hAnsi="Times New Roman" w:eastAsia="黑体" w:cs="Times New Roman"/>
          <w:kern w:val="2"/>
          <w:sz w:val="21"/>
          <w:szCs w:val="20"/>
          <w:highlight w:val="none"/>
          <w:lang w:val="en-US" w:eastAsia="zh-CN" w:bidi="ar-SA"/>
        </w:rPr>
        <w:t>2.2</w:t>
      </w:r>
      <w:r>
        <w:rPr>
          <w:rFonts w:ascii="Times New Roman" w:hAnsi="Times New Roman" w:eastAsia="黑体" w:cs="Times New Roman"/>
          <w:kern w:val="2"/>
          <w:sz w:val="21"/>
          <w:szCs w:val="20"/>
          <w:highlight w:val="none"/>
          <w:lang w:val="en-US" w:eastAsia="zh-CN" w:bidi="ar-SA"/>
        </w:rPr>
        <w:fldChar w:fldCharType="end"/>
      </w:r>
      <w:r>
        <w:rPr>
          <w:rFonts w:ascii="Times New Roman" w:hAnsi="Times New Roman" w:eastAsia="黑体" w:cs="Times New Roman"/>
          <w:kern w:val="2"/>
          <w:sz w:val="21"/>
          <w:szCs w:val="20"/>
          <w:highlight w:val="none"/>
          <w:lang w:val="en-US" w:eastAsia="zh-CN" w:bidi="ar-SA"/>
        </w:rPr>
        <w:noBreakHyphen/>
      </w:r>
      <w:r>
        <w:rPr>
          <w:rFonts w:ascii="Times New Roman" w:hAnsi="Times New Roman" w:eastAsia="黑体" w:cs="Times New Roman"/>
          <w:kern w:val="2"/>
          <w:sz w:val="21"/>
          <w:szCs w:val="20"/>
          <w:highlight w:val="none"/>
          <w:lang w:val="en-US" w:eastAsia="zh-CN" w:bidi="ar-SA"/>
        </w:rPr>
        <w:fldChar w:fldCharType="begin"/>
      </w:r>
      <w:r>
        <w:rPr>
          <w:rFonts w:ascii="Times New Roman" w:hAnsi="Times New Roman" w:eastAsia="黑体" w:cs="Times New Roman"/>
          <w:kern w:val="2"/>
          <w:sz w:val="21"/>
          <w:szCs w:val="20"/>
          <w:highlight w:val="none"/>
          <w:lang w:val="en-US" w:eastAsia="zh-CN" w:bidi="ar-SA"/>
        </w:rPr>
        <w:instrText xml:space="preserve"> </w:instrText>
      </w:r>
      <w:r>
        <w:rPr>
          <w:rFonts w:hint="eastAsia" w:ascii="Times New Roman" w:hAnsi="Times New Roman" w:eastAsia="黑体" w:cs="Times New Roman"/>
          <w:kern w:val="2"/>
          <w:sz w:val="21"/>
          <w:szCs w:val="20"/>
          <w:highlight w:val="none"/>
          <w:lang w:val="en-US" w:eastAsia="zh-CN" w:bidi="ar-SA"/>
        </w:rPr>
        <w:instrText xml:space="preserve">SEQ 表 \* ARABIC \s 2</w:instrText>
      </w:r>
      <w:r>
        <w:rPr>
          <w:rFonts w:ascii="Times New Roman" w:hAnsi="Times New Roman" w:eastAsia="黑体" w:cs="Times New Roman"/>
          <w:kern w:val="2"/>
          <w:sz w:val="21"/>
          <w:szCs w:val="20"/>
          <w:highlight w:val="none"/>
          <w:lang w:val="en-US" w:eastAsia="zh-CN" w:bidi="ar-SA"/>
        </w:rPr>
        <w:instrText xml:space="preserve"> </w:instrText>
      </w:r>
      <w:r>
        <w:rPr>
          <w:rFonts w:ascii="Times New Roman" w:hAnsi="Times New Roman" w:eastAsia="黑体" w:cs="Times New Roman"/>
          <w:kern w:val="2"/>
          <w:sz w:val="21"/>
          <w:szCs w:val="20"/>
          <w:highlight w:val="none"/>
          <w:lang w:val="en-US" w:eastAsia="zh-CN" w:bidi="ar-SA"/>
        </w:rPr>
        <w:fldChar w:fldCharType="separate"/>
      </w:r>
      <w:r>
        <w:rPr>
          <w:rFonts w:ascii="Times New Roman" w:hAnsi="Times New Roman" w:eastAsia="黑体" w:cs="Times New Roman"/>
          <w:kern w:val="2"/>
          <w:sz w:val="21"/>
          <w:szCs w:val="20"/>
          <w:highlight w:val="none"/>
          <w:lang w:val="en-US" w:eastAsia="zh-CN" w:bidi="ar-SA"/>
        </w:rPr>
        <w:t>1</w:t>
      </w:r>
      <w:r>
        <w:rPr>
          <w:rFonts w:ascii="Times New Roman" w:hAnsi="Times New Roman" w:eastAsia="黑体" w:cs="Times New Roman"/>
          <w:kern w:val="2"/>
          <w:sz w:val="21"/>
          <w:szCs w:val="20"/>
          <w:highlight w:val="none"/>
          <w:lang w:val="en-US" w:eastAsia="zh-CN" w:bidi="ar-SA"/>
        </w:rPr>
        <w:fldChar w:fldCharType="end"/>
      </w:r>
      <w:r>
        <w:rPr>
          <w:rFonts w:hint="eastAsia" w:ascii="Times New Roman" w:hAnsi="Times New Roman" w:eastAsia="黑体" w:cs="Times New Roman"/>
          <w:kern w:val="2"/>
          <w:sz w:val="21"/>
          <w:szCs w:val="20"/>
          <w:highlight w:val="none"/>
          <w:lang w:val="en-US" w:eastAsia="zh-CN" w:bidi="ar-SA"/>
        </w:rPr>
        <w:t>规划区用地布局规划一览表</w:t>
      </w:r>
    </w:p>
    <w:tbl>
      <w:tblPr>
        <w:tblStyle w:val="39"/>
        <w:tblW w:w="5000" w:type="pct"/>
        <w:tblInd w:w="0" w:type="dxa"/>
        <w:tblLayout w:type="fixed"/>
        <w:tblCellMar>
          <w:top w:w="0" w:type="dxa"/>
          <w:left w:w="57" w:type="dxa"/>
          <w:bottom w:w="0" w:type="dxa"/>
          <w:right w:w="57" w:type="dxa"/>
        </w:tblCellMar>
      </w:tblPr>
      <w:tblGrid>
        <w:gridCol w:w="1761"/>
        <w:gridCol w:w="2267"/>
        <w:gridCol w:w="2268"/>
        <w:gridCol w:w="850"/>
        <w:gridCol w:w="703"/>
        <w:gridCol w:w="1335"/>
      </w:tblGrid>
      <w:tr>
        <w:tblPrEx>
          <w:tblCellMar>
            <w:top w:w="0" w:type="dxa"/>
            <w:left w:w="57" w:type="dxa"/>
            <w:bottom w:w="0" w:type="dxa"/>
            <w:right w:w="57" w:type="dxa"/>
          </w:tblCellMar>
        </w:tblPrEx>
        <w:trPr>
          <w:trHeight w:val="270" w:hRule="atLeast"/>
        </w:trPr>
        <w:tc>
          <w:tcPr>
            <w:tcW w:w="95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一级类</w:t>
            </w:r>
          </w:p>
        </w:tc>
        <w:tc>
          <w:tcPr>
            <w:tcW w:w="123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二级类</w:t>
            </w:r>
          </w:p>
        </w:tc>
        <w:tc>
          <w:tcPr>
            <w:tcW w:w="123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二级类</w:t>
            </w:r>
          </w:p>
        </w:tc>
        <w:tc>
          <w:tcPr>
            <w:tcW w:w="84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规划目标年</w:t>
            </w:r>
          </w:p>
        </w:tc>
        <w:tc>
          <w:tcPr>
            <w:tcW w:w="727"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规划期间面积增减情况（公顷）</w:t>
            </w:r>
          </w:p>
        </w:tc>
      </w:tr>
      <w:tr>
        <w:tblPrEx>
          <w:tblCellMar>
            <w:top w:w="0" w:type="dxa"/>
            <w:left w:w="57" w:type="dxa"/>
            <w:bottom w:w="0" w:type="dxa"/>
            <w:right w:w="57" w:type="dxa"/>
          </w:tblCellMar>
        </w:tblPrEx>
        <w:trPr>
          <w:trHeight w:val="510" w:hRule="atLeast"/>
        </w:trPr>
        <w:tc>
          <w:tcPr>
            <w:tcW w:w="958"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123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1235"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463"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面积</w:t>
            </w:r>
            <w:r>
              <w:rPr>
                <w:rFonts w:eastAsia="宋体" w:cs="Times New Roman"/>
                <w:kern w:val="0"/>
                <w:sz w:val="21"/>
                <w:szCs w:val="21"/>
                <w:highlight w:val="none"/>
              </w:rPr>
              <w:br w:type="textWrapping"/>
            </w:r>
            <w:r>
              <w:rPr>
                <w:rFonts w:eastAsia="宋体" w:cs="Times New Roman"/>
                <w:kern w:val="0"/>
                <w:sz w:val="21"/>
                <w:szCs w:val="21"/>
                <w:highlight w:val="none"/>
              </w:rPr>
              <w:t>（公顷）</w:t>
            </w:r>
          </w:p>
        </w:tc>
        <w:tc>
          <w:tcPr>
            <w:tcW w:w="383"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比例</w:t>
            </w:r>
          </w:p>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w:t>
            </w:r>
          </w:p>
        </w:tc>
        <w:tc>
          <w:tcPr>
            <w:tcW w:w="72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eastAsia="宋体" w:cs="Times New Roman"/>
                <w:kern w:val="0"/>
                <w:sz w:val="21"/>
                <w:szCs w:val="21"/>
                <w:highlight w:val="none"/>
              </w:rPr>
            </w:pPr>
          </w:p>
        </w:tc>
      </w:tr>
      <w:tr>
        <w:tblPrEx>
          <w:tblCellMar>
            <w:top w:w="0" w:type="dxa"/>
            <w:left w:w="57" w:type="dxa"/>
            <w:bottom w:w="0" w:type="dxa"/>
            <w:right w:w="57" w:type="dxa"/>
          </w:tblCellMar>
        </w:tblPrEx>
        <w:trPr>
          <w:trHeight w:val="270" w:hRule="atLeast"/>
        </w:trPr>
        <w:tc>
          <w:tcPr>
            <w:tcW w:w="958" w:type="pct"/>
            <w:vMerge w:val="restart"/>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居住用地</w:t>
            </w:r>
          </w:p>
        </w:tc>
        <w:tc>
          <w:tcPr>
            <w:tcW w:w="12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城镇住宅用地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二类城镇住宅用地</w:t>
            </w: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6.66</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4.88</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6.66</w:t>
            </w:r>
          </w:p>
        </w:tc>
      </w:tr>
      <w:tr>
        <w:tblPrEx>
          <w:tblCellMar>
            <w:top w:w="0" w:type="dxa"/>
            <w:left w:w="57" w:type="dxa"/>
            <w:bottom w:w="0" w:type="dxa"/>
            <w:right w:w="57" w:type="dxa"/>
          </w:tblCellMar>
        </w:tblPrEx>
        <w:trPr>
          <w:trHeight w:val="270" w:hRule="atLeast"/>
        </w:trPr>
        <w:tc>
          <w:tcPr>
            <w:tcW w:w="958"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12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农村宅基地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一类农村宅基地</w:t>
            </w: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0.00</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0.00</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-30.55</w:t>
            </w:r>
          </w:p>
        </w:tc>
      </w:tr>
      <w:tr>
        <w:tblPrEx>
          <w:tblCellMar>
            <w:top w:w="0" w:type="dxa"/>
            <w:left w:w="57" w:type="dxa"/>
            <w:bottom w:w="0" w:type="dxa"/>
            <w:right w:w="57" w:type="dxa"/>
          </w:tblCellMar>
        </w:tblPrEx>
        <w:trPr>
          <w:trHeight w:val="270" w:hRule="atLeast"/>
        </w:trPr>
        <w:tc>
          <w:tcPr>
            <w:tcW w:w="958"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12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农村社区服务设施用地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0.00</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0.00</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-0.25</w:t>
            </w:r>
          </w:p>
        </w:tc>
      </w:tr>
      <w:tr>
        <w:tblPrEx>
          <w:tblCellMar>
            <w:top w:w="0" w:type="dxa"/>
            <w:left w:w="57" w:type="dxa"/>
            <w:bottom w:w="0" w:type="dxa"/>
            <w:right w:w="57" w:type="dxa"/>
          </w:tblCellMar>
        </w:tblPrEx>
        <w:trPr>
          <w:trHeight w:val="720" w:hRule="atLeast"/>
        </w:trPr>
        <w:tc>
          <w:tcPr>
            <w:tcW w:w="958"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公共管理与公共服务用地</w:t>
            </w:r>
          </w:p>
        </w:tc>
        <w:tc>
          <w:tcPr>
            <w:tcW w:w="12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机关团体用地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1.75</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1.28</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1.52</w:t>
            </w:r>
          </w:p>
        </w:tc>
      </w:tr>
      <w:tr>
        <w:tblPrEx>
          <w:tblCellMar>
            <w:top w:w="0" w:type="dxa"/>
            <w:left w:w="57" w:type="dxa"/>
            <w:bottom w:w="0" w:type="dxa"/>
            <w:right w:w="57" w:type="dxa"/>
          </w:tblCellMar>
        </w:tblPrEx>
        <w:trPr>
          <w:trHeight w:val="270" w:hRule="atLeast"/>
        </w:trPr>
        <w:tc>
          <w:tcPr>
            <w:tcW w:w="958" w:type="pct"/>
            <w:vMerge w:val="restart"/>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商业服务业用地</w:t>
            </w:r>
          </w:p>
        </w:tc>
        <w:tc>
          <w:tcPr>
            <w:tcW w:w="123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商业用地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零售商业用地</w:t>
            </w: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1.37</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1.00</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1.37</w:t>
            </w:r>
          </w:p>
        </w:tc>
      </w:tr>
      <w:tr>
        <w:tblPrEx>
          <w:tblCellMar>
            <w:top w:w="0" w:type="dxa"/>
            <w:left w:w="57" w:type="dxa"/>
            <w:bottom w:w="0" w:type="dxa"/>
            <w:right w:w="57" w:type="dxa"/>
          </w:tblCellMar>
        </w:tblPrEx>
        <w:trPr>
          <w:trHeight w:val="270" w:hRule="atLeast"/>
        </w:trPr>
        <w:tc>
          <w:tcPr>
            <w:tcW w:w="958"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1234"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公用设施营业网点用地</w:t>
            </w: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0.37</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0.27</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0.37</w:t>
            </w:r>
          </w:p>
        </w:tc>
      </w:tr>
      <w:tr>
        <w:tblPrEx>
          <w:tblCellMar>
            <w:top w:w="0" w:type="dxa"/>
            <w:left w:w="57" w:type="dxa"/>
            <w:bottom w:w="0" w:type="dxa"/>
            <w:right w:w="57" w:type="dxa"/>
          </w:tblCellMar>
        </w:tblPrEx>
        <w:trPr>
          <w:trHeight w:val="270" w:hRule="atLeast"/>
        </w:trPr>
        <w:tc>
          <w:tcPr>
            <w:tcW w:w="958" w:type="pct"/>
            <w:vMerge w:val="restart"/>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工矿用地</w:t>
            </w:r>
          </w:p>
        </w:tc>
        <w:tc>
          <w:tcPr>
            <w:tcW w:w="12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工业用地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二类工业用地</w:t>
            </w: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79.66</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58.30</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79.57</w:t>
            </w:r>
          </w:p>
        </w:tc>
      </w:tr>
      <w:tr>
        <w:tblPrEx>
          <w:tblCellMar>
            <w:top w:w="0" w:type="dxa"/>
            <w:left w:w="57" w:type="dxa"/>
            <w:bottom w:w="0" w:type="dxa"/>
            <w:right w:w="57" w:type="dxa"/>
          </w:tblCellMar>
        </w:tblPrEx>
        <w:trPr>
          <w:trHeight w:val="270" w:hRule="atLeast"/>
        </w:trPr>
        <w:tc>
          <w:tcPr>
            <w:tcW w:w="958"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12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采矿用地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0.00</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0.00</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-4.04</w:t>
            </w:r>
          </w:p>
        </w:tc>
      </w:tr>
      <w:tr>
        <w:tblPrEx>
          <w:tblCellMar>
            <w:top w:w="0" w:type="dxa"/>
            <w:left w:w="57" w:type="dxa"/>
            <w:bottom w:w="0" w:type="dxa"/>
            <w:right w:w="57" w:type="dxa"/>
          </w:tblCellMar>
        </w:tblPrEx>
        <w:trPr>
          <w:trHeight w:val="270" w:hRule="atLeast"/>
        </w:trPr>
        <w:tc>
          <w:tcPr>
            <w:tcW w:w="958"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仓储用地</w:t>
            </w:r>
          </w:p>
        </w:tc>
        <w:tc>
          <w:tcPr>
            <w:tcW w:w="12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物流仓储用地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二类物流仓储用地</w:t>
            </w: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2.71</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1.98</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2.71</w:t>
            </w:r>
          </w:p>
        </w:tc>
      </w:tr>
      <w:tr>
        <w:tblPrEx>
          <w:tblCellMar>
            <w:top w:w="0" w:type="dxa"/>
            <w:left w:w="57" w:type="dxa"/>
            <w:bottom w:w="0" w:type="dxa"/>
            <w:right w:w="57" w:type="dxa"/>
          </w:tblCellMar>
        </w:tblPrEx>
        <w:trPr>
          <w:trHeight w:val="270" w:hRule="atLeast"/>
        </w:trPr>
        <w:tc>
          <w:tcPr>
            <w:tcW w:w="958" w:type="pct"/>
            <w:vMerge w:val="restart"/>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交通运输用地</w:t>
            </w:r>
          </w:p>
        </w:tc>
        <w:tc>
          <w:tcPr>
            <w:tcW w:w="12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公路用地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0.00</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0.00</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-4.81</w:t>
            </w:r>
          </w:p>
        </w:tc>
      </w:tr>
      <w:tr>
        <w:tblPrEx>
          <w:tblCellMar>
            <w:top w:w="0" w:type="dxa"/>
            <w:left w:w="57" w:type="dxa"/>
            <w:bottom w:w="0" w:type="dxa"/>
            <w:right w:w="57" w:type="dxa"/>
          </w:tblCellMar>
        </w:tblPrEx>
        <w:trPr>
          <w:trHeight w:val="270" w:hRule="atLeast"/>
        </w:trPr>
        <w:tc>
          <w:tcPr>
            <w:tcW w:w="958"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12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城镇村道路用地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24.98</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18.28</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24.01</w:t>
            </w:r>
          </w:p>
        </w:tc>
      </w:tr>
      <w:tr>
        <w:tblPrEx>
          <w:tblCellMar>
            <w:top w:w="0" w:type="dxa"/>
            <w:left w:w="57" w:type="dxa"/>
            <w:bottom w:w="0" w:type="dxa"/>
            <w:right w:w="57" w:type="dxa"/>
          </w:tblCellMar>
        </w:tblPrEx>
        <w:trPr>
          <w:trHeight w:val="270" w:hRule="atLeast"/>
        </w:trPr>
        <w:tc>
          <w:tcPr>
            <w:tcW w:w="958" w:type="pct"/>
            <w:vMerge w:val="restart"/>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公用设施用地</w:t>
            </w:r>
          </w:p>
        </w:tc>
        <w:tc>
          <w:tcPr>
            <w:tcW w:w="12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排水用地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2.55</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1.86</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2.55</w:t>
            </w:r>
          </w:p>
        </w:tc>
      </w:tr>
      <w:tr>
        <w:tblPrEx>
          <w:tblCellMar>
            <w:top w:w="0" w:type="dxa"/>
            <w:left w:w="57" w:type="dxa"/>
            <w:bottom w:w="0" w:type="dxa"/>
            <w:right w:w="57" w:type="dxa"/>
          </w:tblCellMar>
        </w:tblPrEx>
        <w:trPr>
          <w:trHeight w:val="270" w:hRule="atLeast"/>
        </w:trPr>
        <w:tc>
          <w:tcPr>
            <w:tcW w:w="958"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12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供电用地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0.68</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0.50</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0.68</w:t>
            </w:r>
          </w:p>
        </w:tc>
      </w:tr>
      <w:tr>
        <w:tblPrEx>
          <w:tblCellMar>
            <w:top w:w="0" w:type="dxa"/>
            <w:left w:w="57" w:type="dxa"/>
            <w:bottom w:w="0" w:type="dxa"/>
            <w:right w:w="57" w:type="dxa"/>
          </w:tblCellMar>
        </w:tblPrEx>
        <w:trPr>
          <w:trHeight w:val="270" w:hRule="atLeast"/>
        </w:trPr>
        <w:tc>
          <w:tcPr>
            <w:tcW w:w="958" w:type="pct"/>
            <w:vMerge w:val="restart"/>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绿地与开敞空间用地</w:t>
            </w:r>
          </w:p>
        </w:tc>
        <w:tc>
          <w:tcPr>
            <w:tcW w:w="12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公园绿地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9.65</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7.06</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9.65</w:t>
            </w:r>
          </w:p>
        </w:tc>
      </w:tr>
      <w:tr>
        <w:tblPrEx>
          <w:tblCellMar>
            <w:top w:w="0" w:type="dxa"/>
            <w:left w:w="57" w:type="dxa"/>
            <w:bottom w:w="0" w:type="dxa"/>
            <w:right w:w="57" w:type="dxa"/>
          </w:tblCellMar>
        </w:tblPrEx>
        <w:trPr>
          <w:trHeight w:val="270" w:hRule="atLeast"/>
        </w:trPr>
        <w:tc>
          <w:tcPr>
            <w:tcW w:w="958"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123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防护绿地</w:t>
            </w:r>
          </w:p>
        </w:tc>
        <w:tc>
          <w:tcPr>
            <w:tcW w:w="123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4.84</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3.54</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4.84</w:t>
            </w:r>
          </w:p>
        </w:tc>
      </w:tr>
      <w:tr>
        <w:tblPrEx>
          <w:tblCellMar>
            <w:top w:w="0" w:type="dxa"/>
            <w:left w:w="57" w:type="dxa"/>
            <w:bottom w:w="0" w:type="dxa"/>
            <w:right w:w="57" w:type="dxa"/>
          </w:tblCellMar>
        </w:tblPrEx>
        <w:trPr>
          <w:trHeight w:val="270" w:hRule="atLeast"/>
        </w:trPr>
        <w:tc>
          <w:tcPr>
            <w:tcW w:w="958"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1234" w:type="pct"/>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广场用地</w:t>
            </w:r>
          </w:p>
        </w:tc>
        <w:tc>
          <w:tcPr>
            <w:tcW w:w="1235" w:type="pct"/>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1.42</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1.04</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1.42</w:t>
            </w:r>
          </w:p>
        </w:tc>
      </w:tr>
      <w:tr>
        <w:tblPrEx>
          <w:tblCellMar>
            <w:top w:w="0" w:type="dxa"/>
            <w:left w:w="57" w:type="dxa"/>
            <w:bottom w:w="0" w:type="dxa"/>
            <w:right w:w="57" w:type="dxa"/>
          </w:tblCellMar>
        </w:tblPrEx>
        <w:trPr>
          <w:trHeight w:val="270" w:hRule="atLeast"/>
        </w:trPr>
        <w:tc>
          <w:tcPr>
            <w:tcW w:w="2192" w:type="pct"/>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合计</w:t>
            </w:r>
          </w:p>
        </w:tc>
        <w:tc>
          <w:tcPr>
            <w:tcW w:w="1235" w:type="pct"/>
            <w:tcBorders>
              <w:top w:val="nil"/>
              <w:left w:val="nil"/>
              <w:bottom w:val="single" w:color="auto" w:sz="4" w:space="0"/>
              <w:right w:val="single" w:color="auto" w:sz="4" w:space="0"/>
            </w:tcBorders>
            <w:shd w:val="clear" w:color="000000" w:fill="FFFFFF"/>
            <w:noWrap w:val="0"/>
            <w:vAlign w:val="center"/>
          </w:tcPr>
          <w:p>
            <w:pPr>
              <w:widowControl/>
              <w:spacing w:line="240" w:lineRule="auto"/>
              <w:ind w:firstLine="0" w:firstLineChars="0"/>
              <w:jc w:val="center"/>
              <w:rPr>
                <w:rFonts w:eastAsia="宋体" w:cs="Times New Roman"/>
                <w:color w:val="000000"/>
                <w:kern w:val="0"/>
                <w:sz w:val="21"/>
                <w:szCs w:val="21"/>
                <w:highlight w:val="none"/>
              </w:rPr>
            </w:pPr>
          </w:p>
        </w:tc>
        <w:tc>
          <w:tcPr>
            <w:tcW w:w="4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136.64</w:t>
            </w:r>
          </w:p>
        </w:tc>
        <w:tc>
          <w:tcPr>
            <w:tcW w:w="38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100.00</w:t>
            </w:r>
          </w:p>
        </w:tc>
        <w:tc>
          <w:tcPr>
            <w:tcW w:w="72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95.55</w:t>
            </w:r>
          </w:p>
        </w:tc>
      </w:tr>
    </w:tbl>
    <w:p>
      <w:pPr>
        <w:ind w:firstLine="480"/>
        <w:rPr>
          <w:rFonts w:hint="eastAsia" w:eastAsia="宋体" w:cs="Times New Roman"/>
          <w:highlight w:val="none"/>
        </w:rPr>
      </w:pPr>
    </w:p>
    <w:p>
      <w:pPr>
        <w:keepNext/>
        <w:keepLines/>
        <w:widowControl w:val="0"/>
        <w:numPr>
          <w:ilvl w:val="2"/>
          <w:numId w:val="1"/>
        </w:numPr>
        <w:spacing w:line="360" w:lineRule="auto"/>
        <w:ind w:left="0" w:firstLine="0" w:firstLineChars="0"/>
        <w:jc w:val="left"/>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道路交通规划</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1、对外交通规划</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规划区的半岛环路（新区大道</w:t>
      </w:r>
      <w:r>
        <w:rPr>
          <w:rFonts w:ascii="Times New Roman" w:hAnsi="Times New Roman" w:eastAsia="宋体" w:cs="Times New Roman"/>
          <w:bCs/>
          <w:kern w:val="2"/>
          <w:sz w:val="24"/>
          <w:szCs w:val="21"/>
          <w:highlight w:val="none"/>
          <w:lang w:val="en-US" w:eastAsia="zh-CN" w:bidi="ar-SA"/>
        </w:rPr>
        <w:t>）</w:t>
      </w:r>
      <w:r>
        <w:rPr>
          <w:rFonts w:hint="eastAsia" w:ascii="Times New Roman" w:hAnsi="Times New Roman" w:eastAsia="宋体" w:cs="Times New Roman"/>
          <w:bCs/>
          <w:kern w:val="2"/>
          <w:sz w:val="24"/>
          <w:szCs w:val="21"/>
          <w:highlight w:val="none"/>
          <w:lang w:val="en-US" w:eastAsia="zh-CN" w:bidi="ar-SA"/>
        </w:rPr>
        <w:t>向西衔接兰海高速，向北衔接张家港片区通过百利大桥向东衔接经开区。</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ascii="Times New Roman" w:hAnsi="Times New Roman" w:eastAsia="宋体" w:cs="Times New Roman"/>
          <w:bCs/>
          <w:kern w:val="2"/>
          <w:sz w:val="24"/>
          <w:szCs w:val="21"/>
          <w:highlight w:val="none"/>
          <w:lang w:val="en-US" w:eastAsia="zh-CN" w:bidi="ar-SA"/>
        </w:rPr>
        <w:t>2、对内交通规划</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ascii="Times New Roman" w:hAnsi="Times New Roman" w:eastAsia="宋体" w:cs="Times New Roman"/>
          <w:bCs/>
          <w:kern w:val="2"/>
          <w:sz w:val="24"/>
          <w:szCs w:val="21"/>
          <w:highlight w:val="none"/>
          <w:lang w:val="en-US" w:eastAsia="zh-CN" w:bidi="ar-SA"/>
        </w:rPr>
        <w:t>规划园区道路结构</w:t>
      </w:r>
      <w:r>
        <w:rPr>
          <w:rFonts w:ascii="宋体" w:hAnsi="宋体" w:eastAsia="宋体" w:cs="Times New Roman"/>
          <w:bCs/>
          <w:kern w:val="2"/>
          <w:sz w:val="24"/>
          <w:szCs w:val="21"/>
          <w:highlight w:val="none"/>
          <w:lang w:val="en-US" w:eastAsia="zh-CN" w:bidi="ar-SA"/>
        </w:rPr>
        <w:t>为“三横七纵”</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ascii="Times New Roman" w:hAnsi="Times New Roman" w:eastAsia="宋体" w:cs="Times New Roman"/>
          <w:bCs/>
          <w:kern w:val="2"/>
          <w:sz w:val="24"/>
          <w:szCs w:val="21"/>
          <w:highlight w:val="none"/>
          <w:lang w:val="en-US" w:eastAsia="zh-CN" w:bidi="ar-SA"/>
        </w:rPr>
        <w:t>（1）三横（由北向南排列）</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ascii="Times New Roman" w:hAnsi="Times New Roman" w:eastAsia="宋体" w:cs="Times New Roman"/>
          <w:bCs/>
          <w:kern w:val="2"/>
          <w:sz w:val="24"/>
          <w:szCs w:val="21"/>
          <w:highlight w:val="none"/>
          <w:lang w:val="en-US" w:eastAsia="zh-CN" w:bidi="ar-SA"/>
        </w:rPr>
        <w:t>横线:路幅宽度16米，沿山串联各个区域，东西接入半岛环路（新区大道）</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ascii="Times New Roman" w:hAnsi="Times New Roman" w:eastAsia="宋体" w:cs="Times New Roman"/>
          <w:bCs/>
          <w:kern w:val="2"/>
          <w:sz w:val="24"/>
          <w:szCs w:val="21"/>
          <w:highlight w:val="none"/>
          <w:lang w:val="en-US" w:eastAsia="zh-CN" w:bidi="ar-SA"/>
        </w:rPr>
        <w:t>二横线:即半岛环路（新区大道），路幅宽度40米，申联整个园区。</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ascii="Times New Roman" w:hAnsi="Times New Roman" w:eastAsia="宋体" w:cs="Times New Roman"/>
          <w:bCs/>
          <w:kern w:val="2"/>
          <w:sz w:val="24"/>
          <w:szCs w:val="21"/>
          <w:highlight w:val="none"/>
          <w:lang w:val="en-US" w:eastAsia="zh-CN" w:bidi="ar-SA"/>
        </w:rPr>
        <w:t>三横线:即滨江路，路幅宽度16米，沿嘉陵江西岸串联整个园区。</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ascii="Times New Roman" w:hAnsi="Times New Roman" w:eastAsia="宋体" w:cs="Times New Roman"/>
          <w:bCs/>
          <w:kern w:val="2"/>
          <w:sz w:val="24"/>
          <w:szCs w:val="21"/>
          <w:highlight w:val="none"/>
          <w:lang w:val="en-US" w:eastAsia="zh-CN" w:bidi="ar-SA"/>
        </w:rPr>
        <w:t>（2）七纵（由西向东排列）</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ascii="Times New Roman" w:hAnsi="Times New Roman" w:eastAsia="宋体" w:cs="Times New Roman"/>
          <w:bCs/>
          <w:kern w:val="2"/>
          <w:sz w:val="24"/>
          <w:szCs w:val="21"/>
          <w:highlight w:val="none"/>
          <w:lang w:val="en-US" w:eastAsia="zh-CN" w:bidi="ar-SA"/>
        </w:rPr>
        <w:t>由西向东依次为百利一街至百利七街，除二街外路幅宽度均为16米，二街的路幅宽度为18米。</w:t>
      </w:r>
    </w:p>
    <w:p>
      <w:pPr>
        <w:keepNext/>
        <w:keepLines/>
        <w:widowControl w:val="0"/>
        <w:numPr>
          <w:ilvl w:val="2"/>
          <w:numId w:val="1"/>
        </w:numPr>
        <w:spacing w:line="360" w:lineRule="auto"/>
        <w:ind w:left="0" w:firstLine="0" w:firstLineChars="0"/>
        <w:jc w:val="left"/>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基础设施规划</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1、用水量预测</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采用单位建设用地指标法预测规划区内最高日用水量，预测规划区内最高日用水量约为0.75万立方米/日。</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2、供水系统规划</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(1)供水水源</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规划区供水水源为经开工业水厂和亭子口水厂，其中经开工业水厂规模为5.5万立方米/日，通过百利大桥引入，经给水干管将自来水输送至园区各处。</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(2)输配水管网</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沿道路敷设给水管网，根据路网规划，选取刚性控制的主次干道作为供水主干管走廊，敷设DN400供水主干管，并形成环网，提高区内供水的安全可靠性供水干管沿用水集中地区方向布置。其余道路敷设DN200-DN300供水支管，市政道路上最小给水管管径为DN200。</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3、消防给水规划</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规划区采用室外低压消防给水系统，消防用水与生活用水为同一管网系统。按《建筑设计防火规范》(GB50016-2018)要求，消防用水量按同时火灾次数2次，一次灭火用水量35升/秒，灭火持续时间2小时。消防用水量不计入规划用水量中，仅作校核计算用。</w:t>
      </w:r>
    </w:p>
    <w:p>
      <w:pPr>
        <w:widowControl w:val="0"/>
        <w:adjustRightInd w:val="0"/>
        <w:snapToGrid/>
        <w:spacing w:line="360" w:lineRule="auto"/>
        <w:ind w:firstLine="482" w:firstLineChars="200"/>
        <w:jc w:val="both"/>
        <w:rPr>
          <w:rFonts w:ascii="Times New Roman" w:hAnsi="Times New Roman" w:eastAsia="宋体" w:cs="Times New Roman"/>
          <w:b/>
          <w:bCs w:val="0"/>
          <w:kern w:val="2"/>
          <w:sz w:val="24"/>
          <w:szCs w:val="21"/>
          <w:highlight w:val="none"/>
          <w:lang w:val="en-US" w:eastAsia="zh-CN" w:bidi="ar-SA"/>
        </w:rPr>
      </w:pPr>
      <w:r>
        <w:rPr>
          <w:rFonts w:hint="eastAsia" w:ascii="Times New Roman" w:hAnsi="Times New Roman" w:eastAsia="宋体" w:cs="Times New Roman"/>
          <w:b/>
          <w:bCs w:val="0"/>
          <w:kern w:val="2"/>
          <w:sz w:val="24"/>
          <w:szCs w:val="21"/>
          <w:highlight w:val="none"/>
          <w:lang w:val="en-US" w:eastAsia="zh-CN" w:bidi="ar-SA"/>
        </w:rPr>
        <w:t>2、排水工程</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（1）排水体制</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规划区排水体制采用“雨污分流制”。</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（2）污水量预测</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园区内综合生活污水排放系数预计为0.9，日变化系数预计为1.5，则综合生活污水量(平均日)预计约为0.1万立方米/日。园区内工业废水排放系数预计为0.85，日变化系数预计为1.0，则工业废水量(平均日)预计约为0.64万立方米/日。</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预计规划区内平均日污水生成量为0.74万立方米/日。</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w:t>
      </w:r>
      <w:r>
        <w:rPr>
          <w:rFonts w:ascii="Times New Roman" w:hAnsi="Times New Roman" w:eastAsia="宋体" w:cs="Times New Roman"/>
          <w:bCs/>
          <w:kern w:val="2"/>
          <w:sz w:val="24"/>
          <w:szCs w:val="21"/>
          <w:highlight w:val="none"/>
          <w:lang w:val="en-US" w:eastAsia="zh-CN" w:bidi="ar-SA"/>
        </w:rPr>
        <w:t>3</w:t>
      </w:r>
      <w:r>
        <w:rPr>
          <w:rFonts w:hint="eastAsia" w:ascii="Times New Roman" w:hAnsi="Times New Roman" w:eastAsia="宋体" w:cs="Times New Roman"/>
          <w:bCs/>
          <w:kern w:val="2"/>
          <w:sz w:val="24"/>
          <w:szCs w:val="21"/>
          <w:highlight w:val="none"/>
          <w:lang w:val="en-US" w:eastAsia="zh-CN" w:bidi="ar-SA"/>
        </w:rPr>
        <w:t>）污水系统规划</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规划保留“苍溪国土空间规划”中确定的百利污水处理厂，位于园区西南侧，设计规模为0.8万立方米/日，保证规划区内预测污水处理量要求及部分未预见污水量处理，现状在建污水处理厂规模为0.8万立方米/日。污水处理厂(站)执行《城镇污水处理厂污染物排放标准》(GB18918)一级A排放标准。</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（4）污水管网规划</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结合园区地形特征和道路纵坡，合理规划污水管网，最大限度利用重力自流方式收集污水。</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污水管网采用树枝状管网布置方式，由污水管网统一排至园区西南侧规划新建的污水处理厂处理。沿嘉陵江西岸规划一条污水干管，管径为DN400-DN1000,场镇各区域布置污水支管收集污水，汇入污水干管，管径为DN400-DN600工业企业废水和医疗废水等特殊废水在排入污水处理系统前，需针对其特征污染物进行预处理。处理后的排入排水系统的污水水质，必须符合现行的《污水综合排放标准》、《污水排入城市下水道水质标准》等有关标准的规定。</w:t>
      </w:r>
    </w:p>
    <w:p>
      <w:pPr>
        <w:widowControl w:val="0"/>
        <w:adjustRightInd w:val="0"/>
        <w:snapToGrid/>
        <w:spacing w:line="360" w:lineRule="auto"/>
        <w:ind w:firstLine="482" w:firstLineChars="200"/>
        <w:jc w:val="both"/>
        <w:rPr>
          <w:rFonts w:ascii="Times New Roman" w:hAnsi="Times New Roman" w:eastAsia="宋体" w:cs="Times New Roman"/>
          <w:b/>
          <w:bCs w:val="0"/>
          <w:kern w:val="2"/>
          <w:sz w:val="24"/>
          <w:szCs w:val="21"/>
          <w:highlight w:val="none"/>
          <w:lang w:val="en-US" w:eastAsia="zh-CN" w:bidi="ar-SA"/>
        </w:rPr>
      </w:pPr>
      <w:r>
        <w:rPr>
          <w:rFonts w:hint="eastAsia" w:ascii="Times New Roman" w:hAnsi="Times New Roman" w:eastAsia="宋体" w:cs="Times New Roman"/>
          <w:b/>
          <w:bCs w:val="0"/>
          <w:kern w:val="2"/>
          <w:sz w:val="24"/>
          <w:szCs w:val="21"/>
          <w:highlight w:val="none"/>
          <w:lang w:val="en-US" w:eastAsia="zh-CN" w:bidi="ar-SA"/>
        </w:rPr>
        <w:t>3、燃气工程</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（1）用气量预测</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本规划区内的燃气按用户类型可分为以下三类：居民生活用气、商业用气、工业生产用气。</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其中居民用气量按0.3标立方米/人·日进行预测；</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公共设施用气按居民生活用气的40%考虑；工业用气按250标立方米/公顷·日预测。则规划区内的最高日用气量预计为2.08万立方米/日。</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（2）供气系统规划</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规划区气源来自规划经开配气站。燃气管道主要沿规划道路布管，为保证整个园区供气安全性，沿规划主次干道形成中压配气环网。采用环状敷设为主、枝状敷设为辅，环枝结合的敷设方式，管径DN150-DN250。</w:t>
      </w:r>
    </w:p>
    <w:p>
      <w:pPr>
        <w:widowControl w:val="0"/>
        <w:adjustRightInd w:val="0"/>
        <w:snapToGrid/>
        <w:spacing w:line="360" w:lineRule="auto"/>
        <w:ind w:firstLine="482" w:firstLineChars="200"/>
        <w:jc w:val="both"/>
        <w:rPr>
          <w:rFonts w:ascii="Times New Roman" w:hAnsi="Times New Roman" w:eastAsia="宋体" w:cs="Times New Roman"/>
          <w:b/>
          <w:bCs w:val="0"/>
          <w:kern w:val="2"/>
          <w:sz w:val="24"/>
          <w:szCs w:val="21"/>
          <w:highlight w:val="none"/>
          <w:lang w:val="en-US" w:eastAsia="zh-CN" w:bidi="ar-SA"/>
        </w:rPr>
      </w:pPr>
      <w:r>
        <w:rPr>
          <w:rFonts w:hint="eastAsia" w:ascii="Times New Roman" w:hAnsi="Times New Roman" w:eastAsia="宋体" w:cs="Times New Roman"/>
          <w:b/>
          <w:bCs w:val="0"/>
          <w:kern w:val="2"/>
          <w:sz w:val="24"/>
          <w:szCs w:val="21"/>
          <w:highlight w:val="none"/>
          <w:lang w:val="en-US" w:eastAsia="zh-CN" w:bidi="ar-SA"/>
        </w:rPr>
        <w:t>4、电力工程</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（1）用电量预测</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根据规划的经济发展模式及建筑性质、规模等相关控制指标，结合规划区的实际情况，主要采用分类建筑面积负荷指标法进行计算，考虑总同时系数为0.7,规划区内总用电负荷约为3.40万千瓦。</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w:t>
      </w:r>
      <w:r>
        <w:rPr>
          <w:rFonts w:ascii="Times New Roman" w:hAnsi="Times New Roman" w:eastAsia="宋体" w:cs="Times New Roman"/>
          <w:bCs/>
          <w:kern w:val="2"/>
          <w:sz w:val="24"/>
          <w:szCs w:val="21"/>
          <w:highlight w:val="none"/>
          <w:lang w:val="en-US" w:eastAsia="zh-CN" w:bidi="ar-SA"/>
        </w:rPr>
        <w:t>2</w:t>
      </w:r>
      <w:r>
        <w:rPr>
          <w:rFonts w:hint="eastAsia" w:ascii="Times New Roman" w:hAnsi="Times New Roman" w:eastAsia="宋体" w:cs="Times New Roman"/>
          <w:bCs/>
          <w:kern w:val="2"/>
          <w:sz w:val="24"/>
          <w:szCs w:val="21"/>
          <w:highlight w:val="none"/>
          <w:lang w:val="en-US" w:eastAsia="zh-CN" w:bidi="ar-SA"/>
        </w:rPr>
        <w:t>）供电系统规划</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规划工业园区电网的主要供电电压等级为35/10/0.4千伏，形成以35千伏变电站为支撑，10千伏电网全面覆盖的结构布局，符合电网“N-1”供电安全准则，满足经济社会发展和居民生活的用电需求及用电质量要求。规划于BL-A-04地块新建35千伏百利变电站，占地约0.68公顷</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w:t>
      </w:r>
      <w:r>
        <w:rPr>
          <w:rFonts w:ascii="Times New Roman" w:hAnsi="Times New Roman" w:eastAsia="宋体" w:cs="Times New Roman"/>
          <w:bCs/>
          <w:kern w:val="2"/>
          <w:sz w:val="24"/>
          <w:szCs w:val="21"/>
          <w:highlight w:val="none"/>
          <w:lang w:val="en-US" w:eastAsia="zh-CN" w:bidi="ar-SA"/>
        </w:rPr>
        <w:t>3</w:t>
      </w:r>
      <w:r>
        <w:rPr>
          <w:rFonts w:hint="eastAsia" w:ascii="Times New Roman" w:hAnsi="Times New Roman" w:eastAsia="宋体" w:cs="Times New Roman"/>
          <w:bCs/>
          <w:kern w:val="2"/>
          <w:sz w:val="24"/>
          <w:szCs w:val="21"/>
          <w:highlight w:val="none"/>
          <w:lang w:val="en-US" w:eastAsia="zh-CN" w:bidi="ar-SA"/>
        </w:rPr>
        <w:t>）照明规划</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市政道路路灯宜采用LED灯,小区内道路路灯可适当采用LED灯等绿色节能光源。灯杆、灯具外形应与周围环境相协调。LED路灯应符合安全可靠、技术先进、经济合理、节能环保和维修方便的要求,照明评价指标应符合CJJ45的规定。LED路灯的控制装置应便于现场更换和维修，光源宜便于更换。</w:t>
      </w:r>
    </w:p>
    <w:p>
      <w:pPr>
        <w:widowControl w:val="0"/>
        <w:adjustRightInd w:val="0"/>
        <w:snapToGrid/>
        <w:spacing w:line="360" w:lineRule="auto"/>
        <w:ind w:firstLine="482" w:firstLineChars="200"/>
        <w:jc w:val="both"/>
        <w:rPr>
          <w:rFonts w:ascii="Times New Roman" w:hAnsi="Times New Roman" w:eastAsia="宋体" w:cs="Times New Roman"/>
          <w:b/>
          <w:bCs w:val="0"/>
          <w:kern w:val="2"/>
          <w:sz w:val="24"/>
          <w:szCs w:val="21"/>
          <w:highlight w:val="none"/>
          <w:lang w:val="en-US" w:eastAsia="zh-CN" w:bidi="ar-SA"/>
        </w:rPr>
      </w:pPr>
      <w:r>
        <w:rPr>
          <w:rFonts w:hint="eastAsia" w:ascii="Times New Roman" w:hAnsi="Times New Roman" w:eastAsia="宋体" w:cs="Times New Roman"/>
          <w:b/>
          <w:bCs w:val="0"/>
          <w:kern w:val="2"/>
          <w:sz w:val="24"/>
          <w:szCs w:val="21"/>
          <w:highlight w:val="none"/>
          <w:lang w:val="en-US" w:eastAsia="zh-CN" w:bidi="ar-SA"/>
        </w:rPr>
        <w:t>5、防洪规划</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（1）设防要求</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根据上位规划要求，苍溪县嘉陵江河段按50年一遇防洪标准设防。为保证小水库在洪水期的泄洪，应改建其下游溢洪道。为防止在暴雨季节山坡汇水对场地的威胁，应在园区周边修建截洪沟。</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w:t>
      </w:r>
      <w:r>
        <w:rPr>
          <w:rFonts w:ascii="Times New Roman" w:hAnsi="Times New Roman" w:eastAsia="宋体" w:cs="Times New Roman"/>
          <w:bCs/>
          <w:kern w:val="2"/>
          <w:sz w:val="24"/>
          <w:szCs w:val="21"/>
          <w:highlight w:val="none"/>
          <w:lang w:val="en-US" w:eastAsia="zh-CN" w:bidi="ar-SA"/>
        </w:rPr>
        <w:t>2</w:t>
      </w:r>
      <w:r>
        <w:rPr>
          <w:rFonts w:hint="eastAsia" w:ascii="Times New Roman" w:hAnsi="Times New Roman" w:eastAsia="宋体" w:cs="Times New Roman"/>
          <w:bCs/>
          <w:kern w:val="2"/>
          <w:sz w:val="24"/>
          <w:szCs w:val="21"/>
          <w:highlight w:val="none"/>
          <w:lang w:val="en-US" w:eastAsia="zh-CN" w:bidi="ar-SA"/>
        </w:rPr>
        <w:t>）防洪措施</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①合理规划园区内部竖向，完善雨水管网建设，以保证雨水行泄顺畅。同时充分考虑园区内部雨水的集蓄利用，以减少其他水资源的消耗量，建设资源节约型工业园区。雨水集蓄利用还可有效减少园区内涝，补充地下水。雨水集蓄利用应与防洪除涝规划进行有机衔接，制定暴雨洪水的综合管理规划。(2)提高园区植被及周边的森林覆盖率，减少水土流失。</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②建立完善的水文、气象、水情预测、预报系统，根据气象水情预报实施有效的防洪调度运用方案，以避免或减少洪涝灾害所造成的损失。</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③加强防汛通信设施建设，建立先进的通信系统，增强通信报讯的准确性和灵活性。</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④加强防汛设施汛期巡查，确保及时发现防汛设施病害和危险迹象</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⑤制定和完善防汛预案和洪水风险图，确保出现重大险情时，能快速、有序、高效地进行组织、救援及采取相应的应急措施。</w:t>
      </w:r>
    </w:p>
    <w:p>
      <w:pPr>
        <w:widowControl w:val="0"/>
        <w:adjustRightInd w:val="0"/>
        <w:snapToGrid/>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w:t>
      </w:r>
      <w:r>
        <w:rPr>
          <w:rFonts w:ascii="Times New Roman" w:hAnsi="Times New Roman" w:eastAsia="宋体" w:cs="Times New Roman"/>
          <w:bCs/>
          <w:kern w:val="2"/>
          <w:sz w:val="24"/>
          <w:szCs w:val="21"/>
          <w:highlight w:val="none"/>
          <w:lang w:val="en-US" w:eastAsia="zh-CN" w:bidi="ar-SA"/>
        </w:rPr>
        <w:t>3</w:t>
      </w:r>
      <w:r>
        <w:rPr>
          <w:rFonts w:hint="eastAsia" w:ascii="Times New Roman" w:hAnsi="Times New Roman" w:eastAsia="宋体" w:cs="Times New Roman"/>
          <w:bCs/>
          <w:kern w:val="2"/>
          <w:sz w:val="24"/>
          <w:szCs w:val="21"/>
          <w:highlight w:val="none"/>
          <w:lang w:val="en-US" w:eastAsia="zh-CN" w:bidi="ar-SA"/>
        </w:rPr>
        <w:t>）排水防涝</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加强园区排水管渠疏浚防涝，建设与完善园区排水防涝体系。</w:t>
      </w:r>
    </w:p>
    <w:p>
      <w:pPr>
        <w:keepNext/>
        <w:keepLines/>
        <w:widowControl w:val="0"/>
        <w:numPr>
          <w:ilvl w:val="2"/>
          <w:numId w:val="1"/>
        </w:numPr>
        <w:spacing w:line="360" w:lineRule="auto"/>
        <w:ind w:left="0" w:firstLine="0" w:firstLineChars="0"/>
        <w:jc w:val="left"/>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环境保护及环卫设施规划</w:t>
      </w:r>
    </w:p>
    <w:p>
      <w:pPr>
        <w:ind w:firstLine="480"/>
        <w:rPr>
          <w:rFonts w:eastAsia="宋体" w:cs="Times New Roman"/>
          <w:highlight w:val="none"/>
        </w:rPr>
      </w:pPr>
      <w:r>
        <w:rPr>
          <w:rFonts w:eastAsia="宋体" w:cs="Times New Roman"/>
          <w:highlight w:val="none"/>
        </w:rPr>
        <w:t>1、水环境保护</w:t>
      </w:r>
    </w:p>
    <w:p>
      <w:pPr>
        <w:ind w:firstLine="480"/>
        <w:rPr>
          <w:rFonts w:eastAsia="宋体" w:cs="Times New Roman"/>
          <w:highlight w:val="none"/>
        </w:rPr>
      </w:pPr>
      <w:r>
        <w:rPr>
          <w:rFonts w:hint="eastAsia" w:eastAsia="宋体" w:cs="Times New Roman"/>
          <w:highlight w:val="none"/>
        </w:rPr>
        <w:t>地表水环境：园区水域功能区水质达标率1</w:t>
      </w:r>
      <w:r>
        <w:rPr>
          <w:rFonts w:eastAsia="宋体" w:cs="Times New Roman"/>
          <w:highlight w:val="none"/>
        </w:rPr>
        <w:t>00%，无</w:t>
      </w:r>
      <w:r>
        <w:rPr>
          <w:rFonts w:hint="eastAsia" w:eastAsia="宋体" w:cs="Times New Roman"/>
          <w:highlight w:val="none"/>
        </w:rPr>
        <w:t>I</w:t>
      </w:r>
      <w:r>
        <w:rPr>
          <w:rFonts w:eastAsia="宋体" w:cs="Times New Roman"/>
          <w:highlight w:val="none"/>
        </w:rPr>
        <w:t>V类水质；生活污水处理量达到</w:t>
      </w:r>
      <w:r>
        <w:rPr>
          <w:rFonts w:hint="eastAsia" w:eastAsia="宋体" w:cs="Times New Roman"/>
          <w:highlight w:val="none"/>
        </w:rPr>
        <w:t>1</w:t>
      </w:r>
      <w:r>
        <w:rPr>
          <w:rFonts w:eastAsia="宋体" w:cs="Times New Roman"/>
          <w:highlight w:val="none"/>
        </w:rPr>
        <w:t>00%，工业废水排放达标率达到</w:t>
      </w:r>
      <w:r>
        <w:rPr>
          <w:rFonts w:hint="eastAsia" w:eastAsia="宋体" w:cs="Times New Roman"/>
          <w:highlight w:val="none"/>
        </w:rPr>
        <w:t>1</w:t>
      </w:r>
      <w:r>
        <w:rPr>
          <w:rFonts w:eastAsia="宋体" w:cs="Times New Roman"/>
          <w:highlight w:val="none"/>
        </w:rPr>
        <w:t>00%</w:t>
      </w:r>
      <w:r>
        <w:rPr>
          <w:rFonts w:hint="eastAsia" w:eastAsia="宋体" w:cs="Times New Roman"/>
          <w:highlight w:val="none"/>
        </w:rPr>
        <w:t>。</w:t>
      </w:r>
    </w:p>
    <w:p>
      <w:pPr>
        <w:ind w:firstLine="480"/>
        <w:rPr>
          <w:rFonts w:eastAsia="宋体" w:cs="Times New Roman"/>
          <w:highlight w:val="none"/>
        </w:rPr>
      </w:pPr>
      <w:r>
        <w:rPr>
          <w:rFonts w:hint="eastAsia" w:eastAsia="宋体" w:cs="Times New Roman"/>
          <w:highlight w:val="none"/>
        </w:rPr>
        <w:t>加强污水处理设施建设，全面控制工业污染源，对废水排放量大的重点污染源实行在线监控。加大工业废水治理力度，实施总量和浓度双指标控制和排污许可证制度，严禁未达标的工业废水直接排入市政污水管网或水体，所有未全面达标的工业企业均应限期治理。禁止绿地使用有毒有害农药，禁止在嘉陵江沿岸区域堆放垃圾。</w:t>
      </w:r>
    </w:p>
    <w:p>
      <w:pPr>
        <w:ind w:firstLine="480"/>
        <w:rPr>
          <w:rFonts w:hint="eastAsia" w:eastAsia="宋体" w:cs="Times New Roman"/>
          <w:highlight w:val="none"/>
        </w:rPr>
      </w:pPr>
      <w:r>
        <w:rPr>
          <w:rFonts w:hint="eastAsia" w:eastAsia="宋体" w:cs="Times New Roman"/>
          <w:highlight w:val="none"/>
        </w:rPr>
        <w:t>2、大气环境保护</w:t>
      </w:r>
    </w:p>
    <w:p>
      <w:pPr>
        <w:ind w:firstLine="480"/>
        <w:rPr>
          <w:rFonts w:eastAsia="宋体" w:cs="Times New Roman"/>
          <w:highlight w:val="none"/>
        </w:rPr>
      </w:pPr>
      <w:r>
        <w:rPr>
          <w:rFonts w:hint="eastAsia" w:eastAsia="宋体" w:cs="Times New Roman"/>
          <w:highlight w:val="none"/>
        </w:rPr>
        <w:t>环境空气质量执行《环境空气质量标准（G</w:t>
      </w:r>
      <w:r>
        <w:rPr>
          <w:rFonts w:eastAsia="宋体" w:cs="Times New Roman"/>
          <w:highlight w:val="none"/>
        </w:rPr>
        <w:t>B3095-2012</w:t>
      </w:r>
      <w:r>
        <w:rPr>
          <w:rFonts w:hint="eastAsia" w:eastAsia="宋体" w:cs="Times New Roman"/>
          <w:highlight w:val="none"/>
        </w:rPr>
        <w:t>）》二类标准。</w:t>
      </w:r>
    </w:p>
    <w:p>
      <w:pPr>
        <w:ind w:firstLine="480"/>
        <w:rPr>
          <w:rFonts w:hint="eastAsia" w:eastAsia="宋体" w:cs="Times New Roman"/>
          <w:highlight w:val="none"/>
        </w:rPr>
      </w:pPr>
      <w:r>
        <w:rPr>
          <w:rFonts w:hint="eastAsia" w:eastAsia="宋体" w:cs="Times New Roman"/>
          <w:highlight w:val="none"/>
        </w:rPr>
        <w:t>以工业废气和机动车尾气污染防治、控制餐饮、建筑施工、道路扬尘污染为重点，加强对S0</w:t>
      </w:r>
      <w:r>
        <w:rPr>
          <w:rFonts w:hint="eastAsia" w:eastAsia="宋体" w:cs="Times New Roman"/>
          <w:highlight w:val="none"/>
          <w:vertAlign w:val="subscript"/>
        </w:rPr>
        <w:t>2</w:t>
      </w:r>
      <w:r>
        <w:rPr>
          <w:rFonts w:hint="eastAsia" w:eastAsia="宋体" w:cs="Times New Roman"/>
          <w:highlight w:val="none"/>
        </w:rPr>
        <w:t>和可吸入颗粒物污染的控制，有效削减大气污染物排放。二氧化硫年平均浓度小于60微克/立方米，PM</w:t>
      </w:r>
      <w:r>
        <w:rPr>
          <w:rFonts w:hint="eastAsia" w:eastAsia="宋体" w:cs="Times New Roman"/>
          <w:highlight w:val="none"/>
          <w:vertAlign w:val="subscript"/>
        </w:rPr>
        <w:t>10</w:t>
      </w:r>
      <w:r>
        <w:rPr>
          <w:rFonts w:hint="eastAsia" w:eastAsia="宋体" w:cs="Times New Roman"/>
          <w:highlight w:val="none"/>
        </w:rPr>
        <w:t>颗粒物年平均浓度小于70微克/立方米，PM</w:t>
      </w:r>
      <w:r>
        <w:rPr>
          <w:rFonts w:hint="eastAsia" w:eastAsia="宋体" w:cs="Times New Roman"/>
          <w:highlight w:val="none"/>
          <w:vertAlign w:val="subscript"/>
        </w:rPr>
        <w:t>2.5</w:t>
      </w:r>
      <w:r>
        <w:rPr>
          <w:rFonts w:hint="eastAsia" w:eastAsia="宋体" w:cs="Times New Roman"/>
          <w:highlight w:val="none"/>
        </w:rPr>
        <w:t>颗粒物年平均浓度小于35微克/立方米。</w:t>
      </w:r>
    </w:p>
    <w:p>
      <w:pPr>
        <w:ind w:firstLine="480"/>
        <w:rPr>
          <w:rFonts w:hint="eastAsia" w:eastAsia="宋体" w:cs="Times New Roman"/>
          <w:highlight w:val="none"/>
        </w:rPr>
      </w:pPr>
      <w:r>
        <w:rPr>
          <w:rFonts w:hint="eastAsia" w:eastAsia="宋体" w:cs="Times New Roman"/>
          <w:highlight w:val="none"/>
        </w:rPr>
        <w:t>整治工业废气，积极推行清洁生产，实行在线监测和排污许可证制度;推广使用清洁能源，控制机动车尾气;加强施工现场管理，防治施工扬尘污染;加强绿化建设,封闭土路;加强弃土、弃渣运输、倾倒的监督管理;治理餐饮业油烟,要求达标排放。</w:t>
      </w:r>
    </w:p>
    <w:p>
      <w:pPr>
        <w:ind w:firstLine="480"/>
        <w:rPr>
          <w:rFonts w:eastAsia="宋体" w:cs="Times New Roman"/>
          <w:highlight w:val="none"/>
        </w:rPr>
      </w:pPr>
      <w:r>
        <w:rPr>
          <w:rFonts w:hint="eastAsia" w:eastAsia="宋体" w:cs="Times New Roman"/>
          <w:highlight w:val="none"/>
        </w:rPr>
        <w:t>3、声环境保护</w:t>
      </w:r>
    </w:p>
    <w:p>
      <w:pPr>
        <w:ind w:firstLine="480"/>
        <w:rPr>
          <w:rFonts w:eastAsia="宋体" w:cs="Times New Roman"/>
          <w:highlight w:val="none"/>
        </w:rPr>
      </w:pPr>
      <w:r>
        <w:rPr>
          <w:rFonts w:hint="eastAsia" w:eastAsia="宋体" w:cs="Times New Roman"/>
          <w:highlight w:val="none"/>
        </w:rPr>
        <w:t>声环境：满足《声环境质量标准》（G</w:t>
      </w:r>
      <w:r>
        <w:rPr>
          <w:rFonts w:eastAsia="宋体" w:cs="Times New Roman"/>
          <w:highlight w:val="none"/>
        </w:rPr>
        <w:t>B3096-2008</w:t>
      </w:r>
      <w:r>
        <w:rPr>
          <w:rFonts w:hint="eastAsia" w:eastAsia="宋体" w:cs="Times New Roman"/>
          <w:highlight w:val="none"/>
        </w:rPr>
        <w:t>）中的相应区域类标准，严格执行《工业企业厂界噪声标准》《建筑施工厂界噪声限值》。</w:t>
      </w:r>
    </w:p>
    <w:p>
      <w:pPr>
        <w:ind w:firstLine="480"/>
        <w:rPr>
          <w:rFonts w:hint="eastAsia" w:eastAsia="宋体" w:cs="Times New Roman"/>
          <w:highlight w:val="none"/>
        </w:rPr>
      </w:pPr>
      <w:r>
        <w:rPr>
          <w:rFonts w:hint="eastAsia" w:eastAsia="宋体" w:cs="Times New Roman"/>
          <w:highlight w:val="none"/>
        </w:rPr>
        <w:t>重点控制居住区和工业服务区的交通噪声，通过设置汽车禁鸣区、汽车减速带、噪声防护林带，噪声折减板等措施，降低交通污染。</w:t>
      </w:r>
    </w:p>
    <w:p>
      <w:pPr>
        <w:ind w:firstLine="480"/>
        <w:rPr>
          <w:rFonts w:eastAsia="宋体" w:cs="Times New Roman"/>
          <w:highlight w:val="none"/>
        </w:rPr>
      </w:pPr>
      <w:r>
        <w:rPr>
          <w:rFonts w:hint="eastAsia" w:eastAsia="宋体" w:cs="Times New Roman"/>
          <w:highlight w:val="none"/>
        </w:rPr>
        <w:t>严格执行《工业企业厂界噪声标准》(GB12348-2008)，加强工业噪声源的污染防治。严格执行《建筑施工场界噪声限值》(GB12523-90)，强化建筑施工申报审批制度，严禁夜间施工作业。</w:t>
      </w:r>
    </w:p>
    <w:p>
      <w:pPr>
        <w:ind w:firstLine="480"/>
        <w:rPr>
          <w:rFonts w:eastAsia="宋体" w:cs="Times New Roman"/>
          <w:highlight w:val="none"/>
        </w:rPr>
      </w:pPr>
      <w:r>
        <w:rPr>
          <w:rFonts w:hint="eastAsia" w:eastAsia="宋体" w:cs="Times New Roman"/>
          <w:highlight w:val="none"/>
        </w:rPr>
        <w:t>4、固废处理</w:t>
      </w:r>
    </w:p>
    <w:p>
      <w:pPr>
        <w:ind w:firstLine="480"/>
        <w:rPr>
          <w:rFonts w:hint="eastAsia" w:eastAsia="宋体" w:cs="Times New Roman"/>
          <w:highlight w:val="none"/>
        </w:rPr>
      </w:pPr>
      <w:r>
        <w:rPr>
          <w:rFonts w:hint="eastAsia" w:eastAsia="宋体" w:cs="Times New Roman"/>
          <w:highlight w:val="none"/>
        </w:rPr>
        <w:t>（1）垃圾处理</w:t>
      </w:r>
    </w:p>
    <w:p>
      <w:pPr>
        <w:ind w:firstLine="480"/>
        <w:rPr>
          <w:rFonts w:hint="eastAsia" w:eastAsia="宋体" w:cs="Times New Roman"/>
          <w:highlight w:val="none"/>
        </w:rPr>
      </w:pPr>
      <w:r>
        <w:rPr>
          <w:rFonts w:hint="eastAsia" w:eastAsia="宋体" w:cs="Times New Roman"/>
          <w:highlight w:val="none"/>
        </w:rPr>
        <w:t>①目标</w:t>
      </w:r>
    </w:p>
    <w:p>
      <w:pPr>
        <w:ind w:firstLine="480"/>
        <w:rPr>
          <w:rFonts w:hint="eastAsia" w:eastAsia="宋体" w:cs="Times New Roman"/>
          <w:highlight w:val="none"/>
        </w:rPr>
      </w:pPr>
      <w:r>
        <w:rPr>
          <w:rFonts w:hint="eastAsia" w:eastAsia="宋体" w:cs="Times New Roman"/>
          <w:highlight w:val="none"/>
        </w:rPr>
        <w:t>生活垃圾、物流垃圾清运率和无害化处理率达95%。粪便纳入城市污水处理系统，无害化处理率达100%。</w:t>
      </w:r>
    </w:p>
    <w:p>
      <w:pPr>
        <w:ind w:firstLine="480"/>
        <w:rPr>
          <w:rFonts w:hint="eastAsia" w:eastAsia="宋体" w:cs="Times New Roman"/>
          <w:highlight w:val="none"/>
        </w:rPr>
      </w:pPr>
      <w:r>
        <w:rPr>
          <w:rFonts w:hint="eastAsia" w:eastAsia="宋体" w:cs="Times New Roman"/>
          <w:highlight w:val="none"/>
        </w:rPr>
        <w:t>②主要措施</w:t>
      </w:r>
    </w:p>
    <w:p>
      <w:pPr>
        <w:ind w:firstLine="480"/>
        <w:rPr>
          <w:rFonts w:hint="eastAsia" w:eastAsia="宋体" w:cs="Times New Roman"/>
          <w:highlight w:val="none"/>
        </w:rPr>
      </w:pPr>
      <w:r>
        <w:rPr>
          <w:rFonts w:hint="eastAsia" w:eastAsia="宋体" w:cs="Times New Roman"/>
          <w:highlight w:val="none"/>
        </w:rPr>
        <w:t>提高居住区生活垃圾处理减量化、资源化和无害化水平。建立和完善垃圾收集、清运、处理系统，确保垃圾处理规范运行，防止二次污染。妥善处置建筑垃圾和餐厨废弃物。加强江河漂浮物清除。</w:t>
      </w:r>
    </w:p>
    <w:p>
      <w:pPr>
        <w:ind w:firstLine="480"/>
        <w:rPr>
          <w:rFonts w:hint="eastAsia" w:eastAsia="宋体" w:cs="Times New Roman"/>
          <w:highlight w:val="none"/>
        </w:rPr>
      </w:pPr>
      <w:r>
        <w:rPr>
          <w:rFonts w:hint="eastAsia" w:eastAsia="宋体" w:cs="Times New Roman"/>
          <w:highlight w:val="none"/>
        </w:rPr>
        <w:t>（2）工业固体废物处理</w:t>
      </w:r>
    </w:p>
    <w:p>
      <w:pPr>
        <w:ind w:firstLine="480"/>
        <w:rPr>
          <w:rFonts w:hint="eastAsia" w:eastAsia="宋体" w:cs="Times New Roman"/>
          <w:highlight w:val="none"/>
        </w:rPr>
      </w:pPr>
      <w:r>
        <w:rPr>
          <w:rFonts w:hint="eastAsia" w:eastAsia="宋体" w:cs="Times New Roman"/>
          <w:highlight w:val="none"/>
        </w:rPr>
        <w:t>①目标</w:t>
      </w:r>
    </w:p>
    <w:p>
      <w:pPr>
        <w:ind w:firstLine="480"/>
        <w:rPr>
          <w:rFonts w:hint="eastAsia" w:eastAsia="宋体" w:cs="Times New Roman"/>
          <w:highlight w:val="none"/>
        </w:rPr>
      </w:pPr>
      <w:r>
        <w:rPr>
          <w:rFonts w:hint="eastAsia" w:eastAsia="宋体" w:cs="Times New Roman"/>
          <w:highlight w:val="none"/>
        </w:rPr>
        <w:t>工业固体废弃物无害化处理率达95%，危险固废安全处置率达到100%。</w:t>
      </w:r>
    </w:p>
    <w:p>
      <w:pPr>
        <w:ind w:firstLine="480"/>
        <w:rPr>
          <w:rFonts w:hint="eastAsia" w:eastAsia="宋体" w:cs="Times New Roman"/>
          <w:highlight w:val="none"/>
        </w:rPr>
      </w:pPr>
      <w:r>
        <w:rPr>
          <w:rFonts w:hint="eastAsia" w:eastAsia="宋体" w:cs="Times New Roman"/>
          <w:highlight w:val="none"/>
        </w:rPr>
        <w:t>②主要措施</w:t>
      </w:r>
    </w:p>
    <w:p>
      <w:pPr>
        <w:ind w:firstLine="480"/>
        <w:rPr>
          <w:highlight w:val="none"/>
        </w:rPr>
        <w:sectPr>
          <w:pgSz w:w="11906" w:h="16838"/>
          <w:pgMar w:top="1418" w:right="1418" w:bottom="1418" w:left="1418" w:header="851" w:footer="992" w:gutter="0"/>
          <w:cols w:space="720" w:num="1"/>
          <w:docGrid w:type="lines" w:linePitch="326" w:charSpace="0"/>
        </w:sectPr>
      </w:pPr>
      <w:r>
        <w:rPr>
          <w:rFonts w:hint="eastAsia" w:eastAsia="宋体" w:cs="Times New Roman"/>
          <w:highlight w:val="none"/>
        </w:rPr>
        <w:t>提高原料利用率，引导减少固体废物产生。加强工业固废综合利用，提高固废综合利用率。一般工业固废应尽量采取资源化回收利用，对不能利用或产生量少自身又无法治理的工业固废进行集中资源化处理。危险固废应按有关规定，专项安全处置。</w:t>
      </w:r>
    </w:p>
    <w:p>
      <w:pPr>
        <w:keepNext/>
        <w:keepLines/>
        <w:widowControl w:val="0"/>
        <w:numPr>
          <w:ilvl w:val="1"/>
          <w:numId w:val="1"/>
        </w:numPr>
        <w:spacing w:line="480" w:lineRule="auto"/>
        <w:ind w:left="0" w:firstLine="0" w:firstLineChars="0"/>
        <w:jc w:val="left"/>
        <w:outlineLvl w:val="1"/>
        <w:rPr>
          <w:rFonts w:ascii="Times New Roman" w:hAnsi="Times New Roman" w:eastAsia="黑体" w:cs="Times New Roman"/>
          <w:bCs/>
          <w:kern w:val="2"/>
          <w:sz w:val="32"/>
          <w:szCs w:val="32"/>
          <w:highlight w:val="none"/>
          <w:lang w:val="en-US" w:eastAsia="zh-CN" w:bidi="ar-SA"/>
        </w:rPr>
      </w:pPr>
      <w:bookmarkStart w:id="19" w:name="_Toc145434593"/>
      <w:r>
        <w:rPr>
          <w:rFonts w:hint="eastAsia" w:ascii="Times New Roman" w:hAnsi="Times New Roman" w:eastAsia="黑体" w:cs="Times New Roman"/>
          <w:bCs/>
          <w:kern w:val="2"/>
          <w:sz w:val="32"/>
          <w:szCs w:val="32"/>
          <w:highlight w:val="none"/>
          <w:lang w:val="en-US" w:eastAsia="zh-CN" w:bidi="ar-SA"/>
        </w:rPr>
        <w:t>规划协调性分析</w:t>
      </w:r>
      <w:bookmarkEnd w:id="19"/>
    </w:p>
    <w:p>
      <w:pPr>
        <w:keepNext/>
        <w:keepLines/>
        <w:widowControl w:val="0"/>
        <w:numPr>
          <w:ilvl w:val="2"/>
          <w:numId w:val="1"/>
        </w:numPr>
        <w:spacing w:line="360" w:lineRule="auto"/>
        <w:ind w:left="0" w:firstLine="0" w:firstLineChars="0"/>
        <w:jc w:val="left"/>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与区域发展战略及上层位规划的符合性分析</w:t>
      </w:r>
    </w:p>
    <w:p>
      <w:pPr>
        <w:ind w:firstLine="480"/>
        <w:rPr>
          <w:rFonts w:eastAsia="宋体" w:cs="Times New Roman"/>
          <w:highlight w:val="none"/>
        </w:rPr>
      </w:pPr>
      <w:r>
        <w:rPr>
          <w:rFonts w:eastAsia="宋体" w:cs="Times New Roman"/>
          <w:highlight w:val="none"/>
        </w:rPr>
        <w:t>1</w:t>
      </w:r>
      <w:r>
        <w:rPr>
          <w:rFonts w:hint="eastAsia" w:eastAsia="宋体" w:cs="Times New Roman"/>
          <w:highlight w:val="none"/>
        </w:rPr>
        <w:t>、本次规划与现行国民经济和社会发展规划的符合性分析见下表。</w:t>
      </w:r>
    </w:p>
    <w:p>
      <w:pPr>
        <w:keepNext/>
        <w:widowControl w:val="0"/>
        <w:numPr>
          <w:ilvl w:val="0"/>
          <w:numId w:val="7"/>
        </w:numPr>
        <w:spacing w:line="360" w:lineRule="auto"/>
        <w:ind w:left="777" w:hanging="420" w:firstLineChars="0"/>
        <w:jc w:val="center"/>
        <w:outlineLvl w:val="4"/>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与现行国民经济和社会发展规划的符合性分析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262"/>
        <w:gridCol w:w="8762"/>
        <w:gridCol w:w="155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7"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序号</w:t>
            </w:r>
          </w:p>
        </w:tc>
        <w:tc>
          <w:tcPr>
            <w:tcW w:w="798"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法规、政策和规划名称</w:t>
            </w:r>
          </w:p>
        </w:tc>
        <w:tc>
          <w:tcPr>
            <w:tcW w:w="3091"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规划或政策相关内容</w:t>
            </w:r>
          </w:p>
        </w:tc>
        <w:tc>
          <w:tcPr>
            <w:tcW w:w="548"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协调性分析</w:t>
            </w:r>
          </w:p>
        </w:tc>
        <w:tc>
          <w:tcPr>
            <w:tcW w:w="326"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37" w:type="pct"/>
            <w:shd w:val="clear" w:color="auto" w:fill="auto"/>
            <w:noWrap/>
            <w:vAlign w:val="center"/>
          </w:tcPr>
          <w:p>
            <w:pPr>
              <w:widowControl/>
              <w:spacing w:line="240" w:lineRule="auto"/>
              <w:ind w:firstLine="0" w:firstLineChars="0"/>
              <w:rPr>
                <w:rFonts w:eastAsia="宋体" w:cs="Times New Roman"/>
                <w:color w:val="000000"/>
                <w:kern w:val="0"/>
                <w:sz w:val="21"/>
                <w:szCs w:val="21"/>
                <w:highlight w:val="none"/>
              </w:rPr>
            </w:pPr>
            <w:r>
              <w:rPr>
                <w:rFonts w:eastAsia="宋体" w:cs="Times New Roman"/>
                <w:color w:val="000000"/>
                <w:kern w:val="0"/>
                <w:sz w:val="21"/>
                <w:szCs w:val="21"/>
                <w:highlight w:val="none"/>
              </w:rPr>
              <w:t>1</w:t>
            </w:r>
          </w:p>
        </w:tc>
        <w:tc>
          <w:tcPr>
            <w:tcW w:w="798" w:type="pct"/>
            <w:shd w:val="clear" w:color="auto" w:fill="auto"/>
            <w:noWrap/>
            <w:vAlign w:val="center"/>
          </w:tcPr>
          <w:p>
            <w:pPr>
              <w:widowControl/>
              <w:spacing w:line="240" w:lineRule="auto"/>
              <w:ind w:firstLine="0" w:firstLineChars="0"/>
              <w:rPr>
                <w:rFonts w:eastAsia="宋体" w:cs="Times New Roman"/>
                <w:color w:val="000000"/>
                <w:kern w:val="0"/>
                <w:sz w:val="21"/>
                <w:szCs w:val="21"/>
                <w:highlight w:val="none"/>
              </w:rPr>
            </w:pPr>
            <w:r>
              <w:rPr>
                <w:rFonts w:eastAsia="宋体" w:cs="Times New Roman"/>
                <w:color w:val="000000"/>
                <w:kern w:val="0"/>
                <w:sz w:val="21"/>
                <w:szCs w:val="21"/>
                <w:highlight w:val="none"/>
              </w:rPr>
              <w:t>《中华人民共和国国民经济和社会发展第十四个五年规划和2035年远景目标纲要》</w:t>
            </w:r>
          </w:p>
        </w:tc>
        <w:tc>
          <w:tcPr>
            <w:tcW w:w="3091" w:type="pct"/>
            <w:shd w:val="clear" w:color="auto" w:fill="auto"/>
            <w:noWrap w:val="0"/>
            <w:vAlign w:val="center"/>
          </w:tcPr>
          <w:p>
            <w:pPr>
              <w:widowControl/>
              <w:spacing w:line="240" w:lineRule="auto"/>
              <w:ind w:firstLine="0" w:firstLineChars="0"/>
              <w:rPr>
                <w:rFonts w:eastAsia="宋体" w:cs="Times New Roman"/>
                <w:color w:val="000000"/>
                <w:kern w:val="0"/>
                <w:sz w:val="21"/>
                <w:szCs w:val="21"/>
                <w:highlight w:val="none"/>
              </w:rPr>
            </w:pPr>
            <w:r>
              <w:rPr>
                <w:rFonts w:eastAsia="宋体" w:cs="Times New Roman"/>
                <w:color w:val="000000"/>
                <w:kern w:val="0"/>
                <w:sz w:val="21"/>
                <w:szCs w:val="21"/>
                <w:highlight w:val="none"/>
              </w:rPr>
              <w:t>提升产业链供应链现代化水平。保持制造业比重基本稳定，巩固壮大实体经济根基。坚持自主可控、安全高效</w:t>
            </w:r>
            <w:r>
              <w:rPr>
                <w:rFonts w:eastAsia="宋体" w:cs="Times New Roman"/>
                <w:b/>
                <w:color w:val="000000"/>
                <w:kern w:val="0"/>
                <w:sz w:val="21"/>
                <w:szCs w:val="21"/>
                <w:highlight w:val="none"/>
              </w:rPr>
              <w:t>，</w:t>
            </w:r>
            <w:r>
              <w:rPr>
                <w:rFonts w:eastAsia="宋体" w:cs="Times New Roman"/>
                <w:color w:val="000000"/>
                <w:kern w:val="0"/>
                <w:sz w:val="21"/>
                <w:szCs w:val="21"/>
                <w:highlight w:val="none"/>
              </w:rPr>
              <w:t>分行业做好供应链战略设计和精准施策，推动全产业链优化升级。锻造产业链供应链长板，立足我国产业规模优势、配套优势和部分领域先发优势，打造新兴产业链，推动传统产业高端化、智能化、绿色化，发展服务型制造。完善国家质量基础设施，加强标准、计量、专利等体系和能力建设，深入开展质量提升行动。促进产业在国内有序转移，优化区域产业链布局，支持老工业基地转型发展。补齐产业链供应链短板，实施产业基础再造工程，加大重要产品和关键核心技术攻关力度，发展先进适用技术，推动产业链供应链多元化。优化产业链供应链发展环境，强化要素支撑。加强国际产业安全合作，形成具有更强创新力、更高附加值、更安全可靠的产业链供应链。</w:t>
            </w:r>
            <w:r>
              <w:rPr>
                <w:rFonts w:eastAsia="宋体" w:cs="Times New Roman"/>
                <w:color w:val="000000"/>
                <w:kern w:val="0"/>
                <w:sz w:val="21"/>
                <w:szCs w:val="21"/>
                <w:highlight w:val="none"/>
              </w:rPr>
              <w:br w:type="textWrapping"/>
            </w:r>
            <w:r>
              <w:rPr>
                <w:rFonts w:eastAsia="宋体" w:cs="Times New Roman"/>
                <w:color w:val="000000"/>
                <w:kern w:val="0"/>
                <w:sz w:val="21"/>
                <w:szCs w:val="21"/>
                <w:highlight w:val="none"/>
              </w:rPr>
              <w:t>发展战略性新兴产业。加快壮大新一代信息技术、生物技术、新能源、</w:t>
            </w:r>
            <w:r>
              <w:rPr>
                <w:rFonts w:eastAsia="宋体" w:cs="Times New Roman"/>
                <w:b/>
                <w:color w:val="000000"/>
                <w:kern w:val="0"/>
                <w:sz w:val="21"/>
                <w:szCs w:val="21"/>
                <w:highlight w:val="none"/>
              </w:rPr>
              <w:t>新材料</w:t>
            </w:r>
            <w:r>
              <w:rPr>
                <w:rFonts w:eastAsia="宋体" w:cs="Times New Roman"/>
                <w:color w:val="000000"/>
                <w:kern w:val="0"/>
                <w:sz w:val="21"/>
                <w:szCs w:val="21"/>
                <w:highlight w:val="none"/>
              </w:rPr>
              <w:t>、高端装备、新能源汽车、绿色环保以及航空航天、海洋装备等产业。推动互联网、大数据、人工智能等同各产业深度融合，推动先进制造业集群发展，构建一批各具特色、优势互补、结构合理的战略性新兴产业增长引擎，培育新技术、新产品、新业态、新模式。促进平台经济、共享经济健康发展。鼓励企业兼并重组，防止低水平重复建设。</w:t>
            </w:r>
          </w:p>
        </w:tc>
        <w:tc>
          <w:tcPr>
            <w:tcW w:w="548" w:type="pct"/>
            <w:vMerge w:val="restart"/>
            <w:shd w:val="clear" w:color="auto" w:fill="auto"/>
            <w:noWrap/>
            <w:vAlign w:val="top"/>
          </w:tcPr>
          <w:p>
            <w:pPr>
              <w:widowControl/>
              <w:spacing w:line="240" w:lineRule="auto"/>
              <w:ind w:firstLine="0" w:firstLineChars="0"/>
              <w:jc w:val="left"/>
              <w:rPr>
                <w:rFonts w:hint="eastAsia" w:eastAsia="宋体" w:cs="Times New Roman"/>
                <w:color w:val="000000"/>
                <w:kern w:val="0"/>
                <w:sz w:val="21"/>
                <w:szCs w:val="21"/>
                <w:highlight w:val="none"/>
              </w:rPr>
            </w:pPr>
            <w:r>
              <w:rPr>
                <w:rFonts w:eastAsia="宋体" w:cs="Times New Roman"/>
                <w:color w:val="000000"/>
                <w:kern w:val="0"/>
                <w:sz w:val="21"/>
                <w:szCs w:val="21"/>
                <w:highlight w:val="none"/>
              </w:rPr>
              <w:t>本园区对苍溪经开区工业硅项目进行产业链延伸，完善新材料产业发发展布局，形成新材料产业集群。</w:t>
            </w:r>
          </w:p>
        </w:tc>
        <w:tc>
          <w:tcPr>
            <w:tcW w:w="326" w:type="pct"/>
            <w:vMerge w:val="restart"/>
            <w:shd w:val="clear" w:color="auto" w:fill="auto"/>
            <w:noWrap/>
            <w:vAlign w:val="top"/>
          </w:tcPr>
          <w:p>
            <w:pPr>
              <w:widowControl/>
              <w:spacing w:line="240" w:lineRule="auto"/>
              <w:ind w:firstLine="0" w:firstLineChars="0"/>
              <w:jc w:val="center"/>
              <w:rPr>
                <w:rFonts w:eastAsia="宋体" w:cs="Times New Roman"/>
                <w:kern w:val="0"/>
                <w:sz w:val="21"/>
                <w:szCs w:val="21"/>
                <w:highlight w:val="none"/>
              </w:rPr>
            </w:pPr>
            <w:r>
              <w:rPr>
                <w:rFonts w:eastAsia="宋体" w:cs="Times New Roman"/>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37" w:type="pct"/>
            <w:shd w:val="clear" w:color="auto" w:fill="auto"/>
            <w:noWrap/>
            <w:vAlign w:val="center"/>
          </w:tcPr>
          <w:p>
            <w:pPr>
              <w:widowControl/>
              <w:spacing w:line="240" w:lineRule="auto"/>
              <w:ind w:firstLine="0" w:firstLineChars="0"/>
              <w:rPr>
                <w:rFonts w:eastAsia="宋体" w:cs="Times New Roman"/>
                <w:color w:val="000000"/>
                <w:kern w:val="0"/>
                <w:sz w:val="21"/>
                <w:szCs w:val="21"/>
                <w:highlight w:val="none"/>
              </w:rPr>
            </w:pPr>
            <w:r>
              <w:rPr>
                <w:rFonts w:eastAsia="宋体" w:cs="Times New Roman"/>
                <w:color w:val="000000"/>
                <w:kern w:val="0"/>
                <w:sz w:val="21"/>
                <w:szCs w:val="21"/>
                <w:highlight w:val="none"/>
              </w:rPr>
              <w:t>2</w:t>
            </w:r>
          </w:p>
        </w:tc>
        <w:tc>
          <w:tcPr>
            <w:tcW w:w="798" w:type="pct"/>
            <w:shd w:val="clear" w:color="auto" w:fill="auto"/>
            <w:noWrap/>
            <w:vAlign w:val="center"/>
          </w:tcPr>
          <w:p>
            <w:pPr>
              <w:widowControl/>
              <w:spacing w:line="240" w:lineRule="auto"/>
              <w:ind w:firstLine="0" w:firstLineChars="0"/>
              <w:rPr>
                <w:rFonts w:eastAsia="宋体" w:cs="Times New Roman"/>
                <w:color w:val="000000"/>
                <w:kern w:val="0"/>
                <w:sz w:val="21"/>
                <w:szCs w:val="21"/>
                <w:highlight w:val="none"/>
              </w:rPr>
            </w:pPr>
            <w:r>
              <w:rPr>
                <w:rFonts w:eastAsia="宋体" w:cs="Times New Roman"/>
                <w:color w:val="000000"/>
                <w:kern w:val="0"/>
                <w:sz w:val="21"/>
                <w:szCs w:val="21"/>
                <w:highlight w:val="none"/>
              </w:rPr>
              <w:t>《四川省国民经济和社会发展第十四个五年规划和和二〇三五年远景目标纲要》</w:t>
            </w:r>
          </w:p>
        </w:tc>
        <w:tc>
          <w:tcPr>
            <w:tcW w:w="3091" w:type="pct"/>
            <w:shd w:val="clear" w:color="auto" w:fill="auto"/>
            <w:noWrap w:val="0"/>
            <w:vAlign w:val="center"/>
          </w:tcPr>
          <w:p>
            <w:pPr>
              <w:widowControl/>
              <w:spacing w:line="240" w:lineRule="auto"/>
              <w:ind w:firstLine="0" w:firstLineChars="0"/>
              <w:rPr>
                <w:rFonts w:eastAsia="宋体" w:cs="Times New Roman"/>
                <w:color w:val="000000"/>
                <w:kern w:val="0"/>
                <w:sz w:val="21"/>
                <w:szCs w:val="21"/>
                <w:highlight w:val="none"/>
              </w:rPr>
            </w:pPr>
            <w:r>
              <w:rPr>
                <w:rFonts w:eastAsia="宋体" w:cs="Times New Roman"/>
                <w:color w:val="000000"/>
                <w:kern w:val="0"/>
                <w:sz w:val="21"/>
                <w:szCs w:val="21"/>
                <w:highlight w:val="none"/>
              </w:rPr>
              <w:t>——第十三章深入实施制造强省战略</w:t>
            </w:r>
            <w:r>
              <w:rPr>
                <w:rFonts w:eastAsia="宋体" w:cs="Times New Roman"/>
                <w:color w:val="000000"/>
                <w:kern w:val="0"/>
                <w:sz w:val="21"/>
                <w:szCs w:val="21"/>
                <w:highlight w:val="none"/>
              </w:rPr>
              <w:br w:type="textWrapping"/>
            </w:r>
            <w:r>
              <w:rPr>
                <w:rFonts w:eastAsia="宋体" w:cs="Times New Roman"/>
                <w:color w:val="000000"/>
                <w:kern w:val="0"/>
                <w:sz w:val="21"/>
                <w:szCs w:val="21"/>
                <w:highlight w:val="none"/>
              </w:rPr>
              <w:t>培育产业生态主导型企业，加大垂直一体化整合力度，构建大中小企业配套、上下游企业协同的产业生态圈，推动优势产业集群发展，做强万亿级支柱产业。……壮大钒钛、锂钾、铝基、晶硅、稀土、氟硅、玄武岩纤维等生产基地，</w:t>
            </w:r>
            <w:r>
              <w:rPr>
                <w:rFonts w:eastAsia="宋体" w:cs="Times New Roman"/>
                <w:b/>
                <w:color w:val="000000"/>
                <w:kern w:val="0"/>
                <w:sz w:val="21"/>
                <w:szCs w:val="21"/>
                <w:highlight w:val="none"/>
              </w:rPr>
              <w:t>形成全国重要的先进材料产业集群</w:t>
            </w:r>
            <w:r>
              <w:rPr>
                <w:rFonts w:eastAsia="宋体" w:cs="Times New Roman"/>
                <w:color w:val="000000"/>
                <w:kern w:val="0"/>
                <w:sz w:val="21"/>
                <w:szCs w:val="21"/>
                <w:highlight w:val="none"/>
              </w:rPr>
              <w:t>。大力发展清洁能源，促进大宗化工原料向精细化工转型，加快建设有国际竞争力的能源化工产业集群。继续支持老工业地区振兴发展和资源型地区转型发展。</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7"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3</w:t>
            </w:r>
          </w:p>
        </w:tc>
        <w:tc>
          <w:tcPr>
            <w:tcW w:w="798"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《广元市国民经济和社会发展第十四个五年规划和二〇三五年远景目标纲要》</w:t>
            </w:r>
          </w:p>
        </w:tc>
        <w:tc>
          <w:tcPr>
            <w:tcW w:w="3091" w:type="pct"/>
            <w:shd w:val="clear" w:color="auto" w:fill="auto"/>
            <w:noWrap w:val="0"/>
            <w:vAlign w:val="top"/>
          </w:tcPr>
          <w:p>
            <w:pPr>
              <w:widowControl/>
              <w:spacing w:line="240" w:lineRule="auto"/>
              <w:ind w:firstLine="0" w:firstLineChars="0"/>
              <w:jc w:val="left"/>
              <w:rPr>
                <w:rFonts w:eastAsia="宋体" w:cs="Times New Roman"/>
                <w:color w:val="000000"/>
                <w:kern w:val="0"/>
                <w:sz w:val="21"/>
                <w:szCs w:val="21"/>
                <w:highlight w:val="none"/>
              </w:rPr>
            </w:pPr>
            <w:r>
              <w:rPr>
                <w:rFonts w:eastAsia="宋体" w:cs="Times New Roman"/>
                <w:color w:val="000000"/>
                <w:kern w:val="0"/>
                <w:sz w:val="21"/>
                <w:szCs w:val="21"/>
                <w:highlight w:val="none"/>
              </w:rPr>
              <w:t>推动战略性新兴产业融合化、集群化、生态化发展，聚力做大以铝基材料、新型电池材料为主的新材料产业，加快发展壮大新一代信息技术产业规模，提升生物医药产业发展能级，积极培育产业新增长点。精准实施技术攻关行动，增强新一代信息技术和新材料的核心引领作用，提升节能环保和新能源产业的辅助支撑作用，形成“双驱动”战略新兴产业体系。</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7"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4</w:t>
            </w:r>
          </w:p>
        </w:tc>
        <w:tc>
          <w:tcPr>
            <w:tcW w:w="798"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《苍溪县县国民经济和社会发展第十四个五年规划和二〇三五年远景目标纲要》</w:t>
            </w:r>
          </w:p>
        </w:tc>
        <w:tc>
          <w:tcPr>
            <w:tcW w:w="3091" w:type="pct"/>
            <w:shd w:val="clear" w:color="auto" w:fill="auto"/>
            <w:noWrap w:val="0"/>
            <w:vAlign w:val="top"/>
          </w:tcPr>
          <w:p>
            <w:pPr>
              <w:widowControl/>
              <w:spacing w:line="240" w:lineRule="auto"/>
              <w:ind w:firstLine="0" w:firstLineChars="0"/>
              <w:jc w:val="left"/>
              <w:rPr>
                <w:rFonts w:eastAsia="宋体" w:cs="Times New Roman"/>
                <w:color w:val="000000"/>
                <w:kern w:val="0"/>
                <w:sz w:val="21"/>
                <w:szCs w:val="21"/>
                <w:highlight w:val="none"/>
              </w:rPr>
            </w:pPr>
            <w:r>
              <w:rPr>
                <w:rFonts w:eastAsia="宋体" w:cs="Times New Roman"/>
                <w:color w:val="000000"/>
                <w:kern w:val="0"/>
                <w:sz w:val="21"/>
                <w:szCs w:val="21"/>
                <w:highlight w:val="none"/>
              </w:rPr>
              <w:t>四、推进《纲要》全面落实的对策建议</w:t>
            </w:r>
            <w:r>
              <w:rPr>
                <w:rFonts w:eastAsia="宋体" w:cs="Times New Roman"/>
                <w:color w:val="000000"/>
                <w:kern w:val="0"/>
                <w:sz w:val="21"/>
                <w:szCs w:val="21"/>
                <w:highlight w:val="none"/>
              </w:rPr>
              <w:br w:type="textWrapping"/>
            </w:r>
            <w:r>
              <w:rPr>
                <w:rFonts w:eastAsia="宋体" w:cs="Times New Roman"/>
                <w:color w:val="000000"/>
                <w:kern w:val="0"/>
                <w:sz w:val="21"/>
                <w:szCs w:val="21"/>
                <w:highlight w:val="none"/>
              </w:rPr>
              <w:t>突出发展能源化工、食品饮料、</w:t>
            </w:r>
            <w:r>
              <w:rPr>
                <w:rFonts w:eastAsia="宋体" w:cs="Times New Roman"/>
                <w:b/>
                <w:color w:val="000000"/>
                <w:kern w:val="0"/>
                <w:sz w:val="21"/>
                <w:szCs w:val="21"/>
                <w:highlight w:val="none"/>
              </w:rPr>
              <w:t>硅基新材料</w:t>
            </w:r>
            <w:r>
              <w:rPr>
                <w:rFonts w:eastAsia="宋体" w:cs="Times New Roman"/>
                <w:color w:val="000000"/>
                <w:kern w:val="0"/>
                <w:sz w:val="21"/>
                <w:szCs w:val="21"/>
                <w:highlight w:val="none"/>
              </w:rPr>
              <w:t>三个五百亿产业，建设成渝地区能源安全保障基地，……。发展壮大食品饮料产业，打造中国绿色食品产业名城，做大做强农特产品精深加工、饮料及饮用水、肉制品加工三大领域，大力发展预制菜新赛道产业。着力发展硅基新材料产业，建设全国硅基新材料产业绿色发展基地，推动通威绿色基材项目尽快开工，高效建设硅基新材料产业园。</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kern w:val="0"/>
                <w:sz w:val="21"/>
                <w:szCs w:val="21"/>
                <w:highlight w:val="none"/>
              </w:rPr>
            </w:pPr>
          </w:p>
        </w:tc>
      </w:tr>
    </w:tbl>
    <w:p>
      <w:pPr>
        <w:ind w:firstLine="199" w:firstLineChars="83"/>
        <w:rPr>
          <w:rFonts w:eastAsia="宋体" w:cs="Times New Roman"/>
          <w:highlight w:val="none"/>
        </w:rPr>
      </w:pPr>
    </w:p>
    <w:p>
      <w:pPr>
        <w:ind w:firstLine="480"/>
        <w:rPr>
          <w:rFonts w:eastAsia="宋体" w:cs="Times New Roman"/>
          <w:highlight w:val="none"/>
        </w:rPr>
      </w:pPr>
      <w:r>
        <w:rPr>
          <w:rFonts w:eastAsia="宋体" w:cs="Times New Roman"/>
          <w:highlight w:val="none"/>
        </w:rPr>
        <w:t>2</w:t>
      </w:r>
      <w:r>
        <w:rPr>
          <w:rFonts w:hint="eastAsia" w:eastAsia="宋体" w:cs="Times New Roman"/>
          <w:highlight w:val="none"/>
        </w:rPr>
        <w:t>、本次规划与现行产业政策规划的符合性分析见下表。</w:t>
      </w:r>
    </w:p>
    <w:p>
      <w:pPr>
        <w:keepNext/>
        <w:widowControl w:val="0"/>
        <w:numPr>
          <w:ilvl w:val="0"/>
          <w:numId w:val="7"/>
        </w:numPr>
        <w:spacing w:line="360" w:lineRule="auto"/>
        <w:ind w:left="777" w:hanging="420" w:firstLineChars="0"/>
        <w:jc w:val="center"/>
        <w:outlineLvl w:val="4"/>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与现行产业政策规划的符合性分析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262"/>
        <w:gridCol w:w="8762"/>
        <w:gridCol w:w="155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7"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序号</w:t>
            </w:r>
          </w:p>
        </w:tc>
        <w:tc>
          <w:tcPr>
            <w:tcW w:w="798"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法规、政策和规划名称</w:t>
            </w:r>
          </w:p>
        </w:tc>
        <w:tc>
          <w:tcPr>
            <w:tcW w:w="3091"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规划或政策相关内容</w:t>
            </w:r>
          </w:p>
        </w:tc>
        <w:tc>
          <w:tcPr>
            <w:tcW w:w="548"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协调性分析</w:t>
            </w:r>
          </w:p>
        </w:tc>
        <w:tc>
          <w:tcPr>
            <w:tcW w:w="326"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37"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hint="eastAsia" w:eastAsia="宋体" w:cs="Times New Roman"/>
                <w:color w:val="000000"/>
                <w:kern w:val="0"/>
                <w:sz w:val="21"/>
                <w:szCs w:val="21"/>
                <w:highlight w:val="none"/>
              </w:rPr>
              <w:t>5</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w:t>
            </w:r>
            <w:r>
              <w:rPr>
                <w:rFonts w:eastAsia="宋体" w:cs="Times New Roman"/>
                <w:color w:val="000000"/>
                <w:kern w:val="0"/>
                <w:sz w:val="21"/>
                <w:szCs w:val="21"/>
                <w:highlight w:val="none"/>
              </w:rPr>
              <w:t>“</w:t>
            </w:r>
            <w:r>
              <w:rPr>
                <w:rFonts w:hint="eastAsia" w:eastAsia="宋体" w:cs="Times New Roman"/>
                <w:color w:val="000000"/>
                <w:kern w:val="0"/>
                <w:sz w:val="21"/>
                <w:szCs w:val="21"/>
                <w:highlight w:val="none"/>
              </w:rPr>
              <w:t>十三五</w:t>
            </w:r>
            <w:r>
              <w:rPr>
                <w:rFonts w:eastAsia="宋体" w:cs="Times New Roman"/>
                <w:color w:val="000000"/>
                <w:kern w:val="0"/>
                <w:sz w:val="21"/>
                <w:szCs w:val="21"/>
                <w:highlight w:val="none"/>
              </w:rPr>
              <w:t>”</w:t>
            </w:r>
            <w:r>
              <w:rPr>
                <w:rFonts w:hint="eastAsia" w:eastAsia="宋体" w:cs="Times New Roman"/>
                <w:color w:val="000000"/>
                <w:kern w:val="0"/>
                <w:sz w:val="21"/>
                <w:szCs w:val="21"/>
                <w:highlight w:val="none"/>
              </w:rPr>
              <w:t>国家战略性新兴产业发展规划》</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进一步发展壮大新一代信息技术、高端装备、新材料、生物、新能源汽车、新能源、节能环保、数字创意等战略性新兴产业，推动更广领域新技术、新产品、新业态、新模式蓬勃发展，建设制造强国，发展现代服务业，为全面建成小康社会提供有力支撑。</w:t>
            </w:r>
          </w:p>
        </w:tc>
        <w:tc>
          <w:tcPr>
            <w:tcW w:w="548" w:type="pct"/>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r>
              <w:rPr>
                <w:rFonts w:eastAsia="宋体" w:cs="Times New Roman"/>
                <w:color w:val="000000"/>
                <w:kern w:val="0"/>
                <w:sz w:val="21"/>
                <w:szCs w:val="21"/>
                <w:highlight w:val="none"/>
              </w:rPr>
              <w:t>本园区对苍溪经开区工业硅项目进行产业链延伸，完善新材料产业发发展布局，形成新材料产业集群。</w:t>
            </w:r>
          </w:p>
        </w:tc>
        <w:tc>
          <w:tcPr>
            <w:tcW w:w="326" w:type="pct"/>
            <w:vMerge w:val="restart"/>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6</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《中国制造</w:t>
            </w:r>
            <w:r>
              <w:rPr>
                <w:rFonts w:eastAsia="宋体" w:cs="Times New Roman"/>
                <w:color w:val="000000"/>
                <w:kern w:val="0"/>
                <w:sz w:val="21"/>
                <w:szCs w:val="21"/>
                <w:highlight w:val="none"/>
              </w:rPr>
              <w:t>2025</w:t>
            </w:r>
            <w:r>
              <w:rPr>
                <w:rFonts w:hint="eastAsia" w:eastAsia="宋体" w:cs="Times New Roman"/>
                <w:color w:val="000000"/>
                <w:kern w:val="0"/>
                <w:sz w:val="21"/>
                <w:szCs w:val="21"/>
                <w:highlight w:val="none"/>
              </w:rPr>
              <w:t>四川行动计划》</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规划提出实现在新一代信息技术产业、航空航天与燃机产业、高效发电和核技术应用产业、高档数控机床和机器人、轨道交通装备、节能环保装备和新能源汽车、新材料、生物医药和高端医疗设备、农机装备、油气钻采及海洋工程装备十大产业领域重点发展突破。</w:t>
            </w:r>
          </w:p>
        </w:tc>
        <w:tc>
          <w:tcPr>
            <w:tcW w:w="548" w:type="pct"/>
            <w:shd w:val="clear" w:color="auto" w:fill="auto"/>
            <w:noWrap/>
            <w:vAlign w:val="top"/>
          </w:tcPr>
          <w:p>
            <w:pPr>
              <w:widowControl/>
              <w:spacing w:line="240" w:lineRule="auto"/>
              <w:ind w:firstLine="0" w:firstLineChars="0"/>
              <w:jc w:val="left"/>
              <w:rPr>
                <w:rFonts w:hint="eastAsia" w:eastAsia="宋体" w:cs="Times New Roman"/>
                <w:color w:val="000000"/>
                <w:kern w:val="0"/>
                <w:sz w:val="21"/>
                <w:szCs w:val="21"/>
                <w:highlight w:val="none"/>
              </w:rPr>
            </w:pPr>
            <w:r>
              <w:rPr>
                <w:rFonts w:eastAsia="宋体" w:cs="Times New Roman"/>
                <w:color w:val="000000"/>
                <w:kern w:val="0"/>
                <w:sz w:val="21"/>
                <w:szCs w:val="21"/>
                <w:highlight w:val="none"/>
              </w:rPr>
              <w:t>园区发展硅基新材料产品，可供应新电子信息基础等重点产业。</w:t>
            </w: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7</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《广元市硅基新材料产业发展规划》（广经信函</w:t>
            </w:r>
            <w:r>
              <w:rPr>
                <w:rFonts w:eastAsia="宋体" w:cs="Times New Roman"/>
                <w:color w:val="000000"/>
                <w:kern w:val="0"/>
                <w:sz w:val="21"/>
                <w:szCs w:val="21"/>
                <w:highlight w:val="none"/>
              </w:rPr>
              <w:t>[2023]110</w:t>
            </w:r>
            <w:r>
              <w:rPr>
                <w:rFonts w:hint="eastAsia" w:eastAsia="宋体" w:cs="Times New Roman"/>
                <w:color w:val="000000"/>
                <w:kern w:val="0"/>
                <w:sz w:val="21"/>
                <w:szCs w:val="21"/>
                <w:highlight w:val="none"/>
              </w:rPr>
              <w:t>号）</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到2025年，硅基新材料产业初具规模，年产值接近200亿元。一批硅基新材料根据产业园区“九通一平”建设标准和硅基新材料产业个性化需求，加快推进百利工业园、金剑工业园、庄子产业园、元柳工业园、羊木工业园等重点园区基础设施建设。在做好园区“九通一平”基础上，补齐物流、仓储等生产性服务配套，全方位提升园区综合承载能力。</w:t>
            </w:r>
          </w:p>
        </w:tc>
        <w:tc>
          <w:tcPr>
            <w:tcW w:w="548" w:type="pct"/>
            <w:vMerge w:val="restart"/>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r>
              <w:rPr>
                <w:rFonts w:eastAsia="宋体" w:cs="Times New Roman"/>
                <w:color w:val="000000"/>
                <w:kern w:val="0"/>
                <w:sz w:val="21"/>
                <w:szCs w:val="21"/>
                <w:highlight w:val="none"/>
              </w:rPr>
              <w:t>本园区对苍溪经开区工业硅项目进行产业链延伸，完善新材料产业发发展布局，形成新材料产业集群。</w:t>
            </w: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8</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《广元市“十四五”新型工业化发展规划（修订）》</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培育天然气综合利用和新能源规模化开发新增长点，高标准打造资源节约型、环境友好型和本质安全型的现代清洁能源化工产业集群，建设区域性清洁能源供给中心、天然气清洁能源利用基地、川北硅基新材料产业基地。</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bl>
    <w:p>
      <w:pPr>
        <w:ind w:firstLine="480"/>
        <w:rPr>
          <w:rFonts w:eastAsia="宋体" w:cs="Times New Roman"/>
          <w:highlight w:val="none"/>
        </w:rPr>
      </w:pPr>
    </w:p>
    <w:p>
      <w:pPr>
        <w:ind w:firstLine="480"/>
        <w:rPr>
          <w:rFonts w:eastAsia="宋体" w:cs="Times New Roman"/>
          <w:highlight w:val="none"/>
        </w:rPr>
      </w:pPr>
      <w:r>
        <w:rPr>
          <w:rFonts w:eastAsia="宋体" w:cs="Times New Roman"/>
          <w:highlight w:val="none"/>
        </w:rPr>
        <w:t>3</w:t>
      </w:r>
      <w:r>
        <w:rPr>
          <w:rFonts w:hint="eastAsia" w:eastAsia="宋体" w:cs="Times New Roman"/>
          <w:highlight w:val="none"/>
        </w:rPr>
        <w:t>、本次规划主体功能区的符合性分析见下表。</w:t>
      </w:r>
    </w:p>
    <w:p>
      <w:pPr>
        <w:keepNext/>
        <w:widowControl w:val="0"/>
        <w:numPr>
          <w:ilvl w:val="0"/>
          <w:numId w:val="7"/>
        </w:numPr>
        <w:spacing w:line="360" w:lineRule="auto"/>
        <w:ind w:left="777" w:hanging="420" w:firstLineChars="0"/>
        <w:jc w:val="center"/>
        <w:outlineLvl w:val="4"/>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与现行主体功能区规划的符合性分析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262"/>
        <w:gridCol w:w="8762"/>
        <w:gridCol w:w="155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7"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序号</w:t>
            </w:r>
          </w:p>
        </w:tc>
        <w:tc>
          <w:tcPr>
            <w:tcW w:w="798"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法规、政策和规划名称</w:t>
            </w:r>
          </w:p>
        </w:tc>
        <w:tc>
          <w:tcPr>
            <w:tcW w:w="3091"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规划或政策相关内容</w:t>
            </w:r>
          </w:p>
        </w:tc>
        <w:tc>
          <w:tcPr>
            <w:tcW w:w="548"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协调性分析</w:t>
            </w:r>
          </w:p>
        </w:tc>
        <w:tc>
          <w:tcPr>
            <w:tcW w:w="326"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37"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hint="eastAsia" w:eastAsia="宋体" w:cs="Times New Roman"/>
                <w:color w:val="000000"/>
                <w:kern w:val="0"/>
                <w:sz w:val="21"/>
                <w:szCs w:val="21"/>
                <w:highlight w:val="none"/>
              </w:rPr>
              <w:t>9</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《全国主体功能区规划》</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全国主体功能区规划》是我国“两横、三纵”城市化战略格局、“七区、二十三带”农业战略格局、“两屏、三带”生态安全战略格局的主导支撑。规划将我国国土空间分为以下主体功能区：按开发方式，分为优化开发区域、重点开发区域、限制开发区域和禁止开发区域；按开发内容，分为城市化地区、农产品主产区和重点生态功能区；按层级，分为国家和省级两个层面。</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主要战略任务包括构建“两横三纵”为主体的城市化战略格局。构建以陆桥通道、沿长江通道为两条横轴，以沿海、京哈京广、包昆通道为三条纵轴，以国家优化开发和重点开发的城市化地区为主要支撑，以轴线上其他城市化地区为重要组成的城市化战略格局。推进环渤海、长江三角洲、珠江三角洲地区的优化开发，形成3个特大城市群；推进哈长、江淮、海峡西岸、中原、长江中游、北部湾、成渝、关中—天水等地区的重点开发，形成若干新的大城市群和区域性的城市群。</w:t>
            </w:r>
          </w:p>
        </w:tc>
        <w:tc>
          <w:tcPr>
            <w:tcW w:w="548" w:type="pct"/>
            <w:vMerge w:val="restart"/>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r>
              <w:rPr>
                <w:rFonts w:hint="eastAsia" w:eastAsia="宋体" w:cs="Times New Roman"/>
                <w:color w:val="000000"/>
                <w:kern w:val="0"/>
                <w:sz w:val="21"/>
                <w:szCs w:val="21"/>
                <w:highlight w:val="none"/>
              </w:rPr>
              <w:t>苍溪县属于农产品主产区，根据苍溪县国土空间规划最新成果中规划区所在乡镇为城镇化发展区，且本次规划范围内不涉及基本农田。</w:t>
            </w:r>
          </w:p>
        </w:tc>
        <w:tc>
          <w:tcPr>
            <w:tcW w:w="326" w:type="pct"/>
            <w:vMerge w:val="restart"/>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10</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《四川省主体功能区规划》</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根据2013年批复实施的《四川省主体功能区规划》主体功能区域发展总体战略的关系中，提到把成都平原、川南、攀西、川东北地区内一些资源环境承载能力较强、集聚人口和经济条件较好的区域确定为重点产业园区域，是为了引导生产要素向这类区域集中，促进工业化城镇化，加快经济发展。</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bl>
    <w:p>
      <w:pPr>
        <w:ind w:firstLine="480"/>
        <w:rPr>
          <w:rFonts w:hint="eastAsia" w:eastAsia="宋体" w:cs="Times New Roman"/>
          <w:highlight w:val="none"/>
        </w:rPr>
      </w:pPr>
    </w:p>
    <w:p>
      <w:pPr>
        <w:ind w:firstLine="480"/>
        <w:rPr>
          <w:rFonts w:eastAsia="宋体" w:cs="Times New Roman"/>
          <w:highlight w:val="none"/>
        </w:rPr>
      </w:pPr>
      <w:r>
        <w:rPr>
          <w:rFonts w:eastAsia="宋体" w:cs="Times New Roman"/>
          <w:highlight w:val="none"/>
        </w:rPr>
        <w:t>4</w:t>
      </w:r>
      <w:r>
        <w:rPr>
          <w:rFonts w:hint="eastAsia" w:eastAsia="宋体" w:cs="Times New Roman"/>
          <w:highlight w:val="none"/>
        </w:rPr>
        <w:t>、本次规划与国土空间规划和城市总体规划的符合性分析详见下表。</w:t>
      </w:r>
    </w:p>
    <w:p>
      <w:pPr>
        <w:keepNext/>
        <w:widowControl w:val="0"/>
        <w:numPr>
          <w:ilvl w:val="0"/>
          <w:numId w:val="7"/>
        </w:numPr>
        <w:spacing w:line="360" w:lineRule="auto"/>
        <w:ind w:left="777" w:hanging="420" w:firstLineChars="0"/>
        <w:jc w:val="center"/>
        <w:outlineLvl w:val="4"/>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与国土空间规划和城市总体规划的符合性分析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262"/>
        <w:gridCol w:w="8762"/>
        <w:gridCol w:w="155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序号</w:t>
            </w:r>
          </w:p>
        </w:tc>
        <w:tc>
          <w:tcPr>
            <w:tcW w:w="798"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法规、政策和规划名称</w:t>
            </w:r>
          </w:p>
        </w:tc>
        <w:tc>
          <w:tcPr>
            <w:tcW w:w="3091"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规划或政策相关内容</w:t>
            </w:r>
          </w:p>
        </w:tc>
        <w:tc>
          <w:tcPr>
            <w:tcW w:w="548"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协调性分析</w:t>
            </w:r>
          </w:p>
        </w:tc>
        <w:tc>
          <w:tcPr>
            <w:tcW w:w="326"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7" w:type="pct"/>
            <w:shd w:val="clear" w:color="auto" w:fill="auto"/>
            <w:noWrap/>
            <w:vAlign w:val="center"/>
          </w:tcPr>
          <w:p>
            <w:pPr>
              <w:spacing w:line="240" w:lineRule="auto"/>
              <w:ind w:firstLine="0" w:firstLineChars="0"/>
              <w:jc w:val="center"/>
              <w:rPr>
                <w:rFonts w:eastAsia="宋体" w:cs="Times New Roman"/>
                <w:color w:val="000000"/>
                <w:kern w:val="0"/>
                <w:sz w:val="21"/>
                <w:szCs w:val="21"/>
                <w:highlight w:val="none"/>
              </w:rPr>
            </w:pPr>
            <w:r>
              <w:rPr>
                <w:rFonts w:hint="eastAsia" w:eastAsia="宋体" w:cs="Times New Roman"/>
                <w:color w:val="000000"/>
                <w:kern w:val="0"/>
                <w:sz w:val="21"/>
                <w:szCs w:val="21"/>
                <w:highlight w:val="none"/>
              </w:rPr>
              <w:t>1</w:t>
            </w:r>
            <w:r>
              <w:rPr>
                <w:rFonts w:eastAsia="宋体" w:cs="Times New Roman"/>
                <w:color w:val="000000"/>
                <w:kern w:val="0"/>
                <w:sz w:val="21"/>
                <w:szCs w:val="21"/>
                <w:highlight w:val="none"/>
              </w:rPr>
              <w:t>1</w:t>
            </w:r>
          </w:p>
        </w:tc>
        <w:tc>
          <w:tcPr>
            <w:tcW w:w="798"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hint="eastAsia" w:eastAsia="宋体" w:cs="Times New Roman"/>
                <w:color w:val="000000"/>
                <w:kern w:val="0"/>
                <w:sz w:val="21"/>
                <w:szCs w:val="21"/>
                <w:highlight w:val="none"/>
              </w:rPr>
              <w:t>《广元市国土空间总体规划（</w:t>
            </w:r>
            <w:r>
              <w:rPr>
                <w:rFonts w:eastAsia="宋体" w:cs="Times New Roman"/>
                <w:color w:val="000000"/>
                <w:kern w:val="0"/>
                <w:sz w:val="21"/>
                <w:szCs w:val="21"/>
                <w:highlight w:val="none"/>
              </w:rPr>
              <w:t>2021-2035</w:t>
            </w:r>
            <w:r>
              <w:rPr>
                <w:rFonts w:hint="eastAsia" w:eastAsia="宋体" w:cs="Times New Roman"/>
                <w:color w:val="000000"/>
                <w:kern w:val="0"/>
                <w:sz w:val="21"/>
                <w:szCs w:val="21"/>
                <w:highlight w:val="none"/>
              </w:rPr>
              <w:t>年）》送审稿</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第224条苍溪县</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产业指引。重点发展清洁能源及应用、绿色化工、食品饮料、硅基新材料产业。</w:t>
            </w:r>
          </w:p>
        </w:tc>
        <w:tc>
          <w:tcPr>
            <w:tcW w:w="548" w:type="pct"/>
            <w:vMerge w:val="restart"/>
            <w:shd w:val="clear" w:color="auto" w:fill="auto"/>
            <w:noWrap/>
            <w:vAlign w:val="center"/>
          </w:tcPr>
          <w:p>
            <w:pPr>
              <w:widowControl/>
              <w:spacing w:line="240" w:lineRule="auto"/>
              <w:ind w:firstLine="0" w:firstLineChars="0"/>
              <w:jc w:val="center"/>
              <w:rPr>
                <w:rFonts w:hint="eastAsia" w:eastAsia="宋体" w:cs="Times New Roman"/>
                <w:color w:val="000000"/>
                <w:kern w:val="0"/>
                <w:sz w:val="21"/>
                <w:szCs w:val="21"/>
                <w:highlight w:val="none"/>
              </w:rPr>
            </w:pPr>
            <w:r>
              <w:rPr>
                <w:rFonts w:eastAsia="宋体" w:cs="Times New Roman"/>
                <w:color w:val="000000"/>
                <w:kern w:val="0"/>
                <w:sz w:val="21"/>
                <w:szCs w:val="21"/>
                <w:highlight w:val="none"/>
              </w:rPr>
              <w:t>本次规划主导产业为硅基新材料，主导产业符合规划要求。</w:t>
            </w:r>
          </w:p>
        </w:tc>
        <w:tc>
          <w:tcPr>
            <w:tcW w:w="326" w:type="pct"/>
            <w:vMerge w:val="restar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eastAsia="宋体" w:cs="Times New Roman"/>
                <w:color w:val="000000"/>
                <w:kern w:val="0"/>
                <w:sz w:val="21"/>
                <w:szCs w:val="21"/>
                <w:highlight w:val="none"/>
              </w:rPr>
              <w:t>12</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《苍溪县国土空间总体规划（</w:t>
            </w:r>
            <w:r>
              <w:rPr>
                <w:rFonts w:eastAsia="宋体" w:cs="Times New Roman"/>
                <w:color w:val="000000"/>
                <w:kern w:val="0"/>
                <w:sz w:val="21"/>
                <w:szCs w:val="21"/>
                <w:highlight w:val="none"/>
              </w:rPr>
              <w:t>2021-2035</w:t>
            </w:r>
            <w:r>
              <w:rPr>
                <w:rFonts w:hint="eastAsia" w:eastAsia="宋体" w:cs="Times New Roman"/>
                <w:color w:val="000000"/>
                <w:kern w:val="0"/>
                <w:sz w:val="21"/>
                <w:szCs w:val="21"/>
                <w:highlight w:val="none"/>
              </w:rPr>
              <w:t>）》送审稿</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98条优化工业空间布局</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对接广元市重点发展六大类新型工业，坚持工业强县，以建设西部清洁能源产业发展引领区为目标，立足产业发展基础和区位优势，积极发展以天然气综合利用为核心的清洁能源化工产业，充分发挥得天独厚的天然气资源优势，推动发展天然气勘探开发、气体净化、综合利用等上下游产业，打造天然气综合利用产业集群；升级做优食品医药产业，立足生态特色资源优势，加快培育农产品精深加工、中医药产业；构建以清洁能源及应用、绿色化工、食品饮料、硅基新材料产业等为主导产业的工业产业体系。</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bl>
    <w:p>
      <w:pPr>
        <w:ind w:firstLine="480"/>
        <w:rPr>
          <w:rFonts w:hint="eastAsia" w:eastAsia="宋体" w:cs="Times New Roman"/>
          <w:highlight w:val="none"/>
        </w:rPr>
      </w:pPr>
    </w:p>
    <w:p>
      <w:pPr>
        <w:keepNext/>
        <w:keepLines/>
        <w:widowControl w:val="0"/>
        <w:numPr>
          <w:ilvl w:val="2"/>
          <w:numId w:val="1"/>
        </w:numPr>
        <w:spacing w:line="360" w:lineRule="auto"/>
        <w:ind w:left="0" w:firstLine="0" w:firstLineChars="0"/>
        <w:jc w:val="left"/>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与政策、法规符合性分析</w:t>
      </w:r>
    </w:p>
    <w:p>
      <w:pPr>
        <w:ind w:firstLine="480"/>
        <w:rPr>
          <w:rFonts w:eastAsia="宋体" w:cs="Times New Roman"/>
          <w:highlight w:val="none"/>
        </w:rPr>
      </w:pPr>
      <w:r>
        <w:rPr>
          <w:rFonts w:hint="eastAsia" w:eastAsia="宋体" w:cs="Times New Roman"/>
          <w:highlight w:val="none"/>
        </w:rPr>
        <w:t>1、本</w:t>
      </w:r>
      <w:r>
        <w:rPr>
          <w:rFonts w:hint="eastAsia" w:ascii="宋体" w:hAnsi="宋体" w:eastAsia="宋体" w:cs="Times New Roman"/>
          <w:highlight w:val="none"/>
        </w:rPr>
        <w:t>规划</w:t>
      </w:r>
      <w:r>
        <w:rPr>
          <w:rFonts w:ascii="宋体" w:hAnsi="宋体" w:eastAsia="宋体" w:cs="Times New Roman"/>
          <w:highlight w:val="none"/>
        </w:rPr>
        <w:t>“双碳”</w:t>
      </w:r>
      <w:r>
        <w:rPr>
          <w:rFonts w:hint="eastAsia" w:ascii="宋体" w:hAnsi="宋体" w:eastAsia="宋体" w:cs="Times New Roman"/>
          <w:highlight w:val="none"/>
        </w:rPr>
        <w:t>政策</w:t>
      </w:r>
      <w:r>
        <w:rPr>
          <w:rFonts w:hint="eastAsia" w:eastAsia="宋体" w:cs="Times New Roman"/>
          <w:highlight w:val="none"/>
        </w:rPr>
        <w:t>的符合性分析见下表</w:t>
      </w:r>
    </w:p>
    <w:p>
      <w:pPr>
        <w:keepNext/>
        <w:widowControl w:val="0"/>
        <w:numPr>
          <w:ilvl w:val="0"/>
          <w:numId w:val="7"/>
        </w:numPr>
        <w:spacing w:line="360" w:lineRule="auto"/>
        <w:ind w:left="777" w:hanging="420" w:firstLineChars="0"/>
        <w:jc w:val="center"/>
        <w:outlineLvl w:val="4"/>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与“双碳”政策及规划文件的环境管控要求符合性分析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262"/>
        <w:gridCol w:w="8762"/>
        <w:gridCol w:w="155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序号</w:t>
            </w:r>
          </w:p>
        </w:tc>
        <w:tc>
          <w:tcPr>
            <w:tcW w:w="798"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法规、政策和规划名称</w:t>
            </w:r>
          </w:p>
        </w:tc>
        <w:tc>
          <w:tcPr>
            <w:tcW w:w="3091"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规划或政策相关内容</w:t>
            </w:r>
          </w:p>
        </w:tc>
        <w:tc>
          <w:tcPr>
            <w:tcW w:w="548"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协调性分析</w:t>
            </w:r>
          </w:p>
        </w:tc>
        <w:tc>
          <w:tcPr>
            <w:tcW w:w="326"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7"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hint="eastAsia" w:eastAsia="宋体" w:cs="Times New Roman"/>
                <w:color w:val="000000"/>
                <w:kern w:val="0"/>
                <w:sz w:val="21"/>
                <w:szCs w:val="21"/>
                <w:highlight w:val="none"/>
              </w:rPr>
              <w:t>13</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《国务院关于加快建立健全绿色低碳循环发展经济体系的指导意见》（国发[2021]4号）</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——健全绿色低碳循环发展的生产体系</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（四）推进工业绿色升级。加快实施钢铁、石化、化工、有色、建材、纺织、造</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纸、皮革等行业绿色化改造。推行产品绿色设计，建设绿色制造体系。大力发展再制造产业，加强再制造产品认证与推广应用。建设资源综合利用基地，促进工业固体废物综合利用。全面推行清洁生产，依法在“双超双有高耗能”行业实施强制性清洁生产审核。完善“散乱污”企业认定办法，分类实施关停取缔、整合搬迁、整改提升等措施。加快实施排污许可制度。加强工业生产过程中危险废物管理。</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八）提升产业园区和产业集群循环化水平。科学编制新建产业园区开发建设规划，依法依规开展规划环境影响评价，严格准入标准，完善循环产业链条，推动形成产业循环耦合。推进既有产业园区和产业集群循环化改造，推动公共设施共建共享、能源梯级利用、资源循环利用和污染物集中安全处置等。鼓励建设电、热、冷、气等多种能源协同互济的综合能源项目。鼓励化工等产业园区配套建设危险废物集中贮存、预处理和处置设施。</w:t>
            </w:r>
          </w:p>
        </w:tc>
        <w:tc>
          <w:tcPr>
            <w:tcW w:w="548" w:type="pct"/>
            <w:vMerge w:val="restart"/>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r>
              <w:rPr>
                <w:rFonts w:hint="eastAsia" w:eastAsia="宋体" w:cs="Times New Roman"/>
                <w:color w:val="000000"/>
                <w:kern w:val="0"/>
                <w:sz w:val="21"/>
                <w:szCs w:val="21"/>
                <w:highlight w:val="none"/>
              </w:rPr>
              <w:t>本次规划修编主要产业发 展方向为硅基新材料产业，不涉及化工、有色等两高企业。</w:t>
            </w:r>
          </w:p>
        </w:tc>
        <w:tc>
          <w:tcPr>
            <w:tcW w:w="326" w:type="pct"/>
            <w:vMerge w:val="restart"/>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1</w:t>
            </w:r>
            <w:r>
              <w:rPr>
                <w:rFonts w:eastAsia="宋体" w:cs="Times New Roman"/>
                <w:color w:val="000000"/>
                <w:kern w:val="0"/>
                <w:sz w:val="21"/>
                <w:szCs w:val="21"/>
                <w:highlight w:val="none"/>
              </w:rPr>
              <w:t>4</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《国务院关于印发</w:t>
            </w:r>
            <w:r>
              <w:rPr>
                <w:rFonts w:eastAsia="宋体" w:cs="Times New Roman"/>
                <w:color w:val="000000"/>
                <w:kern w:val="0"/>
                <w:sz w:val="21"/>
                <w:szCs w:val="21"/>
                <w:highlight w:val="none"/>
              </w:rPr>
              <w:t>2030</w:t>
            </w:r>
            <w:r>
              <w:rPr>
                <w:rFonts w:hint="eastAsia" w:eastAsia="宋体" w:cs="Times New Roman"/>
                <w:color w:val="000000"/>
                <w:kern w:val="0"/>
                <w:sz w:val="21"/>
                <w:szCs w:val="21"/>
                <w:highlight w:val="none"/>
              </w:rPr>
              <w:t>年前碳达峰行动方案的通知》（国发</w:t>
            </w:r>
            <w:r>
              <w:rPr>
                <w:rFonts w:eastAsia="宋体" w:cs="Times New Roman"/>
                <w:color w:val="000000"/>
                <w:kern w:val="0"/>
                <w:sz w:val="21"/>
                <w:szCs w:val="21"/>
                <w:highlight w:val="none"/>
              </w:rPr>
              <w:t>[2021]23</w:t>
            </w:r>
            <w:r>
              <w:rPr>
                <w:rFonts w:hint="eastAsia" w:eastAsia="宋体" w:cs="Times New Roman"/>
                <w:color w:val="000000"/>
                <w:kern w:val="0"/>
                <w:sz w:val="21"/>
                <w:szCs w:val="21"/>
                <w:highlight w:val="none"/>
              </w:rPr>
              <w:t>号）</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对能耗量较大的新兴产业，支持引导企业应用绿色低碳技术，提高能效水平。深入挖潜存量项目，加快淘汰落后产能，通过改造升级挖掘节能减排潜力。强化常态化监管，坚决拿下不符合要求的“两高”项目。</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1</w:t>
            </w:r>
            <w:r>
              <w:rPr>
                <w:rFonts w:eastAsia="宋体" w:cs="Times New Roman"/>
                <w:color w:val="000000"/>
                <w:kern w:val="0"/>
                <w:sz w:val="21"/>
                <w:szCs w:val="21"/>
                <w:highlight w:val="none"/>
              </w:rPr>
              <w:t>5</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《关于加强高耗能、高排放建设项目生态环境源头防控的指导意见》</w:t>
            </w:r>
            <w:r>
              <w:rPr>
                <w:rFonts w:eastAsia="宋体" w:cs="Times New Roman"/>
                <w:color w:val="000000"/>
                <w:kern w:val="0"/>
                <w:sz w:val="21"/>
                <w:szCs w:val="21"/>
                <w:highlight w:val="none"/>
              </w:rPr>
              <w:t>(</w:t>
            </w:r>
            <w:r>
              <w:rPr>
                <w:rFonts w:hint="eastAsia" w:eastAsia="宋体" w:cs="Times New Roman"/>
                <w:color w:val="000000"/>
                <w:kern w:val="0"/>
                <w:sz w:val="21"/>
                <w:szCs w:val="21"/>
                <w:highlight w:val="none"/>
              </w:rPr>
              <w:t>环环评</w:t>
            </w:r>
            <w:r>
              <w:rPr>
                <w:rFonts w:eastAsia="宋体" w:cs="Times New Roman"/>
                <w:color w:val="000000"/>
                <w:kern w:val="0"/>
                <w:sz w:val="21"/>
                <w:szCs w:val="21"/>
                <w:highlight w:val="none"/>
              </w:rPr>
              <w:t>[2021]45</w:t>
            </w:r>
            <w:r>
              <w:rPr>
                <w:rFonts w:hint="eastAsia" w:eastAsia="宋体" w:cs="Times New Roman"/>
                <w:color w:val="000000"/>
                <w:kern w:val="0"/>
                <w:sz w:val="21"/>
                <w:szCs w:val="21"/>
                <w:highlight w:val="none"/>
              </w:rPr>
              <w:t>号</w:t>
            </w:r>
            <w:r>
              <w:rPr>
                <w:rFonts w:eastAsia="宋体" w:cs="Times New Roman"/>
                <w:color w:val="000000"/>
                <w:kern w:val="0"/>
                <w:sz w:val="21"/>
                <w:szCs w:val="21"/>
                <w:highlight w:val="none"/>
              </w:rPr>
              <w:t>)</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1</w:t>
            </w:r>
            <w:r>
              <w:rPr>
                <w:rFonts w:eastAsia="宋体" w:cs="Times New Roman"/>
                <w:color w:val="000000"/>
                <w:kern w:val="0"/>
                <w:sz w:val="21"/>
                <w:szCs w:val="21"/>
                <w:highlight w:val="none"/>
              </w:rPr>
              <w:t>6</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《中共四川省委关于以实现碳达峰碳中和目标为引领推动绿色低碳优势产业高质量发展的决定》</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——推动绿色低碳优势产业集聚发展</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引导重点区域集中布局。以区域发展战略引领产业布局，立足资源禀赋和产业基础，推动绿色低碳优势产业适度集中、集聚发展。着眼推动川南经济区、川东北经济区协同发展，重点布局动力电池、天然气（页岩气）绿色利用、节能环保、新材料等产业。</w:t>
            </w:r>
          </w:p>
        </w:tc>
        <w:tc>
          <w:tcPr>
            <w:tcW w:w="548" w:type="pct"/>
            <w:vMerge w:val="restart"/>
            <w:shd w:val="clear" w:color="auto" w:fill="auto"/>
            <w:noWrap/>
            <w:vAlign w:val="top"/>
          </w:tcPr>
          <w:p>
            <w:pPr>
              <w:widowControl/>
              <w:spacing w:line="240" w:lineRule="auto"/>
              <w:ind w:firstLine="0" w:firstLineChars="0"/>
              <w:jc w:val="left"/>
              <w:rPr>
                <w:rFonts w:hint="eastAsia" w:eastAsia="宋体" w:cs="Times New Roman"/>
                <w:color w:val="000000"/>
                <w:kern w:val="0"/>
                <w:sz w:val="21"/>
                <w:szCs w:val="21"/>
                <w:highlight w:val="none"/>
              </w:rPr>
            </w:pPr>
            <w:r>
              <w:rPr>
                <w:rFonts w:eastAsia="宋体" w:cs="Times New Roman"/>
                <w:color w:val="000000"/>
                <w:kern w:val="0"/>
                <w:sz w:val="21"/>
                <w:szCs w:val="21"/>
                <w:highlight w:val="none"/>
              </w:rPr>
              <w:t>苍溪县城具有丰富的电力资源、天然气资源，本次规划实主导产业实施具有一定保障。</w:t>
            </w:r>
          </w:p>
        </w:tc>
        <w:tc>
          <w:tcPr>
            <w:tcW w:w="326" w:type="pct"/>
            <w:vMerge w:val="restart"/>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1</w:t>
            </w:r>
            <w:r>
              <w:rPr>
                <w:rFonts w:eastAsia="宋体" w:cs="Times New Roman"/>
                <w:color w:val="000000"/>
                <w:kern w:val="0"/>
                <w:sz w:val="21"/>
                <w:szCs w:val="21"/>
                <w:highlight w:val="none"/>
              </w:rPr>
              <w:t>7</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关于印发《广元市碳达峰实施方案》的通知（广府发〔</w:t>
            </w:r>
            <w:r>
              <w:rPr>
                <w:rFonts w:eastAsia="宋体" w:cs="Times New Roman"/>
                <w:color w:val="000000"/>
                <w:kern w:val="0"/>
                <w:sz w:val="21"/>
                <w:szCs w:val="21"/>
                <w:highlight w:val="none"/>
              </w:rPr>
              <w:t>2023</w:t>
            </w:r>
            <w:r>
              <w:rPr>
                <w:rFonts w:hint="eastAsia" w:eastAsia="宋体" w:cs="Times New Roman"/>
                <w:color w:val="000000"/>
                <w:kern w:val="0"/>
                <w:sz w:val="21"/>
                <w:szCs w:val="21"/>
                <w:highlight w:val="none"/>
              </w:rPr>
              <w:t>〕</w:t>
            </w:r>
            <w:r>
              <w:rPr>
                <w:rFonts w:eastAsia="宋体" w:cs="Times New Roman"/>
                <w:color w:val="000000"/>
                <w:kern w:val="0"/>
                <w:sz w:val="21"/>
                <w:szCs w:val="21"/>
                <w:highlight w:val="none"/>
              </w:rPr>
              <w:t>15</w:t>
            </w:r>
            <w:r>
              <w:rPr>
                <w:rFonts w:hint="eastAsia" w:eastAsia="宋体" w:cs="Times New Roman"/>
                <w:color w:val="000000"/>
                <w:kern w:val="0"/>
                <w:sz w:val="21"/>
                <w:szCs w:val="21"/>
                <w:highlight w:val="none"/>
              </w:rPr>
              <w:t>号）</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（二）实施节能降碳增效行动</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围绕全面提高能源资源利用效率，坚持节约优先方针，全面推进节能降碳技术创新，加大技术改造力度，不断提升能源利用效率，建设能源节约型社会。</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1.全面提升节能降碳管理能力。明确各县（区）和重点行业节能目标，严格控制二氧化碳排放强度，统筹建立二氧化碳排放总量控制制度及配套机制。加强能耗及二氧化碳排放控制目标分析预警，强化责任落实和评价考核。</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5.坚决遏制“两高一低”项目盲目发展。对高耗能、高排放、低水平项目实行清单管理、分类处置、动态监测。全面排查在建和存量“两高一低”项目，坚决拿下不符合要求的“两高”项目，对手续不全、达不到能耗限额标准要求的违规项目按有关规定严</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格整改，整改不到位的不得继续建设或生产。</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bl>
    <w:p>
      <w:pPr>
        <w:ind w:firstLine="480"/>
        <w:rPr>
          <w:rFonts w:eastAsia="宋体" w:cs="Times New Roman"/>
          <w:highlight w:val="none"/>
        </w:rPr>
      </w:pPr>
      <w:r>
        <w:rPr>
          <w:rFonts w:hint="eastAsia" w:eastAsia="宋体" w:cs="Times New Roman"/>
          <w:highlight w:val="none"/>
        </w:rPr>
        <w:t>2、本</w:t>
      </w:r>
      <w:r>
        <w:rPr>
          <w:rFonts w:hint="eastAsia" w:ascii="宋体" w:hAnsi="宋体" w:eastAsia="宋体" w:cs="Times New Roman"/>
          <w:highlight w:val="none"/>
        </w:rPr>
        <w:t>规划生态</w:t>
      </w:r>
      <w:r>
        <w:rPr>
          <w:rFonts w:ascii="宋体" w:hAnsi="宋体" w:eastAsia="宋体" w:cs="Times New Roman"/>
          <w:highlight w:val="none"/>
        </w:rPr>
        <w:t>环境保护规划及政策</w:t>
      </w:r>
      <w:r>
        <w:rPr>
          <w:rFonts w:hint="eastAsia" w:eastAsia="宋体" w:cs="Times New Roman"/>
          <w:highlight w:val="none"/>
        </w:rPr>
        <w:t>的符合性分析见下表。</w:t>
      </w:r>
    </w:p>
    <w:p>
      <w:pPr>
        <w:keepNext/>
        <w:widowControl w:val="0"/>
        <w:numPr>
          <w:ilvl w:val="0"/>
          <w:numId w:val="7"/>
        </w:numPr>
        <w:spacing w:line="360" w:lineRule="auto"/>
        <w:ind w:left="777" w:hanging="420" w:firstLineChars="0"/>
        <w:jc w:val="center"/>
        <w:outlineLvl w:val="4"/>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与生态环境保护规划及政策的符合性分析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262"/>
        <w:gridCol w:w="8762"/>
        <w:gridCol w:w="155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序号</w:t>
            </w:r>
          </w:p>
        </w:tc>
        <w:tc>
          <w:tcPr>
            <w:tcW w:w="798"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法规、政策和规划名称</w:t>
            </w:r>
          </w:p>
        </w:tc>
        <w:tc>
          <w:tcPr>
            <w:tcW w:w="3091"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规划或政策相关内容</w:t>
            </w:r>
          </w:p>
        </w:tc>
        <w:tc>
          <w:tcPr>
            <w:tcW w:w="548"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协调性分析</w:t>
            </w:r>
          </w:p>
        </w:tc>
        <w:tc>
          <w:tcPr>
            <w:tcW w:w="326"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7"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hint="eastAsia" w:eastAsia="宋体" w:cs="Times New Roman"/>
                <w:color w:val="000000"/>
                <w:kern w:val="0"/>
                <w:sz w:val="21"/>
                <w:szCs w:val="21"/>
                <w:highlight w:val="none"/>
              </w:rPr>
              <w:t>1</w:t>
            </w:r>
            <w:r>
              <w:rPr>
                <w:rFonts w:eastAsia="宋体" w:cs="Times New Roman"/>
                <w:color w:val="000000"/>
                <w:kern w:val="0"/>
                <w:sz w:val="21"/>
                <w:szCs w:val="21"/>
                <w:highlight w:val="none"/>
              </w:rPr>
              <w:t>8</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《四川省</w:t>
            </w:r>
            <w:r>
              <w:rPr>
                <w:rFonts w:eastAsia="宋体" w:cs="Times New Roman"/>
                <w:color w:val="000000"/>
                <w:kern w:val="0"/>
                <w:sz w:val="21"/>
                <w:szCs w:val="21"/>
                <w:highlight w:val="none"/>
              </w:rPr>
              <w:t>“</w:t>
            </w:r>
            <w:r>
              <w:rPr>
                <w:rFonts w:hint="eastAsia" w:eastAsia="宋体" w:cs="Times New Roman"/>
                <w:color w:val="000000"/>
                <w:kern w:val="0"/>
                <w:sz w:val="21"/>
                <w:szCs w:val="21"/>
                <w:highlight w:val="none"/>
              </w:rPr>
              <w:t>十四五</w:t>
            </w:r>
            <w:r>
              <w:rPr>
                <w:rFonts w:eastAsia="宋体" w:cs="Times New Roman"/>
                <w:color w:val="000000"/>
                <w:kern w:val="0"/>
                <w:sz w:val="21"/>
                <w:szCs w:val="21"/>
                <w:highlight w:val="none"/>
              </w:rPr>
              <w:t>”</w:t>
            </w:r>
            <w:r>
              <w:rPr>
                <w:rFonts w:hint="eastAsia" w:eastAsia="宋体" w:cs="Times New Roman"/>
                <w:color w:val="000000"/>
                <w:kern w:val="0"/>
                <w:sz w:val="21"/>
                <w:szCs w:val="21"/>
                <w:highlight w:val="none"/>
              </w:rPr>
              <w:t>生态环境保护规划》</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目标指标：“十四五”时期，绿色低碳生产生活方式基本形成，环境治理效果显著增强，大气、水和土壤环境质量持续好转，进一步筑牢长江黄河上游生态安全屏障，全国绿色发展示范区、高品质生活宜居地基本建成，美丽四川建设取得明显进展。绿色转型成效显著。国土空间开发保护格局不断优化，产业结构更加优化，能源资源配置更加合理、利用效率大幅提升，绿色交通格局进一步优化，绿色生产生活方式普遍推行，碳排放强度持续降低。生态环境持续改善。主要污染物排放总量持续减少，环境质量稳步改善。到2025年，力争21个市（州）和183个县（市、区）空气质量全面达标，基本消除重污染天气，全省国控断面水质以II类为主，长江黄河干流水质稳定达到II类……。</w:t>
            </w:r>
          </w:p>
        </w:tc>
        <w:tc>
          <w:tcPr>
            <w:tcW w:w="548" w:type="pct"/>
            <w:vMerge w:val="restart"/>
            <w:shd w:val="clear" w:color="auto" w:fill="auto"/>
            <w:noWrap/>
            <w:vAlign w:val="top"/>
          </w:tcPr>
          <w:p>
            <w:pPr>
              <w:widowControl/>
              <w:spacing w:line="240" w:lineRule="auto"/>
              <w:ind w:firstLine="0" w:firstLineChars="0"/>
              <w:jc w:val="left"/>
              <w:rPr>
                <w:rFonts w:hint="eastAsia" w:eastAsia="宋体" w:cs="Times New Roman"/>
                <w:color w:val="000000"/>
                <w:kern w:val="0"/>
                <w:sz w:val="21"/>
                <w:szCs w:val="21"/>
                <w:highlight w:val="none"/>
              </w:rPr>
            </w:pPr>
            <w:r>
              <w:rPr>
                <w:rFonts w:eastAsia="宋体" w:cs="Times New Roman"/>
                <w:color w:val="000000"/>
                <w:kern w:val="0"/>
                <w:sz w:val="21"/>
                <w:szCs w:val="21"/>
                <w:highlight w:val="none"/>
              </w:rPr>
              <w:t>本项目主导产业为硅基新材料，采用清洁能源，符合生态环境保护规划要求</w:t>
            </w:r>
          </w:p>
        </w:tc>
        <w:tc>
          <w:tcPr>
            <w:tcW w:w="326" w:type="pct"/>
            <w:vMerge w:val="restart"/>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1</w:t>
            </w:r>
            <w:r>
              <w:rPr>
                <w:rFonts w:eastAsia="宋体" w:cs="Times New Roman"/>
                <w:color w:val="000000"/>
                <w:kern w:val="0"/>
                <w:sz w:val="21"/>
                <w:szCs w:val="21"/>
                <w:highlight w:val="none"/>
              </w:rPr>
              <w:t>9</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《广元市</w:t>
            </w:r>
            <w:r>
              <w:rPr>
                <w:rFonts w:eastAsia="宋体" w:cs="Times New Roman"/>
                <w:color w:val="000000"/>
                <w:kern w:val="0"/>
                <w:sz w:val="21"/>
                <w:szCs w:val="21"/>
                <w:highlight w:val="none"/>
              </w:rPr>
              <w:t>“</w:t>
            </w:r>
            <w:r>
              <w:rPr>
                <w:rFonts w:hint="eastAsia" w:eastAsia="宋体" w:cs="Times New Roman"/>
                <w:color w:val="000000"/>
                <w:kern w:val="0"/>
                <w:sz w:val="21"/>
                <w:szCs w:val="21"/>
                <w:highlight w:val="none"/>
              </w:rPr>
              <w:t>十四五</w:t>
            </w:r>
            <w:r>
              <w:rPr>
                <w:rFonts w:eastAsia="宋体" w:cs="Times New Roman"/>
                <w:color w:val="000000"/>
                <w:kern w:val="0"/>
                <w:sz w:val="21"/>
                <w:szCs w:val="21"/>
                <w:highlight w:val="none"/>
              </w:rPr>
              <w:t>”</w:t>
            </w:r>
            <w:r>
              <w:rPr>
                <w:rFonts w:hint="eastAsia" w:eastAsia="宋体" w:cs="Times New Roman"/>
                <w:color w:val="000000"/>
                <w:kern w:val="0"/>
                <w:sz w:val="21"/>
                <w:szCs w:val="21"/>
                <w:highlight w:val="none"/>
              </w:rPr>
              <w:t>生态环境保护规划》</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提升工业绿色发展水平。依托国家先进电子产品及配套材料高新技术产业化基地、国家新型工业化（军民结合）产业示范基地，推动铝基材料、清洁能源、机械电子、生物医药等产业绿色化、低碳化、智能化、高端化发展。</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2</w:t>
            </w:r>
            <w:r>
              <w:rPr>
                <w:rFonts w:eastAsia="宋体" w:cs="Times New Roman"/>
                <w:color w:val="000000"/>
                <w:kern w:val="0"/>
                <w:sz w:val="21"/>
                <w:szCs w:val="21"/>
                <w:highlight w:val="none"/>
              </w:rPr>
              <w:t>0</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《苍溪县“十四五”生态环境保护规划》</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提高清洁能源利用水平。落实能源消费强度和总量“双控”制度，实施清洁能源替代工程、能源梯级利用工程，分类实施电能替代工程。大力推动以气引企、以气聚企，发展以天然气为燃料、原料的综合利用产业，有效利用天然气产业实现就地转化，基本建成川东北清洁能源开发新型工业基地。</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bl>
    <w:p>
      <w:pPr>
        <w:ind w:firstLine="480"/>
        <w:rPr>
          <w:rFonts w:eastAsia="宋体" w:cs="Times New Roman"/>
          <w:highlight w:val="none"/>
        </w:rPr>
      </w:pPr>
      <w:r>
        <w:rPr>
          <w:rFonts w:eastAsia="宋体" w:cs="Times New Roman"/>
          <w:highlight w:val="none"/>
        </w:rPr>
        <w:t>3</w:t>
      </w:r>
      <w:r>
        <w:rPr>
          <w:rFonts w:hint="eastAsia" w:eastAsia="宋体" w:cs="Times New Roman"/>
          <w:highlight w:val="none"/>
        </w:rPr>
        <w:t>、本规划与大气污染防治政策及规划文件的环境管控要求符合性分析见下表。</w:t>
      </w:r>
    </w:p>
    <w:p>
      <w:pPr>
        <w:keepNext/>
        <w:widowControl w:val="0"/>
        <w:numPr>
          <w:ilvl w:val="0"/>
          <w:numId w:val="7"/>
        </w:numPr>
        <w:spacing w:line="360" w:lineRule="auto"/>
        <w:ind w:left="777" w:hanging="420" w:firstLineChars="0"/>
        <w:jc w:val="center"/>
        <w:outlineLvl w:val="4"/>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与大气环境保护规划及政策的符合性分析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262"/>
        <w:gridCol w:w="8762"/>
        <w:gridCol w:w="155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序号</w:t>
            </w:r>
          </w:p>
        </w:tc>
        <w:tc>
          <w:tcPr>
            <w:tcW w:w="798"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法规、政策和规划名称</w:t>
            </w:r>
          </w:p>
        </w:tc>
        <w:tc>
          <w:tcPr>
            <w:tcW w:w="3091"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规划或政策相关内容</w:t>
            </w:r>
          </w:p>
        </w:tc>
        <w:tc>
          <w:tcPr>
            <w:tcW w:w="548"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协调性分析</w:t>
            </w:r>
          </w:p>
        </w:tc>
        <w:tc>
          <w:tcPr>
            <w:tcW w:w="326"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7"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hint="eastAsia" w:eastAsia="宋体" w:cs="Times New Roman"/>
                <w:color w:val="000000"/>
                <w:kern w:val="0"/>
                <w:sz w:val="21"/>
                <w:szCs w:val="21"/>
                <w:highlight w:val="none"/>
              </w:rPr>
              <w:t>2</w:t>
            </w:r>
            <w:r>
              <w:rPr>
                <w:rFonts w:eastAsia="宋体" w:cs="Times New Roman"/>
                <w:color w:val="000000"/>
                <w:kern w:val="0"/>
                <w:sz w:val="21"/>
                <w:szCs w:val="21"/>
                <w:highlight w:val="none"/>
              </w:rPr>
              <w:t>1</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国务院关于印发《空气质量持续改善行动计划》的通知</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十一）积极开展燃煤锅炉关停整合。县级及以上城市建成区原则上不再新建35蒸吨/小时及以下燃煤锅炉，重点区域原则上不再新建除集中供暖外的燃煤锅炉。到2025年，PM2.5未达标城市基本淘汰10蒸吨/小时及以下燃煤锅炉。</w:t>
            </w:r>
          </w:p>
        </w:tc>
        <w:tc>
          <w:tcPr>
            <w:tcW w:w="548" w:type="pct"/>
            <w:vMerge w:val="restart"/>
            <w:shd w:val="clear" w:color="auto" w:fill="auto"/>
            <w:noWrap/>
            <w:vAlign w:val="top"/>
          </w:tcPr>
          <w:p>
            <w:pPr>
              <w:widowControl/>
              <w:spacing w:line="240" w:lineRule="auto"/>
              <w:ind w:firstLine="0" w:firstLineChars="0"/>
              <w:jc w:val="left"/>
              <w:rPr>
                <w:rFonts w:hint="eastAsia" w:eastAsia="宋体" w:cs="Times New Roman"/>
                <w:color w:val="000000"/>
                <w:kern w:val="0"/>
                <w:sz w:val="21"/>
                <w:szCs w:val="21"/>
                <w:highlight w:val="none"/>
              </w:rPr>
            </w:pPr>
            <w:r>
              <w:rPr>
                <w:rFonts w:eastAsia="宋体" w:cs="Times New Roman"/>
                <w:color w:val="000000"/>
                <w:kern w:val="0"/>
                <w:sz w:val="21"/>
                <w:szCs w:val="21"/>
                <w:highlight w:val="none"/>
              </w:rPr>
              <w:t>本项目主导产业为硅基新材料，废气主要为燃烧废气，</w:t>
            </w:r>
            <w:r>
              <w:rPr>
                <w:rFonts w:hint="eastAsia" w:eastAsia="宋体" w:cs="Times New Roman"/>
                <w:color w:val="000000"/>
                <w:kern w:val="0"/>
                <w:sz w:val="21"/>
                <w:szCs w:val="21"/>
                <w:highlight w:val="none"/>
              </w:rPr>
              <w:t>V</w:t>
            </w:r>
            <w:r>
              <w:rPr>
                <w:rFonts w:eastAsia="宋体" w:cs="Times New Roman"/>
                <w:color w:val="000000"/>
                <w:kern w:val="0"/>
                <w:sz w:val="21"/>
                <w:szCs w:val="21"/>
                <w:highlight w:val="none"/>
              </w:rPr>
              <w:t>OCs产生量较少。废气通过</w:t>
            </w:r>
            <w:r>
              <w:rPr>
                <w:rFonts w:hint="eastAsia" w:eastAsia="宋体" w:cs="Times New Roman"/>
                <w:color w:val="000000"/>
                <w:kern w:val="0"/>
                <w:sz w:val="21"/>
                <w:szCs w:val="21"/>
                <w:highlight w:val="none"/>
              </w:rPr>
              <w:t>严格处理后达标排放，对区域大气环境质量影响较低。</w:t>
            </w:r>
          </w:p>
        </w:tc>
        <w:tc>
          <w:tcPr>
            <w:tcW w:w="326" w:type="pct"/>
            <w:vMerge w:val="restart"/>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2</w:t>
            </w:r>
            <w:r>
              <w:rPr>
                <w:rFonts w:eastAsia="宋体" w:cs="Times New Roman"/>
                <w:color w:val="000000"/>
                <w:kern w:val="0"/>
                <w:sz w:val="21"/>
                <w:szCs w:val="21"/>
                <w:highlight w:val="none"/>
              </w:rPr>
              <w:t>2</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苍溪县生态环境保护委员会办公室关于印发《苍溪县</w:t>
            </w:r>
            <w:r>
              <w:rPr>
                <w:rFonts w:eastAsia="宋体" w:cs="Times New Roman"/>
                <w:color w:val="000000"/>
                <w:kern w:val="0"/>
                <w:sz w:val="21"/>
                <w:szCs w:val="21"/>
                <w:highlight w:val="none"/>
              </w:rPr>
              <w:t>2023-2024</w:t>
            </w:r>
            <w:r>
              <w:rPr>
                <w:rFonts w:hint="eastAsia" w:eastAsia="宋体" w:cs="Times New Roman"/>
                <w:color w:val="000000"/>
                <w:kern w:val="0"/>
                <w:sz w:val="21"/>
                <w:szCs w:val="21"/>
                <w:highlight w:val="none"/>
              </w:rPr>
              <w:t>年秋冬季大气攻坚工作方案》的通知（苍环委办〔</w:t>
            </w:r>
            <w:r>
              <w:rPr>
                <w:rFonts w:eastAsia="宋体" w:cs="Times New Roman"/>
                <w:color w:val="000000"/>
                <w:kern w:val="0"/>
                <w:sz w:val="21"/>
                <w:szCs w:val="21"/>
                <w:highlight w:val="none"/>
              </w:rPr>
              <w:t>2023</w:t>
            </w:r>
            <w:r>
              <w:rPr>
                <w:rFonts w:hint="eastAsia" w:eastAsia="宋体" w:cs="Times New Roman"/>
                <w:color w:val="000000"/>
                <w:kern w:val="0"/>
                <w:sz w:val="21"/>
                <w:szCs w:val="21"/>
                <w:highlight w:val="none"/>
              </w:rPr>
              <w:t>〕</w:t>
            </w:r>
            <w:r>
              <w:rPr>
                <w:rFonts w:eastAsia="宋体" w:cs="Times New Roman"/>
                <w:color w:val="000000"/>
                <w:kern w:val="0"/>
                <w:sz w:val="21"/>
                <w:szCs w:val="21"/>
                <w:highlight w:val="none"/>
              </w:rPr>
              <w:t>23</w:t>
            </w:r>
            <w:r>
              <w:rPr>
                <w:rFonts w:hint="eastAsia" w:eastAsia="宋体" w:cs="Times New Roman"/>
                <w:color w:val="000000"/>
                <w:kern w:val="0"/>
                <w:sz w:val="21"/>
                <w:szCs w:val="21"/>
                <w:highlight w:val="none"/>
              </w:rPr>
              <w:t>号）</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四、实施五大行动</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（二）重点工地真防尘行动。加强工地和道路扬尘精细管控。严格落实工地周边围挡、物料堆放覆盖、土方开挖湿法作业、封闭作业、路面硬化、出入车辆清洗、渣土车辆密闭运输等措施。</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1. 对扬尘防治措施落实不到位的在建工地，被上级检查通报或行业主管部门巡查督办2次以上仍整改不到位的，实施停工整改。</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2. 工地内及周边路段每天至少2次冲洗除尘，工地内部道路、围挡附近、车辆进出口等易积尘区域每半月开展1次大清洗作业。强化管控期间，除应急抢险外，其他工地全面停止产尘作业，建筑垃圾和渣土运输车、砂石运输车禁止上路。</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3. 严格实施“四个一”巡查督导机制（1名领导干部+1名执法人员+1套现场监测设备+1支志愿者队伍），按照划分的片区落实“清单制+责任制+督办制”。</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4. 在红军路、解放路、滨江路、肖家坝大道、三清路、北门沟路、北门大道、江南干道、迎宾大道、渡江路、少屏路等重要路段，每月至少开展1次渣土运输专项检查，禁止非密闭式运输车上路，严打带泥上路、沿途撒漏、使用未经核准从事建筑垃圾运输车辆等违法违规行为。</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2</w:t>
            </w:r>
            <w:r>
              <w:rPr>
                <w:rFonts w:eastAsia="宋体" w:cs="Times New Roman"/>
                <w:color w:val="000000"/>
                <w:kern w:val="0"/>
                <w:sz w:val="21"/>
                <w:szCs w:val="21"/>
                <w:highlight w:val="none"/>
              </w:rPr>
              <w:t>3</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《打赢蓝天保卫战三年行动计划》（国发〔</w:t>
            </w:r>
            <w:r>
              <w:rPr>
                <w:rFonts w:eastAsia="宋体" w:cs="Times New Roman"/>
                <w:color w:val="000000"/>
                <w:kern w:val="0"/>
                <w:sz w:val="21"/>
                <w:szCs w:val="21"/>
                <w:highlight w:val="none"/>
              </w:rPr>
              <w:t>2018</w:t>
            </w:r>
            <w:r>
              <w:rPr>
                <w:rFonts w:hint="eastAsia" w:eastAsia="宋体" w:cs="Times New Roman"/>
                <w:color w:val="000000"/>
                <w:kern w:val="0"/>
                <w:sz w:val="21"/>
                <w:szCs w:val="21"/>
                <w:highlight w:val="none"/>
              </w:rPr>
              <w:t>〕</w:t>
            </w:r>
            <w:r>
              <w:rPr>
                <w:rFonts w:eastAsia="宋体" w:cs="Times New Roman"/>
                <w:color w:val="000000"/>
                <w:kern w:val="0"/>
                <w:sz w:val="21"/>
                <w:szCs w:val="21"/>
                <w:highlight w:val="none"/>
              </w:rPr>
              <w:t>22</w:t>
            </w:r>
            <w:r>
              <w:rPr>
                <w:rFonts w:hint="eastAsia" w:eastAsia="宋体" w:cs="Times New Roman"/>
                <w:color w:val="000000"/>
                <w:kern w:val="0"/>
                <w:sz w:val="21"/>
                <w:szCs w:val="21"/>
                <w:highlight w:val="none"/>
              </w:rPr>
              <w:t>号）</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强力推进工业污染防治。实施工业污染源全面达标排放行动计划。……推进燃煤锅炉脱硫脱硝除尘技术改造。……加快淘汰化解落后过剩产能。</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2</w:t>
            </w:r>
            <w:r>
              <w:rPr>
                <w:rFonts w:eastAsia="宋体" w:cs="Times New Roman"/>
                <w:color w:val="000000"/>
                <w:kern w:val="0"/>
                <w:sz w:val="21"/>
                <w:szCs w:val="21"/>
                <w:highlight w:val="none"/>
              </w:rPr>
              <w:t>4</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《四川省蓝天保卫行动方案（</w:t>
            </w:r>
            <w:r>
              <w:rPr>
                <w:rFonts w:eastAsia="宋体" w:cs="Times New Roman"/>
                <w:color w:val="000000"/>
                <w:kern w:val="0"/>
                <w:sz w:val="21"/>
                <w:szCs w:val="21"/>
                <w:highlight w:val="none"/>
              </w:rPr>
              <w:t>2017-2020</w:t>
            </w:r>
            <w:r>
              <w:rPr>
                <w:rFonts w:hint="eastAsia" w:eastAsia="宋体" w:cs="Times New Roman"/>
                <w:color w:val="000000"/>
                <w:kern w:val="0"/>
                <w:sz w:val="21"/>
                <w:szCs w:val="21"/>
                <w:highlight w:val="none"/>
              </w:rPr>
              <w:t>年）》（川污防</w:t>
            </w:r>
            <w:r>
              <w:rPr>
                <w:rFonts w:eastAsia="宋体" w:cs="Times New Roman"/>
                <w:color w:val="000000"/>
                <w:kern w:val="0"/>
                <w:sz w:val="21"/>
                <w:szCs w:val="21"/>
                <w:highlight w:val="none"/>
              </w:rPr>
              <w:t>“</w:t>
            </w:r>
            <w:r>
              <w:rPr>
                <w:rFonts w:hint="eastAsia" w:eastAsia="宋体" w:cs="Times New Roman"/>
                <w:color w:val="000000"/>
                <w:kern w:val="0"/>
                <w:sz w:val="21"/>
                <w:szCs w:val="21"/>
                <w:highlight w:val="none"/>
              </w:rPr>
              <w:t>三大战役</w:t>
            </w:r>
            <w:r>
              <w:rPr>
                <w:rFonts w:eastAsia="宋体" w:cs="Times New Roman"/>
                <w:color w:val="000000"/>
                <w:kern w:val="0"/>
                <w:sz w:val="21"/>
                <w:szCs w:val="21"/>
                <w:highlight w:val="none"/>
              </w:rPr>
              <w:t>”</w:t>
            </w:r>
            <w:r>
              <w:rPr>
                <w:rFonts w:hint="eastAsia" w:eastAsia="宋体" w:cs="Times New Roman"/>
                <w:color w:val="000000"/>
                <w:kern w:val="0"/>
                <w:sz w:val="21"/>
                <w:szCs w:val="21"/>
                <w:highlight w:val="none"/>
              </w:rPr>
              <w:t>办</w:t>
            </w:r>
            <w:r>
              <w:rPr>
                <w:rFonts w:eastAsia="宋体" w:cs="Times New Roman"/>
                <w:color w:val="000000"/>
                <w:kern w:val="0"/>
                <w:sz w:val="21"/>
                <w:szCs w:val="21"/>
                <w:highlight w:val="none"/>
              </w:rPr>
              <w:t>[2017]33</w:t>
            </w:r>
            <w:r>
              <w:rPr>
                <w:rFonts w:hint="eastAsia" w:eastAsia="宋体" w:cs="Times New Roman"/>
                <w:color w:val="000000"/>
                <w:kern w:val="0"/>
                <w:sz w:val="21"/>
                <w:szCs w:val="21"/>
                <w:highlight w:val="none"/>
              </w:rPr>
              <w:t>号）</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强力推进工业污染防治。实施工业污染源全面达标排放行动计划。……推进燃煤锅炉脱硫脱硝除尘技术改造。……加快淘汰化解落后过剩产能。</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2</w:t>
            </w:r>
            <w:r>
              <w:rPr>
                <w:rFonts w:eastAsia="宋体" w:cs="Times New Roman"/>
                <w:color w:val="000000"/>
                <w:kern w:val="0"/>
                <w:sz w:val="21"/>
                <w:szCs w:val="21"/>
                <w:highlight w:val="none"/>
              </w:rPr>
              <w:t>5</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《四川省打赢蓝天保卫战等九个实施方案》（川府发</w:t>
            </w:r>
            <w:r>
              <w:rPr>
                <w:rFonts w:eastAsia="宋体" w:cs="Times New Roman"/>
                <w:color w:val="000000"/>
                <w:kern w:val="0"/>
                <w:sz w:val="21"/>
                <w:szCs w:val="21"/>
                <w:highlight w:val="none"/>
              </w:rPr>
              <w:t>[2019]4</w:t>
            </w:r>
            <w:r>
              <w:rPr>
                <w:rFonts w:hint="eastAsia" w:eastAsia="宋体" w:cs="Times New Roman"/>
                <w:color w:val="000000"/>
                <w:kern w:val="0"/>
                <w:sz w:val="21"/>
                <w:szCs w:val="21"/>
                <w:highlight w:val="none"/>
              </w:rPr>
              <w:t>号）</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重点任务：</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（一）调整产业结构，深化工业污染治理。</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强化“三线一单”(生态保护红线、环境质量底线、资源利用上线、生态环境准入清单)约束，明确禁止和限制发展的行业、生产工艺和产业目录,优化产业布局和资源配置。积极推行区域、规划环境影响评价，新、改﹑扩建钢铁、石化、化工、焦化、建材、有色等项目的环境影响评价应满足区域、规划环境影响评价要求。</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严控“两高”行业产能。严格执行质量、环保﹑能耗、安全等法规标准。制定淘汰落后产能工作方案，严格执行钢铁﹑水泥、平板玻璃等行业产能置换实施办法，重点区域内严禁未经产能置换违规新增钢铁﹑焦化、电解铝、水泥和平板玻璃等产能。新、改、扩建涉及大宗物料运输的建设项目应优化运输结构。防范落后产能跨地区转移，严防“地条钢”死灰复燃。</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推进工业污染源全面达标排放。全面实行工业污染源清单制管理，将烟气在线监测数据作为执法依据，加大超标处罚和联合惩戒力度，对未达标排放的企业一律依法停产整治，对问题严重、经整治仍无法达标的企业依法责令关闭。公布未达标工业污染源名单﹐对重大问题实施挂牌督办﹐跟踪整改销号。推动钢铁行业超低排放改造。重点区域执行大气污染物特别排放限值，严禁新增钢铁、电力﹑水泥、玻璃、砖瓦、陶瓷﹑焦化、电解铝、有色等重点行业大气污染物排放；落实覆盖所有固定污染源的企业排放许可制度﹐到2020年，完成排污许可管理名录规定的行业许可证核发。对未依法取得排污许可证或未按证排污的企业,依法依规进行处罚。</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2</w:t>
            </w:r>
            <w:r>
              <w:rPr>
                <w:rFonts w:eastAsia="宋体" w:cs="Times New Roman"/>
                <w:color w:val="000000"/>
                <w:kern w:val="0"/>
                <w:sz w:val="21"/>
                <w:szCs w:val="21"/>
                <w:highlight w:val="none"/>
              </w:rPr>
              <w:t>6</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《四川省挥发性有机物污染防治实施方案（</w:t>
            </w:r>
            <w:r>
              <w:rPr>
                <w:rFonts w:eastAsia="宋体" w:cs="Times New Roman"/>
                <w:color w:val="000000"/>
                <w:kern w:val="0"/>
                <w:sz w:val="21"/>
                <w:szCs w:val="21"/>
                <w:highlight w:val="none"/>
              </w:rPr>
              <w:t>2018-2020</w:t>
            </w:r>
            <w:r>
              <w:rPr>
                <w:rFonts w:hint="eastAsia" w:eastAsia="宋体" w:cs="Times New Roman"/>
                <w:color w:val="000000"/>
                <w:kern w:val="0"/>
                <w:sz w:val="21"/>
                <w:szCs w:val="21"/>
                <w:highlight w:val="none"/>
              </w:rPr>
              <w:t>年》（川环发</w:t>
            </w:r>
            <w:r>
              <w:rPr>
                <w:rFonts w:eastAsia="宋体" w:cs="Times New Roman"/>
                <w:color w:val="000000"/>
                <w:kern w:val="0"/>
                <w:sz w:val="21"/>
                <w:szCs w:val="21"/>
                <w:highlight w:val="none"/>
              </w:rPr>
              <w:t>[2018]44</w:t>
            </w:r>
            <w:r>
              <w:rPr>
                <w:rFonts w:hint="eastAsia" w:eastAsia="宋体" w:cs="Times New Roman"/>
                <w:color w:val="000000"/>
                <w:kern w:val="0"/>
                <w:sz w:val="21"/>
                <w:szCs w:val="21"/>
                <w:highlight w:val="none"/>
              </w:rPr>
              <w:t>号）</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严格建设项目环境准入。提高VOCs排放重点行业环保准入门槛，严格控制新增污染物排放量。各市（州）要严格限制石化、化工、包装印刷、工业涂装等高VOCs排放建设项目。新建涉VOCs排放的工业企业要入园区。未纳入国家《石化产业规划布局方案》的新建炼化项目一律不得建设。严格涉VOCs建设项目环境影响评价，新增VOCs排放量实行区域内等量替代或倍量削减替代，环境空气质量未达标的城市，建设项目新增VOCs排放的，实行2倍削减量替代，达标城市实行1倍削减量替代，攀枝花市实行1.5倍削减量替代，并将替代方案落实到企业排污许可证中，纳入环境执法管理。新、改、扩建涉VOCs排放项目，应从源头加强控制，使用低（无）VOCs含量的原辅材料，加强废气收集，安装高效治理设施。</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2</w:t>
            </w:r>
            <w:r>
              <w:rPr>
                <w:rFonts w:eastAsia="宋体" w:cs="Times New Roman"/>
                <w:color w:val="000000"/>
                <w:kern w:val="0"/>
                <w:sz w:val="21"/>
                <w:szCs w:val="21"/>
                <w:highlight w:val="none"/>
              </w:rPr>
              <w:t>7</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《四川省人民政府办公厅关于深入打好</w:t>
            </w:r>
            <w:r>
              <w:rPr>
                <w:rFonts w:eastAsia="宋体" w:cs="Times New Roman"/>
                <w:color w:val="000000"/>
                <w:kern w:val="0"/>
                <w:sz w:val="21"/>
                <w:szCs w:val="21"/>
                <w:highlight w:val="none"/>
              </w:rPr>
              <w:t>2022</w:t>
            </w:r>
            <w:r>
              <w:rPr>
                <w:rFonts w:hint="eastAsia" w:eastAsia="宋体" w:cs="Times New Roman"/>
                <w:color w:val="000000"/>
                <w:kern w:val="0"/>
                <w:sz w:val="21"/>
                <w:szCs w:val="21"/>
                <w:highlight w:val="none"/>
              </w:rPr>
              <w:t>年大气污染防治攻坚战的通知》（川办发〔</w:t>
            </w:r>
            <w:r>
              <w:rPr>
                <w:rFonts w:eastAsia="宋体" w:cs="Times New Roman"/>
                <w:color w:val="000000"/>
                <w:kern w:val="0"/>
                <w:sz w:val="21"/>
                <w:szCs w:val="21"/>
                <w:highlight w:val="none"/>
              </w:rPr>
              <w:t>2022</w:t>
            </w:r>
            <w:r>
              <w:rPr>
                <w:rFonts w:hint="eastAsia" w:eastAsia="宋体" w:cs="Times New Roman"/>
                <w:color w:val="000000"/>
                <w:kern w:val="0"/>
                <w:sz w:val="21"/>
                <w:szCs w:val="21"/>
                <w:highlight w:val="none"/>
              </w:rPr>
              <w:t>〕</w:t>
            </w:r>
            <w:r>
              <w:rPr>
                <w:rFonts w:eastAsia="宋体" w:cs="Times New Roman"/>
                <w:color w:val="000000"/>
                <w:kern w:val="0"/>
                <w:sz w:val="21"/>
                <w:szCs w:val="21"/>
                <w:highlight w:val="none"/>
              </w:rPr>
              <w:t>50</w:t>
            </w:r>
            <w:r>
              <w:rPr>
                <w:rFonts w:hint="eastAsia" w:eastAsia="宋体" w:cs="Times New Roman"/>
                <w:color w:val="000000"/>
                <w:kern w:val="0"/>
                <w:sz w:val="21"/>
                <w:szCs w:val="21"/>
                <w:highlight w:val="none"/>
              </w:rPr>
              <w:t>号）</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五、积极推进产业结构调整。发展改革部门指导各地稳妥有序推进“双碳”工作，坚决遏制高耗能、高排放、低水平项目盲目发展；严禁违规新增钢铁、水泥、焦化平板玻璃等行业产能；强化源头控制，严格落实固定资产投资项目节能审查制度，实施能耗等量和减量替代。发展改革、能源部门大力推动燃煤锅炉和工业炉窑煤改电、煤改气。经济和信息化部门结合国家产业结构调整指导目录要求，出台2022年度推动落后产能退出工作方案，重点推动成都平原、川南等地区加快淘汰落后产能和工艺，推动原辅料替代、产业链绿色升级。</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bl>
    <w:p>
      <w:pPr>
        <w:ind w:firstLine="480"/>
        <w:rPr>
          <w:rFonts w:eastAsia="宋体" w:cs="Times New Roman"/>
          <w:highlight w:val="none"/>
        </w:rPr>
      </w:pPr>
      <w:r>
        <w:rPr>
          <w:rFonts w:hint="eastAsia" w:eastAsia="宋体" w:cs="Times New Roman"/>
          <w:highlight w:val="none"/>
        </w:rPr>
        <w:t>2、本次规划与水环境保护规划及政策的符合性分析</w:t>
      </w:r>
    </w:p>
    <w:p>
      <w:pPr>
        <w:keepNext/>
        <w:widowControl w:val="0"/>
        <w:numPr>
          <w:ilvl w:val="0"/>
          <w:numId w:val="7"/>
        </w:numPr>
        <w:spacing w:line="360" w:lineRule="auto"/>
        <w:ind w:left="777" w:hanging="420" w:firstLineChars="0"/>
        <w:jc w:val="center"/>
        <w:outlineLvl w:val="4"/>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与水环境保护规划及政策的符合性分析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262"/>
        <w:gridCol w:w="8762"/>
        <w:gridCol w:w="155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序号</w:t>
            </w:r>
          </w:p>
        </w:tc>
        <w:tc>
          <w:tcPr>
            <w:tcW w:w="798"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法规、政策和规划名称</w:t>
            </w:r>
          </w:p>
        </w:tc>
        <w:tc>
          <w:tcPr>
            <w:tcW w:w="3091"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规划或政策相关内容</w:t>
            </w:r>
          </w:p>
        </w:tc>
        <w:tc>
          <w:tcPr>
            <w:tcW w:w="548"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协调性分析</w:t>
            </w:r>
          </w:p>
        </w:tc>
        <w:tc>
          <w:tcPr>
            <w:tcW w:w="326"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7"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hint="eastAsia" w:eastAsia="宋体" w:cs="Times New Roman"/>
                <w:color w:val="000000"/>
                <w:kern w:val="0"/>
                <w:sz w:val="21"/>
                <w:szCs w:val="21"/>
                <w:highlight w:val="none"/>
              </w:rPr>
              <w:t>2</w:t>
            </w:r>
            <w:r>
              <w:rPr>
                <w:rFonts w:eastAsia="宋体" w:cs="Times New Roman"/>
                <w:color w:val="000000"/>
                <w:kern w:val="0"/>
                <w:sz w:val="21"/>
                <w:szCs w:val="21"/>
                <w:highlight w:val="none"/>
              </w:rPr>
              <w:t>8</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《四川省、重庆市长江经济带发展负面清单实施细则》（试行，</w:t>
            </w:r>
            <w:r>
              <w:rPr>
                <w:rFonts w:eastAsia="宋体" w:cs="Times New Roman"/>
                <w:color w:val="000000"/>
                <w:kern w:val="0"/>
                <w:sz w:val="21"/>
                <w:szCs w:val="21"/>
                <w:highlight w:val="none"/>
              </w:rPr>
              <w:t>2022</w:t>
            </w:r>
            <w:r>
              <w:rPr>
                <w:rFonts w:hint="eastAsia" w:eastAsia="宋体" w:cs="Times New Roman"/>
                <w:color w:val="000000"/>
                <w:kern w:val="0"/>
                <w:sz w:val="21"/>
                <w:szCs w:val="21"/>
                <w:highlight w:val="none"/>
              </w:rPr>
              <w:t>年版）</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第十五条禁止在《全国重要江河湖泊水功能区划》划定的河段及湖泊保护区、保留区内投资建设不利于水资源及自然生态保护的项目。</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第十八条禁止在长江干支流、重要湖泊岸线一公里范围内新建、扩建化工园区和化工项目。</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第二十一条禁止在合规园区外新建、扩建钢铁、石化、化工、焦化、建材、有色、制浆造纸等高污染项目。</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第三十一条合规园区指已列入《中国开发区审核公告目录》或由省级人民政府批准设立、审核认定的开发区或其他园区。</w:t>
            </w:r>
          </w:p>
        </w:tc>
        <w:tc>
          <w:tcPr>
            <w:tcW w:w="548" w:type="pct"/>
            <w:vMerge w:val="restart"/>
            <w:shd w:val="clear" w:color="auto" w:fill="auto"/>
            <w:noWrap/>
            <w:vAlign w:val="top"/>
          </w:tcPr>
          <w:p>
            <w:pPr>
              <w:widowControl/>
              <w:spacing w:line="240" w:lineRule="auto"/>
              <w:ind w:firstLine="0" w:firstLineChars="0"/>
              <w:jc w:val="left"/>
              <w:rPr>
                <w:rFonts w:hint="eastAsia" w:eastAsia="宋体" w:cs="Times New Roman"/>
                <w:color w:val="000000"/>
                <w:kern w:val="0"/>
                <w:sz w:val="21"/>
                <w:szCs w:val="21"/>
                <w:highlight w:val="none"/>
              </w:rPr>
            </w:pPr>
            <w:r>
              <w:rPr>
                <w:rFonts w:eastAsia="宋体" w:cs="Times New Roman"/>
                <w:color w:val="000000"/>
                <w:kern w:val="0"/>
                <w:sz w:val="21"/>
                <w:szCs w:val="21"/>
                <w:highlight w:val="none"/>
              </w:rPr>
              <w:t>本规划不涉及化工行业、化工工艺，废水集中处理后排放。</w:t>
            </w:r>
          </w:p>
        </w:tc>
        <w:tc>
          <w:tcPr>
            <w:tcW w:w="326" w:type="pct"/>
            <w:vMerge w:val="restart"/>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2</w:t>
            </w:r>
            <w:r>
              <w:rPr>
                <w:rFonts w:eastAsia="宋体" w:cs="Times New Roman"/>
                <w:color w:val="000000"/>
                <w:kern w:val="0"/>
                <w:sz w:val="21"/>
                <w:szCs w:val="21"/>
                <w:highlight w:val="none"/>
              </w:rPr>
              <w:t>9</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《长江经济带生态环境保护规划》（环规财</w:t>
            </w:r>
            <w:r>
              <w:rPr>
                <w:rFonts w:eastAsia="宋体" w:cs="Times New Roman"/>
                <w:color w:val="000000"/>
                <w:kern w:val="0"/>
                <w:sz w:val="21"/>
                <w:szCs w:val="21"/>
                <w:highlight w:val="none"/>
              </w:rPr>
              <w:t>[2017]88</w:t>
            </w:r>
            <w:r>
              <w:rPr>
                <w:rFonts w:hint="eastAsia" w:eastAsia="宋体" w:cs="Times New Roman"/>
                <w:color w:val="000000"/>
                <w:kern w:val="0"/>
                <w:sz w:val="21"/>
                <w:szCs w:val="21"/>
                <w:highlight w:val="none"/>
              </w:rPr>
              <w:t>号</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指导思想：坚持生态优先、绿色发展，以改善生态环境质量为核心，坚持一盘棋思想，严守资源利用上线、生态保护红线、环境质量底线，建立健全长江生态环境协同保护机制，共抓大保护，不搞大开发，确保生态功能不退化、水土资源不超载、排放总量不突破、准入门槛不降低、环境安全不失控，努力把长江经济带建设成为水清地绿天蓝的绿色生态廊道和生态文明建设的先行示范带。</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基本原则：生态优先，绿色发展（形成节约资源和保护生态环境的产业结构、增长方式和消费模式，增强和提高优质生态产品供给能力）；统筹协调，系统保护；空间管控，分区施策（以主体功能区规划为基础，强化水、气、生态分区管治，构建生态安全格局）。强化底线，严格约束：确立资源利用上线、生态保护红线、环境质量底线，制定产业准入负面清单，强化生态环境硬约束，确保长江生态环境质量只能更好、不能变坏。</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主要目标：到2020年，生态环境明显改善，生态系统稳定性全面提升，河湖、湿地生态功能基本恢复，生态环境保护体制机制进一步完善。</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规划提出，划定生态保护红线，实施生态保护与修复。坚守环境质量底线，推进流域水污染统防统治（污水处理厂、黑臭水体、总磷污染等）。全面推进环境污染治理，建设宜居城乡环境。强化突发环境事件预防应对，严格管控环境风险。强化工业园区环境风险管控，实施技术、工艺、设备等生态化、循环化改造，加快布局分散的企业向园区集中，按要求设置生态隔离带，建设相应的防护工程。选择典型化工园区开展环境风险预警和防控体系建设试点示范。</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除在建项目外，严禁在干流及主要支流岸线1公里范围内布局新建重化工园区，严控在中上游沿岸地区新建石油化工和煤化工项目。严控下游高污染、高排放企业向上游转移。</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3</w:t>
            </w:r>
            <w:r>
              <w:rPr>
                <w:rFonts w:eastAsia="宋体" w:cs="Times New Roman"/>
                <w:color w:val="000000"/>
                <w:kern w:val="0"/>
                <w:sz w:val="21"/>
                <w:szCs w:val="21"/>
                <w:highlight w:val="none"/>
              </w:rPr>
              <w:t>0</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《四川嘉陵江流域生态环境保护条例》</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禁止在嘉陵江干支流岸线一公里范围内新建、扩建化工园区和化工项目。</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排污单位排放污染物不得超过国家和省污染物排放标准，不得超过重点水污染物排放总量控制指标。企业事业单位和其他生产经营者向嘉陵江流域排放污水的，应当按照生态环境主管部门的规定建设规范化污染物排放口，并设置标志牌。嘉陵江流域县级以上地方人民政府应当建立水环境风险防范体系，制定突发生态环境事件应急预案，加强对流域船舶、运输车辆、输油管道、港口、矿山、化工厂、尾矿库等发生的突发生态环境事件的应急管理。</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工业集聚区管理机构应当建设污水集中处理设施和配套管网，实行雨污分流，实现废水分类收集、分质处理。污水集中处理设施应当安装自动监控系统，并与生态环境主管部门的监控设备联网。排污单位对污水进行预处理后向污水集中处理设施排放的，应当符合污水集中处理设施的接纳标准。嘉陵江流域产业结构和布局应当与流域生态系统和资源环境承载能力相适应。禁止在嘉陵江流域重点生态功能区布局对生态系统有严重影响的产业。禁止重污染企业和项目向嘉陵江流域转移。</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3</w:t>
            </w:r>
            <w:r>
              <w:rPr>
                <w:rFonts w:eastAsia="宋体" w:cs="Times New Roman"/>
                <w:color w:val="000000"/>
                <w:kern w:val="0"/>
                <w:sz w:val="21"/>
                <w:szCs w:val="21"/>
                <w:highlight w:val="none"/>
              </w:rPr>
              <w:t>1</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《水污染防治行动计划》四川省工作方案</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集聚区内工业废水必须经预处理达到集中处理要求，方可进入污水集中处理设施。新建、升级工业集聚区应同步规划、建设污水、垃圾集中处理等污染治理设施。</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bl>
    <w:p>
      <w:pPr>
        <w:ind w:firstLine="480"/>
        <w:rPr>
          <w:rFonts w:eastAsia="宋体" w:cs="Times New Roman"/>
          <w:highlight w:val="none"/>
        </w:rPr>
      </w:pPr>
    </w:p>
    <w:p>
      <w:pPr>
        <w:ind w:firstLine="480"/>
        <w:rPr>
          <w:rFonts w:eastAsia="宋体" w:cs="Times New Roman"/>
          <w:highlight w:val="none"/>
        </w:rPr>
      </w:pPr>
      <w:r>
        <w:rPr>
          <w:rFonts w:hint="eastAsia" w:eastAsia="宋体" w:cs="Times New Roman"/>
          <w:highlight w:val="none"/>
        </w:rPr>
        <w:t>3、本次规划与土壤环境保护规划及政策符合性分析见下表。</w:t>
      </w:r>
    </w:p>
    <w:p>
      <w:pPr>
        <w:keepNext/>
        <w:widowControl w:val="0"/>
        <w:numPr>
          <w:ilvl w:val="0"/>
          <w:numId w:val="7"/>
        </w:numPr>
        <w:spacing w:line="360" w:lineRule="auto"/>
        <w:ind w:left="777" w:hanging="420" w:firstLineChars="0"/>
        <w:jc w:val="center"/>
        <w:outlineLvl w:val="4"/>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与土壤环境保护规划及政策的符合性分析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262"/>
        <w:gridCol w:w="8762"/>
        <w:gridCol w:w="155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序号</w:t>
            </w:r>
          </w:p>
        </w:tc>
        <w:tc>
          <w:tcPr>
            <w:tcW w:w="798"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法规、政策和规划名称</w:t>
            </w:r>
          </w:p>
        </w:tc>
        <w:tc>
          <w:tcPr>
            <w:tcW w:w="3091"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规划或政策相关内容</w:t>
            </w:r>
          </w:p>
        </w:tc>
        <w:tc>
          <w:tcPr>
            <w:tcW w:w="548"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协调性分析</w:t>
            </w:r>
          </w:p>
        </w:tc>
        <w:tc>
          <w:tcPr>
            <w:tcW w:w="326"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7"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hint="eastAsia" w:eastAsia="宋体" w:cs="Times New Roman"/>
                <w:color w:val="000000"/>
                <w:kern w:val="0"/>
                <w:sz w:val="21"/>
                <w:szCs w:val="21"/>
                <w:highlight w:val="none"/>
              </w:rPr>
              <w:t>3</w:t>
            </w:r>
            <w:r>
              <w:rPr>
                <w:rFonts w:eastAsia="宋体" w:cs="Times New Roman"/>
                <w:color w:val="000000"/>
                <w:kern w:val="0"/>
                <w:sz w:val="21"/>
                <w:szCs w:val="21"/>
                <w:highlight w:val="none"/>
              </w:rPr>
              <w:t>2</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《国务院关于印发土壤污染防治行动计划的通知》（国发〔</w:t>
            </w:r>
            <w:r>
              <w:rPr>
                <w:rFonts w:eastAsia="宋体" w:cs="Times New Roman"/>
                <w:color w:val="000000"/>
                <w:kern w:val="0"/>
                <w:sz w:val="21"/>
                <w:szCs w:val="21"/>
                <w:highlight w:val="none"/>
              </w:rPr>
              <w:t>2016</w:t>
            </w:r>
            <w:r>
              <w:rPr>
                <w:rFonts w:hint="eastAsia" w:eastAsia="宋体" w:cs="Times New Roman"/>
                <w:color w:val="000000"/>
                <w:kern w:val="0"/>
                <w:sz w:val="21"/>
                <w:szCs w:val="21"/>
                <w:highlight w:val="none"/>
              </w:rPr>
              <w:t>〕</w:t>
            </w:r>
            <w:r>
              <w:rPr>
                <w:rFonts w:eastAsia="宋体" w:cs="Times New Roman"/>
                <w:color w:val="000000"/>
                <w:kern w:val="0"/>
                <w:sz w:val="21"/>
                <w:szCs w:val="21"/>
                <w:highlight w:val="none"/>
              </w:rPr>
              <w:t>31</w:t>
            </w:r>
            <w:r>
              <w:rPr>
                <w:rFonts w:hint="eastAsia" w:eastAsia="宋体" w:cs="Times New Roman"/>
                <w:color w:val="000000"/>
                <w:kern w:val="0"/>
                <w:sz w:val="21"/>
                <w:szCs w:val="21"/>
                <w:highlight w:val="none"/>
              </w:rPr>
              <w:t>号）</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强化未污染土壤保护，严控新增土壤污染：加强未利用地环境管理、防范建设用地新增污染、强化空间布局管控（严格执行相关行业企业布局选址要求，禁止在居民区、学校、医疗和养老机构等周边新建有色金属冶炼、焦化等行业企业；结合推进新型城镇化、产业结构调整和化解过剩产能等，有序搬迁或依法关闭对土壤造成严重污染的现有企业）。</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加强污染源监管，做好土壤污染预防工作：严控工矿污染：加强日常环境监管（有色金属冶炼、石油加工、化工、焦化、电镀、制革等行业企业拆除生产设施设备、构筑物和污染治理设施，要事先制定残留污染物清理和安全处置方案，并报所在地县级环境保护、工业和信息化部门备案；要严格按照有关规定实施安全处理处置，防范拆除活动污染土壤、严防矿产资源开发污染土壤、加强涉重金属行业污染防控（继续淘汰涉重金属重点行业落后产能，完善重金属相关行业准入条件，禁止新建落后产能或产能严重过剩行业的建设项目）、加强工业废物处理处置。</w:t>
            </w:r>
          </w:p>
        </w:tc>
        <w:tc>
          <w:tcPr>
            <w:tcW w:w="548" w:type="pct"/>
            <w:vMerge w:val="restart"/>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r>
              <w:rPr>
                <w:rFonts w:eastAsia="宋体" w:cs="Times New Roman"/>
                <w:color w:val="000000"/>
                <w:kern w:val="0"/>
                <w:sz w:val="21"/>
                <w:szCs w:val="21"/>
                <w:highlight w:val="none"/>
              </w:rPr>
              <w:t>本规划不涉及化工行业、化工工艺，</w:t>
            </w:r>
            <w:r>
              <w:rPr>
                <w:rFonts w:hint="eastAsia" w:eastAsia="宋体" w:cs="Times New Roman"/>
                <w:color w:val="000000"/>
                <w:kern w:val="0"/>
                <w:sz w:val="21"/>
                <w:szCs w:val="21"/>
                <w:highlight w:val="none"/>
              </w:rPr>
              <w:t>不涉及</w:t>
            </w:r>
            <w:r>
              <w:rPr>
                <w:rFonts w:eastAsia="宋体" w:cs="Times New Roman"/>
                <w:color w:val="000000"/>
                <w:kern w:val="0"/>
                <w:sz w:val="21"/>
                <w:szCs w:val="21"/>
                <w:highlight w:val="none"/>
              </w:rPr>
              <w:t>重点行业。</w:t>
            </w:r>
          </w:p>
        </w:tc>
        <w:tc>
          <w:tcPr>
            <w:tcW w:w="326" w:type="pct"/>
            <w:vMerge w:val="restart"/>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7"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3</w:t>
            </w:r>
            <w:r>
              <w:rPr>
                <w:rFonts w:eastAsia="宋体" w:cs="Times New Roman"/>
                <w:color w:val="000000"/>
                <w:kern w:val="0"/>
                <w:sz w:val="21"/>
                <w:szCs w:val="21"/>
                <w:highlight w:val="none"/>
              </w:rPr>
              <w:t>3</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《四川省农用地土壤环境管理办法》（川环发〔</w:t>
            </w:r>
            <w:r>
              <w:rPr>
                <w:rFonts w:eastAsia="宋体" w:cs="Times New Roman"/>
                <w:color w:val="000000"/>
                <w:kern w:val="0"/>
                <w:sz w:val="21"/>
                <w:szCs w:val="21"/>
                <w:highlight w:val="none"/>
              </w:rPr>
              <w:t>2018</w:t>
            </w:r>
            <w:r>
              <w:rPr>
                <w:rFonts w:hint="eastAsia" w:eastAsia="宋体" w:cs="Times New Roman"/>
                <w:color w:val="000000"/>
                <w:kern w:val="0"/>
                <w:sz w:val="21"/>
                <w:szCs w:val="21"/>
                <w:highlight w:val="none"/>
              </w:rPr>
              <w:t>〕</w:t>
            </w:r>
            <w:r>
              <w:rPr>
                <w:rFonts w:eastAsia="宋体" w:cs="Times New Roman"/>
                <w:color w:val="000000"/>
                <w:kern w:val="0"/>
                <w:sz w:val="21"/>
                <w:szCs w:val="21"/>
                <w:highlight w:val="none"/>
              </w:rPr>
              <w:t>89</w:t>
            </w:r>
            <w:r>
              <w:rPr>
                <w:rFonts w:hint="eastAsia" w:eastAsia="宋体" w:cs="Times New Roman"/>
                <w:color w:val="000000"/>
                <w:kern w:val="0"/>
                <w:sz w:val="21"/>
                <w:szCs w:val="21"/>
                <w:highlight w:val="none"/>
              </w:rPr>
              <w:t>号）</w:t>
            </w:r>
          </w:p>
        </w:tc>
        <w:tc>
          <w:tcPr>
            <w:tcW w:w="3091" w:type="pct"/>
            <w:shd w:val="clear" w:color="auto" w:fill="auto"/>
            <w:noWrap w:val="0"/>
            <w:vAlign w:val="top"/>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第八条排放污染物的企业事业单位和其他生产经营者应当采取有效措施，确保废水、废气排放和固体废物处理、处置符合国家有关规定要求，强化土壤环境污染治理及风险管控，防止对周边农用地土壤造成污染。</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从事固体废物和化学品储存、运输、处置的企业，应当采取措施防止固体废物和化学品的泄露、渗漏、遗撒、扬散污染农用地。</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第二十二条禁止在永久基本农田集中区域新建可能造成土壤污染的建设项目；已经建成的，应当限期关闭拆除。</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严格控制在优先保护类耕地集中区域新建有色金属冶炼、石油加工、化工、焦化、电镀、制革等行业企业，有关生态环境主管部门依法不予审批可能造成耕地土壤污染的建设项目环境影响报告书或者报告表。</w:t>
            </w:r>
          </w:p>
        </w:tc>
        <w:tc>
          <w:tcPr>
            <w:tcW w:w="548" w:type="pct"/>
            <w:vMerge w:val="continue"/>
            <w:shd w:val="clear" w:color="auto" w:fill="auto"/>
            <w:noWrap/>
            <w:vAlign w:val="top"/>
          </w:tcPr>
          <w:p>
            <w:pPr>
              <w:widowControl/>
              <w:spacing w:line="240" w:lineRule="auto"/>
              <w:ind w:firstLine="0" w:firstLineChars="0"/>
              <w:jc w:val="left"/>
              <w:rPr>
                <w:rFonts w:eastAsia="宋体" w:cs="Times New Roman"/>
                <w:color w:val="000000"/>
                <w:kern w:val="0"/>
                <w:sz w:val="21"/>
                <w:szCs w:val="21"/>
                <w:highlight w:val="none"/>
              </w:rPr>
            </w:pPr>
          </w:p>
        </w:tc>
        <w:tc>
          <w:tcPr>
            <w:tcW w:w="326" w:type="pct"/>
            <w:vMerge w:val="continue"/>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p>
        </w:tc>
      </w:tr>
    </w:tbl>
    <w:p>
      <w:pPr>
        <w:ind w:firstLine="480"/>
        <w:rPr>
          <w:rFonts w:eastAsia="宋体" w:cs="Times New Roman"/>
          <w:highlight w:val="none"/>
        </w:rPr>
      </w:pPr>
      <w:r>
        <w:rPr>
          <w:rFonts w:eastAsia="宋体" w:cs="Times New Roman"/>
          <w:highlight w:val="none"/>
        </w:rPr>
        <w:t>4</w:t>
      </w:r>
      <w:r>
        <w:rPr>
          <w:rFonts w:hint="eastAsia" w:eastAsia="宋体" w:cs="Times New Roman"/>
          <w:highlight w:val="none"/>
        </w:rPr>
        <w:t>、本次规划与噪声污染防治符合性分析见下表。</w:t>
      </w:r>
    </w:p>
    <w:p>
      <w:pPr>
        <w:keepNext/>
        <w:widowControl w:val="0"/>
        <w:numPr>
          <w:ilvl w:val="0"/>
          <w:numId w:val="7"/>
        </w:numPr>
        <w:spacing w:line="360" w:lineRule="auto"/>
        <w:ind w:left="777" w:hanging="420" w:firstLineChars="0"/>
        <w:jc w:val="center"/>
        <w:outlineLvl w:val="4"/>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与噪声污染防治的符合性分析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262"/>
        <w:gridCol w:w="8762"/>
        <w:gridCol w:w="155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序号</w:t>
            </w:r>
          </w:p>
        </w:tc>
        <w:tc>
          <w:tcPr>
            <w:tcW w:w="798"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法规、政策和规划名称</w:t>
            </w:r>
          </w:p>
        </w:tc>
        <w:tc>
          <w:tcPr>
            <w:tcW w:w="3091"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规划或政策相关内容</w:t>
            </w:r>
          </w:p>
        </w:tc>
        <w:tc>
          <w:tcPr>
            <w:tcW w:w="548"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协调性分析</w:t>
            </w:r>
          </w:p>
        </w:tc>
        <w:tc>
          <w:tcPr>
            <w:tcW w:w="326" w:type="pct"/>
            <w:shd w:val="clear" w:color="auto" w:fill="auto"/>
            <w:noWrap w:val="0"/>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7"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34</w:t>
            </w:r>
          </w:p>
        </w:tc>
        <w:tc>
          <w:tcPr>
            <w:tcW w:w="798" w:type="pct"/>
            <w:shd w:val="clear" w:color="auto" w:fill="auto"/>
            <w:noWrap/>
            <w:vAlign w:val="center"/>
          </w:tcPr>
          <w:p>
            <w:pPr>
              <w:spacing w:line="240" w:lineRule="auto"/>
              <w:ind w:firstLine="0" w:firstLineChars="0"/>
              <w:jc w:val="center"/>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w:t>
            </w:r>
            <w:r>
              <w:rPr>
                <w:rFonts w:ascii="宋体" w:hAnsi="宋体" w:eastAsia="宋体" w:cs="Times New Roman"/>
                <w:color w:val="000000"/>
                <w:kern w:val="0"/>
                <w:sz w:val="21"/>
                <w:szCs w:val="21"/>
                <w:highlight w:val="none"/>
              </w:rPr>
              <w:t>“</w:t>
            </w:r>
            <w:r>
              <w:rPr>
                <w:rFonts w:hint="eastAsia" w:ascii="宋体" w:hAnsi="宋体" w:eastAsia="宋体" w:cs="Times New Roman"/>
                <w:color w:val="000000"/>
                <w:kern w:val="0"/>
                <w:sz w:val="21"/>
                <w:szCs w:val="21"/>
                <w:highlight w:val="none"/>
              </w:rPr>
              <w:t>十四五</w:t>
            </w:r>
            <w:r>
              <w:rPr>
                <w:rFonts w:ascii="宋体" w:hAnsi="宋体" w:eastAsia="宋体" w:cs="Times New Roman"/>
                <w:color w:val="000000"/>
                <w:kern w:val="0"/>
                <w:sz w:val="21"/>
                <w:szCs w:val="21"/>
                <w:highlight w:val="none"/>
              </w:rPr>
              <w:t>”</w:t>
            </w:r>
            <w:r>
              <w:rPr>
                <w:rFonts w:hint="eastAsia" w:ascii="宋体" w:hAnsi="宋体" w:eastAsia="宋体" w:cs="Times New Roman"/>
                <w:color w:val="000000"/>
                <w:kern w:val="0"/>
                <w:sz w:val="21"/>
                <w:szCs w:val="21"/>
                <w:highlight w:val="none"/>
              </w:rPr>
              <w:t>噪声污染防治行动计划</w:t>
            </w:r>
            <w:r>
              <w:rPr>
                <w:rFonts w:hint="eastAsia" w:eastAsia="宋体" w:cs="Times New Roman"/>
                <w:color w:val="000000"/>
                <w:kern w:val="0"/>
                <w:sz w:val="21"/>
                <w:szCs w:val="21"/>
                <w:highlight w:val="none"/>
              </w:rPr>
              <w:t>》</w:t>
            </w:r>
          </w:p>
        </w:tc>
        <w:tc>
          <w:tcPr>
            <w:tcW w:w="3091" w:type="pct"/>
            <w:shd w:val="clear" w:color="auto" w:fill="auto"/>
            <w:noWrap w:val="0"/>
            <w:vAlign w:val="center"/>
          </w:tcPr>
          <w:p>
            <w:pPr>
              <w:spacing w:line="240" w:lineRule="auto"/>
              <w:ind w:firstLine="0" w:firstLineChars="0"/>
              <w:jc w:val="left"/>
              <w:rPr>
                <w:rFonts w:hint="eastAsia" w:eastAsia="宋体" w:cs="Times New Roman"/>
                <w:color w:val="000000"/>
                <w:kern w:val="0"/>
                <w:sz w:val="21"/>
                <w:szCs w:val="21"/>
                <w:highlight w:val="none"/>
              </w:rPr>
            </w:pPr>
            <w:r>
              <w:rPr>
                <w:rFonts w:hint="eastAsia" w:eastAsia="宋体" w:cs="Times New Roman"/>
                <w:color w:val="000000"/>
                <w:kern w:val="0"/>
                <w:sz w:val="21"/>
                <w:szCs w:val="21"/>
                <w:highlight w:val="none"/>
              </w:rPr>
              <w:t>四、深化工业企业噪声污染防治，加强重点企业监管</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（八）严格工业噪声管理</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11. 树立工业噪声污染治理标杆。排放噪声的工业企业应切实采取减振降噪措施，加强厂区内固定设备、运输工具、货物装卸等噪声源管理，同时避免突发噪声扰民。鼓励企业采用先进治理技术，打造行业噪声污染治理示范典型。中央企业要主动承担社会责任，切实发挥模范带头和引领示范作用，创建一批行业标杆。（生态环境部负责）</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12. 加强工业园区管控。鼓励工业园区进行噪声污染分区管控，优化设备布局和</w:t>
            </w:r>
            <w:r>
              <w:rPr>
                <w:rFonts w:hint="eastAsia" w:eastAsia="宋体" w:cs="Times New Roman"/>
                <w:color w:val="000000"/>
                <w:kern w:val="0"/>
                <w:sz w:val="21"/>
                <w:szCs w:val="21"/>
                <w:highlight w:val="none"/>
              </w:rPr>
              <w:br w:type="textWrapping"/>
            </w:r>
            <w:r>
              <w:rPr>
                <w:rFonts w:hint="eastAsia" w:eastAsia="宋体" w:cs="Times New Roman"/>
                <w:color w:val="000000"/>
                <w:kern w:val="0"/>
                <w:sz w:val="21"/>
                <w:szCs w:val="21"/>
                <w:highlight w:val="none"/>
              </w:rPr>
              <w:t>物流运输路线，采用低噪声设备和运输工具。严控噪声污染严重的工业企业向乡村居住区域转移。（各有关部门按职责负责）</w:t>
            </w:r>
          </w:p>
        </w:tc>
        <w:tc>
          <w:tcPr>
            <w:tcW w:w="548" w:type="pct"/>
            <w:shd w:val="clear" w:color="auto" w:fill="auto"/>
            <w:noWrap/>
            <w:vAlign w:val="top"/>
          </w:tcPr>
          <w:p>
            <w:pPr>
              <w:widowControl/>
              <w:spacing w:line="240" w:lineRule="auto"/>
              <w:ind w:firstLine="0" w:firstLineChars="0"/>
              <w:jc w:val="left"/>
              <w:rPr>
                <w:rFonts w:hint="eastAsia" w:eastAsia="宋体" w:cs="Times New Roman"/>
                <w:color w:val="000000"/>
                <w:kern w:val="0"/>
                <w:sz w:val="21"/>
                <w:szCs w:val="21"/>
                <w:highlight w:val="none"/>
              </w:rPr>
            </w:pPr>
            <w:r>
              <w:rPr>
                <w:rFonts w:eastAsia="宋体" w:cs="Times New Roman"/>
                <w:color w:val="000000"/>
                <w:kern w:val="0"/>
                <w:sz w:val="21"/>
                <w:szCs w:val="21"/>
                <w:highlight w:val="none"/>
              </w:rPr>
              <w:t>规划内企业通过隔声、降噪、优化平面布局等措施，降低对周边敏感点影响。</w:t>
            </w:r>
          </w:p>
        </w:tc>
        <w:tc>
          <w:tcPr>
            <w:tcW w:w="326" w:type="pct"/>
            <w:shd w:val="clear" w:color="auto" w:fill="auto"/>
            <w:noWrap/>
            <w:vAlign w:val="top"/>
          </w:tcPr>
          <w:p>
            <w:pPr>
              <w:widowControl/>
              <w:spacing w:line="240" w:lineRule="auto"/>
              <w:ind w:firstLine="0" w:firstLineChars="0"/>
              <w:jc w:val="center"/>
              <w:rPr>
                <w:rFonts w:eastAsia="宋体" w:cs="Times New Roman"/>
                <w:color w:val="000000"/>
                <w:kern w:val="0"/>
                <w:sz w:val="21"/>
                <w:szCs w:val="21"/>
                <w:highlight w:val="none"/>
              </w:rPr>
            </w:pPr>
            <w:r>
              <w:rPr>
                <w:rFonts w:eastAsia="宋体" w:cs="Times New Roman"/>
                <w:color w:val="000000"/>
                <w:kern w:val="0"/>
                <w:sz w:val="21"/>
                <w:szCs w:val="21"/>
                <w:highlight w:val="none"/>
              </w:rPr>
              <w:t>符合</w:t>
            </w:r>
          </w:p>
        </w:tc>
      </w:tr>
    </w:tbl>
    <w:p>
      <w:pPr>
        <w:ind w:firstLine="480"/>
        <w:rPr>
          <w:highlight w:val="none"/>
        </w:rPr>
        <w:sectPr>
          <w:pgSz w:w="16838" w:h="11906" w:orient="landscape"/>
          <w:pgMar w:top="1080" w:right="1440" w:bottom="1080" w:left="1440" w:header="851" w:footer="992" w:gutter="0"/>
          <w:cols w:space="720" w:num="1"/>
          <w:docGrid w:type="lines" w:linePitch="326" w:charSpace="0"/>
        </w:sectPr>
      </w:pPr>
    </w:p>
    <w:p>
      <w:pPr>
        <w:keepNext/>
        <w:keepLines/>
        <w:widowControl w:val="0"/>
        <w:numPr>
          <w:ilvl w:val="2"/>
          <w:numId w:val="1"/>
        </w:numPr>
        <w:spacing w:line="360" w:lineRule="auto"/>
        <w:ind w:left="0" w:firstLine="0" w:firstLineChars="0"/>
        <w:jc w:val="left"/>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与“三线一单”的符合性分析</w:t>
      </w:r>
    </w:p>
    <w:p>
      <w:pPr>
        <w:keepNext/>
        <w:keepLines/>
        <w:widowControl w:val="0"/>
        <w:adjustRightInd w:val="0"/>
        <w:snapToGrid/>
        <w:spacing w:line="360" w:lineRule="auto"/>
        <w:ind w:firstLine="0" w:firstLineChars="0"/>
        <w:jc w:val="left"/>
        <w:outlineLvl w:val="3"/>
        <w:rPr>
          <w:rFonts w:ascii="Times New Roman" w:hAnsi="Times New Roman" w:eastAsia="黑体" w:cs="Times New Roman"/>
          <w:bCs/>
          <w:kern w:val="2"/>
          <w:sz w:val="24"/>
          <w:szCs w:val="28"/>
          <w:highlight w:val="none"/>
          <w:lang w:val="en-US" w:eastAsia="zh-CN" w:bidi="ar-SA"/>
        </w:rPr>
      </w:pPr>
      <w:r>
        <w:rPr>
          <w:rFonts w:hint="eastAsia" w:ascii="Times New Roman" w:hAnsi="Times New Roman" w:eastAsia="黑体" w:cs="Times New Roman"/>
          <w:bCs/>
          <w:kern w:val="2"/>
          <w:sz w:val="24"/>
          <w:szCs w:val="28"/>
          <w:highlight w:val="none"/>
          <w:lang w:val="en-US" w:eastAsia="zh-CN" w:bidi="ar-SA"/>
        </w:rPr>
        <w:t>1、与四川省“三线一单”符合性分析</w:t>
      </w:r>
    </w:p>
    <w:p>
      <w:pPr>
        <w:ind w:firstLine="482"/>
        <w:rPr>
          <w:rFonts w:eastAsia="宋体" w:cs="Times New Roman"/>
          <w:b/>
          <w:bCs/>
          <w:highlight w:val="none"/>
        </w:rPr>
      </w:pPr>
      <w:r>
        <w:rPr>
          <w:rFonts w:hint="eastAsia" w:eastAsia="宋体" w:cs="Times New Roman"/>
          <w:b/>
          <w:bCs/>
          <w:highlight w:val="none"/>
        </w:rPr>
        <w:t>（1）与四川省环境管控单元要求符合性分析</w:t>
      </w:r>
    </w:p>
    <w:p>
      <w:pPr>
        <w:ind w:firstLine="480"/>
        <w:rPr>
          <w:rFonts w:eastAsia="宋体" w:cs="Times New Roman"/>
          <w:highlight w:val="none"/>
        </w:rPr>
      </w:pPr>
      <w:r>
        <w:rPr>
          <w:rFonts w:hint="eastAsia" w:eastAsia="宋体" w:cs="Times New Roman"/>
          <w:highlight w:val="none"/>
        </w:rPr>
        <w:t>根据四川省人民政府《关于落实生态保护红线、环境质量底线、资源利用上线制定生态环境准入清单实施生态环境分区管控的通知》川府发[</w:t>
      </w:r>
      <w:r>
        <w:rPr>
          <w:rFonts w:eastAsia="宋体" w:cs="Times New Roman"/>
          <w:highlight w:val="none"/>
        </w:rPr>
        <w:t>2020]9</w:t>
      </w:r>
      <w:r>
        <w:rPr>
          <w:rFonts w:hint="eastAsia" w:eastAsia="宋体" w:cs="Times New Roman"/>
          <w:highlight w:val="none"/>
        </w:rPr>
        <w:t>号</w:t>
      </w:r>
      <w:r>
        <w:rPr>
          <w:rFonts w:eastAsia="宋体" w:cs="Times New Roman"/>
          <w:highlight w:val="none"/>
        </w:rPr>
        <w:t>，本园区位于四川省环境管控单元环境重点管控单元，如下图：</w:t>
      </w:r>
    </w:p>
    <w:p>
      <w:pPr>
        <w:ind w:firstLine="0" w:firstLineChars="0"/>
        <w:jc w:val="center"/>
        <w:rPr>
          <w:rFonts w:eastAsia="宋体" w:cs="Times New Roman"/>
          <w:highlight w:val="none"/>
        </w:rPr>
      </w:pPr>
      <w:r>
        <w:rPr>
          <w:rFonts w:eastAsia="宋体" w:cs="Times New Roman"/>
          <w:highlight w:val="none"/>
        </w:rPr>
        <w:drawing>
          <wp:inline distT="0" distB="0" distL="114300" distR="114300">
            <wp:extent cx="5485765" cy="3172460"/>
            <wp:effectExtent l="0" t="0" r="635" b="8890"/>
            <wp:docPr id="7" name="图片 7" descr="171170164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1701649250"/>
                    <pic:cNvPicPr>
                      <a:picLocks noChangeAspect="1"/>
                    </pic:cNvPicPr>
                  </pic:nvPicPr>
                  <pic:blipFill>
                    <a:blip r:embed="rId37"/>
                    <a:stretch>
                      <a:fillRect/>
                    </a:stretch>
                  </pic:blipFill>
                  <pic:spPr>
                    <a:xfrm>
                      <a:off x="0" y="0"/>
                      <a:ext cx="5485765" cy="3172460"/>
                    </a:xfrm>
                    <a:prstGeom prst="rect">
                      <a:avLst/>
                    </a:prstGeom>
                    <a:noFill/>
                    <a:ln>
                      <a:noFill/>
                    </a:ln>
                  </pic:spPr>
                </pic:pic>
              </a:graphicData>
            </a:graphic>
          </wp:inline>
        </w:drawing>
      </w:r>
    </w:p>
    <w:p>
      <w:pPr>
        <w:widowControl w:val="0"/>
        <w:numPr>
          <w:ilvl w:val="0"/>
          <w:numId w:val="8"/>
        </w:numPr>
        <w:spacing w:line="360" w:lineRule="auto"/>
        <w:ind w:left="780" w:hanging="420" w:firstLineChars="0"/>
        <w:jc w:val="center"/>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园区与四川省四川省环境管控单元示意图</w:t>
      </w:r>
    </w:p>
    <w:p>
      <w:pPr>
        <w:ind w:firstLine="480"/>
        <w:rPr>
          <w:rFonts w:hint="eastAsia" w:eastAsia="宋体" w:cs="Times New Roman"/>
          <w:highlight w:val="none"/>
        </w:rPr>
      </w:pPr>
      <w:r>
        <w:rPr>
          <w:rFonts w:hint="eastAsia" w:eastAsia="宋体" w:cs="Times New Roman"/>
          <w:highlight w:val="none"/>
        </w:rPr>
        <w:t>园区规划范围内无污染物排放量大的企业，布局为高新技术产业、总部经济，区域基础设施完善，废水进入城镇污水处理厂处理，满足《四川省岷江、沱江流域水污染物排放标准》标准后排放。</w:t>
      </w:r>
    </w:p>
    <w:p>
      <w:pPr>
        <w:ind w:firstLine="482"/>
        <w:rPr>
          <w:rFonts w:eastAsia="宋体" w:cs="Times New Roman"/>
          <w:b/>
          <w:bCs/>
          <w:highlight w:val="none"/>
        </w:rPr>
      </w:pPr>
      <w:r>
        <w:rPr>
          <w:rFonts w:hint="eastAsia" w:eastAsia="宋体" w:cs="Times New Roman"/>
          <w:b/>
          <w:bCs/>
          <w:highlight w:val="none"/>
        </w:rPr>
        <w:t>（</w:t>
      </w:r>
      <w:r>
        <w:rPr>
          <w:rFonts w:eastAsia="宋体" w:cs="Times New Roman"/>
          <w:b/>
          <w:bCs/>
          <w:highlight w:val="none"/>
        </w:rPr>
        <w:t>2</w:t>
      </w:r>
      <w:r>
        <w:rPr>
          <w:rFonts w:hint="eastAsia" w:eastAsia="宋体" w:cs="Times New Roman"/>
          <w:b/>
          <w:bCs/>
          <w:highlight w:val="none"/>
        </w:rPr>
        <w:t>）与生态保护红线及生态分区管控要求符合性分析</w:t>
      </w:r>
    </w:p>
    <w:p>
      <w:pPr>
        <w:ind w:firstLine="480"/>
        <w:rPr>
          <w:rFonts w:eastAsia="宋体" w:cs="Times New Roman"/>
          <w:highlight w:val="none"/>
        </w:rPr>
      </w:pPr>
      <w:r>
        <w:rPr>
          <w:rFonts w:hint="eastAsia" w:eastAsia="宋体" w:cs="Times New Roman"/>
          <w:highlight w:val="none"/>
        </w:rPr>
        <w:t>根据生态评估、法定自然保护地和其他保护地识别，并与各类规划对接，与城镇开发边界、工业开发边界、永久基本农田等对接，进行边界处理，确定四川省生态空间（生态保护红线+一般生态空间）总面积为24.31万平方千米，占全省国土面积的50%。其中，《四川省生态保护红线方案》（川府发〔2018〕24号）确定的生态保护红线面积14.8万平方千米，占全省国土面积约30.45%；一般生态空间划定面积为9.51万平方千米，占全省国土面积约19.55%。由下图可知，本规划区范围不涉四川省生态保护红线。</w:t>
      </w:r>
    </w:p>
    <w:p>
      <w:pPr>
        <w:keepNext/>
        <w:keepLines/>
        <w:widowControl w:val="0"/>
        <w:adjustRightInd w:val="0"/>
        <w:snapToGrid/>
        <w:spacing w:line="360" w:lineRule="auto"/>
        <w:ind w:firstLine="0" w:firstLineChars="0"/>
        <w:jc w:val="left"/>
        <w:outlineLvl w:val="3"/>
        <w:rPr>
          <w:rFonts w:ascii="Times New Roman" w:hAnsi="Times New Roman" w:eastAsia="黑体" w:cs="Times New Roman"/>
          <w:bCs/>
          <w:kern w:val="2"/>
          <w:sz w:val="24"/>
          <w:szCs w:val="28"/>
          <w:highlight w:val="none"/>
          <w:lang w:val="en-US" w:eastAsia="zh-CN" w:bidi="ar-SA"/>
        </w:rPr>
      </w:pPr>
      <w:r>
        <w:rPr>
          <w:rFonts w:hint="eastAsia" w:ascii="Times New Roman" w:hAnsi="Times New Roman" w:eastAsia="黑体" w:cs="Times New Roman"/>
          <w:bCs/>
          <w:kern w:val="2"/>
          <w:sz w:val="24"/>
          <w:szCs w:val="28"/>
          <w:highlight w:val="none"/>
          <w:lang w:val="en-US" w:eastAsia="zh-CN" w:bidi="ar-SA"/>
        </w:rPr>
        <w:t>2、与广元市“三线一单”符合性分析</w:t>
      </w:r>
    </w:p>
    <w:p>
      <w:pPr>
        <w:ind w:firstLine="480"/>
        <w:rPr>
          <w:highlight w:val="none"/>
        </w:rPr>
        <w:sectPr>
          <w:pgSz w:w="11906" w:h="16838"/>
          <w:pgMar w:top="1440" w:right="1080" w:bottom="1440" w:left="1080" w:header="851" w:footer="992" w:gutter="0"/>
          <w:cols w:space="720" w:num="1"/>
          <w:docGrid w:type="lines" w:linePitch="326" w:charSpace="0"/>
        </w:sectPr>
      </w:pPr>
      <w:r>
        <w:rPr>
          <w:rFonts w:hint="eastAsia" w:eastAsia="宋体" w:cs="Times New Roman"/>
          <w:highlight w:val="none"/>
        </w:rPr>
        <w:t>根据四川省生态环境厅办公室关于印发《产业园区规划环评“三线一单”符合性分析技术要点（试行）》和《项目环评“三线一单”符合性分析技术要点（试行）》的通知（川环办函〔2021〕469号）</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129"/>
        <w:gridCol w:w="7651"/>
        <w:gridCol w:w="2129"/>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8" w:type="pct"/>
            <w:gridSpan w:val="3"/>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“三线一单”具体要求</w:t>
            </w: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产业园区</w:t>
            </w:r>
          </w:p>
        </w:tc>
        <w:tc>
          <w:tcPr>
            <w:tcW w:w="361" w:type="pct"/>
            <w:vMerge w:val="restar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规划符合性分析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产业园区所属管控分区</w:t>
            </w:r>
          </w:p>
        </w:tc>
        <w:tc>
          <w:tcPr>
            <w:tcW w:w="3450" w:type="pct"/>
            <w:gridSpan w:val="2"/>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对应管控要求</w:t>
            </w: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园区规划相关情况介绍</w:t>
            </w:r>
          </w:p>
        </w:tc>
        <w:tc>
          <w:tcPr>
            <w:tcW w:w="361"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YS5108242220002嘉陵江-苍溪县-沙溪-控制单元</w:t>
            </w: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空间布局约束</w:t>
            </w:r>
          </w:p>
        </w:tc>
        <w:tc>
          <w:tcPr>
            <w:tcW w:w="2699"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36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污染物排放管控</w:t>
            </w:r>
          </w:p>
        </w:tc>
        <w:tc>
          <w:tcPr>
            <w:tcW w:w="2699" w:type="pct"/>
            <w:shd w:val="clear" w:color="auto" w:fill="auto"/>
            <w:noWrap w:val="0"/>
            <w:vAlign w:val="center"/>
          </w:tcPr>
          <w:p>
            <w:pPr>
              <w:spacing w:line="240" w:lineRule="auto"/>
              <w:ind w:firstLine="0" w:firstLineChars="0"/>
              <w:jc w:val="left"/>
              <w:rPr>
                <w:rFonts w:ascii="宋体" w:hAnsi="宋体" w:eastAsia="宋体" w:cs="Times New Roman"/>
                <w:b/>
                <w:sz w:val="21"/>
                <w:szCs w:val="21"/>
                <w:highlight w:val="none"/>
              </w:rPr>
            </w:pPr>
            <w:r>
              <w:rPr>
                <w:rFonts w:ascii="宋体" w:hAnsi="宋体" w:eastAsia="宋体" w:cs="Times New Roman"/>
                <w:b/>
                <w:sz w:val="21"/>
                <w:szCs w:val="21"/>
                <w:highlight w:val="none"/>
              </w:rPr>
              <w:t>城镇污水污染控制措施要求</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1、提升污水收集率，完善城镇生活污水收集系统，推进城镇污水管网全覆盖；对进水情况出现明显异常的污水处理厂，开展片区管网系统化整治，现有污水处理厂进水生化需氧量(BOD)浓度低于100毫克/升的城市，要制定系统化整治方案；开展旱天生活污水直排口溯源治理。2、提升城镇生活污水处理能力，加快补齐处理能力缺口。3、提升污水处理设施除磷水平，鼓励在污水处理厂排污口下游因地制宜建设人工湿地，推进达标尾水深度“去磷”。4、强化城镇污水处理设施运行管理，按要求达标排放。5、强化汛期生活污水溢流处理，推进城市建成区初期雨水收集处理及资源化利用设施建设。6、加强生活污水再生利用设施建设，在重点排污口下游、河流入湖口、支流入干流处，因地制宜实施区域再生水循环利用工程。</w:t>
            </w:r>
          </w:p>
          <w:p>
            <w:pPr>
              <w:spacing w:line="240" w:lineRule="auto"/>
              <w:ind w:firstLine="0" w:firstLineChars="0"/>
              <w:jc w:val="left"/>
              <w:rPr>
                <w:rFonts w:ascii="宋体" w:hAnsi="宋体" w:eastAsia="宋体" w:cs="Times New Roman"/>
                <w:b/>
                <w:sz w:val="21"/>
                <w:szCs w:val="21"/>
                <w:highlight w:val="none"/>
              </w:rPr>
            </w:pPr>
            <w:r>
              <w:rPr>
                <w:rFonts w:ascii="宋体" w:hAnsi="宋体" w:eastAsia="宋体" w:cs="Times New Roman"/>
                <w:b/>
                <w:sz w:val="21"/>
                <w:szCs w:val="21"/>
                <w:highlight w:val="none"/>
              </w:rPr>
              <w:t>工业废水污染控制措施要求</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1、对不符合国土空间规划的现有工业企业，污染物排放总量及环境风险水平只降不增，引导企业适时搬迁进入对口园区。2、对工业废水进入市政污水收集设施情况进行排查，组织开展评估，经评估认定污染物不能被城镇污水处理厂有效处理或可能影响污水处理厂出水稳定达标的，应限期退出。</w:t>
            </w:r>
          </w:p>
          <w:p>
            <w:pPr>
              <w:spacing w:line="240" w:lineRule="auto"/>
              <w:ind w:firstLine="0" w:firstLineChars="0"/>
              <w:jc w:val="left"/>
              <w:rPr>
                <w:rFonts w:ascii="宋体" w:hAnsi="宋体" w:eastAsia="宋体" w:cs="Times New Roman"/>
                <w:b/>
                <w:sz w:val="21"/>
                <w:szCs w:val="21"/>
                <w:highlight w:val="none"/>
              </w:rPr>
            </w:pPr>
            <w:r>
              <w:rPr>
                <w:rFonts w:ascii="宋体" w:hAnsi="宋体" w:eastAsia="宋体" w:cs="Times New Roman"/>
                <w:b/>
                <w:sz w:val="21"/>
                <w:szCs w:val="21"/>
                <w:highlight w:val="none"/>
              </w:rPr>
              <w:t>农业面源水污染控制措施要求</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防范污水处理厂、加油站、其他物料堆存场所泄露风险，建立健全防泄漏设施，完善应急体系</w:t>
            </w:r>
          </w:p>
        </w:tc>
        <w:tc>
          <w:tcPr>
            <w:tcW w:w="751" w:type="pct"/>
            <w:shd w:val="clear" w:color="auto" w:fill="auto"/>
            <w:noWrap w:val="0"/>
            <w:vAlign w:val="center"/>
          </w:tcPr>
          <w:p>
            <w:pPr>
              <w:spacing w:line="240" w:lineRule="auto"/>
              <w:ind w:firstLine="0" w:firstLineChars="0"/>
              <w:rPr>
                <w:rFonts w:hint="eastAsia" w:ascii="宋体" w:hAnsi="宋体" w:eastAsia="宋体" w:cs="Times New Roman"/>
                <w:sz w:val="21"/>
                <w:szCs w:val="21"/>
                <w:highlight w:val="none"/>
              </w:rPr>
            </w:pPr>
            <w:r>
              <w:rPr>
                <w:rFonts w:hint="eastAsia" w:ascii="宋体" w:hAnsi="宋体" w:eastAsia="宋体" w:cs="Times New Roman"/>
                <w:sz w:val="21"/>
                <w:szCs w:val="21"/>
                <w:highlight w:val="none"/>
              </w:rPr>
              <w:t>规划环评对百利新城污水处理厂进行改造，用于处理工业废水。现有规划范围内无工业项目。</w:t>
            </w:r>
          </w:p>
        </w:tc>
        <w:tc>
          <w:tcPr>
            <w:tcW w:w="361" w:type="pct"/>
            <w:shd w:val="clear" w:color="auto" w:fill="auto"/>
            <w:noWrap w:val="0"/>
            <w:vAlign w:val="center"/>
          </w:tcPr>
          <w:p>
            <w:pPr>
              <w:spacing w:line="240" w:lineRule="auto"/>
              <w:ind w:firstLine="0" w:firstLineChars="0"/>
              <w:jc w:val="center"/>
              <w:rPr>
                <w:rFonts w:hint="eastAsia" w:ascii="宋体" w:hAnsi="宋体" w:eastAsia="宋体" w:cs="Times New Roman"/>
                <w:sz w:val="21"/>
                <w:szCs w:val="21"/>
                <w:highlight w:val="none"/>
              </w:rPr>
            </w:pPr>
            <w:r>
              <w:rPr>
                <w:rFonts w:ascii="宋体" w:hAnsi="宋体"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环境风险防控</w:t>
            </w:r>
          </w:p>
        </w:tc>
        <w:tc>
          <w:tcPr>
            <w:tcW w:w="2699" w:type="pct"/>
            <w:shd w:val="clear" w:color="auto" w:fill="auto"/>
            <w:noWrap w:val="0"/>
            <w:vAlign w:val="center"/>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751" w:type="pct"/>
            <w:shd w:val="clear" w:color="auto" w:fill="auto"/>
            <w:noWrap w:val="0"/>
            <w:vAlign w:val="center"/>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361" w:type="pct"/>
            <w:shd w:val="clear" w:color="auto" w:fill="auto"/>
            <w:noWrap w:val="0"/>
            <w:vAlign w:val="center"/>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资源开发效率要求</w:t>
            </w:r>
          </w:p>
        </w:tc>
        <w:tc>
          <w:tcPr>
            <w:tcW w:w="2699" w:type="pct"/>
            <w:shd w:val="clear" w:color="auto" w:fill="auto"/>
            <w:noWrap w:val="0"/>
            <w:vAlign w:val="center"/>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751" w:type="pct"/>
            <w:shd w:val="clear" w:color="auto" w:fill="auto"/>
            <w:noWrap w:val="0"/>
            <w:vAlign w:val="center"/>
          </w:tcPr>
          <w:p>
            <w:pPr>
              <w:ind w:firstLine="0" w:firstLineChars="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361" w:type="pct"/>
            <w:shd w:val="clear" w:color="auto" w:fill="auto"/>
            <w:noWrap w:val="0"/>
            <w:vAlign w:val="center"/>
          </w:tcPr>
          <w:p>
            <w:pPr>
              <w:ind w:firstLine="0" w:firstLineChars="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8" w:type="pct"/>
            <w:vMerge w:val="restar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YS5108242340001苍溪县城镇集中建设区</w:t>
            </w: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空间布局约束</w:t>
            </w:r>
          </w:p>
        </w:tc>
        <w:tc>
          <w:tcPr>
            <w:tcW w:w="2699" w:type="pct"/>
            <w:shd w:val="clear" w:color="auto" w:fill="auto"/>
            <w:noWrap w:val="0"/>
            <w:vAlign w:val="center"/>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751" w:type="pct"/>
            <w:shd w:val="clear" w:color="auto" w:fill="auto"/>
            <w:noWrap w:val="0"/>
            <w:vAlign w:val="center"/>
          </w:tcPr>
          <w:p>
            <w:pPr>
              <w:ind w:firstLine="0" w:firstLineChars="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361" w:type="pct"/>
            <w:shd w:val="clear" w:color="auto" w:fill="auto"/>
            <w:noWrap w:val="0"/>
            <w:vAlign w:val="center"/>
          </w:tcPr>
          <w:p>
            <w:pPr>
              <w:ind w:firstLine="0" w:firstLineChars="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污染物排放管控</w:t>
            </w:r>
          </w:p>
        </w:tc>
        <w:tc>
          <w:tcPr>
            <w:tcW w:w="2699" w:type="pct"/>
            <w:shd w:val="clear" w:color="auto" w:fill="auto"/>
            <w:noWrap w:val="0"/>
            <w:vAlign w:val="center"/>
          </w:tcPr>
          <w:p>
            <w:pPr>
              <w:widowControl/>
              <w:shd w:val="clear" w:color="auto" w:fill="FFFFFF"/>
              <w:spacing w:line="240" w:lineRule="auto"/>
              <w:ind w:firstLine="0" w:firstLineChars="0"/>
              <w:jc w:val="left"/>
              <w:rPr>
                <w:rFonts w:ascii="宋体" w:hAnsi="宋体" w:eastAsia="宋体" w:cs="Times New Roman"/>
                <w:b/>
                <w:kern w:val="2"/>
                <w:sz w:val="21"/>
                <w:szCs w:val="21"/>
                <w:highlight w:val="none"/>
                <w:lang w:val="en-US" w:eastAsia="zh-CN" w:bidi="ar-SA"/>
              </w:rPr>
            </w:pPr>
            <w:r>
              <w:rPr>
                <w:rFonts w:ascii="宋体" w:hAnsi="宋体" w:eastAsia="宋体" w:cs="Times New Roman"/>
                <w:b/>
                <w:kern w:val="2"/>
                <w:sz w:val="21"/>
                <w:szCs w:val="21"/>
                <w:highlight w:val="none"/>
                <w:lang w:val="en-US" w:eastAsia="zh-CN" w:bidi="ar-SA"/>
              </w:rPr>
              <w:t>污染物排放管控</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大气环境质量执行标准</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《环境空气质量标准》（GB3095-2012）：二级</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区域大气污染物削减/替代要求：/</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燃煤和其他能源大气污染控制要求：/</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工业废气污染控制要求：/</w:t>
            </w:r>
          </w:p>
          <w:p>
            <w:pPr>
              <w:widowControl/>
              <w:shd w:val="clear" w:color="auto" w:fill="FFFFFF"/>
              <w:spacing w:line="240" w:lineRule="auto"/>
              <w:ind w:firstLine="0" w:firstLineChars="0"/>
              <w:jc w:val="left"/>
              <w:rPr>
                <w:rFonts w:ascii="宋体" w:hAnsi="宋体" w:eastAsia="宋体" w:cs="Times New Roman"/>
                <w:b/>
                <w:kern w:val="2"/>
                <w:sz w:val="21"/>
                <w:szCs w:val="21"/>
                <w:highlight w:val="none"/>
                <w:lang w:val="en-US" w:eastAsia="zh-CN" w:bidi="ar-SA"/>
              </w:rPr>
            </w:pPr>
            <w:r>
              <w:rPr>
                <w:rFonts w:ascii="宋体" w:hAnsi="宋体" w:eastAsia="宋体" w:cs="Times New Roman"/>
                <w:b/>
                <w:kern w:val="2"/>
                <w:sz w:val="21"/>
                <w:szCs w:val="21"/>
                <w:highlight w:val="none"/>
                <w:lang w:val="en-US" w:eastAsia="zh-CN" w:bidi="ar-SA"/>
              </w:rPr>
              <w:t>机动车船大气污染控制要求</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加大新能源汽车在城市公交、出租汽车、城市配送、邮政快递、机场、铁路货场、重点地区港口等领域应用，地级以上城市清洁能源汽车在公共领域使用率显著提升，设区的市城市公交车基本实现新能源化。</w:t>
            </w:r>
          </w:p>
          <w:p>
            <w:pPr>
              <w:widowControl/>
              <w:shd w:val="clear" w:color="auto" w:fill="FFFFFF"/>
              <w:spacing w:line="240" w:lineRule="auto"/>
              <w:ind w:firstLine="0" w:firstLineChars="0"/>
              <w:jc w:val="left"/>
              <w:rPr>
                <w:rFonts w:ascii="宋体" w:hAnsi="宋体" w:eastAsia="宋体" w:cs="Times New Roman"/>
                <w:b/>
                <w:kern w:val="2"/>
                <w:sz w:val="21"/>
                <w:szCs w:val="21"/>
                <w:highlight w:val="none"/>
                <w:lang w:val="en-US" w:eastAsia="zh-CN" w:bidi="ar-SA"/>
              </w:rPr>
            </w:pPr>
            <w:r>
              <w:rPr>
                <w:rFonts w:ascii="宋体" w:hAnsi="宋体" w:eastAsia="宋体" w:cs="Times New Roman"/>
                <w:b/>
                <w:kern w:val="2"/>
                <w:sz w:val="21"/>
                <w:szCs w:val="21"/>
                <w:highlight w:val="none"/>
                <w:lang w:val="en-US" w:eastAsia="zh-CN" w:bidi="ar-SA"/>
              </w:rPr>
              <w:t>扬尘污染控制要求</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全面落实各类施工工地扬尘防控措施，重点、重大项目工地实现视频监控、可吸入颗粒物（PM</w:t>
            </w:r>
            <w:r>
              <w:rPr>
                <w:rFonts w:ascii="宋体" w:hAnsi="宋体" w:eastAsia="宋体" w:cs="Times New Roman"/>
                <w:kern w:val="2"/>
                <w:sz w:val="21"/>
                <w:szCs w:val="21"/>
                <w:highlight w:val="none"/>
                <w:vertAlign w:val="subscript"/>
                <w:lang w:val="en-US" w:eastAsia="zh-CN" w:bidi="ar-SA"/>
              </w:rPr>
              <w:t>10</w:t>
            </w:r>
            <w:r>
              <w:rPr>
                <w:rFonts w:ascii="宋体" w:hAnsi="宋体" w:eastAsia="宋体" w:cs="Times New Roman"/>
                <w:kern w:val="2"/>
                <w:sz w:val="21"/>
                <w:szCs w:val="21"/>
                <w:highlight w:val="none"/>
                <w:lang w:val="en-US" w:eastAsia="zh-CN" w:bidi="ar-SA"/>
              </w:rPr>
              <w:t>）在线监测全覆盖。</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农业生产经营活动大气污染控制要求：/</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重点行业企业专项治理要求：/</w:t>
            </w:r>
          </w:p>
          <w:p>
            <w:pPr>
              <w:widowControl/>
              <w:shd w:val="clear" w:color="auto" w:fill="FFFFFF"/>
              <w:spacing w:line="240" w:lineRule="auto"/>
              <w:ind w:firstLine="0" w:firstLineChars="0"/>
              <w:jc w:val="left"/>
              <w:rPr>
                <w:rFonts w:ascii="宋体" w:hAnsi="宋体" w:eastAsia="宋体" w:cs="Times New Roman"/>
                <w:b/>
                <w:kern w:val="2"/>
                <w:sz w:val="21"/>
                <w:szCs w:val="21"/>
                <w:highlight w:val="none"/>
                <w:lang w:val="en-US" w:eastAsia="zh-CN" w:bidi="ar-SA"/>
              </w:rPr>
            </w:pPr>
            <w:r>
              <w:rPr>
                <w:rFonts w:ascii="宋体" w:hAnsi="宋体" w:eastAsia="宋体" w:cs="Times New Roman"/>
                <w:b/>
                <w:kern w:val="2"/>
                <w:sz w:val="21"/>
                <w:szCs w:val="21"/>
                <w:highlight w:val="none"/>
                <w:lang w:val="en-US" w:eastAsia="zh-CN" w:bidi="ar-SA"/>
              </w:rPr>
              <w:t>其他大气污染物排放管控要求</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有序开展城市生活源VOCs污染防治，全面推广房屋建筑和市政工程涉VOCs工序环节使用低VOCs含量涂料和胶粘剂；推进加油站按照《四川省加油站大气污染排放标准》要求安装油气处理装置。</w:t>
            </w:r>
          </w:p>
        </w:tc>
        <w:tc>
          <w:tcPr>
            <w:tcW w:w="751" w:type="pct"/>
            <w:shd w:val="clear" w:color="auto" w:fill="auto"/>
            <w:noWrap w:val="0"/>
            <w:vAlign w:val="center"/>
          </w:tcPr>
          <w:p>
            <w:pPr>
              <w:widowControl/>
              <w:shd w:val="clear" w:color="auto" w:fill="FFFFFF"/>
              <w:spacing w:line="240" w:lineRule="auto"/>
              <w:ind w:firstLine="0" w:firstLineChars="0"/>
              <w:jc w:val="left"/>
              <w:rPr>
                <w:rFonts w:hint="eastAsia"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区域环境质量满足《环境空气质量标准》（GB3095-2012）二级标准</w:t>
            </w:r>
          </w:p>
        </w:tc>
        <w:tc>
          <w:tcPr>
            <w:tcW w:w="361" w:type="pct"/>
            <w:shd w:val="clear" w:color="auto" w:fill="auto"/>
            <w:noWrap w:val="0"/>
            <w:vAlign w:val="center"/>
          </w:tcPr>
          <w:p>
            <w:pPr>
              <w:ind w:firstLine="0" w:firstLineChars="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环境风险防控</w:t>
            </w:r>
          </w:p>
        </w:tc>
        <w:tc>
          <w:tcPr>
            <w:tcW w:w="2699"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75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36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资源开发效率要求</w:t>
            </w:r>
          </w:p>
        </w:tc>
        <w:tc>
          <w:tcPr>
            <w:tcW w:w="2699"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75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36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YS5108242540001</w:t>
            </w:r>
            <w:r>
              <w:rPr>
                <w:rFonts w:hint="eastAsia" w:ascii="宋体" w:hAnsi="宋体" w:eastAsia="宋体" w:cs="Times New Roman"/>
                <w:sz w:val="21"/>
                <w:szCs w:val="21"/>
                <w:highlight w:val="none"/>
              </w:rPr>
              <w:t>苍溪县高污染燃料禁燃区</w:t>
            </w: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空间布局约束</w:t>
            </w:r>
          </w:p>
        </w:tc>
        <w:tc>
          <w:tcPr>
            <w:tcW w:w="2699" w:type="pct"/>
            <w:shd w:val="clear" w:color="auto" w:fill="auto"/>
            <w:noWrap w:val="0"/>
            <w:vAlign w:val="center"/>
          </w:tcPr>
          <w:p>
            <w:pPr>
              <w:spacing w:line="240" w:lineRule="auto"/>
              <w:ind w:firstLine="0" w:firstLineChars="0"/>
              <w:rPr>
                <w:rFonts w:ascii="宋体" w:hAnsi="宋体" w:eastAsia="宋体" w:cs="Times New Roman"/>
                <w:sz w:val="21"/>
                <w:szCs w:val="21"/>
                <w:highlight w:val="none"/>
              </w:rPr>
            </w:pPr>
            <w:r>
              <w:rPr>
                <w:rFonts w:ascii="宋体" w:hAnsi="宋体" w:eastAsia="宋体" w:cs="Times New Roman"/>
                <w:sz w:val="21"/>
                <w:szCs w:val="21"/>
                <w:highlight w:val="none"/>
              </w:rPr>
              <w:t>坚决遏制“两高一低”项目盲目发展</w:t>
            </w:r>
          </w:p>
        </w:tc>
        <w:tc>
          <w:tcPr>
            <w:tcW w:w="751" w:type="pct"/>
            <w:shd w:val="clear" w:color="auto" w:fill="auto"/>
            <w:noWrap w:val="0"/>
            <w:vAlign w:val="center"/>
          </w:tcPr>
          <w:p>
            <w:pPr>
              <w:spacing w:line="240" w:lineRule="auto"/>
              <w:ind w:firstLine="0" w:firstLineChars="0"/>
              <w:jc w:val="center"/>
              <w:rPr>
                <w:rFonts w:hint="eastAsia" w:ascii="宋体" w:hAnsi="宋体" w:eastAsia="宋体" w:cs="Times New Roman"/>
                <w:sz w:val="21"/>
                <w:szCs w:val="21"/>
                <w:highlight w:val="none"/>
              </w:rPr>
            </w:pPr>
            <w:r>
              <w:rPr>
                <w:rFonts w:ascii="宋体" w:hAnsi="宋体" w:eastAsia="宋体" w:cs="Times New Roman"/>
                <w:sz w:val="21"/>
                <w:szCs w:val="21"/>
                <w:highlight w:val="none"/>
              </w:rPr>
              <w:t>规划不涉及“两高一低”项目</w:t>
            </w:r>
          </w:p>
        </w:tc>
        <w:tc>
          <w:tcPr>
            <w:tcW w:w="36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污染物排放管控</w:t>
            </w:r>
          </w:p>
        </w:tc>
        <w:tc>
          <w:tcPr>
            <w:tcW w:w="2699"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75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36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环境风险防控</w:t>
            </w:r>
          </w:p>
        </w:tc>
        <w:tc>
          <w:tcPr>
            <w:tcW w:w="2699"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75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36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资源开发效率要求</w:t>
            </w:r>
          </w:p>
        </w:tc>
        <w:tc>
          <w:tcPr>
            <w:tcW w:w="2699" w:type="pct"/>
            <w:shd w:val="clear" w:color="auto" w:fill="auto"/>
            <w:noWrap w:val="0"/>
            <w:vAlign w:val="center"/>
          </w:tcPr>
          <w:p>
            <w:pPr>
              <w:widowControl/>
              <w:shd w:val="clear" w:color="auto" w:fill="FFFFFF"/>
              <w:spacing w:line="240" w:lineRule="auto"/>
              <w:ind w:firstLine="0" w:firstLineChars="0"/>
              <w:rPr>
                <w:rFonts w:ascii="宋体" w:hAnsi="宋体" w:eastAsia="宋体" w:cs="Times New Roman"/>
                <w:sz w:val="21"/>
                <w:szCs w:val="21"/>
                <w:highlight w:val="none"/>
              </w:rPr>
            </w:pPr>
            <w:r>
              <w:rPr>
                <w:rFonts w:ascii="宋体" w:hAnsi="宋体" w:eastAsia="宋体" w:cs="Times New Roman"/>
                <w:sz w:val="21"/>
                <w:szCs w:val="21"/>
                <w:highlight w:val="none"/>
              </w:rPr>
              <w:t>能源消耗、污染物排放不得超过能源利用上线控制性指标。</w:t>
            </w:r>
          </w:p>
        </w:tc>
        <w:tc>
          <w:tcPr>
            <w:tcW w:w="75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36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YS5108242550001苍溪县自然资源重点管控区</w:t>
            </w: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空间布局约束</w:t>
            </w:r>
          </w:p>
        </w:tc>
        <w:tc>
          <w:tcPr>
            <w:tcW w:w="2699"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75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36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污染物排放管控</w:t>
            </w:r>
          </w:p>
        </w:tc>
        <w:tc>
          <w:tcPr>
            <w:tcW w:w="2699"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75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36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环境风险防控</w:t>
            </w:r>
          </w:p>
        </w:tc>
        <w:tc>
          <w:tcPr>
            <w:tcW w:w="2699"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75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36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资源开发效率要求</w:t>
            </w:r>
          </w:p>
        </w:tc>
        <w:tc>
          <w:tcPr>
            <w:tcW w:w="2699"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75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c>
          <w:tcPr>
            <w:tcW w:w="361" w:type="pct"/>
            <w:shd w:val="clear" w:color="auto" w:fill="auto"/>
            <w:noWrap w:val="0"/>
            <w:vAlign w:val="top"/>
          </w:tcPr>
          <w:p>
            <w:pPr>
              <w:ind w:firstLine="420"/>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ZH51082420001苍溪县城镇空间</w:t>
            </w: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空间布局约束</w:t>
            </w:r>
          </w:p>
        </w:tc>
        <w:tc>
          <w:tcPr>
            <w:tcW w:w="2699" w:type="pct"/>
            <w:shd w:val="clear" w:color="auto" w:fill="auto"/>
            <w:noWrap w:val="0"/>
            <w:vAlign w:val="center"/>
          </w:tcPr>
          <w:p>
            <w:pPr>
              <w:widowControl/>
              <w:shd w:val="clear" w:color="auto" w:fill="FFFFFF"/>
              <w:spacing w:line="240" w:lineRule="auto"/>
              <w:ind w:firstLine="0" w:firstLineChars="0"/>
              <w:jc w:val="left"/>
              <w:rPr>
                <w:rFonts w:ascii="宋体" w:hAnsi="宋体" w:eastAsia="宋体" w:cs="Times New Roman"/>
                <w:b/>
                <w:kern w:val="2"/>
                <w:sz w:val="21"/>
                <w:szCs w:val="21"/>
                <w:highlight w:val="none"/>
                <w:lang w:val="en-US" w:eastAsia="zh-CN" w:bidi="ar-SA"/>
              </w:rPr>
            </w:pPr>
            <w:r>
              <w:rPr>
                <w:rFonts w:ascii="宋体" w:hAnsi="宋体" w:eastAsia="宋体" w:cs="Times New Roman"/>
                <w:b/>
                <w:kern w:val="2"/>
                <w:sz w:val="21"/>
                <w:szCs w:val="21"/>
                <w:highlight w:val="none"/>
                <w:lang w:val="en-US" w:eastAsia="zh-CN" w:bidi="ar-SA"/>
              </w:rPr>
              <w:t>禁止开发建设活动的要求</w:t>
            </w:r>
          </w:p>
          <w:p>
            <w:pPr>
              <w:widowControl w:val="0"/>
              <w:spacing w:line="240" w:lineRule="auto"/>
              <w:ind w:firstLine="0" w:firstLineChars="0"/>
              <w:jc w:val="left"/>
              <w:rPr>
                <w:rFonts w:ascii="宋体" w:hAnsi="宋体" w:eastAsia="宋体" w:cs="Times New Roman"/>
                <w:color w:val="000000"/>
                <w:kern w:val="0"/>
                <w:sz w:val="21"/>
                <w:szCs w:val="21"/>
                <w:highlight w:val="none"/>
                <w:lang w:val="en-US" w:eastAsia="zh-CN" w:bidi="ar-SA"/>
              </w:rPr>
            </w:pPr>
            <w:r>
              <w:rPr>
                <w:rFonts w:ascii="宋体" w:hAnsi="宋体" w:eastAsia="宋体" w:cs="Times New Roman"/>
                <w:color w:val="000000"/>
                <w:kern w:val="0"/>
                <w:sz w:val="21"/>
                <w:szCs w:val="21"/>
                <w:highlight w:val="none"/>
                <w:lang w:val="en-US" w:eastAsia="zh-CN" w:bidi="ar-SA"/>
              </w:rPr>
              <w:t>原则上禁止新建生产性企业，经论证与周边环境相容的农副产品加工等工业企业除外。禁止在合规园区外新建、扩建钢铁、石化、化工、焦化、建材、有色等高污染项目。（《长江保护修复攻坚战行动计划》、《四川省长江经济带发展负面清单实施细则（试行）》）</w:t>
            </w:r>
          </w:p>
          <w:p>
            <w:pPr>
              <w:widowControl w:val="0"/>
              <w:spacing w:line="240" w:lineRule="auto"/>
              <w:ind w:firstLine="0" w:firstLineChars="0"/>
              <w:jc w:val="left"/>
              <w:rPr>
                <w:rFonts w:ascii="宋体" w:hAnsi="宋体" w:eastAsia="宋体" w:cs="Times New Roman"/>
                <w:color w:val="000000"/>
                <w:kern w:val="0"/>
                <w:sz w:val="21"/>
                <w:szCs w:val="21"/>
                <w:highlight w:val="none"/>
                <w:lang w:val="en-US" w:eastAsia="zh-CN" w:bidi="ar-SA"/>
              </w:rPr>
            </w:pPr>
            <w:r>
              <w:rPr>
                <w:rFonts w:ascii="宋体" w:hAnsi="宋体" w:eastAsia="宋体" w:cs="Times New Roman"/>
                <w:color w:val="000000"/>
                <w:kern w:val="0"/>
                <w:sz w:val="21"/>
                <w:szCs w:val="21"/>
                <w:highlight w:val="none"/>
                <w:lang w:val="en-US" w:eastAsia="zh-CN" w:bidi="ar-SA"/>
              </w:rPr>
              <w:t>严格执行相关行业企业布局选址要求，禁止在居民区、学校、医疗和养老机构等周边新建有色金属冶炼、焦化、化工、铅蓄电池制造等行业企业。（《土壤污染防治行动计划广元市工作方案》）</w:t>
            </w:r>
          </w:p>
          <w:p>
            <w:pPr>
              <w:widowControl/>
              <w:shd w:val="clear" w:color="auto" w:fill="FFFFFF"/>
              <w:spacing w:line="240" w:lineRule="auto"/>
              <w:ind w:firstLine="0" w:firstLineChars="0"/>
              <w:jc w:val="left"/>
              <w:rPr>
                <w:rFonts w:ascii="宋体" w:hAnsi="宋体" w:eastAsia="宋体" w:cs="Times New Roman"/>
                <w:b/>
                <w:kern w:val="2"/>
                <w:sz w:val="21"/>
                <w:szCs w:val="21"/>
                <w:highlight w:val="none"/>
                <w:lang w:val="en-US" w:eastAsia="zh-CN" w:bidi="ar-SA"/>
              </w:rPr>
            </w:pPr>
            <w:r>
              <w:rPr>
                <w:rFonts w:ascii="宋体" w:hAnsi="宋体" w:eastAsia="宋体" w:cs="Times New Roman"/>
                <w:b/>
                <w:kern w:val="2"/>
                <w:sz w:val="21"/>
                <w:szCs w:val="21"/>
                <w:highlight w:val="none"/>
                <w:lang w:val="en-US" w:eastAsia="zh-CN" w:bidi="ar-SA"/>
              </w:rPr>
              <w:t>限制开发建设活动的要求</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合理规划布局商业、居住、科教等功能区块，严格控制噪声、恶臭、油烟等污染排放较大的建设项目部局严控建设用地占用绿色空间；城镇空间与邻近的工业园区之间应建设合理的绿色生态隔离带；推进城镇绿廊建设，建立城镇生态空间与区域生态空间的有机联系建议区外现有机械零部件加工、食品加工企业维持现状，不得扩大规模，并逐步迁入园区。</w:t>
            </w:r>
          </w:p>
          <w:p>
            <w:pPr>
              <w:widowControl w:val="0"/>
              <w:spacing w:line="240" w:lineRule="auto"/>
              <w:ind w:firstLine="0" w:firstLineChars="0"/>
              <w:jc w:val="left"/>
              <w:rPr>
                <w:rFonts w:ascii="宋体" w:hAnsi="宋体" w:eastAsia="宋体" w:cs="Times New Roman"/>
                <w:color w:val="000000"/>
                <w:kern w:val="0"/>
                <w:sz w:val="21"/>
                <w:szCs w:val="21"/>
                <w:highlight w:val="none"/>
                <w:lang w:val="en-US" w:eastAsia="zh-CN" w:bidi="ar-SA"/>
              </w:rPr>
            </w:pPr>
            <w:r>
              <w:rPr>
                <w:rFonts w:ascii="宋体" w:hAnsi="宋体" w:eastAsia="宋体" w:cs="Times New Roman"/>
                <w:color w:val="000000"/>
                <w:kern w:val="0"/>
                <w:sz w:val="21"/>
                <w:szCs w:val="21"/>
                <w:highlight w:val="none"/>
                <w:lang w:val="en-US" w:eastAsia="zh-CN" w:bidi="ar-SA"/>
              </w:rPr>
              <w:t>对不符合国土空间规划的现有工业企业，污染物排放总量及环境风险水平只降不增，引导企业适时搬迁进入对口园区。</w:t>
            </w:r>
          </w:p>
          <w:p>
            <w:pPr>
              <w:widowControl w:val="0"/>
              <w:spacing w:line="240" w:lineRule="auto"/>
              <w:ind w:firstLine="0" w:firstLineChars="0"/>
              <w:jc w:val="left"/>
              <w:rPr>
                <w:rFonts w:ascii="宋体" w:hAnsi="宋体" w:eastAsia="宋体" w:cs="Times New Roman"/>
                <w:color w:val="000000"/>
                <w:kern w:val="0"/>
                <w:sz w:val="21"/>
                <w:szCs w:val="21"/>
                <w:highlight w:val="none"/>
                <w:lang w:val="en-US" w:eastAsia="zh-CN" w:bidi="ar-SA"/>
              </w:rPr>
            </w:pPr>
            <w:r>
              <w:rPr>
                <w:rFonts w:ascii="宋体" w:hAnsi="宋体" w:eastAsia="宋体" w:cs="Times New Roman"/>
                <w:color w:val="000000"/>
                <w:kern w:val="0"/>
                <w:sz w:val="21"/>
                <w:szCs w:val="21"/>
                <w:highlight w:val="none"/>
                <w:lang w:val="en-US" w:eastAsia="zh-CN" w:bidi="ar-SA"/>
              </w:rPr>
              <w:t>严格控制在城镇空间范围内新布局工业园区，若新布局工业园区，应符合广元市国土空间规划，并结合区域环境特点、三线成果、园区产业类别，充分论证选址的环境合理性。</w:t>
            </w:r>
          </w:p>
          <w:p>
            <w:pPr>
              <w:spacing w:line="240" w:lineRule="auto"/>
              <w:ind w:firstLine="0" w:firstLineChars="0"/>
              <w:jc w:val="left"/>
              <w:rPr>
                <w:rFonts w:ascii="宋体" w:hAnsi="宋体" w:eastAsia="宋体" w:cs="Times New Roman"/>
                <w:color w:val="000000"/>
                <w:kern w:val="0"/>
                <w:sz w:val="21"/>
                <w:szCs w:val="21"/>
                <w:highlight w:val="none"/>
              </w:rPr>
            </w:pPr>
            <w:r>
              <w:rPr>
                <w:rFonts w:ascii="宋体" w:hAnsi="宋体" w:eastAsia="宋体" w:cs="Times New Roman"/>
                <w:color w:val="000000"/>
                <w:kern w:val="0"/>
                <w:sz w:val="21"/>
                <w:szCs w:val="21"/>
                <w:highlight w:val="none"/>
              </w:rPr>
              <w:t>长江流域河道采砂应当依法取得国务院水行政主管部门有关流域管理机构或者县级以上地方人民政府水行政主管部门的许可。严格控制采砂区域、采砂总量和采砂区域内的采砂船舶数量。（《中华人民共和国长江保护法》）</w:t>
            </w:r>
          </w:p>
          <w:p>
            <w:pPr>
              <w:widowControl w:val="0"/>
              <w:spacing w:line="240" w:lineRule="auto"/>
              <w:ind w:firstLine="0" w:firstLineChars="0"/>
              <w:jc w:val="left"/>
              <w:rPr>
                <w:rFonts w:ascii="宋体" w:hAnsi="宋体" w:eastAsia="宋体" w:cs="Times New Roman"/>
                <w:b/>
                <w:color w:val="000000"/>
                <w:kern w:val="0"/>
                <w:sz w:val="21"/>
                <w:szCs w:val="21"/>
                <w:highlight w:val="none"/>
                <w:lang w:val="en-US" w:eastAsia="zh-CN" w:bidi="ar-SA"/>
              </w:rPr>
            </w:pPr>
            <w:r>
              <w:rPr>
                <w:rFonts w:ascii="宋体" w:hAnsi="宋体" w:eastAsia="宋体" w:cs="Times New Roman"/>
                <w:b/>
                <w:color w:val="000000"/>
                <w:kern w:val="0"/>
                <w:sz w:val="21"/>
                <w:szCs w:val="21"/>
                <w:highlight w:val="none"/>
                <w:lang w:val="en-US" w:eastAsia="zh-CN" w:bidi="ar-SA"/>
              </w:rPr>
              <w:t>不符合空间布局要求活动的退出要求</w:t>
            </w:r>
          </w:p>
          <w:p>
            <w:pPr>
              <w:widowControl w:val="0"/>
              <w:spacing w:line="240" w:lineRule="auto"/>
              <w:ind w:firstLine="0" w:firstLineChars="0"/>
              <w:jc w:val="left"/>
              <w:rPr>
                <w:rFonts w:ascii="宋体" w:hAnsi="宋体" w:eastAsia="宋体" w:cs="Times New Roman"/>
                <w:color w:val="000000"/>
                <w:kern w:val="0"/>
                <w:sz w:val="21"/>
                <w:szCs w:val="21"/>
                <w:highlight w:val="none"/>
                <w:lang w:val="en-US" w:eastAsia="zh-CN" w:bidi="ar-SA"/>
              </w:rPr>
            </w:pPr>
            <w:r>
              <w:rPr>
                <w:rFonts w:ascii="宋体" w:hAnsi="宋体" w:eastAsia="宋体" w:cs="Times New Roman"/>
                <w:color w:val="000000"/>
                <w:kern w:val="0"/>
                <w:sz w:val="21"/>
                <w:szCs w:val="21"/>
                <w:highlight w:val="none"/>
                <w:lang w:val="en-US" w:eastAsia="zh-CN" w:bidi="ar-SA"/>
              </w:rPr>
              <w:t>结合推进新型城镇化、产业结构调整和化解过剩产能等，有序搬迁或依法关闭对土壤造成严重污染的现有企业。（《土壤污染防治行动计划广元市工作方案》）</w:t>
            </w:r>
          </w:p>
          <w:p>
            <w:pPr>
              <w:widowControl w:val="0"/>
              <w:spacing w:line="240" w:lineRule="auto"/>
              <w:ind w:firstLine="0" w:firstLineChars="0"/>
              <w:jc w:val="left"/>
              <w:rPr>
                <w:rFonts w:ascii="宋体" w:hAnsi="宋体" w:eastAsia="宋体" w:cs="Times New Roman"/>
                <w:color w:val="000000"/>
                <w:kern w:val="0"/>
                <w:sz w:val="21"/>
                <w:szCs w:val="21"/>
                <w:highlight w:val="none"/>
                <w:lang w:val="en-US" w:eastAsia="zh-CN" w:bidi="ar-SA"/>
              </w:rPr>
            </w:pPr>
            <w:r>
              <w:rPr>
                <w:rFonts w:ascii="宋体" w:hAnsi="宋体" w:eastAsia="宋体" w:cs="Times New Roman"/>
                <w:color w:val="000000"/>
                <w:kern w:val="0"/>
                <w:sz w:val="21"/>
                <w:szCs w:val="21"/>
                <w:highlight w:val="none"/>
                <w:lang w:val="en-US" w:eastAsia="zh-CN" w:bidi="ar-SA"/>
              </w:rPr>
              <w:t>对存在违法违规排污问题的工业企业（特别位于嘉陵江岸线延伸陆域1公里范围内的化工企业）限期整改，整改后仍不能达到要求的依法责令关闭，鼓励企业搬入合规园区。（《中共四川省委四川省人民政府关于全面加强生态环境保护坚决打好污染防治攻坚战的实施意见》）</w:t>
            </w:r>
          </w:p>
          <w:p>
            <w:pPr>
              <w:widowControl w:val="0"/>
              <w:spacing w:line="240" w:lineRule="auto"/>
              <w:ind w:firstLine="0" w:firstLineChars="0"/>
              <w:jc w:val="left"/>
              <w:rPr>
                <w:rFonts w:ascii="宋体" w:hAnsi="宋体" w:eastAsia="宋体" w:cs="Times New Roman"/>
                <w:color w:val="000000"/>
                <w:kern w:val="0"/>
                <w:sz w:val="21"/>
                <w:szCs w:val="21"/>
                <w:highlight w:val="none"/>
                <w:lang w:val="en-US" w:eastAsia="zh-CN" w:bidi="ar-SA"/>
              </w:rPr>
            </w:pPr>
            <w:r>
              <w:rPr>
                <w:rFonts w:ascii="宋体" w:hAnsi="宋体" w:eastAsia="宋体" w:cs="Times New Roman"/>
                <w:color w:val="000000"/>
                <w:kern w:val="0"/>
                <w:sz w:val="21"/>
                <w:szCs w:val="21"/>
                <w:highlight w:val="none"/>
                <w:lang w:val="en-US" w:eastAsia="zh-CN" w:bidi="ar-SA"/>
              </w:rPr>
              <w:t>按照相关规划和要求，清理整顿非法采砂、非法码头，全面清除不合规码头。（依据：《中共四川省委四川省人民政府关于全面加强生态环境保护坚决打好污染防治攻坚战的实施意见》）</w:t>
            </w:r>
          </w:p>
          <w:p>
            <w:pPr>
              <w:widowControl w:val="0"/>
              <w:spacing w:line="240" w:lineRule="auto"/>
              <w:ind w:firstLine="0" w:firstLineChars="0"/>
              <w:jc w:val="left"/>
              <w:rPr>
                <w:rFonts w:ascii="宋体" w:hAnsi="宋体" w:eastAsia="宋体" w:cs="Times New Roman"/>
                <w:color w:val="000000"/>
                <w:kern w:val="0"/>
                <w:sz w:val="21"/>
                <w:szCs w:val="21"/>
                <w:highlight w:val="none"/>
                <w:lang w:val="en-US" w:eastAsia="zh-CN" w:bidi="ar-SA"/>
              </w:rPr>
            </w:pPr>
            <w:r>
              <w:rPr>
                <w:rFonts w:ascii="宋体" w:hAnsi="宋体" w:eastAsia="宋体" w:cs="Times New Roman"/>
                <w:color w:val="000000"/>
                <w:kern w:val="0"/>
                <w:sz w:val="21"/>
                <w:szCs w:val="21"/>
                <w:highlight w:val="none"/>
                <w:lang w:val="en-US" w:eastAsia="zh-CN" w:bidi="ar-SA"/>
              </w:rPr>
              <w:t>嘉陵江岸线延伸至陆域200米范围内基本消除畜禽养殖场（小区）。（《四川省打好长江保护修复攻坚战实施方案》）</w:t>
            </w:r>
          </w:p>
          <w:p>
            <w:pPr>
              <w:widowControl w:val="0"/>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color w:val="000000"/>
                <w:kern w:val="0"/>
                <w:sz w:val="21"/>
                <w:szCs w:val="21"/>
                <w:highlight w:val="none"/>
                <w:lang w:val="en-US" w:eastAsia="zh-CN" w:bidi="ar-SA"/>
              </w:rPr>
              <w:t>加快现有高污染或高风险产品生产化学品企业“退城入园”进度，逐步退出环境敏感区。</w:t>
            </w:r>
          </w:p>
        </w:tc>
        <w:tc>
          <w:tcPr>
            <w:tcW w:w="751" w:type="pct"/>
            <w:shd w:val="clear" w:color="auto" w:fill="auto"/>
            <w:noWrap w:val="0"/>
            <w:vAlign w:val="center"/>
          </w:tcPr>
          <w:p>
            <w:pPr>
              <w:widowControl w:val="0"/>
              <w:spacing w:line="240" w:lineRule="auto"/>
              <w:ind w:firstLine="0" w:firstLineChars="0"/>
              <w:jc w:val="left"/>
              <w:rPr>
                <w:rFonts w:ascii="宋体" w:hAnsi="宋体" w:eastAsia="宋体" w:cs="Times New Roman"/>
                <w:kern w:val="2"/>
                <w:sz w:val="21"/>
                <w:szCs w:val="21"/>
                <w:highlight w:val="none"/>
                <w:lang w:val="en-US" w:eastAsia="zh-CN" w:bidi="ar-SA"/>
              </w:rPr>
            </w:pPr>
            <w:r>
              <w:rPr>
                <w:rFonts w:hint="eastAsia" w:ascii="宋体" w:hAnsi="宋体" w:eastAsia="宋体" w:cs="Times New Roman"/>
                <w:color w:val="000000"/>
                <w:kern w:val="0"/>
                <w:sz w:val="21"/>
                <w:szCs w:val="21"/>
                <w:highlight w:val="none"/>
                <w:lang w:val="en-US" w:eastAsia="zh-CN" w:bidi="ar-SA"/>
              </w:rPr>
              <w:t>规划</w:t>
            </w:r>
            <w:r>
              <w:rPr>
                <w:rFonts w:ascii="宋体" w:hAnsi="宋体" w:eastAsia="宋体" w:cs="Times New Roman"/>
                <w:color w:val="000000"/>
                <w:kern w:val="0"/>
                <w:sz w:val="21"/>
                <w:szCs w:val="21"/>
                <w:highlight w:val="none"/>
                <w:lang w:val="en-US" w:eastAsia="zh-CN" w:bidi="ar-SA"/>
              </w:rPr>
              <w:t>不涉及高污染项目，规划符合广元市国土空间规划，并结合区域环境特点、三线成果、园区产业类别，</w:t>
            </w:r>
            <w:r>
              <w:rPr>
                <w:rFonts w:hint="eastAsia" w:ascii="宋体" w:hAnsi="宋体" w:eastAsia="宋体" w:cs="Times New Roman"/>
                <w:color w:val="000000"/>
                <w:kern w:val="0"/>
                <w:sz w:val="21"/>
                <w:szCs w:val="21"/>
                <w:highlight w:val="none"/>
                <w:lang w:val="en-US" w:eastAsia="zh-CN" w:bidi="ar-SA"/>
              </w:rPr>
              <w:t>选址</w:t>
            </w:r>
            <w:r>
              <w:rPr>
                <w:rFonts w:ascii="宋体" w:hAnsi="宋体" w:eastAsia="宋体" w:cs="Times New Roman"/>
                <w:color w:val="000000"/>
                <w:kern w:val="0"/>
                <w:sz w:val="21"/>
                <w:szCs w:val="21"/>
                <w:highlight w:val="none"/>
                <w:lang w:val="en-US" w:eastAsia="zh-CN" w:bidi="ar-SA"/>
              </w:rPr>
              <w:t>环境合理性。</w:t>
            </w:r>
          </w:p>
        </w:tc>
        <w:tc>
          <w:tcPr>
            <w:tcW w:w="36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污染物排放管控</w:t>
            </w:r>
          </w:p>
        </w:tc>
        <w:tc>
          <w:tcPr>
            <w:tcW w:w="2699" w:type="pct"/>
            <w:shd w:val="clear" w:color="auto" w:fill="auto"/>
            <w:noWrap w:val="0"/>
            <w:vAlign w:val="center"/>
          </w:tcPr>
          <w:p>
            <w:pPr>
              <w:widowControl/>
              <w:shd w:val="clear" w:color="auto" w:fill="FFFFFF"/>
              <w:spacing w:line="240" w:lineRule="auto"/>
              <w:ind w:firstLine="0" w:firstLineChars="0"/>
              <w:jc w:val="left"/>
              <w:rPr>
                <w:rFonts w:ascii="宋体" w:hAnsi="宋体" w:eastAsia="宋体" w:cs="Times New Roman"/>
                <w:b/>
                <w:kern w:val="2"/>
                <w:sz w:val="21"/>
                <w:szCs w:val="21"/>
                <w:highlight w:val="none"/>
                <w:lang w:val="en-US" w:eastAsia="zh-CN" w:bidi="ar-SA"/>
              </w:rPr>
            </w:pPr>
            <w:r>
              <w:rPr>
                <w:rFonts w:ascii="宋体" w:hAnsi="宋体" w:eastAsia="宋体" w:cs="Times New Roman"/>
                <w:b/>
                <w:kern w:val="2"/>
                <w:sz w:val="21"/>
                <w:szCs w:val="21"/>
                <w:highlight w:val="none"/>
                <w:lang w:val="en-US" w:eastAsia="zh-CN" w:bidi="ar-SA"/>
              </w:rPr>
              <w:t>现有源提标升级改造</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现有家具企业、胶合板制造企业提高VOCs治理水平，确保达到《四川省固定污染源大气挥发性有机物排放标准》中相应标准限值要求。</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汽修企业提高VOC收集处理效率。</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限时完成中心城区内现有油库、加油站和油罐车的油气回收改造工作。</w:t>
            </w:r>
          </w:p>
          <w:p>
            <w:pPr>
              <w:widowControl/>
              <w:shd w:val="clear" w:color="auto" w:fill="FFFFFF"/>
              <w:spacing w:line="240" w:lineRule="auto"/>
              <w:ind w:firstLine="0" w:firstLineChars="0"/>
              <w:jc w:val="left"/>
              <w:rPr>
                <w:rFonts w:ascii="宋体" w:hAnsi="宋体" w:eastAsia="宋体" w:cs="Times New Roman"/>
                <w:kern w:val="2"/>
                <w:sz w:val="21"/>
                <w:szCs w:val="21"/>
                <w:highlight w:val="none"/>
                <w:lang w:val="en-US" w:eastAsia="zh-CN" w:bidi="ar-SA"/>
              </w:rPr>
            </w:pPr>
            <w:r>
              <w:rPr>
                <w:rFonts w:ascii="宋体" w:hAnsi="宋体" w:eastAsia="宋体" w:cs="Times New Roman"/>
                <w:kern w:val="2"/>
                <w:sz w:val="21"/>
                <w:szCs w:val="21"/>
                <w:highlight w:val="none"/>
                <w:lang w:val="en-US" w:eastAsia="zh-CN" w:bidi="ar-SA"/>
              </w:rPr>
              <w:t>现有水泥制品、砖瓦制造等提高除尘、脱硫治理效率。</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加快城镇污水处理厂工艺升级改造，至2023年，达《城镇污水处理厂污染物排放标准》一级A标或相关规定的水质标准。（依据：《广元市城镇污水处理设施建设三年推进实施方案（2021-2023年）》《四川省打好环保基础设施建设攻坚战实施方案》）</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推进建筑装饰行业 VOCs综合治理，倡导绿色装修，推广使用符合环保要求的建筑涂料、木器涂料、胶黏剂等产品。推广全封闭式干洗机，到2020年基本淘汰开启式干洗机。（依据：《四川省打赢蓝天保卫战实施方案》）</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全面落实各类施工工地扬尘防控措施，重点、重大项目工地实现视频监控、可吸入颗粒物（PM10）在线监测全覆盖。</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有序开展城市生活源VOCs污染防治；全面推广房屋建筑和市政工程涉VOCs工序环节使用低VOCs含量涂料和胶粘剂；推进加油站按照《四川省加油站大气污染排放标准》要求安装油气处理装置。</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加大新能源汽车在城市公交、出租汽车、城市配送、邮政快递、机场、铁路货场、重点地区港口等领域应用，地级以上城市清洁能源汽车在公共领域使用率显著提升，设区的市城市公交车基本实现新能源化。</w:t>
            </w:r>
          </w:p>
          <w:p>
            <w:pPr>
              <w:spacing w:line="240" w:lineRule="auto"/>
              <w:ind w:firstLine="0" w:firstLineChars="0"/>
              <w:jc w:val="left"/>
              <w:rPr>
                <w:rFonts w:ascii="宋体" w:hAnsi="宋体" w:eastAsia="宋体" w:cs="Times New Roman"/>
                <w:b/>
                <w:sz w:val="21"/>
                <w:szCs w:val="21"/>
                <w:highlight w:val="none"/>
              </w:rPr>
            </w:pPr>
            <w:r>
              <w:rPr>
                <w:rFonts w:ascii="宋体" w:hAnsi="宋体" w:eastAsia="宋体" w:cs="Times New Roman"/>
                <w:b/>
                <w:sz w:val="21"/>
                <w:szCs w:val="21"/>
                <w:highlight w:val="none"/>
              </w:rPr>
              <w:t>其他污染物排放管控要求</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1.新增源等量或倍量替代:</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-若上一年度空气质量年平均浓度不达标、水环境质量未达到要求，则建设项目新增相关污染物按照总量管控要求进行倍量削减替代。（依据：《建设项目主要污染物排放总量指标审核及管理暂行办法》）</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-若上一年度空气环境质量、水环境质量达标，则建设项目新增相关污染物按照总量管控要求进行等量替代。</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-新增VOCs排放的建设项目实行等量替代。（依据：《四川省打赢蓝天保卫战实施方案》）</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2.削减排放量要求:</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-水质超标的水功能区，应当实施更严格的污染物排放总量削减要求。（《中华人民共和国长江保护法》）</w:t>
            </w:r>
          </w:p>
          <w:p>
            <w:pPr>
              <w:spacing w:line="240" w:lineRule="auto"/>
              <w:ind w:firstLine="0" w:firstLineChars="0"/>
              <w:jc w:val="left"/>
              <w:rPr>
                <w:rFonts w:ascii="宋体" w:hAnsi="宋体" w:eastAsia="宋体" w:cs="Times New Roman"/>
                <w:b/>
                <w:sz w:val="21"/>
                <w:szCs w:val="21"/>
                <w:highlight w:val="none"/>
              </w:rPr>
            </w:pPr>
            <w:r>
              <w:rPr>
                <w:rFonts w:ascii="宋体" w:hAnsi="宋体" w:eastAsia="宋体" w:cs="Times New Roman"/>
                <w:b/>
                <w:sz w:val="21"/>
                <w:szCs w:val="21"/>
                <w:highlight w:val="none"/>
              </w:rPr>
              <w:t>污染物排放绩效水平准入要求:</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水环境：</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-到2021年底，广元市城市建成区生活污水收集率达到49%或三年提高10个百分点，生活污水处理厂进水生化需氧量（BOD）浓度达到91mg/L。（《四川省城镇污水处理提质增效三年行动实施方案（2019-2021年）》）</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到2023年底，县级及以上城市设施能力基本满足生活污水处理需求，所有建制镇具备污水处理能力；城市市政雨污管网混错接改造更新及建制镇污水支线管网建设取得显著成效，生活污水收集效能明显提升，力争广元市生活污水处理厂进水生化需氧量(BOD)浓度平均达105毫克每升、县级城市平均达90毫克每升。（《广元市城镇污水处理设施建设三年推进实施方案（2021-2023年）》）</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大气环境：</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严格落实建设工地“六必须、六不准”；建设扬尘监控体系；严禁露天焚烧建筑垃圾，排放有毒烟尘和气体；严禁在禁搅区内现场搅拌混凝土、砂浆或设置移动式搅拌站。（依据：《四川省打赢蓝天保卫战实施方案》）</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-建材行业原料破碎、生产、运输、装卸等各环节严格落实抑尘措施，有效控制粉尘无组织排放</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-喷漆室、流平室和烘干室应设置成完全封闭的围护结构体,配备有机废气收集和处理系统,取缔露天和敞开式汽修喷涂作业。</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强化餐饮服务企业油烟排放整治,城市建成区餐饮企业应安装油烟净化设施。定期对油烟净化设施进行维护保养,并保存维护保养记录,确保油烟稳定达标排放,设施正常使用率不低于95%。加强居民家庭油烟排放环保宣传,推广使用高效净化型家用吸油烟机。</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-城市规划区内施工工地全面设置封闭式围挡,严禁围挡不严或敞开式施工。垃圾、渣土、沙石等要及时清运,并采取密闭运输措施。大力发展装配式建筑,通过标准化设计、装配化施工,有效降低施工扬尘。</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-城市建成区道路机械化清扫率力争达到90%以上。</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-全面加强秸秆禁烧管控，全域禁止露天焚烧秸秆。</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-全面推进汽油储油库、油罐车、加油站油气回收治理改造，已安装油气回收设施的油气回收率提高到80%以上。</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-扩大市城区烟花爆竹禁放区域，严查烟花爆竹违法违规燃放行为。（《广元市打赢蓝天保卫战实施方案》）</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固体废物：</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-到2023年底，广元市具备厨余垃圾集中处理能力；县城生活垃圾无害化处理率保持95%以上，生活垃圾处理设施信息化监管水平明显提升；</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-完善生活垃圾分类收运体系。到2023年底，广元市生活垃圾回收利用率力争达30%以上；</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-到2023年底，广元市污泥无害化处置率达92%、县级城市达85%。（《广元市城镇污水处理设施建设三年推进实施方案（2021-2023年）》）</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3.新建噪声敏感建筑物时，建设单位应全面执行绿色建筑标准，合理确定建筑物与交通干线等的防噪声距离，落实隔声减噪措施。</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sz w:val="21"/>
                <w:szCs w:val="21"/>
                <w:highlight w:val="none"/>
              </w:rPr>
              <w:t>4.已竣工交付使用的住宅楼、商铺、办公楼等建筑物不得在午、夜间进行产噪装修作业，在其他时间进行装修作业的，应当采取噪声防治措施。</w:t>
            </w:r>
          </w:p>
          <w:p>
            <w:pPr>
              <w:spacing w:line="240" w:lineRule="auto"/>
              <w:ind w:firstLine="0" w:firstLineChars="0"/>
              <w:jc w:val="left"/>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hint="eastAsia" w:ascii="宋体" w:hAnsi="宋体" w:eastAsia="宋体" w:cs="Times New Roman"/>
                <w:sz w:val="21"/>
                <w:szCs w:val="21"/>
                <w:highlight w:val="none"/>
              </w:rPr>
            </w:pPr>
            <w:r>
              <w:rPr>
                <w:rFonts w:ascii="宋体" w:hAnsi="宋体" w:eastAsia="宋体" w:cs="Times New Roman"/>
                <w:sz w:val="21"/>
                <w:szCs w:val="21"/>
                <w:highlight w:val="none"/>
              </w:rPr>
              <w:t>规划主导产业产生</w:t>
            </w:r>
            <w:r>
              <w:rPr>
                <w:rFonts w:hint="eastAsia" w:ascii="宋体" w:hAnsi="宋体" w:eastAsia="宋体" w:cs="Times New Roman"/>
                <w:sz w:val="21"/>
                <w:szCs w:val="21"/>
                <w:highlight w:val="none"/>
              </w:rPr>
              <w:t>V</w:t>
            </w:r>
            <w:r>
              <w:rPr>
                <w:rFonts w:ascii="宋体" w:hAnsi="宋体" w:eastAsia="宋体" w:cs="Times New Roman"/>
                <w:sz w:val="21"/>
                <w:szCs w:val="21"/>
                <w:highlight w:val="none"/>
              </w:rPr>
              <w:t>OCs较少</w:t>
            </w:r>
          </w:p>
        </w:tc>
        <w:tc>
          <w:tcPr>
            <w:tcW w:w="36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环境风险防控</w:t>
            </w:r>
          </w:p>
        </w:tc>
        <w:tc>
          <w:tcPr>
            <w:tcW w:w="2699" w:type="pct"/>
            <w:shd w:val="clear" w:color="auto" w:fill="auto"/>
            <w:noWrap w:val="0"/>
            <w:vAlign w:val="center"/>
          </w:tcPr>
          <w:p>
            <w:pPr>
              <w:spacing w:line="240" w:lineRule="auto"/>
              <w:ind w:firstLine="0" w:firstLineChars="0"/>
              <w:jc w:val="left"/>
              <w:rPr>
                <w:rFonts w:ascii="宋体" w:hAnsi="宋体" w:eastAsia="宋体" w:cs="Times New Roman"/>
                <w:b/>
                <w:sz w:val="21"/>
                <w:szCs w:val="21"/>
                <w:highlight w:val="none"/>
              </w:rPr>
            </w:pPr>
            <w:r>
              <w:rPr>
                <w:rFonts w:ascii="宋体" w:hAnsi="宋体" w:eastAsia="宋体" w:cs="Times New Roman"/>
                <w:b/>
                <w:sz w:val="21"/>
                <w:szCs w:val="21"/>
                <w:highlight w:val="none"/>
              </w:rPr>
              <w:t>联防联控要求</w:t>
            </w:r>
          </w:p>
          <w:p>
            <w:pPr>
              <w:spacing w:line="240" w:lineRule="auto"/>
              <w:ind w:firstLine="0" w:firstLineChars="0"/>
              <w:jc w:val="left"/>
              <w:rPr>
                <w:rFonts w:ascii="宋体" w:hAnsi="宋体" w:eastAsia="宋体" w:cs="Times New Roman"/>
                <w:color w:val="000000"/>
                <w:kern w:val="0"/>
                <w:sz w:val="21"/>
                <w:szCs w:val="21"/>
                <w:highlight w:val="none"/>
              </w:rPr>
            </w:pPr>
            <w:r>
              <w:rPr>
                <w:rFonts w:ascii="宋体" w:hAnsi="宋体" w:eastAsia="宋体" w:cs="Times New Roman"/>
                <w:color w:val="000000"/>
                <w:kern w:val="0"/>
                <w:sz w:val="21"/>
                <w:szCs w:val="21"/>
                <w:highlight w:val="none"/>
              </w:rPr>
              <w:t>加强与嘉陵江上游甘肃陇南市、陕西汉中市环境风险联防联控</w:t>
            </w:r>
          </w:p>
          <w:p>
            <w:pPr>
              <w:spacing w:line="240" w:lineRule="auto"/>
              <w:ind w:firstLine="0" w:firstLineChars="0"/>
              <w:jc w:val="left"/>
              <w:rPr>
                <w:rFonts w:ascii="宋体" w:hAnsi="宋体" w:eastAsia="宋体" w:cs="Times New Roman"/>
                <w:b/>
                <w:sz w:val="21"/>
                <w:szCs w:val="21"/>
                <w:highlight w:val="none"/>
              </w:rPr>
            </w:pPr>
            <w:r>
              <w:rPr>
                <w:rFonts w:ascii="宋体" w:hAnsi="宋体" w:eastAsia="宋体" w:cs="Times New Roman"/>
                <w:b/>
                <w:sz w:val="21"/>
                <w:szCs w:val="21"/>
                <w:highlight w:val="none"/>
              </w:rPr>
              <w:t>其他环境风险防控要求</w:t>
            </w:r>
          </w:p>
          <w:p>
            <w:pPr>
              <w:spacing w:line="240" w:lineRule="auto"/>
              <w:ind w:firstLine="0" w:firstLineChars="0"/>
              <w:jc w:val="left"/>
              <w:rPr>
                <w:rFonts w:ascii="宋体" w:hAnsi="宋体" w:eastAsia="宋体" w:cs="Times New Roman"/>
                <w:color w:val="000000"/>
                <w:kern w:val="0"/>
                <w:sz w:val="21"/>
                <w:szCs w:val="21"/>
                <w:highlight w:val="none"/>
              </w:rPr>
            </w:pPr>
            <w:r>
              <w:rPr>
                <w:rFonts w:ascii="宋体" w:hAnsi="宋体" w:eastAsia="宋体" w:cs="Times New Roman"/>
                <w:color w:val="000000"/>
                <w:kern w:val="0"/>
                <w:sz w:val="21"/>
                <w:szCs w:val="21"/>
                <w:highlight w:val="none"/>
              </w:rPr>
              <w:t>企业环境风险防控要求：严禁新增铅、汞、镉、铬、砷五类重金属污染物排放，引导现有企业结合产业升级等适时搬迁入园。</w:t>
            </w:r>
          </w:p>
          <w:p>
            <w:pPr>
              <w:spacing w:line="240" w:lineRule="auto"/>
              <w:ind w:firstLine="0" w:firstLineChars="0"/>
              <w:jc w:val="left"/>
              <w:rPr>
                <w:rFonts w:ascii="宋体" w:hAnsi="宋体" w:eastAsia="宋体" w:cs="Times New Roman"/>
                <w:color w:val="000000"/>
                <w:kern w:val="0"/>
                <w:sz w:val="21"/>
                <w:szCs w:val="21"/>
                <w:highlight w:val="none"/>
              </w:rPr>
            </w:pPr>
            <w:r>
              <w:rPr>
                <w:rFonts w:ascii="宋体" w:hAnsi="宋体" w:eastAsia="宋体" w:cs="Times New Roman"/>
                <w:color w:val="000000"/>
                <w:kern w:val="0"/>
                <w:sz w:val="21"/>
                <w:szCs w:val="21"/>
                <w:highlight w:val="none"/>
              </w:rPr>
              <w:t>用地环境风险防控要求：工业企业退出用地，须经评估、修复满足相应用地功能后，方可改变用途。（依据：《土壤污染防治行动计划》）</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color w:val="000000"/>
                <w:kern w:val="0"/>
                <w:sz w:val="21"/>
                <w:szCs w:val="21"/>
                <w:highlight w:val="none"/>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由土地使用权人按照国家发布的建设用地土壤环境调查评估技术规定，开展土壤环境状况调查评估，符合相应规划用地土壤环境质量要求的地块，可进入用地程序。（依据：《土壤污染防治行动计划广元市工作方案》）</w:t>
            </w:r>
          </w:p>
        </w:tc>
        <w:tc>
          <w:tcPr>
            <w:tcW w:w="751" w:type="pct"/>
            <w:shd w:val="clear" w:color="auto" w:fill="auto"/>
            <w:noWrap w:val="0"/>
            <w:vAlign w:val="center"/>
          </w:tcPr>
          <w:p>
            <w:pPr>
              <w:spacing w:line="240" w:lineRule="auto"/>
              <w:ind w:firstLine="0" w:firstLineChars="0"/>
              <w:jc w:val="center"/>
              <w:rPr>
                <w:rFonts w:hint="eastAsia" w:ascii="宋体" w:hAnsi="宋体" w:eastAsia="宋体" w:cs="Times New Roman"/>
                <w:sz w:val="21"/>
                <w:szCs w:val="21"/>
                <w:highlight w:val="none"/>
              </w:rPr>
            </w:pPr>
            <w:r>
              <w:rPr>
                <w:rFonts w:ascii="宋体" w:hAnsi="宋体" w:eastAsia="宋体" w:cs="Times New Roman"/>
                <w:sz w:val="21"/>
                <w:szCs w:val="21"/>
                <w:highlight w:val="none"/>
              </w:rPr>
              <w:t>规划主导产业不涉及重金属排放。</w:t>
            </w:r>
          </w:p>
        </w:tc>
        <w:tc>
          <w:tcPr>
            <w:tcW w:w="36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资源开发效率要求</w:t>
            </w:r>
          </w:p>
        </w:tc>
        <w:tc>
          <w:tcPr>
            <w:tcW w:w="2699" w:type="pct"/>
            <w:shd w:val="clear" w:color="auto" w:fill="auto"/>
            <w:noWrap w:val="0"/>
            <w:vAlign w:val="center"/>
          </w:tcPr>
          <w:p>
            <w:pPr>
              <w:spacing w:line="240" w:lineRule="auto"/>
              <w:ind w:firstLine="0" w:firstLineChars="0"/>
              <w:jc w:val="left"/>
              <w:rPr>
                <w:rFonts w:ascii="宋体" w:hAnsi="宋体" w:eastAsia="宋体" w:cs="Times New Roman"/>
                <w:b/>
                <w:sz w:val="21"/>
                <w:szCs w:val="21"/>
                <w:highlight w:val="none"/>
              </w:rPr>
            </w:pPr>
            <w:r>
              <w:rPr>
                <w:rFonts w:ascii="宋体" w:hAnsi="宋体" w:eastAsia="宋体" w:cs="Times New Roman"/>
                <w:b/>
                <w:sz w:val="21"/>
                <w:szCs w:val="21"/>
                <w:highlight w:val="none"/>
              </w:rPr>
              <w:t>水资源利用总量要求</w:t>
            </w:r>
          </w:p>
          <w:p>
            <w:pPr>
              <w:spacing w:line="240" w:lineRule="auto"/>
              <w:ind w:firstLine="0" w:firstLineChars="0"/>
              <w:jc w:val="left"/>
              <w:rPr>
                <w:rFonts w:ascii="宋体" w:hAnsi="宋体" w:eastAsia="宋体" w:cs="Times New Roman"/>
                <w:color w:val="000000"/>
                <w:kern w:val="0"/>
                <w:sz w:val="21"/>
                <w:szCs w:val="21"/>
                <w:highlight w:val="none"/>
              </w:rPr>
            </w:pPr>
            <w:r>
              <w:rPr>
                <w:rFonts w:ascii="宋体" w:hAnsi="宋体" w:eastAsia="宋体" w:cs="Times New Roman"/>
                <w:color w:val="000000"/>
                <w:kern w:val="0"/>
                <w:sz w:val="21"/>
                <w:szCs w:val="21"/>
                <w:highlight w:val="none"/>
              </w:rPr>
              <w:t>广元市2030年用水控制总量为9.3亿m3。（《四川省实行最严格水资源管理制度考核办法》）</w:t>
            </w:r>
          </w:p>
          <w:p>
            <w:pPr>
              <w:spacing w:line="240" w:lineRule="auto"/>
              <w:ind w:firstLine="0" w:firstLineChars="0"/>
              <w:jc w:val="left"/>
              <w:rPr>
                <w:rFonts w:ascii="宋体" w:hAnsi="宋体" w:eastAsia="宋体" w:cs="Times New Roman"/>
                <w:color w:val="000000"/>
                <w:kern w:val="0"/>
                <w:sz w:val="21"/>
                <w:szCs w:val="21"/>
                <w:highlight w:val="none"/>
              </w:rPr>
            </w:pPr>
            <w:r>
              <w:rPr>
                <w:rFonts w:ascii="宋体" w:hAnsi="宋体" w:eastAsia="宋体" w:cs="Times New Roman"/>
                <w:color w:val="000000"/>
                <w:kern w:val="0"/>
                <w:sz w:val="21"/>
                <w:szCs w:val="21"/>
                <w:highlight w:val="none"/>
              </w:rPr>
              <w:t>城镇园林绿化、河湖景观、环境卫生、消防等市政用水应当优先使用再生水、雨水等非常规水源。鼓励园林绿化采用喷灌、微灌等高效节水灌溉方式。洗浴、洗车、游泳场馆等场所应当采用低耗水、循环用水等节水技术、设备和设施。餐饮、娱乐、宾馆等服务型企业应当优先采用节水型器具和设备，逐步淘汰耗水量高的用水器具和设备。（《四川省节约用水办法》）</w:t>
            </w:r>
          </w:p>
          <w:p>
            <w:pPr>
              <w:spacing w:line="240" w:lineRule="auto"/>
              <w:ind w:firstLine="0" w:firstLineChars="0"/>
              <w:jc w:val="left"/>
              <w:rPr>
                <w:rFonts w:ascii="宋体" w:hAnsi="宋体" w:eastAsia="宋体" w:cs="Times New Roman"/>
                <w:b/>
                <w:sz w:val="21"/>
                <w:szCs w:val="21"/>
                <w:highlight w:val="none"/>
              </w:rPr>
            </w:pPr>
            <w:r>
              <w:rPr>
                <w:rFonts w:ascii="宋体" w:hAnsi="宋体" w:eastAsia="宋体" w:cs="Times New Roman"/>
                <w:b/>
                <w:sz w:val="21"/>
                <w:szCs w:val="21"/>
                <w:highlight w:val="none"/>
              </w:rPr>
              <w:t>地下水开采要求</w:t>
            </w:r>
          </w:p>
          <w:p>
            <w:pPr>
              <w:spacing w:line="240" w:lineRule="auto"/>
              <w:ind w:firstLine="0" w:firstLineChars="0"/>
              <w:jc w:val="left"/>
              <w:rPr>
                <w:rFonts w:ascii="宋体" w:hAnsi="宋体" w:eastAsia="宋体" w:cs="Times New Roman"/>
                <w:color w:val="000000"/>
                <w:kern w:val="0"/>
                <w:sz w:val="21"/>
                <w:szCs w:val="21"/>
                <w:highlight w:val="none"/>
              </w:rPr>
            </w:pPr>
            <w:r>
              <w:rPr>
                <w:rFonts w:ascii="宋体" w:hAnsi="宋体" w:eastAsia="宋体" w:cs="Times New Roman"/>
                <w:color w:val="000000"/>
                <w:kern w:val="0"/>
                <w:sz w:val="21"/>
                <w:szCs w:val="21"/>
                <w:highlight w:val="none"/>
              </w:rPr>
              <w:t>参照现行法律法规执行</w:t>
            </w:r>
          </w:p>
          <w:p>
            <w:pPr>
              <w:spacing w:line="240" w:lineRule="auto"/>
              <w:ind w:firstLine="0" w:firstLineChars="0"/>
              <w:jc w:val="left"/>
              <w:rPr>
                <w:rFonts w:ascii="宋体" w:hAnsi="宋体" w:eastAsia="宋体" w:cs="Times New Roman"/>
                <w:b/>
                <w:sz w:val="21"/>
                <w:szCs w:val="21"/>
                <w:highlight w:val="none"/>
              </w:rPr>
            </w:pPr>
            <w:r>
              <w:rPr>
                <w:rFonts w:ascii="宋体" w:hAnsi="宋体" w:eastAsia="宋体" w:cs="Times New Roman"/>
                <w:b/>
                <w:sz w:val="21"/>
                <w:szCs w:val="21"/>
                <w:highlight w:val="none"/>
              </w:rPr>
              <w:t>能源利用总量及效率要求</w:t>
            </w:r>
          </w:p>
          <w:p>
            <w:pPr>
              <w:spacing w:line="240" w:lineRule="auto"/>
              <w:ind w:firstLine="0" w:firstLineChars="0"/>
              <w:jc w:val="left"/>
              <w:rPr>
                <w:rFonts w:ascii="宋体" w:hAnsi="宋体" w:eastAsia="宋体" w:cs="Times New Roman"/>
                <w:color w:val="000000"/>
                <w:kern w:val="0"/>
                <w:sz w:val="21"/>
                <w:szCs w:val="21"/>
                <w:highlight w:val="none"/>
              </w:rPr>
            </w:pPr>
            <w:r>
              <w:rPr>
                <w:rFonts w:ascii="宋体" w:hAnsi="宋体" w:eastAsia="宋体" w:cs="Times New Roman"/>
                <w:color w:val="000000"/>
                <w:kern w:val="0"/>
                <w:sz w:val="21"/>
                <w:szCs w:val="21"/>
                <w:highlight w:val="none"/>
              </w:rPr>
              <w:t>依法查处散煤无照经营行为,高污染燃料禁燃区一律取消散煤销售网点。加大民用散煤清洁化治理力度,推进以电代煤、以气代煤,推广使用洁净煤、先进民用炉具,加强民用散煤管理。销售的民用型煤硫份不得高于3%。（《广元市蓝天保卫行动方案（2018-2020年）》）</w:t>
            </w:r>
          </w:p>
          <w:p>
            <w:pPr>
              <w:spacing w:line="240" w:lineRule="auto"/>
              <w:ind w:firstLine="0" w:firstLineChars="0"/>
              <w:jc w:val="left"/>
              <w:rPr>
                <w:rFonts w:ascii="宋体" w:hAnsi="宋体" w:eastAsia="宋体" w:cs="Times New Roman"/>
                <w:b/>
                <w:sz w:val="21"/>
                <w:szCs w:val="21"/>
                <w:highlight w:val="none"/>
              </w:rPr>
            </w:pPr>
            <w:r>
              <w:rPr>
                <w:rFonts w:ascii="宋体" w:hAnsi="宋体" w:eastAsia="宋体" w:cs="Times New Roman"/>
                <w:b/>
                <w:sz w:val="21"/>
                <w:szCs w:val="21"/>
                <w:highlight w:val="none"/>
              </w:rPr>
              <w:t>禁燃区要求</w:t>
            </w:r>
          </w:p>
          <w:p>
            <w:pPr>
              <w:spacing w:line="240" w:lineRule="auto"/>
              <w:ind w:firstLine="0" w:firstLineChars="0"/>
              <w:jc w:val="left"/>
              <w:rPr>
                <w:rFonts w:ascii="宋体" w:hAnsi="宋体" w:eastAsia="宋体" w:cs="Times New Roman"/>
                <w:color w:val="000000"/>
                <w:kern w:val="0"/>
                <w:sz w:val="21"/>
                <w:szCs w:val="21"/>
                <w:highlight w:val="none"/>
              </w:rPr>
            </w:pPr>
            <w:r>
              <w:rPr>
                <w:rFonts w:ascii="宋体" w:hAnsi="宋体" w:eastAsia="宋体" w:cs="Times New Roman"/>
                <w:color w:val="000000"/>
                <w:kern w:val="0"/>
                <w:sz w:val="21"/>
                <w:szCs w:val="21"/>
                <w:highlight w:val="none"/>
              </w:rPr>
              <w:t>县级及以上城市建成区全面淘汰每小时10蒸吨及以下的燃煤锅炉，基本淘汰茶水炉、经营性炉灶、储粮烘干设备等燃煤设施。（依据：《四川省打赢蓝天保卫战实施方案》</w:t>
            </w:r>
          </w:p>
          <w:p>
            <w:pPr>
              <w:spacing w:line="240" w:lineRule="auto"/>
              <w:ind w:firstLine="0" w:firstLineChars="0"/>
              <w:jc w:val="left"/>
              <w:rPr>
                <w:rFonts w:ascii="宋体" w:hAnsi="宋体" w:eastAsia="宋体" w:cs="Times New Roman"/>
                <w:sz w:val="21"/>
                <w:szCs w:val="21"/>
                <w:highlight w:val="none"/>
              </w:rPr>
            </w:pPr>
            <w:r>
              <w:rPr>
                <w:rFonts w:ascii="宋体" w:hAnsi="宋体" w:eastAsia="宋体" w:cs="Times New Roman"/>
                <w:color w:val="000000"/>
                <w:kern w:val="0"/>
                <w:sz w:val="21"/>
                <w:szCs w:val="21"/>
                <w:highlight w:val="none"/>
              </w:rPr>
              <w:t>严格按照广元市及各区县划定的高污染燃料禁燃区方案执行。高污染燃料禁燃区内禁止使用、销售高污染燃料，不得新建、改建和扩建任何燃用高污染燃料的设施设备。（《大气污染防治法》实施办法）、《广元市人民政府关于划定高污染燃料禁燃区的通告》）</w:t>
            </w:r>
          </w:p>
        </w:tc>
        <w:tc>
          <w:tcPr>
            <w:tcW w:w="75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规划实施依托城镇基础设施。</w:t>
            </w:r>
          </w:p>
        </w:tc>
        <w:tc>
          <w:tcPr>
            <w:tcW w:w="361" w:type="pct"/>
            <w:shd w:val="clear" w:color="auto" w:fill="auto"/>
            <w:noWrap w:val="0"/>
            <w:vAlign w:val="center"/>
          </w:tcPr>
          <w:p>
            <w:pPr>
              <w:spacing w:line="240" w:lineRule="auto"/>
              <w:ind w:firstLine="0" w:firstLineChars="0"/>
              <w:jc w:val="center"/>
              <w:rPr>
                <w:rFonts w:ascii="宋体" w:hAnsi="宋体" w:eastAsia="宋体" w:cs="Times New Roman"/>
                <w:sz w:val="21"/>
                <w:szCs w:val="21"/>
                <w:highlight w:val="none"/>
              </w:rPr>
            </w:pPr>
            <w:r>
              <w:rPr>
                <w:rFonts w:ascii="宋体" w:hAnsi="宋体" w:eastAsia="宋体" w:cs="Times New Roman"/>
                <w:sz w:val="21"/>
                <w:szCs w:val="21"/>
                <w:highlight w:val="none"/>
              </w:rPr>
              <w:t>符合</w:t>
            </w:r>
          </w:p>
        </w:tc>
      </w:tr>
    </w:tbl>
    <w:p>
      <w:pPr>
        <w:ind w:firstLine="199" w:firstLineChars="83"/>
        <w:rPr>
          <w:rFonts w:hint="eastAsia" w:eastAsia="宋体" w:cs="Times New Roman"/>
          <w:highlight w:val="none"/>
        </w:rPr>
      </w:pPr>
    </w:p>
    <w:p>
      <w:pPr>
        <w:ind w:firstLine="480"/>
        <w:rPr>
          <w:rFonts w:eastAsia="宋体" w:cs="Times New Roman"/>
          <w:highlight w:val="none"/>
        </w:rPr>
      </w:pPr>
    </w:p>
    <w:p>
      <w:pPr>
        <w:ind w:firstLine="480"/>
        <w:rPr>
          <w:rFonts w:hint="eastAsia"/>
          <w:highlight w:val="none"/>
        </w:rPr>
        <w:sectPr>
          <w:pgSz w:w="16838" w:h="11906" w:orient="landscape"/>
          <w:pgMar w:top="1080" w:right="1440" w:bottom="1080" w:left="1440" w:header="851" w:footer="992" w:gutter="0"/>
          <w:cols w:space="720" w:num="1"/>
          <w:docGrid w:type="lines" w:linePitch="326" w:charSpace="0"/>
        </w:sectPr>
      </w:pPr>
    </w:p>
    <w:bookmarkEnd w:id="15"/>
    <w:p>
      <w:pPr>
        <w:keepNext/>
        <w:keepLines/>
        <w:widowControl w:val="0"/>
        <w:numPr>
          <w:ilvl w:val="0"/>
          <w:numId w:val="9"/>
        </w:numPr>
        <w:spacing w:before="163" w:beforeLines="0" w:after="163" w:afterLines="0" w:line="578" w:lineRule="auto"/>
        <w:ind w:left="440" w:hanging="440" w:firstLineChars="0"/>
        <w:jc w:val="both"/>
        <w:outlineLvl w:val="0"/>
        <w:rPr>
          <w:rFonts w:ascii="Times New Roman" w:hAnsi="Times New Roman" w:eastAsia="黑体" w:cs="Times New Roman"/>
          <w:bCs/>
          <w:kern w:val="44"/>
          <w:sz w:val="44"/>
          <w:szCs w:val="44"/>
          <w:highlight w:val="none"/>
          <w:lang w:val="en-US" w:eastAsia="zh-CN" w:bidi="ar-SA"/>
        </w:rPr>
      </w:pPr>
      <w:bookmarkStart w:id="20" w:name="_Toc145434594"/>
      <w:r>
        <w:rPr>
          <w:rFonts w:hint="eastAsia" w:ascii="Times New Roman" w:hAnsi="Times New Roman" w:eastAsia="黑体" w:cs="Times New Roman"/>
          <w:bCs/>
          <w:kern w:val="44"/>
          <w:sz w:val="44"/>
          <w:szCs w:val="44"/>
          <w:highlight w:val="none"/>
          <w:lang w:val="en-US" w:eastAsia="zh-CN" w:bidi="ar-SA"/>
        </w:rPr>
        <w:t>规划区开发现状及回顾性评价</w:t>
      </w:r>
      <w:bookmarkEnd w:id="20"/>
    </w:p>
    <w:p>
      <w:pPr>
        <w:keepNext/>
        <w:keepLines/>
        <w:widowControl w:val="0"/>
        <w:numPr>
          <w:ilvl w:val="1"/>
          <w:numId w:val="9"/>
        </w:numPr>
        <w:spacing w:line="480" w:lineRule="auto"/>
        <w:ind w:left="576" w:hanging="576" w:firstLineChars="0"/>
        <w:jc w:val="both"/>
        <w:outlineLvl w:val="1"/>
        <w:rPr>
          <w:rFonts w:ascii="Times New Roman" w:hAnsi="Times New Roman" w:eastAsia="黑体" w:cs="Times New Roman"/>
          <w:bCs/>
          <w:kern w:val="2"/>
          <w:sz w:val="32"/>
          <w:szCs w:val="32"/>
          <w:highlight w:val="none"/>
          <w:lang w:val="en-US" w:eastAsia="zh-CN" w:bidi="ar-SA"/>
        </w:rPr>
      </w:pPr>
      <w:bookmarkStart w:id="21" w:name="_Toc145434596"/>
      <w:r>
        <w:rPr>
          <w:rFonts w:hint="eastAsia" w:ascii="Times New Roman" w:hAnsi="Times New Roman" w:eastAsia="黑体" w:cs="Times New Roman"/>
          <w:bCs/>
          <w:kern w:val="2"/>
          <w:sz w:val="32"/>
          <w:szCs w:val="32"/>
          <w:highlight w:val="none"/>
          <w:lang w:val="en-US" w:eastAsia="zh-CN" w:bidi="ar-SA"/>
        </w:rPr>
        <w:t>规划区开发现状</w:t>
      </w:r>
      <w:bookmarkEnd w:id="21"/>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土地利用开发现状分析</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规划总面积</w:t>
      </w:r>
      <w:r>
        <w:rPr>
          <w:rFonts w:ascii="Times New Roman" w:hAnsi="Times New Roman" w:eastAsia="宋体" w:cs="Times New Roman"/>
          <w:bCs/>
          <w:kern w:val="2"/>
          <w:sz w:val="24"/>
          <w:szCs w:val="21"/>
          <w:highlight w:val="none"/>
          <w:lang w:val="en-US" w:eastAsia="zh-CN" w:bidi="ar-SA"/>
        </w:rPr>
        <w:t>136.63</w:t>
      </w:r>
      <w:r>
        <w:rPr>
          <w:rFonts w:hint="eastAsia" w:ascii="Times New Roman" w:hAnsi="Times New Roman" w:eastAsia="宋体" w:cs="Times New Roman"/>
          <w:bCs/>
          <w:kern w:val="2"/>
          <w:sz w:val="24"/>
          <w:szCs w:val="21"/>
          <w:highlight w:val="none"/>
          <w:lang w:val="en-US" w:eastAsia="zh-CN" w:bidi="ar-SA"/>
        </w:rPr>
        <w:t>公顷，均为城镇开发用地。现状主要为农村环境，无工业项目，具体现状如下表。</w:t>
      </w:r>
    </w:p>
    <w:p>
      <w:pPr>
        <w:widowControl w:val="0"/>
        <w:spacing w:line="360" w:lineRule="auto"/>
        <w:ind w:firstLine="360" w:firstLineChars="0"/>
        <w:jc w:val="center"/>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表3</w:t>
      </w:r>
      <w:r>
        <w:rPr>
          <w:rFonts w:ascii="Times New Roman" w:hAnsi="Times New Roman" w:eastAsia="黑体" w:cs="Times New Roman"/>
          <w:kern w:val="2"/>
          <w:sz w:val="21"/>
          <w:szCs w:val="20"/>
          <w:highlight w:val="none"/>
          <w:lang w:val="en-US" w:eastAsia="zh-CN" w:bidi="ar-SA"/>
        </w:rPr>
        <w:t>.2-2园区土地利用现状</w:t>
      </w:r>
    </w:p>
    <w:tbl>
      <w:tblPr>
        <w:tblStyle w:val="39"/>
        <w:tblW w:w="5000" w:type="pct"/>
        <w:tblInd w:w="0" w:type="dxa"/>
        <w:tblLayout w:type="autofit"/>
        <w:tblCellMar>
          <w:top w:w="0" w:type="dxa"/>
          <w:left w:w="108" w:type="dxa"/>
          <w:bottom w:w="0" w:type="dxa"/>
          <w:right w:w="108" w:type="dxa"/>
        </w:tblCellMar>
      </w:tblPr>
      <w:tblGrid>
        <w:gridCol w:w="1030"/>
        <w:gridCol w:w="1923"/>
        <w:gridCol w:w="1584"/>
        <w:gridCol w:w="1251"/>
        <w:gridCol w:w="1251"/>
        <w:gridCol w:w="1251"/>
        <w:gridCol w:w="1672"/>
      </w:tblGrid>
      <w:tr>
        <w:tblPrEx>
          <w:tblCellMar>
            <w:top w:w="0" w:type="dxa"/>
            <w:left w:w="108" w:type="dxa"/>
            <w:bottom w:w="0" w:type="dxa"/>
            <w:right w:w="108" w:type="dxa"/>
          </w:tblCellMar>
        </w:tblPrEx>
        <w:trPr>
          <w:trHeight w:val="270" w:hRule="atLeast"/>
        </w:trPr>
        <w:tc>
          <w:tcPr>
            <w:tcW w:w="1482"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用地类型</w:t>
            </w:r>
          </w:p>
        </w:tc>
        <w:tc>
          <w:tcPr>
            <w:tcW w:w="1422" w:type="pct"/>
            <w:gridSpan w:val="2"/>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规划基期年</w:t>
            </w:r>
          </w:p>
        </w:tc>
        <w:tc>
          <w:tcPr>
            <w:tcW w:w="1255" w:type="pct"/>
            <w:gridSpan w:val="2"/>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规划目标年</w:t>
            </w:r>
          </w:p>
        </w:tc>
        <w:tc>
          <w:tcPr>
            <w:tcW w:w="840"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规划期间面积增减情况（公顷）</w:t>
            </w:r>
          </w:p>
        </w:tc>
      </w:tr>
      <w:tr>
        <w:tblPrEx>
          <w:tblCellMar>
            <w:top w:w="0" w:type="dxa"/>
            <w:left w:w="108" w:type="dxa"/>
            <w:bottom w:w="0" w:type="dxa"/>
            <w:right w:w="108" w:type="dxa"/>
          </w:tblCellMar>
        </w:tblPrEx>
        <w:trPr>
          <w:trHeight w:val="720" w:hRule="atLeast"/>
        </w:trPr>
        <w:tc>
          <w:tcPr>
            <w:tcW w:w="1482"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宋体" w:cs="Times New Roman"/>
                <w:color w:val="000000"/>
                <w:kern w:val="0"/>
                <w:sz w:val="20"/>
                <w:szCs w:val="20"/>
                <w:highlight w:val="none"/>
              </w:rPr>
            </w:pP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面积</w:t>
            </w:r>
          </w:p>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（公顷）</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比例</w:t>
            </w:r>
          </w:p>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面积</w:t>
            </w:r>
          </w:p>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（公顷）</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比例</w:t>
            </w:r>
          </w:p>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w:t>
            </w:r>
          </w:p>
        </w:tc>
        <w:tc>
          <w:tcPr>
            <w:tcW w:w="840"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eastAsia="宋体" w:cs="Times New Roman"/>
                <w:kern w:val="0"/>
                <w:sz w:val="20"/>
                <w:szCs w:val="20"/>
                <w:highlight w:val="none"/>
              </w:rPr>
            </w:pPr>
          </w:p>
        </w:tc>
      </w:tr>
      <w:tr>
        <w:tblPrEx>
          <w:tblCellMar>
            <w:top w:w="0" w:type="dxa"/>
            <w:left w:w="108" w:type="dxa"/>
            <w:bottom w:w="0" w:type="dxa"/>
            <w:right w:w="108" w:type="dxa"/>
          </w:tblCellMar>
        </w:tblPrEx>
        <w:trPr>
          <w:trHeight w:val="270" w:hRule="atLeast"/>
        </w:trPr>
        <w:tc>
          <w:tcPr>
            <w:tcW w:w="148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耕地</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57.48</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42.06</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-57.48</w:t>
            </w:r>
          </w:p>
        </w:tc>
      </w:tr>
      <w:tr>
        <w:tblPrEx>
          <w:tblCellMar>
            <w:top w:w="0" w:type="dxa"/>
            <w:left w:w="108" w:type="dxa"/>
            <w:bottom w:w="0" w:type="dxa"/>
            <w:right w:w="108" w:type="dxa"/>
          </w:tblCellMar>
        </w:tblPrEx>
        <w:trPr>
          <w:trHeight w:val="270" w:hRule="atLeast"/>
        </w:trPr>
        <w:tc>
          <w:tcPr>
            <w:tcW w:w="148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园地</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20.62</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15.09</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-20.62</w:t>
            </w:r>
          </w:p>
        </w:tc>
      </w:tr>
      <w:tr>
        <w:tblPrEx>
          <w:tblCellMar>
            <w:top w:w="0" w:type="dxa"/>
            <w:left w:w="108" w:type="dxa"/>
            <w:bottom w:w="0" w:type="dxa"/>
            <w:right w:w="108" w:type="dxa"/>
          </w:tblCellMar>
        </w:tblPrEx>
        <w:trPr>
          <w:trHeight w:val="270" w:hRule="atLeast"/>
        </w:trPr>
        <w:tc>
          <w:tcPr>
            <w:tcW w:w="148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林地</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6.29</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4.61</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-6.29</w:t>
            </w:r>
          </w:p>
        </w:tc>
      </w:tr>
      <w:tr>
        <w:tblPrEx>
          <w:tblCellMar>
            <w:top w:w="0" w:type="dxa"/>
            <w:left w:w="108" w:type="dxa"/>
            <w:bottom w:w="0" w:type="dxa"/>
            <w:right w:w="108" w:type="dxa"/>
          </w:tblCellMar>
        </w:tblPrEx>
        <w:trPr>
          <w:trHeight w:val="270" w:hRule="atLeast"/>
        </w:trPr>
        <w:tc>
          <w:tcPr>
            <w:tcW w:w="148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草地</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r>
      <w:tr>
        <w:tblPrEx>
          <w:tblCellMar>
            <w:top w:w="0" w:type="dxa"/>
            <w:left w:w="108" w:type="dxa"/>
            <w:bottom w:w="0" w:type="dxa"/>
            <w:right w:w="108" w:type="dxa"/>
          </w:tblCellMar>
        </w:tblPrEx>
        <w:trPr>
          <w:trHeight w:val="270" w:hRule="atLeast"/>
        </w:trPr>
        <w:tc>
          <w:tcPr>
            <w:tcW w:w="148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湿地</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0.88</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0.65</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-0.88</w:t>
            </w:r>
          </w:p>
        </w:tc>
      </w:tr>
      <w:tr>
        <w:tblPrEx>
          <w:tblCellMar>
            <w:top w:w="0" w:type="dxa"/>
            <w:left w:w="108" w:type="dxa"/>
            <w:bottom w:w="0" w:type="dxa"/>
            <w:right w:w="108" w:type="dxa"/>
          </w:tblCellMar>
        </w:tblPrEx>
        <w:trPr>
          <w:trHeight w:val="270" w:hRule="atLeast"/>
        </w:trPr>
        <w:tc>
          <w:tcPr>
            <w:tcW w:w="148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农业设施建设用地</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2.51</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1.84</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-2.51</w:t>
            </w:r>
          </w:p>
        </w:tc>
      </w:tr>
      <w:tr>
        <w:tblPrEx>
          <w:tblCellMar>
            <w:top w:w="0" w:type="dxa"/>
            <w:left w:w="108" w:type="dxa"/>
            <w:bottom w:w="0" w:type="dxa"/>
            <w:right w:w="108" w:type="dxa"/>
          </w:tblCellMar>
        </w:tblPrEx>
        <w:trPr>
          <w:trHeight w:val="270" w:hRule="atLeast"/>
        </w:trPr>
        <w:tc>
          <w:tcPr>
            <w:tcW w:w="148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城乡建设用地</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32.10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23.49</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136.64</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100.00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104.54</w:t>
            </w:r>
          </w:p>
        </w:tc>
      </w:tr>
      <w:tr>
        <w:tblPrEx>
          <w:tblCellMar>
            <w:top w:w="0" w:type="dxa"/>
            <w:left w:w="108" w:type="dxa"/>
            <w:bottom w:w="0" w:type="dxa"/>
            <w:right w:w="108" w:type="dxa"/>
          </w:tblCellMar>
        </w:tblPrEx>
        <w:trPr>
          <w:trHeight w:val="270" w:hRule="atLeast"/>
        </w:trPr>
        <w:tc>
          <w:tcPr>
            <w:tcW w:w="517" w:type="pct"/>
            <w:vMerge w:val="restart"/>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其中</w:t>
            </w:r>
          </w:p>
        </w:tc>
        <w:tc>
          <w:tcPr>
            <w:tcW w:w="96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城镇建设用地</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136.64</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100.00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136.64</w:t>
            </w:r>
          </w:p>
        </w:tc>
      </w:tr>
      <w:tr>
        <w:tblPrEx>
          <w:tblCellMar>
            <w:top w:w="0" w:type="dxa"/>
            <w:left w:w="108" w:type="dxa"/>
            <w:bottom w:w="0" w:type="dxa"/>
            <w:right w:w="108" w:type="dxa"/>
          </w:tblCellMar>
        </w:tblPrEx>
        <w:trPr>
          <w:trHeight w:val="270" w:hRule="atLeast"/>
        </w:trPr>
        <w:tc>
          <w:tcPr>
            <w:tcW w:w="517" w:type="pct"/>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left"/>
              <w:rPr>
                <w:rFonts w:eastAsia="宋体" w:cs="Times New Roman"/>
                <w:color w:val="000000"/>
                <w:kern w:val="0"/>
                <w:sz w:val="20"/>
                <w:szCs w:val="20"/>
                <w:highlight w:val="none"/>
              </w:rPr>
            </w:pPr>
          </w:p>
        </w:tc>
        <w:tc>
          <w:tcPr>
            <w:tcW w:w="96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村庄建设用地</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32.10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23.49</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-32.10</w:t>
            </w:r>
          </w:p>
        </w:tc>
      </w:tr>
      <w:tr>
        <w:tblPrEx>
          <w:tblCellMar>
            <w:top w:w="0" w:type="dxa"/>
            <w:left w:w="108" w:type="dxa"/>
            <w:bottom w:w="0" w:type="dxa"/>
            <w:right w:w="108" w:type="dxa"/>
          </w:tblCellMar>
        </w:tblPrEx>
        <w:trPr>
          <w:trHeight w:val="270" w:hRule="atLeast"/>
        </w:trPr>
        <w:tc>
          <w:tcPr>
            <w:tcW w:w="148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区域基础设施用地</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4.81</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3.52</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-4.81</w:t>
            </w:r>
          </w:p>
        </w:tc>
      </w:tr>
      <w:tr>
        <w:tblPrEx>
          <w:tblCellMar>
            <w:top w:w="0" w:type="dxa"/>
            <w:left w:w="108" w:type="dxa"/>
            <w:bottom w:w="0" w:type="dxa"/>
            <w:right w:w="108" w:type="dxa"/>
          </w:tblCellMar>
        </w:tblPrEx>
        <w:trPr>
          <w:trHeight w:val="270" w:hRule="atLeast"/>
        </w:trPr>
        <w:tc>
          <w:tcPr>
            <w:tcW w:w="148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其他建设用地</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4.19</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3.06</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-4.19</w:t>
            </w:r>
          </w:p>
        </w:tc>
      </w:tr>
      <w:tr>
        <w:tblPrEx>
          <w:tblCellMar>
            <w:top w:w="0" w:type="dxa"/>
            <w:left w:w="108" w:type="dxa"/>
            <w:bottom w:w="0" w:type="dxa"/>
            <w:right w:w="108" w:type="dxa"/>
          </w:tblCellMar>
        </w:tblPrEx>
        <w:trPr>
          <w:trHeight w:val="270" w:hRule="atLeast"/>
        </w:trPr>
        <w:tc>
          <w:tcPr>
            <w:tcW w:w="148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陆地水域</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2.16</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1.58</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-2.16</w:t>
            </w:r>
          </w:p>
        </w:tc>
      </w:tr>
      <w:tr>
        <w:tblPrEx>
          <w:tblCellMar>
            <w:top w:w="0" w:type="dxa"/>
            <w:left w:w="108" w:type="dxa"/>
            <w:bottom w:w="0" w:type="dxa"/>
            <w:right w:w="108" w:type="dxa"/>
          </w:tblCellMar>
        </w:tblPrEx>
        <w:trPr>
          <w:trHeight w:val="270" w:hRule="atLeast"/>
        </w:trPr>
        <w:tc>
          <w:tcPr>
            <w:tcW w:w="148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其他土地</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5.61</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4.11</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-5.61</w:t>
            </w:r>
          </w:p>
        </w:tc>
      </w:tr>
      <w:tr>
        <w:tblPrEx>
          <w:tblCellMar>
            <w:top w:w="0" w:type="dxa"/>
            <w:left w:w="108" w:type="dxa"/>
            <w:bottom w:w="0" w:type="dxa"/>
            <w:right w:w="108" w:type="dxa"/>
          </w:tblCellMar>
        </w:tblPrEx>
        <w:trPr>
          <w:trHeight w:val="270" w:hRule="atLeast"/>
        </w:trPr>
        <w:tc>
          <w:tcPr>
            <w:tcW w:w="1482"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合计</w:t>
            </w:r>
          </w:p>
        </w:tc>
        <w:tc>
          <w:tcPr>
            <w:tcW w:w="795"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136.64</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color w:val="000000"/>
                <w:kern w:val="0"/>
                <w:sz w:val="20"/>
                <w:szCs w:val="20"/>
                <w:highlight w:val="none"/>
              </w:rPr>
            </w:pPr>
            <w:r>
              <w:rPr>
                <w:rFonts w:eastAsia="宋体" w:cs="Times New Roman"/>
                <w:color w:val="000000"/>
                <w:kern w:val="0"/>
                <w:sz w:val="20"/>
                <w:szCs w:val="20"/>
                <w:highlight w:val="none"/>
              </w:rPr>
              <w:t>100.00</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136.64</w:t>
            </w:r>
          </w:p>
        </w:tc>
        <w:tc>
          <w:tcPr>
            <w:tcW w:w="628"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100.00</w:t>
            </w:r>
          </w:p>
        </w:tc>
        <w:tc>
          <w:tcPr>
            <w:tcW w:w="840" w:type="pct"/>
            <w:tcBorders>
              <w:top w:val="nil"/>
              <w:left w:val="nil"/>
              <w:bottom w:val="single" w:color="auto" w:sz="4" w:space="0"/>
              <w:right w:val="single" w:color="auto" w:sz="4" w:space="0"/>
            </w:tcBorders>
            <w:shd w:val="clear" w:color="auto" w:fill="auto"/>
            <w:noWrap w:val="0"/>
            <w:vAlign w:val="center"/>
          </w:tcPr>
          <w:p>
            <w:pPr>
              <w:widowControl/>
              <w:spacing w:line="240" w:lineRule="auto"/>
              <w:ind w:firstLine="0" w:firstLineChars="0"/>
              <w:jc w:val="center"/>
              <w:rPr>
                <w:rFonts w:eastAsia="宋体" w:cs="Times New Roman"/>
                <w:kern w:val="0"/>
                <w:sz w:val="20"/>
                <w:szCs w:val="20"/>
                <w:highlight w:val="none"/>
              </w:rPr>
            </w:pPr>
            <w:r>
              <w:rPr>
                <w:rFonts w:eastAsia="宋体" w:cs="Times New Roman"/>
                <w:kern w:val="0"/>
                <w:sz w:val="20"/>
                <w:szCs w:val="20"/>
                <w:highlight w:val="none"/>
              </w:rPr>
              <w:t>0.00</w:t>
            </w:r>
          </w:p>
        </w:tc>
      </w:tr>
    </w:tbl>
    <w:p>
      <w:pPr>
        <w:widowControl w:val="0"/>
        <w:adjustRightInd w:val="0"/>
        <w:snapToGrid w:val="0"/>
        <w:spacing w:line="360" w:lineRule="auto"/>
        <w:ind w:firstLine="480" w:firstLineChars="200"/>
        <w:jc w:val="both"/>
        <w:rPr>
          <w:rFonts w:hint="eastAsia" w:ascii="Times New Roman" w:hAnsi="Times New Roman" w:eastAsia="宋体" w:cs="Times New Roman"/>
          <w:bCs/>
          <w:kern w:val="2"/>
          <w:sz w:val="24"/>
          <w:szCs w:val="21"/>
          <w:highlight w:val="none"/>
          <w:lang w:val="en-US" w:eastAsia="zh-CN" w:bidi="ar-SA"/>
        </w:rPr>
      </w:pP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人口规模现状及分布</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本次规划范围主要涉百利镇，根据拆迁安置计划，本次规划涉及胡家梁社区3个组1180人，金陵村1个组30户120人。</w:t>
      </w:r>
    </w:p>
    <w:p>
      <w:pPr>
        <w:keepNext/>
        <w:keepLines/>
        <w:widowControl w:val="0"/>
        <w:numPr>
          <w:ilvl w:val="1"/>
          <w:numId w:val="9"/>
        </w:numPr>
        <w:spacing w:line="480" w:lineRule="auto"/>
        <w:ind w:left="576" w:hanging="576" w:firstLineChars="0"/>
        <w:jc w:val="both"/>
        <w:outlineLvl w:val="1"/>
        <w:rPr>
          <w:rFonts w:ascii="Times New Roman" w:hAnsi="Times New Roman" w:eastAsia="黑体" w:cs="Times New Roman"/>
          <w:bCs/>
          <w:kern w:val="2"/>
          <w:sz w:val="32"/>
          <w:szCs w:val="32"/>
          <w:highlight w:val="none"/>
          <w:lang w:val="en-US" w:eastAsia="zh-CN" w:bidi="ar-SA"/>
        </w:rPr>
      </w:pPr>
      <w:bookmarkStart w:id="22" w:name="_Toc145434597"/>
      <w:r>
        <w:rPr>
          <w:rFonts w:hint="eastAsia" w:ascii="Times New Roman" w:hAnsi="Times New Roman" w:eastAsia="黑体" w:cs="Times New Roman"/>
          <w:bCs/>
          <w:kern w:val="2"/>
          <w:sz w:val="32"/>
          <w:szCs w:val="32"/>
          <w:highlight w:val="none"/>
          <w:lang w:val="en-US" w:eastAsia="zh-CN" w:bidi="ar-SA"/>
        </w:rPr>
        <w:t>规划区基础设施建设及运行情况分析</w:t>
      </w:r>
      <w:bookmarkEnd w:id="22"/>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道路设施</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目前规划范围内沿嘉陵江右岸在建新区大道，区域内无现状通行的城市主干道，居民通行主要依托村道。</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给排水设施</w:t>
      </w:r>
    </w:p>
    <w:p>
      <w:pPr>
        <w:widowControl w:val="0"/>
        <w:adjustRightInd w:val="0"/>
        <w:snapToGrid/>
        <w:spacing w:line="360" w:lineRule="auto"/>
        <w:ind w:firstLine="482" w:firstLineChars="200"/>
        <w:jc w:val="both"/>
        <w:rPr>
          <w:rFonts w:ascii="Times New Roman" w:hAnsi="Times New Roman" w:eastAsia="宋体" w:cs="Times New Roman"/>
          <w:b/>
          <w:bCs w:val="0"/>
          <w:kern w:val="2"/>
          <w:sz w:val="24"/>
          <w:szCs w:val="21"/>
          <w:highlight w:val="none"/>
          <w:lang w:val="en-US" w:eastAsia="zh-CN" w:bidi="ar-SA"/>
        </w:rPr>
      </w:pPr>
      <w:r>
        <w:rPr>
          <w:rFonts w:hint="eastAsia" w:ascii="Times New Roman" w:hAnsi="Times New Roman" w:eastAsia="宋体" w:cs="Times New Roman"/>
          <w:b/>
          <w:bCs w:val="0"/>
          <w:kern w:val="2"/>
          <w:sz w:val="24"/>
          <w:szCs w:val="21"/>
          <w:highlight w:val="none"/>
          <w:lang w:val="en-US" w:eastAsia="zh-CN" w:bidi="ar-SA"/>
        </w:rPr>
        <w:t>1、现状给水</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规划中心城区水源为亭子口水库，大洋沟水库作为应急水源。近期保留嘉陵江地表水源，规划保留现状江南水厂和县城水一厂，扩建中梁子供水厂，保障城区供水规模达到7万立方米/日。</w:t>
      </w:r>
    </w:p>
    <w:p>
      <w:pPr>
        <w:widowControl w:val="0"/>
        <w:adjustRightInd w:val="0"/>
        <w:snapToGrid/>
        <w:spacing w:line="360" w:lineRule="auto"/>
        <w:ind w:firstLine="482" w:firstLineChars="200"/>
        <w:jc w:val="both"/>
        <w:rPr>
          <w:rFonts w:ascii="Times New Roman" w:hAnsi="Times New Roman" w:eastAsia="宋体" w:cs="Times New Roman"/>
          <w:b/>
          <w:bCs w:val="0"/>
          <w:kern w:val="2"/>
          <w:sz w:val="24"/>
          <w:szCs w:val="21"/>
          <w:highlight w:val="none"/>
          <w:lang w:val="en-US" w:eastAsia="zh-CN" w:bidi="ar-SA"/>
        </w:rPr>
      </w:pPr>
      <w:r>
        <w:rPr>
          <w:rFonts w:hint="eastAsia" w:ascii="Times New Roman" w:hAnsi="Times New Roman" w:eastAsia="宋体" w:cs="Times New Roman"/>
          <w:b/>
          <w:bCs w:val="0"/>
          <w:kern w:val="2"/>
          <w:sz w:val="24"/>
          <w:szCs w:val="21"/>
          <w:highlight w:val="none"/>
          <w:lang w:val="en-US" w:eastAsia="zh-CN" w:bidi="ar-SA"/>
        </w:rPr>
        <w:t>2、现状排水</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规划范围内仅胡家梁片区形成集中居民区，其余区域主要为农村环境，生活污水通过化粪池处理后外排。</w:t>
      </w:r>
    </w:p>
    <w:p>
      <w:pPr>
        <w:widowControl w:val="0"/>
        <w:adjustRightInd w:val="0"/>
        <w:snapToGrid w:val="0"/>
        <w:spacing w:line="360" w:lineRule="auto"/>
        <w:ind w:firstLine="482" w:firstLineChars="200"/>
        <w:jc w:val="both"/>
        <w:rPr>
          <w:rFonts w:ascii="Times New Roman" w:hAnsi="Times New Roman" w:eastAsia="宋体" w:cs="Times New Roman"/>
          <w:b/>
          <w:bCs w:val="0"/>
          <w:kern w:val="2"/>
          <w:sz w:val="24"/>
          <w:szCs w:val="21"/>
          <w:highlight w:val="none"/>
          <w:lang w:val="en-US" w:eastAsia="zh-CN" w:bidi="ar-SA"/>
        </w:rPr>
      </w:pPr>
      <w:r>
        <w:rPr>
          <w:rFonts w:hint="eastAsia" w:ascii="Times New Roman" w:hAnsi="Times New Roman" w:eastAsia="宋体" w:cs="Times New Roman"/>
          <w:b/>
          <w:bCs w:val="0"/>
          <w:kern w:val="2"/>
          <w:sz w:val="24"/>
          <w:szCs w:val="21"/>
          <w:highlight w:val="none"/>
          <w:lang w:val="en-US" w:eastAsia="zh-CN" w:bidi="ar-SA"/>
        </w:rPr>
        <w:t>3、百利新区污水处理厂</w:t>
      </w:r>
    </w:p>
    <w:p>
      <w:pPr>
        <w:widowControl w:val="0"/>
        <w:adjustRightInd w:val="0"/>
        <w:snapToGrid w:val="0"/>
        <w:spacing w:line="360" w:lineRule="auto"/>
        <w:ind w:firstLine="480" w:firstLineChars="200"/>
        <w:jc w:val="both"/>
        <w:rPr>
          <w:rFonts w:hint="eastAsia" w:ascii="Times New Roman" w:hAnsi="Times New Roman" w:eastAsia="宋体" w:cs="Times New Roman"/>
          <w:bCs/>
          <w:kern w:val="2"/>
          <w:sz w:val="24"/>
          <w:szCs w:val="24"/>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2019年9月2日苍溪县筹建</w:t>
      </w:r>
      <w:r>
        <w:rPr>
          <w:rFonts w:hint="eastAsia" w:ascii="Times New Roman" w:hAnsi="Times New Roman" w:eastAsia="宋体" w:cs="Times New Roman"/>
          <w:bCs/>
          <w:kern w:val="2"/>
          <w:sz w:val="24"/>
          <w:szCs w:val="24"/>
          <w:highlight w:val="none"/>
          <w:lang w:val="en-US" w:eastAsia="zh-CN" w:bidi="ar-SA"/>
        </w:rPr>
        <w:t>百利新区污水处理厂，新建城市生活污水处理厂一座，近期规模为4000m</w:t>
      </w:r>
      <w:r>
        <w:rPr>
          <w:rFonts w:hint="eastAsia" w:ascii="Times New Roman" w:hAnsi="Times New Roman" w:eastAsia="宋体" w:cs="Times New Roman"/>
          <w:bCs/>
          <w:kern w:val="2"/>
          <w:sz w:val="24"/>
          <w:szCs w:val="24"/>
          <w:highlight w:val="none"/>
          <w:vertAlign w:val="superscript"/>
          <w:lang w:val="en-US" w:eastAsia="zh-CN" w:bidi="ar-SA"/>
        </w:rPr>
        <w:t>3</w:t>
      </w:r>
      <w:r>
        <w:rPr>
          <w:rFonts w:hint="eastAsia" w:ascii="Times New Roman" w:hAnsi="Times New Roman" w:eastAsia="宋体" w:cs="Times New Roman"/>
          <w:bCs/>
          <w:kern w:val="2"/>
          <w:sz w:val="24"/>
          <w:szCs w:val="24"/>
          <w:highlight w:val="none"/>
          <w:lang w:val="en-US" w:eastAsia="zh-CN" w:bidi="ar-SA"/>
        </w:rPr>
        <w:t>/d，远期规模为8000m</w:t>
      </w:r>
      <w:r>
        <w:rPr>
          <w:rFonts w:hint="eastAsia" w:ascii="Times New Roman" w:hAnsi="Times New Roman" w:eastAsia="宋体" w:cs="Times New Roman"/>
          <w:bCs/>
          <w:kern w:val="2"/>
          <w:sz w:val="24"/>
          <w:szCs w:val="24"/>
          <w:highlight w:val="none"/>
          <w:vertAlign w:val="superscript"/>
          <w:lang w:val="en-US" w:eastAsia="zh-CN" w:bidi="ar-SA"/>
        </w:rPr>
        <w:t>3</w:t>
      </w:r>
      <w:r>
        <w:rPr>
          <w:rFonts w:hint="eastAsia" w:ascii="Times New Roman" w:hAnsi="Times New Roman" w:eastAsia="宋体" w:cs="Times New Roman"/>
          <w:bCs/>
          <w:kern w:val="2"/>
          <w:sz w:val="24"/>
          <w:szCs w:val="24"/>
          <w:highlight w:val="none"/>
          <w:lang w:val="en-US" w:eastAsia="zh-CN" w:bidi="ar-SA"/>
        </w:rPr>
        <w:t>/d，土建按远期规模一次性建成，该项目于2</w:t>
      </w:r>
      <w:r>
        <w:rPr>
          <w:rFonts w:ascii="Times New Roman" w:hAnsi="Times New Roman" w:eastAsia="宋体" w:cs="Times New Roman"/>
          <w:bCs/>
          <w:kern w:val="2"/>
          <w:sz w:val="24"/>
          <w:szCs w:val="24"/>
          <w:highlight w:val="none"/>
          <w:lang w:val="en-US" w:eastAsia="zh-CN" w:bidi="ar-SA"/>
        </w:rPr>
        <w:t>022年</w:t>
      </w:r>
      <w:r>
        <w:rPr>
          <w:rFonts w:hint="eastAsia" w:ascii="Times New Roman" w:hAnsi="Times New Roman" w:eastAsia="宋体" w:cs="Times New Roman"/>
          <w:bCs/>
          <w:kern w:val="2"/>
          <w:sz w:val="24"/>
          <w:szCs w:val="24"/>
          <w:highlight w:val="none"/>
          <w:lang w:val="en-US" w:eastAsia="zh-CN" w:bidi="ar-SA"/>
        </w:rPr>
        <w:t>8月2</w:t>
      </w:r>
      <w:r>
        <w:rPr>
          <w:rFonts w:ascii="Times New Roman" w:hAnsi="Times New Roman" w:eastAsia="宋体" w:cs="Times New Roman"/>
          <w:bCs/>
          <w:kern w:val="2"/>
          <w:sz w:val="24"/>
          <w:szCs w:val="24"/>
          <w:highlight w:val="none"/>
          <w:lang w:val="en-US" w:eastAsia="zh-CN" w:bidi="ar-SA"/>
        </w:rPr>
        <w:t>4日取得苍溪生态环境局“关于百利新区污水处理厂工程项目环境影响报告表的批复”（苍环审批</w:t>
      </w:r>
      <w:r>
        <w:rPr>
          <w:rFonts w:hint="eastAsia" w:ascii="Times New Roman" w:hAnsi="Times New Roman" w:eastAsia="宋体" w:cs="Times New Roman"/>
          <w:bCs/>
          <w:kern w:val="2"/>
          <w:sz w:val="24"/>
          <w:szCs w:val="24"/>
          <w:highlight w:val="none"/>
          <w:lang w:val="en-US" w:eastAsia="zh-CN" w:bidi="ar-SA"/>
        </w:rPr>
        <w:t>[</w:t>
      </w:r>
      <w:r>
        <w:rPr>
          <w:rFonts w:ascii="Times New Roman" w:hAnsi="Times New Roman" w:eastAsia="宋体" w:cs="Times New Roman"/>
          <w:bCs/>
          <w:kern w:val="2"/>
          <w:sz w:val="24"/>
          <w:szCs w:val="24"/>
          <w:highlight w:val="none"/>
          <w:lang w:val="en-US" w:eastAsia="zh-CN" w:bidi="ar-SA"/>
        </w:rPr>
        <w:t>2022]18号），其排口论证报告于</w:t>
      </w:r>
      <w:r>
        <w:rPr>
          <w:rFonts w:hint="eastAsia" w:ascii="Times New Roman" w:hAnsi="Times New Roman" w:eastAsia="宋体" w:cs="Times New Roman"/>
          <w:bCs/>
          <w:kern w:val="2"/>
          <w:sz w:val="24"/>
          <w:szCs w:val="24"/>
          <w:highlight w:val="none"/>
          <w:lang w:val="en-US" w:eastAsia="zh-CN" w:bidi="ar-SA"/>
        </w:rPr>
        <w:t>2</w:t>
      </w:r>
      <w:r>
        <w:rPr>
          <w:rFonts w:ascii="Times New Roman" w:hAnsi="Times New Roman" w:eastAsia="宋体" w:cs="Times New Roman"/>
          <w:bCs/>
          <w:kern w:val="2"/>
          <w:sz w:val="24"/>
          <w:szCs w:val="24"/>
          <w:highlight w:val="none"/>
          <w:lang w:val="en-US" w:eastAsia="zh-CN" w:bidi="ar-SA"/>
        </w:rPr>
        <w:t>023年</w:t>
      </w:r>
      <w:r>
        <w:rPr>
          <w:rFonts w:hint="eastAsia" w:ascii="Times New Roman" w:hAnsi="Times New Roman" w:eastAsia="宋体" w:cs="Times New Roman"/>
          <w:bCs/>
          <w:kern w:val="2"/>
          <w:sz w:val="24"/>
          <w:szCs w:val="24"/>
          <w:highlight w:val="none"/>
          <w:lang w:val="en-US" w:eastAsia="zh-CN" w:bidi="ar-SA"/>
        </w:rPr>
        <w:t>3月1</w:t>
      </w:r>
      <w:r>
        <w:rPr>
          <w:rFonts w:ascii="Times New Roman" w:hAnsi="Times New Roman" w:eastAsia="宋体" w:cs="Times New Roman"/>
          <w:bCs/>
          <w:kern w:val="2"/>
          <w:sz w:val="24"/>
          <w:szCs w:val="24"/>
          <w:highlight w:val="none"/>
          <w:lang w:val="en-US" w:eastAsia="zh-CN" w:bidi="ar-SA"/>
        </w:rPr>
        <w:t>6日取得</w:t>
      </w:r>
      <w:r>
        <w:rPr>
          <w:rFonts w:hint="eastAsia" w:ascii="Times New Roman" w:hAnsi="Times New Roman" w:eastAsia="宋体" w:cs="Times New Roman"/>
          <w:bCs/>
          <w:kern w:val="2"/>
          <w:sz w:val="24"/>
          <w:szCs w:val="24"/>
          <w:highlight w:val="none"/>
          <w:lang w:val="en-US" w:eastAsia="zh-CN" w:bidi="ar-SA"/>
        </w:rPr>
        <w:t>广元市苍溪生态环境局</w:t>
      </w:r>
      <w:r>
        <w:rPr>
          <w:rFonts w:ascii="Times New Roman" w:hAnsi="Times New Roman" w:eastAsia="宋体" w:cs="Times New Roman"/>
          <w:bCs/>
          <w:kern w:val="2"/>
          <w:sz w:val="24"/>
          <w:szCs w:val="24"/>
          <w:highlight w:val="none"/>
          <w:lang w:val="en-US" w:eastAsia="zh-CN" w:bidi="ar-SA"/>
        </w:rPr>
        <w:t>“</w:t>
      </w:r>
      <w:r>
        <w:rPr>
          <w:rFonts w:hint="eastAsia" w:ascii="Times New Roman" w:hAnsi="Times New Roman" w:eastAsia="宋体" w:cs="Times New Roman"/>
          <w:bCs/>
          <w:kern w:val="2"/>
          <w:sz w:val="24"/>
          <w:szCs w:val="24"/>
          <w:highlight w:val="none"/>
          <w:lang w:val="en-US" w:eastAsia="zh-CN" w:bidi="ar-SA"/>
        </w:rPr>
        <w:t>关于苍溪县百利新区污水处理厂项目入河排污口设置论证报告的批复</w:t>
      </w:r>
      <w:r>
        <w:rPr>
          <w:rFonts w:ascii="Times New Roman" w:hAnsi="Times New Roman" w:eastAsia="宋体" w:cs="Times New Roman"/>
          <w:bCs/>
          <w:kern w:val="2"/>
          <w:sz w:val="24"/>
          <w:szCs w:val="24"/>
          <w:highlight w:val="none"/>
          <w:lang w:val="en-US" w:eastAsia="zh-CN" w:bidi="ar-SA"/>
        </w:rPr>
        <w:t>”</w:t>
      </w:r>
      <w:r>
        <w:rPr>
          <w:rFonts w:hint="eastAsia" w:ascii="Times New Roman" w:hAnsi="Times New Roman" w:eastAsia="宋体" w:cs="Times New Roman"/>
          <w:bCs/>
          <w:kern w:val="2"/>
          <w:sz w:val="24"/>
          <w:szCs w:val="24"/>
          <w:highlight w:val="none"/>
          <w:lang w:val="en-US" w:eastAsia="zh-CN" w:bidi="ar-SA"/>
        </w:rPr>
        <w:t>。</w:t>
      </w:r>
    </w:p>
    <w:p>
      <w:pPr>
        <w:widowControl w:val="0"/>
        <w:adjustRightInd w:val="0"/>
        <w:snapToGrid w:val="0"/>
        <w:spacing w:line="360" w:lineRule="auto"/>
        <w:ind w:firstLine="480" w:firstLineChars="200"/>
        <w:jc w:val="both"/>
        <w:rPr>
          <w:rFonts w:ascii="Times New Roman" w:hAnsi="Times New Roman" w:eastAsia="宋体" w:cs="Times New Roman"/>
          <w:bCs/>
          <w:kern w:val="2"/>
          <w:sz w:val="24"/>
          <w:szCs w:val="24"/>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苍溪百利新区污水处理厂工程处理工艺：</w:t>
      </w:r>
      <w:r>
        <w:rPr>
          <w:rFonts w:hint="eastAsia" w:ascii="Times New Roman" w:hAnsi="Times New Roman" w:eastAsia="宋体" w:cs="Times New Roman"/>
          <w:bCs/>
          <w:kern w:val="2"/>
          <w:sz w:val="24"/>
          <w:szCs w:val="24"/>
          <w:highlight w:val="none"/>
          <w:lang w:val="en-US" w:eastAsia="zh-CN" w:bidi="ar-SA"/>
        </w:rPr>
        <w:t>采用以AAO工艺为主的生物处理工艺，含厌氧池、缺氧池、好氧池、沉淀池等、装置还集成水体净化器，污泥采用污泥浓缩机+板框压滤机污泥脱水工艺、消毒采用紫外线污水消毒工艺，出水排放标准按GB18918-2002一级A标准执行。允许最大排放量为7</w:t>
      </w:r>
      <w:r>
        <w:rPr>
          <w:rFonts w:ascii="Times New Roman" w:hAnsi="Times New Roman" w:eastAsia="宋体" w:cs="Times New Roman"/>
          <w:bCs/>
          <w:kern w:val="2"/>
          <w:sz w:val="24"/>
          <w:szCs w:val="24"/>
          <w:highlight w:val="none"/>
          <w:lang w:val="en-US" w:eastAsia="zh-CN" w:bidi="ar-SA"/>
        </w:rPr>
        <w:t>3万t/a，主要污染物最大排放量分别为</w:t>
      </w:r>
      <w:r>
        <w:rPr>
          <w:rFonts w:hint="eastAsia" w:ascii="Times New Roman" w:hAnsi="Times New Roman" w:eastAsia="宋体" w:cs="Times New Roman"/>
          <w:bCs/>
          <w:kern w:val="2"/>
          <w:sz w:val="24"/>
          <w:szCs w:val="24"/>
          <w:highlight w:val="none"/>
          <w:lang w:val="en-US" w:eastAsia="zh-CN" w:bidi="ar-SA"/>
        </w:rPr>
        <w:t>C</w:t>
      </w:r>
      <w:r>
        <w:rPr>
          <w:rFonts w:ascii="Times New Roman" w:hAnsi="Times New Roman" w:eastAsia="宋体" w:cs="Times New Roman"/>
          <w:bCs/>
          <w:kern w:val="2"/>
          <w:sz w:val="24"/>
          <w:szCs w:val="24"/>
          <w:highlight w:val="none"/>
          <w:lang w:val="en-US" w:eastAsia="zh-CN" w:bidi="ar-SA"/>
        </w:rPr>
        <w:t>OD36.5t/a，BOD7.3t/a，SS7.3t/a，氨氮</w:t>
      </w:r>
      <w:r>
        <w:rPr>
          <w:rFonts w:hint="eastAsia" w:ascii="Times New Roman" w:hAnsi="Times New Roman" w:eastAsia="宋体" w:cs="Times New Roman"/>
          <w:bCs/>
          <w:kern w:val="2"/>
          <w:sz w:val="24"/>
          <w:szCs w:val="24"/>
          <w:highlight w:val="none"/>
          <w:lang w:val="en-US" w:eastAsia="zh-CN" w:bidi="ar-SA"/>
        </w:rPr>
        <w:t>3</w:t>
      </w:r>
      <w:r>
        <w:rPr>
          <w:rFonts w:ascii="Times New Roman" w:hAnsi="Times New Roman" w:eastAsia="宋体" w:cs="Times New Roman"/>
          <w:bCs/>
          <w:kern w:val="2"/>
          <w:sz w:val="24"/>
          <w:szCs w:val="24"/>
          <w:highlight w:val="none"/>
          <w:lang w:val="en-US" w:eastAsia="zh-CN" w:bidi="ar-SA"/>
        </w:rPr>
        <w:t>.65t/a，总氮</w:t>
      </w:r>
      <w:r>
        <w:rPr>
          <w:rFonts w:hint="eastAsia" w:ascii="Times New Roman" w:hAnsi="Times New Roman" w:eastAsia="宋体" w:cs="Times New Roman"/>
          <w:bCs/>
          <w:kern w:val="2"/>
          <w:sz w:val="24"/>
          <w:szCs w:val="24"/>
          <w:highlight w:val="none"/>
          <w:lang w:val="en-US" w:eastAsia="zh-CN" w:bidi="ar-SA"/>
        </w:rPr>
        <w:t>1</w:t>
      </w:r>
      <w:r>
        <w:rPr>
          <w:rFonts w:ascii="Times New Roman" w:hAnsi="Times New Roman" w:eastAsia="宋体" w:cs="Times New Roman"/>
          <w:bCs/>
          <w:kern w:val="2"/>
          <w:sz w:val="24"/>
          <w:szCs w:val="24"/>
          <w:highlight w:val="none"/>
          <w:lang w:val="en-US" w:eastAsia="zh-CN" w:bidi="ar-SA"/>
        </w:rPr>
        <w:t>0.95t/a，总磷</w:t>
      </w:r>
      <w:r>
        <w:rPr>
          <w:rFonts w:hint="eastAsia" w:ascii="Times New Roman" w:hAnsi="Times New Roman" w:eastAsia="宋体" w:cs="Times New Roman"/>
          <w:bCs/>
          <w:kern w:val="2"/>
          <w:sz w:val="24"/>
          <w:szCs w:val="24"/>
          <w:highlight w:val="none"/>
          <w:lang w:val="en-US" w:eastAsia="zh-CN" w:bidi="ar-SA"/>
        </w:rPr>
        <w:t>0</w:t>
      </w:r>
      <w:r>
        <w:rPr>
          <w:rFonts w:ascii="Times New Roman" w:hAnsi="Times New Roman" w:eastAsia="宋体" w:cs="Times New Roman"/>
          <w:bCs/>
          <w:kern w:val="2"/>
          <w:sz w:val="24"/>
          <w:szCs w:val="24"/>
          <w:highlight w:val="none"/>
          <w:lang w:val="en-US" w:eastAsia="zh-CN" w:bidi="ar-SA"/>
        </w:rPr>
        <w:t>.36t/a。</w:t>
      </w:r>
    </w:p>
    <w:p>
      <w:pPr>
        <w:widowControl w:val="0"/>
        <w:adjustRightInd w:val="0"/>
        <w:snapToGrid w:val="0"/>
        <w:spacing w:line="360" w:lineRule="auto"/>
        <w:ind w:firstLine="480" w:firstLineChars="200"/>
        <w:jc w:val="both"/>
        <w:rPr>
          <w:rFonts w:ascii="Times New Roman" w:hAnsi="Times New Roman" w:eastAsia="宋体" w:cs="Times New Roman"/>
          <w:bCs/>
          <w:kern w:val="2"/>
          <w:sz w:val="24"/>
          <w:szCs w:val="24"/>
          <w:highlight w:val="none"/>
          <w:lang w:val="en-US" w:eastAsia="zh-CN" w:bidi="ar-SA"/>
        </w:rPr>
      </w:pPr>
      <w:r>
        <w:rPr>
          <w:rFonts w:ascii="Times New Roman" w:hAnsi="Times New Roman" w:eastAsia="宋体" w:cs="Times New Roman"/>
          <w:bCs/>
          <w:kern w:val="2"/>
          <w:sz w:val="24"/>
          <w:szCs w:val="24"/>
          <w:highlight w:val="none"/>
          <w:lang w:val="en-US" w:eastAsia="zh-CN" w:bidi="ar-SA"/>
        </w:rPr>
        <w:t>百利新区污水处理厂服务规模如下：</w:t>
      </w:r>
    </w:p>
    <w:p>
      <w:pPr>
        <w:widowControl w:val="0"/>
        <w:adjustRightInd w:val="0"/>
        <w:snapToGrid w:val="0"/>
        <w:spacing w:line="360" w:lineRule="auto"/>
        <w:ind w:firstLine="0" w:firstLineChars="0"/>
        <w:jc w:val="center"/>
        <w:rPr>
          <w:rFonts w:hint="eastAsia" w:ascii="Times New Roman" w:hAnsi="Times New Roman" w:eastAsia="宋体" w:cs="Times New Roman"/>
          <w:bCs/>
          <w:kern w:val="2"/>
          <w:sz w:val="24"/>
          <w:szCs w:val="21"/>
          <w:highlight w:val="none"/>
          <w:lang w:val="en-US" w:eastAsia="zh-CN" w:bidi="ar-SA"/>
        </w:rPr>
      </w:pPr>
      <w:r>
        <w:rPr>
          <w:rFonts w:ascii="Times New Roman" w:hAnsi="Times New Roman" w:eastAsia="宋体" w:cs="Times New Roman"/>
          <w:bCs/>
          <w:kern w:val="2"/>
          <w:sz w:val="24"/>
          <w:szCs w:val="21"/>
          <w:highlight w:val="none"/>
          <w:lang w:val="en-US" w:eastAsia="zh-CN" w:bidi="ar-SA"/>
        </w:rPr>
        <w:drawing>
          <wp:inline distT="0" distB="0" distL="114300" distR="114300">
            <wp:extent cx="3867785" cy="3615055"/>
            <wp:effectExtent l="0" t="0" r="18415" b="444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38"/>
                    <a:stretch>
                      <a:fillRect/>
                    </a:stretch>
                  </pic:blipFill>
                  <pic:spPr>
                    <a:xfrm>
                      <a:off x="0" y="0"/>
                      <a:ext cx="3867785" cy="3615055"/>
                    </a:xfrm>
                    <a:prstGeom prst="rect">
                      <a:avLst/>
                    </a:prstGeom>
                    <a:noFill/>
                    <a:ln>
                      <a:noFill/>
                    </a:ln>
                  </pic:spPr>
                </pic:pic>
              </a:graphicData>
            </a:graphic>
          </wp:inline>
        </w:drawing>
      </w:r>
    </w:p>
    <w:p>
      <w:pPr>
        <w:widowControl w:val="0"/>
        <w:adjustRightInd w:val="0"/>
        <w:snapToGrid/>
        <w:spacing w:line="240" w:lineRule="auto"/>
        <w:ind w:firstLine="0" w:firstLineChars="0"/>
        <w:jc w:val="center"/>
        <w:rPr>
          <w:rFonts w:ascii="黑体" w:hAnsi="黑体" w:eastAsia="黑体" w:cs="Times New Roman"/>
          <w:bCs/>
          <w:kern w:val="2"/>
          <w:sz w:val="21"/>
          <w:szCs w:val="21"/>
          <w:highlight w:val="none"/>
          <w:lang w:val="en-US" w:eastAsia="zh-CN" w:bidi="ar-SA"/>
        </w:rPr>
      </w:pPr>
      <w:r>
        <w:rPr>
          <w:rFonts w:ascii="Times New Roman" w:hAnsi="Times New Roman" w:eastAsia="黑体" w:cs="Times New Roman"/>
          <w:bCs/>
          <w:kern w:val="2"/>
          <w:sz w:val="21"/>
          <w:szCs w:val="21"/>
          <w:highlight w:val="none"/>
          <w:lang w:val="en-US" w:eastAsia="zh-CN" w:bidi="ar-SA"/>
        </w:rPr>
        <w:t>图3.3-1洗瓦堰再生</w:t>
      </w:r>
      <w:r>
        <w:rPr>
          <w:rFonts w:hint="eastAsia" w:ascii="黑体" w:hAnsi="黑体" w:eastAsia="黑体" w:cs="Times New Roman"/>
          <w:bCs/>
          <w:kern w:val="2"/>
          <w:sz w:val="21"/>
          <w:szCs w:val="21"/>
          <w:highlight w:val="none"/>
          <w:lang w:val="en-US" w:eastAsia="zh-CN" w:bidi="ar-SA"/>
        </w:rPr>
        <w:t>水厂</w:t>
      </w:r>
      <w:r>
        <w:rPr>
          <w:rFonts w:ascii="黑体" w:hAnsi="黑体" w:eastAsia="黑体" w:cs="Times New Roman"/>
          <w:bCs/>
          <w:kern w:val="2"/>
          <w:sz w:val="21"/>
          <w:szCs w:val="21"/>
          <w:highlight w:val="none"/>
          <w:lang w:val="en-US" w:eastAsia="zh-CN" w:bidi="ar-SA"/>
        </w:rPr>
        <w:t>排水分区规划图</w:t>
      </w:r>
    </w:p>
    <w:p>
      <w:pPr>
        <w:widowControl w:val="0"/>
        <w:adjustRightInd w:val="0"/>
        <w:snapToGrid w:val="0"/>
        <w:spacing w:line="360" w:lineRule="auto"/>
        <w:ind w:firstLine="480" w:firstLineChars="200"/>
        <w:jc w:val="both"/>
        <w:rPr>
          <w:rFonts w:ascii="Times New Roman" w:hAnsi="Times New Roman" w:eastAsia="宋体" w:cs="Times New Roman"/>
          <w:bCs/>
          <w:kern w:val="2"/>
          <w:sz w:val="24"/>
          <w:szCs w:val="24"/>
          <w:highlight w:val="none"/>
          <w:lang w:val="en-US" w:eastAsia="zh-CN" w:bidi="ar-SA"/>
        </w:rPr>
      </w:pPr>
      <w:r>
        <w:rPr>
          <w:rFonts w:ascii="Times New Roman" w:hAnsi="Times New Roman" w:eastAsia="宋体" w:cs="Times New Roman"/>
          <w:bCs/>
          <w:kern w:val="2"/>
          <w:sz w:val="24"/>
          <w:szCs w:val="24"/>
          <w:highlight w:val="none"/>
          <w:lang w:val="en-US" w:eastAsia="zh-CN" w:bidi="ar-SA"/>
        </w:rPr>
        <w:t>百利新区污水处理厂</w:t>
      </w:r>
      <w:r>
        <w:rPr>
          <w:rFonts w:hint="eastAsia" w:ascii="Times New Roman" w:hAnsi="Times New Roman" w:eastAsia="宋体" w:cs="Times New Roman"/>
          <w:bCs/>
          <w:kern w:val="2"/>
          <w:sz w:val="24"/>
          <w:szCs w:val="24"/>
          <w:highlight w:val="none"/>
          <w:lang w:val="en-US" w:eastAsia="zh-CN" w:bidi="ar-SA"/>
        </w:rPr>
        <w:t>设计</w:t>
      </w:r>
      <w:r>
        <w:rPr>
          <w:rFonts w:ascii="Times New Roman" w:hAnsi="Times New Roman" w:eastAsia="宋体" w:cs="Times New Roman"/>
          <w:bCs/>
          <w:kern w:val="2"/>
          <w:sz w:val="24"/>
          <w:szCs w:val="24"/>
          <w:highlight w:val="none"/>
          <w:lang w:val="en-US" w:eastAsia="zh-CN" w:bidi="ar-SA"/>
        </w:rPr>
        <w:t>进出水水质如下：</w:t>
      </w:r>
    </w:p>
    <w:p>
      <w:pPr>
        <w:widowControl w:val="0"/>
        <w:spacing w:line="360" w:lineRule="auto"/>
        <w:ind w:firstLine="360" w:firstLineChars="0"/>
        <w:jc w:val="center"/>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表3</w:t>
      </w:r>
      <w:r>
        <w:rPr>
          <w:rFonts w:ascii="Times New Roman" w:hAnsi="Times New Roman" w:eastAsia="黑体" w:cs="Times New Roman"/>
          <w:kern w:val="2"/>
          <w:sz w:val="21"/>
          <w:szCs w:val="20"/>
          <w:highlight w:val="none"/>
          <w:lang w:val="en-US" w:eastAsia="zh-CN" w:bidi="ar-SA"/>
        </w:rPr>
        <w:t>.2-2</w:t>
      </w:r>
      <w:r>
        <w:rPr>
          <w:rFonts w:hint="eastAsia" w:ascii="Times New Roman" w:hAnsi="Times New Roman" w:eastAsia="黑体" w:cs="Times New Roman"/>
          <w:kern w:val="2"/>
          <w:sz w:val="21"/>
          <w:szCs w:val="20"/>
          <w:highlight w:val="none"/>
          <w:lang w:val="en-US" w:eastAsia="zh-CN" w:bidi="ar-SA"/>
        </w:rPr>
        <w:t>百利新区污水处理厂设计进出水水质</w:t>
      </w:r>
    </w:p>
    <w:tbl>
      <w:tblPr>
        <w:tblStyle w:val="39"/>
        <w:tblW w:w="48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1298"/>
        <w:gridCol w:w="1300"/>
        <w:gridCol w:w="1299"/>
        <w:gridCol w:w="1301"/>
        <w:gridCol w:w="1299"/>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0" w:type="pct"/>
            <w:shd w:val="clear" w:color="auto" w:fill="auto"/>
            <w:noWrap w:val="0"/>
            <w:vAlign w:val="top"/>
          </w:tcPr>
          <w:p>
            <w:pPr>
              <w:pStyle w:val="273"/>
              <w:spacing w:beforeLines="0" w:afterLines="0"/>
              <w:rPr>
                <w:rFonts w:ascii="Times New Roman" w:hAnsi="Times New Roman" w:eastAsia="宋体" w:cs="Times New Roman"/>
                <w:b/>
                <w:bCs/>
                <w:sz w:val="21"/>
                <w:highlight w:val="none"/>
              </w:rPr>
            </w:pPr>
            <w:r>
              <w:rPr>
                <w:rFonts w:ascii="Times New Roman" w:hAnsi="Times New Roman" w:eastAsia="宋体" w:cs="Times New Roman"/>
                <w:b/>
                <w:bCs/>
                <w:sz w:val="21"/>
                <w:highlight w:val="none"/>
              </w:rPr>
              <w:t>项目</w:t>
            </w:r>
          </w:p>
        </w:tc>
        <w:tc>
          <w:tcPr>
            <w:tcW w:w="666" w:type="pct"/>
            <w:shd w:val="clear" w:color="auto" w:fill="auto"/>
            <w:noWrap w:val="0"/>
            <w:vAlign w:val="top"/>
          </w:tcPr>
          <w:p>
            <w:pPr>
              <w:pStyle w:val="273"/>
              <w:spacing w:beforeLines="0" w:afterLines="0"/>
              <w:rPr>
                <w:rFonts w:ascii="Times New Roman" w:hAnsi="Times New Roman" w:eastAsia="宋体" w:cs="Times New Roman"/>
                <w:b/>
                <w:bCs/>
                <w:sz w:val="21"/>
                <w:highlight w:val="none"/>
              </w:rPr>
            </w:pPr>
            <w:r>
              <w:rPr>
                <w:rFonts w:ascii="Times New Roman" w:hAnsi="Times New Roman" w:eastAsia="宋体" w:cs="Times New Roman"/>
                <w:b/>
                <w:bCs/>
                <w:sz w:val="21"/>
                <w:highlight w:val="none"/>
              </w:rPr>
              <w:t>COD</w:t>
            </w:r>
          </w:p>
        </w:tc>
        <w:tc>
          <w:tcPr>
            <w:tcW w:w="667" w:type="pct"/>
            <w:shd w:val="clear" w:color="auto" w:fill="auto"/>
            <w:noWrap w:val="0"/>
            <w:vAlign w:val="top"/>
          </w:tcPr>
          <w:p>
            <w:pPr>
              <w:pStyle w:val="273"/>
              <w:spacing w:beforeLines="0" w:afterLines="0"/>
              <w:rPr>
                <w:rFonts w:ascii="Times New Roman" w:hAnsi="Times New Roman" w:eastAsia="宋体" w:cs="Times New Roman"/>
                <w:b/>
                <w:bCs/>
                <w:sz w:val="21"/>
                <w:highlight w:val="none"/>
              </w:rPr>
            </w:pPr>
            <w:r>
              <w:rPr>
                <w:rFonts w:ascii="Times New Roman" w:hAnsi="Times New Roman" w:eastAsia="宋体" w:cs="Times New Roman"/>
                <w:b/>
                <w:bCs/>
                <w:sz w:val="21"/>
                <w:highlight w:val="none"/>
              </w:rPr>
              <w:t>BOD</w:t>
            </w:r>
          </w:p>
        </w:tc>
        <w:tc>
          <w:tcPr>
            <w:tcW w:w="666" w:type="pct"/>
            <w:shd w:val="clear" w:color="auto" w:fill="auto"/>
            <w:noWrap w:val="0"/>
            <w:vAlign w:val="top"/>
          </w:tcPr>
          <w:p>
            <w:pPr>
              <w:pStyle w:val="273"/>
              <w:spacing w:beforeLines="0" w:afterLines="0"/>
              <w:rPr>
                <w:rFonts w:ascii="Times New Roman" w:hAnsi="Times New Roman" w:eastAsia="宋体" w:cs="Times New Roman"/>
                <w:b/>
                <w:bCs/>
                <w:sz w:val="21"/>
                <w:highlight w:val="none"/>
              </w:rPr>
            </w:pPr>
            <w:r>
              <w:rPr>
                <w:rFonts w:ascii="Times New Roman" w:hAnsi="Times New Roman" w:eastAsia="宋体" w:cs="Times New Roman"/>
                <w:b/>
                <w:bCs/>
                <w:sz w:val="21"/>
                <w:highlight w:val="none"/>
              </w:rPr>
              <w:t>SS</w:t>
            </w:r>
          </w:p>
        </w:tc>
        <w:tc>
          <w:tcPr>
            <w:tcW w:w="667" w:type="pct"/>
            <w:shd w:val="clear" w:color="auto" w:fill="auto"/>
            <w:noWrap w:val="0"/>
            <w:vAlign w:val="top"/>
          </w:tcPr>
          <w:p>
            <w:pPr>
              <w:pStyle w:val="273"/>
              <w:spacing w:beforeLines="0" w:afterLines="0"/>
              <w:rPr>
                <w:rFonts w:ascii="Times New Roman" w:hAnsi="Times New Roman" w:eastAsia="宋体" w:cs="Times New Roman"/>
                <w:b/>
                <w:bCs/>
                <w:sz w:val="21"/>
                <w:highlight w:val="none"/>
              </w:rPr>
            </w:pPr>
            <w:r>
              <w:rPr>
                <w:rFonts w:ascii="Times New Roman" w:hAnsi="Times New Roman" w:eastAsia="宋体" w:cs="Times New Roman"/>
                <w:b/>
                <w:bCs/>
                <w:sz w:val="21"/>
                <w:highlight w:val="none"/>
              </w:rPr>
              <w:t>TN</w:t>
            </w:r>
          </w:p>
        </w:tc>
        <w:tc>
          <w:tcPr>
            <w:tcW w:w="666" w:type="pct"/>
            <w:shd w:val="clear" w:color="auto" w:fill="auto"/>
            <w:noWrap w:val="0"/>
            <w:vAlign w:val="top"/>
          </w:tcPr>
          <w:p>
            <w:pPr>
              <w:pStyle w:val="273"/>
              <w:spacing w:beforeLines="0" w:afterLines="0"/>
              <w:rPr>
                <w:rFonts w:ascii="Times New Roman" w:hAnsi="Times New Roman" w:eastAsia="宋体" w:cs="Times New Roman"/>
                <w:b/>
                <w:bCs/>
                <w:sz w:val="21"/>
                <w:highlight w:val="none"/>
              </w:rPr>
            </w:pPr>
            <w:r>
              <w:rPr>
                <w:rFonts w:ascii="Times New Roman" w:hAnsi="Times New Roman" w:eastAsia="宋体" w:cs="Times New Roman"/>
                <w:b/>
                <w:bCs/>
                <w:sz w:val="21"/>
                <w:highlight w:val="none"/>
              </w:rPr>
              <w:t>NH</w:t>
            </w:r>
            <w:r>
              <w:rPr>
                <w:rFonts w:ascii="Times New Roman" w:hAnsi="Times New Roman" w:eastAsia="宋体" w:cs="Times New Roman"/>
                <w:b/>
                <w:bCs/>
                <w:sz w:val="21"/>
                <w:highlight w:val="none"/>
                <w:vertAlign w:val="subscript"/>
              </w:rPr>
              <w:t>3</w:t>
            </w:r>
            <w:r>
              <w:rPr>
                <w:rFonts w:ascii="Times New Roman" w:hAnsi="Times New Roman" w:eastAsia="宋体" w:cs="Times New Roman"/>
                <w:b/>
                <w:bCs/>
                <w:sz w:val="21"/>
                <w:highlight w:val="none"/>
              </w:rPr>
              <w:t>-N</w:t>
            </w:r>
          </w:p>
        </w:tc>
        <w:tc>
          <w:tcPr>
            <w:tcW w:w="667" w:type="pct"/>
            <w:shd w:val="clear" w:color="auto" w:fill="auto"/>
            <w:noWrap w:val="0"/>
            <w:vAlign w:val="top"/>
          </w:tcPr>
          <w:p>
            <w:pPr>
              <w:pStyle w:val="273"/>
              <w:spacing w:beforeLines="0" w:afterLines="0"/>
              <w:rPr>
                <w:rFonts w:ascii="Times New Roman" w:hAnsi="Times New Roman" w:eastAsia="宋体" w:cs="Times New Roman"/>
                <w:b/>
                <w:bCs/>
                <w:sz w:val="21"/>
                <w:highlight w:val="none"/>
              </w:rPr>
            </w:pPr>
            <w:r>
              <w:rPr>
                <w:rFonts w:ascii="Times New Roman" w:hAnsi="Times New Roman" w:eastAsia="宋体" w:cs="Times New Roman"/>
                <w:b/>
                <w:bCs/>
                <w:sz w:val="21"/>
                <w:highlight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0"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设计进水（mg/L）</w:t>
            </w:r>
          </w:p>
        </w:tc>
        <w:tc>
          <w:tcPr>
            <w:tcW w:w="666"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380</w:t>
            </w:r>
          </w:p>
        </w:tc>
        <w:tc>
          <w:tcPr>
            <w:tcW w:w="667"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170</w:t>
            </w:r>
          </w:p>
        </w:tc>
        <w:tc>
          <w:tcPr>
            <w:tcW w:w="666"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150</w:t>
            </w:r>
          </w:p>
        </w:tc>
        <w:tc>
          <w:tcPr>
            <w:tcW w:w="667"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55</w:t>
            </w:r>
          </w:p>
        </w:tc>
        <w:tc>
          <w:tcPr>
            <w:tcW w:w="666"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46</w:t>
            </w:r>
          </w:p>
        </w:tc>
        <w:tc>
          <w:tcPr>
            <w:tcW w:w="667"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0"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设计出水（mg/L）</w:t>
            </w:r>
          </w:p>
        </w:tc>
        <w:tc>
          <w:tcPr>
            <w:tcW w:w="666"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50</w:t>
            </w:r>
          </w:p>
        </w:tc>
        <w:tc>
          <w:tcPr>
            <w:tcW w:w="667"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10</w:t>
            </w:r>
          </w:p>
        </w:tc>
        <w:tc>
          <w:tcPr>
            <w:tcW w:w="666"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10</w:t>
            </w:r>
          </w:p>
        </w:tc>
        <w:tc>
          <w:tcPr>
            <w:tcW w:w="667"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15</w:t>
            </w:r>
          </w:p>
        </w:tc>
        <w:tc>
          <w:tcPr>
            <w:tcW w:w="666"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5（8）</w:t>
            </w:r>
          </w:p>
        </w:tc>
        <w:tc>
          <w:tcPr>
            <w:tcW w:w="667" w:type="pct"/>
            <w:shd w:val="clear" w:color="auto" w:fill="auto"/>
            <w:noWrap w:val="0"/>
            <w:vAlign w:val="top"/>
          </w:tcPr>
          <w:p>
            <w:pPr>
              <w:pStyle w:val="273"/>
              <w:spacing w:beforeLines="0" w:afterLines="0"/>
              <w:rPr>
                <w:rFonts w:ascii="Times New Roman" w:hAnsi="Times New Roman" w:eastAsia="宋体" w:cs="Times New Roman"/>
                <w:sz w:val="21"/>
                <w:highlight w:val="none"/>
              </w:rPr>
            </w:pPr>
            <w:r>
              <w:rPr>
                <w:rFonts w:ascii="Times New Roman" w:hAnsi="Times New Roman" w:eastAsia="宋体" w:cs="Times New Roman"/>
                <w:sz w:val="21"/>
                <w:highlight w:val="none"/>
              </w:rPr>
              <w:t>0.5</w:t>
            </w:r>
          </w:p>
        </w:tc>
      </w:tr>
    </w:tbl>
    <w:p>
      <w:pPr>
        <w:widowControl w:val="0"/>
        <w:adjustRightInd w:val="0"/>
        <w:snapToGrid w:val="0"/>
        <w:spacing w:line="360" w:lineRule="auto"/>
        <w:ind w:firstLine="480" w:firstLineChars="200"/>
        <w:jc w:val="both"/>
        <w:rPr>
          <w:rFonts w:ascii="Times New Roman" w:hAnsi="Times New Roman" w:eastAsia="宋体" w:cs="Times New Roman"/>
          <w:bCs/>
          <w:kern w:val="2"/>
          <w:sz w:val="24"/>
          <w:szCs w:val="24"/>
          <w:highlight w:val="none"/>
          <w:lang w:val="en-US" w:eastAsia="zh-CN" w:bidi="ar-SA"/>
        </w:rPr>
      </w:pPr>
      <w:r>
        <w:rPr>
          <w:rFonts w:hint="eastAsia" w:ascii="Times New Roman" w:hAnsi="Times New Roman" w:eastAsia="宋体" w:cs="Times New Roman"/>
          <w:bCs/>
          <w:kern w:val="2"/>
          <w:sz w:val="24"/>
          <w:szCs w:val="24"/>
          <w:highlight w:val="none"/>
          <w:lang w:val="en-US" w:eastAsia="zh-CN" w:bidi="ar-SA"/>
        </w:rPr>
        <w:t>百利新区污水处理厂排口设置情况如下：</w:t>
      </w:r>
    </w:p>
    <w:p>
      <w:pPr>
        <w:widowControl w:val="0"/>
        <w:spacing w:line="360" w:lineRule="auto"/>
        <w:ind w:firstLine="360" w:firstLineChars="0"/>
        <w:jc w:val="center"/>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表3</w:t>
      </w:r>
      <w:r>
        <w:rPr>
          <w:rFonts w:ascii="Times New Roman" w:hAnsi="Times New Roman" w:eastAsia="黑体" w:cs="Times New Roman"/>
          <w:kern w:val="2"/>
          <w:sz w:val="21"/>
          <w:szCs w:val="20"/>
          <w:highlight w:val="none"/>
          <w:lang w:val="en-US" w:eastAsia="zh-CN" w:bidi="ar-SA"/>
        </w:rPr>
        <w:t>.2-3</w:t>
      </w:r>
      <w:r>
        <w:rPr>
          <w:rFonts w:hint="eastAsia" w:ascii="Times New Roman" w:hAnsi="Times New Roman" w:eastAsia="黑体" w:cs="Times New Roman"/>
          <w:kern w:val="2"/>
          <w:sz w:val="21"/>
          <w:szCs w:val="20"/>
          <w:highlight w:val="none"/>
          <w:lang w:val="en-US" w:eastAsia="zh-CN" w:bidi="ar-SA"/>
        </w:rPr>
        <w:t>百利新区污水处理厂设计进出水水质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6"/>
        <w:gridCol w:w="722"/>
        <w:gridCol w:w="706"/>
        <w:gridCol w:w="741"/>
        <w:gridCol w:w="636"/>
        <w:gridCol w:w="751"/>
        <w:gridCol w:w="1274"/>
        <w:gridCol w:w="568"/>
        <w:gridCol w:w="570"/>
        <w:gridCol w:w="1056"/>
        <w:gridCol w:w="710"/>
        <w:gridCol w:w="839"/>
        <w:gridCol w:w="9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5" w:hRule="atLeast"/>
          <w:tblHeader/>
          <w:jc w:val="center"/>
        </w:trPr>
        <w:tc>
          <w:tcPr>
            <w:tcW w:w="141" w:type="pct"/>
            <w:vMerge w:val="restar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序号</w:t>
            </w:r>
          </w:p>
        </w:tc>
        <w:tc>
          <w:tcPr>
            <w:tcW w:w="370" w:type="pct"/>
            <w:vMerge w:val="restar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排放口编号</w:t>
            </w:r>
          </w:p>
        </w:tc>
        <w:tc>
          <w:tcPr>
            <w:tcW w:w="742" w:type="pct"/>
            <w:gridSpan w:val="2"/>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排放口地理坐标（a）</w:t>
            </w:r>
          </w:p>
        </w:tc>
        <w:tc>
          <w:tcPr>
            <w:tcW w:w="326" w:type="pct"/>
            <w:vMerge w:val="restar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废水排放量</w:t>
            </w:r>
          </w:p>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/（万t/</w:t>
            </w:r>
            <w:r>
              <w:rPr>
                <w:rFonts w:hint="eastAsia" w:ascii="Times New Roman" w:hAnsi="Times New Roman" w:eastAsia="宋体" w:cs="Times New Roman"/>
                <w:bCs/>
                <w:sz w:val="21"/>
                <w:highlight w:val="none"/>
              </w:rPr>
              <w:t>d</w:t>
            </w:r>
            <w:r>
              <w:rPr>
                <w:rFonts w:ascii="Times New Roman" w:hAnsi="Times New Roman" w:eastAsia="宋体" w:cs="Times New Roman"/>
                <w:bCs/>
                <w:sz w:val="21"/>
                <w:highlight w:val="none"/>
              </w:rPr>
              <w:t>）</w:t>
            </w:r>
          </w:p>
        </w:tc>
        <w:tc>
          <w:tcPr>
            <w:tcW w:w="385" w:type="pct"/>
            <w:vMerge w:val="restar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排放去向</w:t>
            </w:r>
          </w:p>
        </w:tc>
        <w:tc>
          <w:tcPr>
            <w:tcW w:w="653" w:type="pct"/>
            <w:vMerge w:val="restar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排放规律</w:t>
            </w:r>
          </w:p>
        </w:tc>
        <w:tc>
          <w:tcPr>
            <w:tcW w:w="291" w:type="pct"/>
            <w:vMerge w:val="restar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间歇排放时段</w:t>
            </w:r>
          </w:p>
        </w:tc>
        <w:tc>
          <w:tcPr>
            <w:tcW w:w="833" w:type="pct"/>
            <w:gridSpan w:val="2"/>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自然受纳水体</w:t>
            </w:r>
          </w:p>
        </w:tc>
        <w:tc>
          <w:tcPr>
            <w:tcW w:w="794" w:type="pct"/>
            <w:gridSpan w:val="2"/>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汇入受纳自然水体处地理坐标（d）</w:t>
            </w:r>
          </w:p>
        </w:tc>
        <w:tc>
          <w:tcPr>
            <w:tcW w:w="465" w:type="pc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备注（e）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blHeader/>
          <w:jc w:val="center"/>
        </w:trPr>
        <w:tc>
          <w:tcPr>
            <w:tcW w:w="141" w:type="pct"/>
            <w:vMerge w:val="continue"/>
            <w:noWrap w:val="0"/>
            <w:vAlign w:val="center"/>
          </w:tcPr>
          <w:p>
            <w:pPr>
              <w:pStyle w:val="273"/>
              <w:spacing w:beforeLines="0" w:afterLines="0"/>
              <w:rPr>
                <w:rFonts w:ascii="Times New Roman" w:hAnsi="Times New Roman" w:eastAsia="宋体" w:cs="Times New Roman"/>
                <w:bCs/>
                <w:sz w:val="21"/>
                <w:highlight w:val="none"/>
              </w:rPr>
            </w:pPr>
          </w:p>
        </w:tc>
        <w:tc>
          <w:tcPr>
            <w:tcW w:w="370" w:type="pct"/>
            <w:vMerge w:val="continue"/>
            <w:noWrap w:val="0"/>
            <w:vAlign w:val="center"/>
          </w:tcPr>
          <w:p>
            <w:pPr>
              <w:pStyle w:val="273"/>
              <w:spacing w:beforeLines="0" w:afterLines="0"/>
              <w:rPr>
                <w:rFonts w:ascii="Times New Roman" w:hAnsi="Times New Roman" w:eastAsia="宋体" w:cs="Times New Roman"/>
                <w:bCs/>
                <w:sz w:val="21"/>
                <w:highlight w:val="none"/>
              </w:rPr>
            </w:pPr>
          </w:p>
        </w:tc>
        <w:tc>
          <w:tcPr>
            <w:tcW w:w="362" w:type="pc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经度</w:t>
            </w:r>
          </w:p>
        </w:tc>
        <w:tc>
          <w:tcPr>
            <w:tcW w:w="379" w:type="pc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纬度</w:t>
            </w:r>
          </w:p>
        </w:tc>
        <w:tc>
          <w:tcPr>
            <w:tcW w:w="326" w:type="pct"/>
            <w:vMerge w:val="continue"/>
            <w:noWrap w:val="0"/>
            <w:vAlign w:val="center"/>
          </w:tcPr>
          <w:p>
            <w:pPr>
              <w:pStyle w:val="273"/>
              <w:spacing w:beforeLines="0" w:afterLines="0"/>
              <w:rPr>
                <w:rFonts w:ascii="Times New Roman" w:hAnsi="Times New Roman" w:eastAsia="宋体" w:cs="Times New Roman"/>
                <w:bCs/>
                <w:sz w:val="21"/>
                <w:highlight w:val="none"/>
              </w:rPr>
            </w:pPr>
          </w:p>
        </w:tc>
        <w:tc>
          <w:tcPr>
            <w:tcW w:w="385" w:type="pct"/>
            <w:vMerge w:val="continue"/>
            <w:noWrap w:val="0"/>
            <w:vAlign w:val="center"/>
          </w:tcPr>
          <w:p>
            <w:pPr>
              <w:pStyle w:val="273"/>
              <w:spacing w:beforeLines="0" w:afterLines="0"/>
              <w:rPr>
                <w:rFonts w:ascii="Times New Roman" w:hAnsi="Times New Roman" w:eastAsia="宋体" w:cs="Times New Roman"/>
                <w:bCs/>
                <w:sz w:val="21"/>
                <w:highlight w:val="none"/>
              </w:rPr>
            </w:pPr>
          </w:p>
        </w:tc>
        <w:tc>
          <w:tcPr>
            <w:tcW w:w="653" w:type="pct"/>
            <w:vMerge w:val="continue"/>
            <w:noWrap w:val="0"/>
            <w:vAlign w:val="center"/>
          </w:tcPr>
          <w:p>
            <w:pPr>
              <w:pStyle w:val="273"/>
              <w:spacing w:beforeLines="0" w:afterLines="0"/>
              <w:rPr>
                <w:rFonts w:ascii="Times New Roman" w:hAnsi="Times New Roman" w:eastAsia="宋体" w:cs="Times New Roman"/>
                <w:bCs/>
                <w:sz w:val="21"/>
                <w:highlight w:val="none"/>
              </w:rPr>
            </w:pPr>
          </w:p>
        </w:tc>
        <w:tc>
          <w:tcPr>
            <w:tcW w:w="291" w:type="pct"/>
            <w:vMerge w:val="continue"/>
            <w:noWrap w:val="0"/>
            <w:vAlign w:val="center"/>
          </w:tcPr>
          <w:p>
            <w:pPr>
              <w:pStyle w:val="273"/>
              <w:spacing w:beforeLines="0" w:afterLines="0"/>
              <w:rPr>
                <w:rFonts w:ascii="Times New Roman" w:hAnsi="Times New Roman" w:eastAsia="宋体" w:cs="Times New Roman"/>
                <w:bCs/>
                <w:sz w:val="21"/>
                <w:highlight w:val="none"/>
              </w:rPr>
            </w:pPr>
          </w:p>
        </w:tc>
        <w:tc>
          <w:tcPr>
            <w:tcW w:w="292" w:type="pc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名称（b）</w:t>
            </w:r>
          </w:p>
        </w:tc>
        <w:tc>
          <w:tcPr>
            <w:tcW w:w="541" w:type="pc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受纳水体功能目标（c）</w:t>
            </w:r>
          </w:p>
        </w:tc>
        <w:tc>
          <w:tcPr>
            <w:tcW w:w="364" w:type="pc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经度</w:t>
            </w:r>
          </w:p>
        </w:tc>
        <w:tc>
          <w:tcPr>
            <w:tcW w:w="430" w:type="pc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纬度</w:t>
            </w:r>
          </w:p>
        </w:tc>
        <w:tc>
          <w:tcPr>
            <w:tcW w:w="465" w:type="pct"/>
            <w:noWrap w:val="0"/>
            <w:vAlign w:val="center"/>
          </w:tcPr>
          <w:p>
            <w:pPr>
              <w:pStyle w:val="273"/>
              <w:spacing w:beforeLines="0" w:afterLines="0"/>
              <w:rPr>
                <w:rFonts w:hint="eastAsia" w:ascii="Times New Roman" w:hAnsi="Times New Roman" w:eastAsia="宋体" w:cs="Times New Roman"/>
                <w:bCs/>
                <w:sz w:val="21"/>
                <w:highlight w:val="none"/>
              </w:rPr>
            </w:pPr>
            <w:r>
              <w:rPr>
                <w:rFonts w:hint="eastAsia" w:ascii="Times New Roman" w:hAnsi="Times New Roman" w:eastAsia="宋体" w:cs="Times New Roman"/>
                <w:bCs/>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4" w:hRule="atLeast"/>
          <w:jc w:val="center"/>
        </w:trPr>
        <w:tc>
          <w:tcPr>
            <w:tcW w:w="141" w:type="pc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1</w:t>
            </w:r>
          </w:p>
        </w:tc>
        <w:tc>
          <w:tcPr>
            <w:tcW w:w="370" w:type="pc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DW</w:t>
            </w:r>
          </w:p>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001</w:t>
            </w:r>
          </w:p>
        </w:tc>
        <w:tc>
          <w:tcPr>
            <w:tcW w:w="362" w:type="pct"/>
            <w:noWrap w:val="0"/>
            <w:vAlign w:val="center"/>
          </w:tcPr>
          <w:p>
            <w:pPr>
              <w:pStyle w:val="273"/>
              <w:spacing w:beforeLines="0" w:afterLines="0"/>
              <w:rPr>
                <w:rFonts w:hint="eastAsia" w:ascii="Times New Roman" w:hAnsi="Times New Roman" w:eastAsia="宋体" w:cs="Times New Roman"/>
                <w:bCs/>
                <w:sz w:val="21"/>
                <w:highlight w:val="none"/>
              </w:rPr>
            </w:pPr>
            <w:r>
              <w:rPr>
                <w:rFonts w:hint="eastAsia" w:ascii="Times New Roman" w:hAnsi="Times New Roman" w:eastAsia="宋体" w:cs="Times New Roman"/>
                <w:bCs/>
                <w:sz w:val="21"/>
                <w:highlight w:val="none"/>
              </w:rPr>
              <w:t>105.919217°</w:t>
            </w:r>
          </w:p>
        </w:tc>
        <w:tc>
          <w:tcPr>
            <w:tcW w:w="379" w:type="pct"/>
            <w:noWrap w:val="0"/>
            <w:vAlign w:val="center"/>
          </w:tcPr>
          <w:p>
            <w:pPr>
              <w:pStyle w:val="273"/>
              <w:spacing w:beforeLines="0" w:afterLines="0"/>
              <w:rPr>
                <w:rFonts w:ascii="Times New Roman" w:hAnsi="Times New Roman" w:eastAsia="宋体" w:cs="Times New Roman"/>
                <w:bCs/>
                <w:sz w:val="21"/>
                <w:highlight w:val="none"/>
              </w:rPr>
            </w:pPr>
            <w:r>
              <w:rPr>
                <w:rFonts w:hint="eastAsia" w:ascii="Times New Roman" w:hAnsi="Times New Roman" w:eastAsia="宋体" w:cs="Times New Roman"/>
                <w:bCs/>
                <w:sz w:val="21"/>
                <w:highlight w:val="none"/>
              </w:rPr>
              <w:t>31.668130°</w:t>
            </w:r>
          </w:p>
        </w:tc>
        <w:tc>
          <w:tcPr>
            <w:tcW w:w="326" w:type="pct"/>
            <w:noWrap w:val="0"/>
            <w:vAlign w:val="center"/>
          </w:tcPr>
          <w:p>
            <w:pPr>
              <w:pStyle w:val="273"/>
              <w:spacing w:beforeLines="0" w:afterLines="0"/>
              <w:rPr>
                <w:rFonts w:ascii="Times New Roman" w:hAnsi="Times New Roman" w:eastAsia="宋体" w:cs="Times New Roman"/>
                <w:bCs/>
                <w:sz w:val="21"/>
                <w:highlight w:val="none"/>
              </w:rPr>
            </w:pPr>
            <w:r>
              <w:rPr>
                <w:rFonts w:hint="eastAsia" w:ascii="Times New Roman" w:hAnsi="Times New Roman" w:eastAsia="宋体" w:cs="Times New Roman"/>
                <w:bCs/>
                <w:sz w:val="21"/>
                <w:highlight w:val="none"/>
              </w:rPr>
              <w:t>0.4</w:t>
            </w:r>
          </w:p>
        </w:tc>
        <w:tc>
          <w:tcPr>
            <w:tcW w:w="385" w:type="pc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直接进入江河、湖、库等水环境</w:t>
            </w:r>
          </w:p>
        </w:tc>
        <w:tc>
          <w:tcPr>
            <w:tcW w:w="653" w:type="pc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连续排放，流量不稳定且无规律，但不属于冲击型排放</w:t>
            </w:r>
          </w:p>
        </w:tc>
        <w:tc>
          <w:tcPr>
            <w:tcW w:w="291" w:type="pc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w:t>
            </w:r>
          </w:p>
        </w:tc>
        <w:tc>
          <w:tcPr>
            <w:tcW w:w="292" w:type="pct"/>
            <w:noWrap w:val="0"/>
            <w:vAlign w:val="center"/>
          </w:tcPr>
          <w:p>
            <w:pPr>
              <w:pStyle w:val="273"/>
              <w:spacing w:beforeLines="0" w:afterLines="0"/>
              <w:rPr>
                <w:rFonts w:hint="eastAsia" w:ascii="Times New Roman" w:hAnsi="Times New Roman" w:eastAsia="宋体" w:cs="Times New Roman"/>
                <w:bCs/>
                <w:sz w:val="21"/>
                <w:highlight w:val="none"/>
              </w:rPr>
            </w:pPr>
            <w:r>
              <w:rPr>
                <w:rFonts w:hint="eastAsia" w:ascii="Times New Roman" w:hAnsi="Times New Roman" w:eastAsia="宋体" w:cs="Times New Roman"/>
                <w:bCs/>
                <w:sz w:val="21"/>
                <w:highlight w:val="none"/>
              </w:rPr>
              <w:t>嘉陵江</w:t>
            </w:r>
          </w:p>
        </w:tc>
        <w:tc>
          <w:tcPr>
            <w:tcW w:w="541" w:type="pct"/>
            <w:noWrap w:val="0"/>
            <w:vAlign w:val="center"/>
          </w:tcPr>
          <w:p>
            <w:pPr>
              <w:pStyle w:val="273"/>
              <w:spacing w:beforeLines="0" w:afterLines="0"/>
              <w:rPr>
                <w:rFonts w:ascii="Times New Roman" w:hAnsi="Times New Roman" w:eastAsia="宋体" w:cs="Times New Roman"/>
                <w:bCs/>
                <w:sz w:val="21"/>
                <w:highlight w:val="none"/>
              </w:rPr>
            </w:pPr>
            <w:r>
              <w:rPr>
                <w:rFonts w:ascii="Times New Roman" w:hAnsi="Times New Roman" w:eastAsia="宋体" w:cs="Times New Roman"/>
                <w:bCs/>
                <w:sz w:val="21"/>
                <w:highlight w:val="none"/>
              </w:rPr>
              <w:t>Ⅲ类</w:t>
            </w:r>
          </w:p>
        </w:tc>
        <w:tc>
          <w:tcPr>
            <w:tcW w:w="364" w:type="pct"/>
            <w:noWrap w:val="0"/>
            <w:vAlign w:val="center"/>
          </w:tcPr>
          <w:p>
            <w:pPr>
              <w:pStyle w:val="273"/>
              <w:spacing w:beforeLines="0" w:afterLines="0"/>
              <w:rPr>
                <w:rFonts w:hint="eastAsia" w:ascii="Times New Roman" w:hAnsi="Times New Roman" w:eastAsia="宋体" w:cs="Times New Roman"/>
                <w:bCs/>
                <w:sz w:val="21"/>
                <w:highlight w:val="none"/>
              </w:rPr>
            </w:pPr>
            <w:r>
              <w:rPr>
                <w:rFonts w:hint="eastAsia" w:ascii="Times New Roman" w:hAnsi="Times New Roman" w:eastAsia="宋体" w:cs="Times New Roman"/>
                <w:bCs/>
                <w:sz w:val="21"/>
                <w:highlight w:val="none"/>
              </w:rPr>
              <w:t>105.919217°</w:t>
            </w:r>
          </w:p>
        </w:tc>
        <w:tc>
          <w:tcPr>
            <w:tcW w:w="430" w:type="pct"/>
            <w:noWrap w:val="0"/>
            <w:vAlign w:val="center"/>
          </w:tcPr>
          <w:p>
            <w:pPr>
              <w:pStyle w:val="273"/>
              <w:spacing w:beforeLines="0" w:afterLines="0"/>
              <w:rPr>
                <w:rFonts w:ascii="Times New Roman" w:hAnsi="Times New Roman" w:eastAsia="宋体" w:cs="Times New Roman"/>
                <w:bCs/>
                <w:sz w:val="21"/>
                <w:highlight w:val="none"/>
              </w:rPr>
            </w:pPr>
            <w:r>
              <w:rPr>
                <w:rFonts w:hint="eastAsia" w:ascii="Times New Roman" w:hAnsi="Times New Roman" w:eastAsia="宋体" w:cs="Times New Roman"/>
                <w:bCs/>
                <w:sz w:val="21"/>
                <w:highlight w:val="none"/>
              </w:rPr>
              <w:t>31.668130°</w:t>
            </w:r>
          </w:p>
        </w:tc>
        <w:tc>
          <w:tcPr>
            <w:tcW w:w="465" w:type="pct"/>
            <w:noWrap w:val="0"/>
            <w:vAlign w:val="center"/>
          </w:tcPr>
          <w:p>
            <w:pPr>
              <w:pStyle w:val="273"/>
              <w:spacing w:beforeLines="0" w:afterLines="0"/>
              <w:rPr>
                <w:rFonts w:ascii="Times New Roman" w:hAnsi="Times New Roman" w:eastAsia="宋体" w:cs="Times New Roman"/>
                <w:bCs/>
                <w:sz w:val="21"/>
                <w:highlight w:val="none"/>
              </w:rPr>
            </w:pPr>
            <w:r>
              <w:rPr>
                <w:rFonts w:hint="eastAsia" w:ascii="Times New Roman" w:hAnsi="Times New Roman" w:eastAsia="宋体" w:cs="Times New Roman"/>
                <w:bCs/>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5000" w:type="pct"/>
            <w:gridSpan w:val="13"/>
            <w:noWrap w:val="0"/>
            <w:vAlign w:val="center"/>
          </w:tcPr>
          <w:p>
            <w:pPr>
              <w:pStyle w:val="273"/>
              <w:spacing w:beforeLines="0" w:afterLines="0"/>
              <w:jc w:val="left"/>
              <w:rPr>
                <w:rFonts w:ascii="Times New Roman" w:hAnsi="Times New Roman" w:eastAsia="宋体" w:cs="Times New Roman"/>
                <w:bCs/>
                <w:sz w:val="21"/>
                <w:highlight w:val="none"/>
              </w:rPr>
            </w:pPr>
            <w:r>
              <w:rPr>
                <w:rFonts w:hint="eastAsia" w:ascii="Times New Roman" w:hAnsi="Times New Roman" w:eastAsia="宋体" w:cs="Times New Roman"/>
                <w:bCs/>
                <w:sz w:val="21"/>
                <w:highlight w:val="none"/>
              </w:rPr>
              <w:t>a</w:t>
            </w:r>
            <w:r>
              <w:rPr>
                <w:rFonts w:ascii="Times New Roman" w:hAnsi="Times New Roman" w:eastAsia="宋体" w:cs="Times New Roman"/>
                <w:bCs/>
                <w:sz w:val="21"/>
                <w:highlight w:val="none"/>
              </w:rPr>
              <w:t>对于直接排放至地表水体的排放口，指废水排出厂界处经纬度坐标；纳入管控的车间或车间处理设施排放口，指废水排出车间或车间处理设施边界处经纬度坐标。</w:t>
            </w:r>
            <w:r>
              <w:rPr>
                <w:rFonts w:ascii="Times New Roman" w:hAnsi="Times New Roman" w:eastAsia="宋体" w:cs="Times New Roman"/>
                <w:bCs/>
                <w:sz w:val="21"/>
                <w:highlight w:val="none"/>
              </w:rPr>
              <w:cr/>
            </w:r>
            <w:r>
              <w:rPr>
                <w:rFonts w:hint="eastAsia" w:ascii="Times New Roman" w:hAnsi="Times New Roman" w:eastAsia="宋体" w:cs="Times New Roman"/>
                <w:bCs/>
                <w:sz w:val="21"/>
                <w:highlight w:val="none"/>
              </w:rPr>
              <w:t>b</w:t>
            </w:r>
            <w:r>
              <w:rPr>
                <w:rFonts w:ascii="Times New Roman" w:hAnsi="Times New Roman" w:eastAsia="宋体" w:cs="Times New Roman"/>
                <w:bCs/>
                <w:sz w:val="21"/>
                <w:highlight w:val="none"/>
              </w:rPr>
              <w:t>指受纳水体的名称如南沙河、太子河、温榆河等。</w:t>
            </w:r>
          </w:p>
          <w:p>
            <w:pPr>
              <w:pStyle w:val="273"/>
              <w:spacing w:beforeLines="0" w:afterLines="0"/>
              <w:jc w:val="left"/>
              <w:rPr>
                <w:rFonts w:ascii="Times New Roman" w:hAnsi="Times New Roman" w:eastAsia="宋体" w:cs="Times New Roman"/>
                <w:bCs/>
                <w:sz w:val="21"/>
                <w:highlight w:val="none"/>
              </w:rPr>
            </w:pPr>
            <w:r>
              <w:rPr>
                <w:rFonts w:hint="eastAsia" w:ascii="Times New Roman" w:hAnsi="Times New Roman" w:eastAsia="宋体" w:cs="Times New Roman"/>
                <w:bCs/>
                <w:sz w:val="21"/>
                <w:highlight w:val="none"/>
              </w:rPr>
              <w:t>c</w:t>
            </w:r>
            <w:r>
              <w:rPr>
                <w:rFonts w:ascii="Times New Roman" w:hAnsi="Times New Roman" w:eastAsia="宋体" w:cs="Times New Roman"/>
                <w:bCs/>
                <w:sz w:val="21"/>
                <w:highlight w:val="none"/>
              </w:rPr>
              <w:t>指对于直接排放至地表水体的排放口，其所处受纳水体功能类别，如Ⅲ类、Ⅳ类、Ⅴ类等。</w:t>
            </w:r>
          </w:p>
          <w:p>
            <w:pPr>
              <w:pStyle w:val="273"/>
              <w:spacing w:beforeLines="0" w:afterLines="0"/>
              <w:jc w:val="left"/>
              <w:rPr>
                <w:rFonts w:ascii="Times New Roman" w:hAnsi="Times New Roman" w:eastAsia="宋体" w:cs="Times New Roman"/>
                <w:bCs/>
                <w:sz w:val="21"/>
                <w:highlight w:val="none"/>
              </w:rPr>
            </w:pPr>
            <w:r>
              <w:rPr>
                <w:rFonts w:hint="eastAsia" w:ascii="Times New Roman" w:hAnsi="Times New Roman" w:eastAsia="宋体" w:cs="Times New Roman"/>
                <w:bCs/>
                <w:sz w:val="21"/>
                <w:highlight w:val="none"/>
              </w:rPr>
              <w:t>d</w:t>
            </w:r>
            <w:r>
              <w:rPr>
                <w:rFonts w:ascii="Times New Roman" w:hAnsi="Times New Roman" w:eastAsia="宋体" w:cs="Times New Roman"/>
                <w:bCs/>
                <w:sz w:val="21"/>
                <w:highlight w:val="none"/>
              </w:rPr>
              <w:t>对于直接排放至地表水体的排放口，指废水汇入地表水体处经纬度坐标。</w:t>
            </w:r>
          </w:p>
          <w:p>
            <w:pPr>
              <w:pStyle w:val="273"/>
              <w:spacing w:beforeLines="0" w:afterLines="0"/>
              <w:jc w:val="left"/>
              <w:rPr>
                <w:rFonts w:ascii="Times New Roman" w:hAnsi="Times New Roman" w:eastAsia="宋体" w:cs="Times New Roman"/>
                <w:bCs/>
                <w:sz w:val="21"/>
                <w:highlight w:val="none"/>
              </w:rPr>
            </w:pPr>
            <w:r>
              <w:rPr>
                <w:rFonts w:hint="eastAsia" w:ascii="Times New Roman" w:hAnsi="Times New Roman" w:eastAsia="宋体" w:cs="Times New Roman"/>
                <w:bCs/>
                <w:sz w:val="21"/>
                <w:highlight w:val="none"/>
              </w:rPr>
              <w:t>e</w:t>
            </w:r>
            <w:r>
              <w:rPr>
                <w:rFonts w:ascii="Times New Roman" w:hAnsi="Times New Roman" w:eastAsia="宋体" w:cs="Times New Roman"/>
                <w:bCs/>
                <w:sz w:val="21"/>
                <w:highlight w:val="none"/>
              </w:rPr>
              <w:t>废水向海洋排放的，应当填写岸边排放或深海排放。深海排放的，还应说明排污口的深度、与岸线直线距离。在备注中填写。</w:t>
            </w:r>
          </w:p>
        </w:tc>
      </w:tr>
    </w:tbl>
    <w:p>
      <w:pPr>
        <w:widowControl w:val="0"/>
        <w:adjustRightInd w:val="0"/>
        <w:snapToGrid w:val="0"/>
        <w:spacing w:line="360" w:lineRule="auto"/>
        <w:ind w:firstLine="480" w:firstLineChars="200"/>
        <w:jc w:val="both"/>
        <w:rPr>
          <w:rFonts w:hint="eastAsia" w:ascii="Times New Roman" w:hAnsi="Times New Roman" w:eastAsia="宋体" w:cs="Times New Roman"/>
          <w:bCs/>
          <w:kern w:val="2"/>
          <w:sz w:val="24"/>
          <w:szCs w:val="24"/>
          <w:highlight w:val="none"/>
          <w:lang w:val="en-US" w:eastAsia="zh-CN" w:bidi="ar-SA"/>
        </w:rPr>
      </w:pP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供电设施</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规划范围内现状为农业用地，现状用电需求较小，1</w:t>
      </w:r>
      <w:r>
        <w:rPr>
          <w:rFonts w:ascii="Times New Roman" w:hAnsi="Times New Roman" w:eastAsia="宋体" w:cs="Times New Roman"/>
          <w:bCs/>
          <w:kern w:val="2"/>
          <w:sz w:val="24"/>
          <w:szCs w:val="21"/>
          <w:highlight w:val="none"/>
          <w:lang w:val="en-US" w:eastAsia="zh-CN" w:bidi="ar-SA"/>
        </w:rPr>
        <w:t>0千伏电源主要由位于区外的</w:t>
      </w:r>
      <w:r>
        <w:rPr>
          <w:rFonts w:hint="eastAsia" w:ascii="Times New Roman" w:hAnsi="Times New Roman" w:eastAsia="宋体" w:cs="Times New Roman"/>
          <w:bCs/>
          <w:kern w:val="2"/>
          <w:sz w:val="24"/>
          <w:szCs w:val="21"/>
          <w:highlight w:val="none"/>
          <w:lang w:val="en-US" w:eastAsia="zh-CN" w:bidi="ar-SA"/>
        </w:rPr>
        <w:t>1</w:t>
      </w:r>
      <w:r>
        <w:rPr>
          <w:rFonts w:ascii="Times New Roman" w:hAnsi="Times New Roman" w:eastAsia="宋体" w:cs="Times New Roman"/>
          <w:bCs/>
          <w:kern w:val="2"/>
          <w:sz w:val="24"/>
          <w:szCs w:val="21"/>
          <w:highlight w:val="none"/>
          <w:lang w:val="en-US" w:eastAsia="zh-CN" w:bidi="ar-SA"/>
        </w:rPr>
        <w:t>00千伏古梁站引入，区内</w:t>
      </w:r>
      <w:r>
        <w:rPr>
          <w:rFonts w:hint="eastAsia" w:ascii="Times New Roman" w:hAnsi="Times New Roman" w:eastAsia="宋体" w:cs="Times New Roman"/>
          <w:bCs/>
          <w:kern w:val="2"/>
          <w:sz w:val="24"/>
          <w:szCs w:val="21"/>
          <w:highlight w:val="none"/>
          <w:lang w:val="en-US" w:eastAsia="zh-CN" w:bidi="ar-SA"/>
        </w:rPr>
        <w:t>1</w:t>
      </w:r>
      <w:r>
        <w:rPr>
          <w:rFonts w:ascii="Times New Roman" w:hAnsi="Times New Roman" w:eastAsia="宋体" w:cs="Times New Roman"/>
          <w:bCs/>
          <w:kern w:val="2"/>
          <w:sz w:val="24"/>
          <w:szCs w:val="21"/>
          <w:highlight w:val="none"/>
          <w:lang w:val="en-US" w:eastAsia="zh-CN" w:bidi="ar-SA"/>
        </w:rPr>
        <w:t>0千伏线路以架空线</w:t>
      </w:r>
      <w:r>
        <w:rPr>
          <w:rFonts w:hint="eastAsia" w:ascii="Times New Roman" w:hAnsi="Times New Roman" w:eastAsia="宋体" w:cs="Times New Roman"/>
          <w:bCs/>
          <w:kern w:val="2"/>
          <w:sz w:val="24"/>
          <w:szCs w:val="21"/>
          <w:highlight w:val="none"/>
          <w:lang w:val="en-US" w:eastAsia="zh-CN" w:bidi="ar-SA"/>
        </w:rPr>
        <w:t>/</w:t>
      </w:r>
      <w:r>
        <w:rPr>
          <w:rFonts w:ascii="Times New Roman" w:hAnsi="Times New Roman" w:eastAsia="宋体" w:cs="Times New Roman"/>
          <w:bCs/>
          <w:kern w:val="2"/>
          <w:sz w:val="24"/>
          <w:szCs w:val="21"/>
          <w:highlight w:val="none"/>
          <w:lang w:val="en-US" w:eastAsia="zh-CN" w:bidi="ar-SA"/>
        </w:rPr>
        <w:t>埋地方式架设</w:t>
      </w:r>
      <w:r>
        <w:rPr>
          <w:rFonts w:hint="eastAsia" w:ascii="Times New Roman" w:hAnsi="Times New Roman" w:eastAsia="宋体" w:cs="Times New Roman"/>
          <w:bCs/>
          <w:kern w:val="2"/>
          <w:sz w:val="24"/>
          <w:szCs w:val="21"/>
          <w:highlight w:val="none"/>
          <w:lang w:val="en-US" w:eastAsia="zh-CN" w:bidi="ar-SA"/>
        </w:rPr>
        <w:t>。</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固废处置设施</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目前，规划区内主要固废为生活来及，生活垃圾经市政环卫部门收集后，规划生活垃圾转运由中节能(南部)环保能源有限公司负责清运至南部县生活垃圾焚烧发电厂进行焚烧处理。</w:t>
      </w:r>
    </w:p>
    <w:p>
      <w:pPr>
        <w:keepNext/>
        <w:keepLines/>
        <w:widowControl w:val="0"/>
        <w:numPr>
          <w:ilvl w:val="1"/>
          <w:numId w:val="9"/>
        </w:numPr>
        <w:spacing w:line="480" w:lineRule="auto"/>
        <w:ind w:left="576" w:hanging="576" w:firstLineChars="0"/>
        <w:jc w:val="both"/>
        <w:outlineLvl w:val="1"/>
        <w:rPr>
          <w:rFonts w:ascii="Times New Roman" w:hAnsi="Times New Roman" w:eastAsia="黑体" w:cs="Times New Roman"/>
          <w:bCs/>
          <w:kern w:val="2"/>
          <w:sz w:val="32"/>
          <w:szCs w:val="32"/>
          <w:highlight w:val="none"/>
          <w:lang w:val="en-US" w:eastAsia="zh-CN" w:bidi="ar-SA"/>
        </w:rPr>
      </w:pPr>
      <w:bookmarkStart w:id="23" w:name="_Toc145434599"/>
      <w:r>
        <w:rPr>
          <w:rFonts w:hint="eastAsia" w:ascii="Times New Roman" w:hAnsi="Times New Roman" w:eastAsia="黑体" w:cs="Times New Roman"/>
          <w:bCs/>
          <w:kern w:val="2"/>
          <w:sz w:val="32"/>
          <w:szCs w:val="32"/>
          <w:highlight w:val="none"/>
          <w:lang w:val="en-US" w:eastAsia="zh-CN" w:bidi="ar-SA"/>
        </w:rPr>
        <w:t>规划区环境污染及治理现状</w:t>
      </w:r>
      <w:bookmarkEnd w:id="23"/>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规划范围内污染源主要分为乡镇生活污染源、农业面源。本次规划范围主要涉及涉及胡家梁社区3个组1180人，金陵村1个组30户120人，共计</w:t>
      </w:r>
      <w:r>
        <w:rPr>
          <w:rFonts w:ascii="Times New Roman" w:hAnsi="Times New Roman" w:eastAsia="宋体" w:cs="Times New Roman"/>
          <w:bCs/>
          <w:kern w:val="2"/>
          <w:sz w:val="24"/>
          <w:szCs w:val="21"/>
          <w:highlight w:val="none"/>
          <w:lang w:val="en-US" w:eastAsia="zh-CN" w:bidi="ar-SA"/>
        </w:rPr>
        <w:t>1800</w:t>
      </w:r>
      <w:r>
        <w:rPr>
          <w:rFonts w:hint="eastAsia" w:ascii="Times New Roman" w:hAnsi="Times New Roman" w:eastAsia="宋体" w:cs="Times New Roman"/>
          <w:bCs/>
          <w:kern w:val="2"/>
          <w:sz w:val="24"/>
          <w:szCs w:val="21"/>
          <w:highlight w:val="none"/>
          <w:lang w:val="en-US" w:eastAsia="zh-CN" w:bidi="ar-SA"/>
        </w:rPr>
        <w:t>人。</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目前区域内暂无建成集中污水处理设施，百利镇现有散居农户已按照农村生活污水治理规划采用化粪池处理生活污水后进行资源化利用。规划范围内居民能源结构为天然气和电，燃气用量按照80m</w:t>
      </w:r>
      <w:r>
        <w:rPr>
          <w:rFonts w:hint="eastAsia" w:ascii="Times New Roman" w:hAnsi="Times New Roman" w:eastAsia="宋体" w:cs="Times New Roman"/>
          <w:bCs/>
          <w:kern w:val="2"/>
          <w:sz w:val="24"/>
          <w:szCs w:val="21"/>
          <w:highlight w:val="none"/>
          <w:vertAlign w:val="superscript"/>
          <w:lang w:val="en-US" w:eastAsia="zh-CN" w:bidi="ar-SA"/>
        </w:rPr>
        <w:t>3</w:t>
      </w:r>
      <w:r>
        <w:rPr>
          <w:rFonts w:hint="eastAsia" w:ascii="Times New Roman" w:hAnsi="Times New Roman" w:eastAsia="宋体" w:cs="Times New Roman"/>
          <w:bCs/>
          <w:kern w:val="2"/>
          <w:sz w:val="24"/>
          <w:szCs w:val="21"/>
          <w:highlight w:val="none"/>
          <w:lang w:val="en-US" w:eastAsia="zh-CN" w:bidi="ar-SA"/>
        </w:rPr>
        <w:t>/人·a计，S总硫参考《天然气国家标准》（GB17820-2018）取值100mg/m</w:t>
      </w:r>
      <w:r>
        <w:rPr>
          <w:rFonts w:hint="eastAsia" w:ascii="Times New Roman" w:hAnsi="Times New Roman" w:eastAsia="宋体" w:cs="Times New Roman"/>
          <w:bCs/>
          <w:kern w:val="2"/>
          <w:sz w:val="24"/>
          <w:szCs w:val="21"/>
          <w:highlight w:val="none"/>
          <w:vertAlign w:val="superscript"/>
          <w:lang w:val="en-US" w:eastAsia="zh-CN" w:bidi="ar-SA"/>
        </w:rPr>
        <w:t>3</w:t>
      </w:r>
      <w:r>
        <w:rPr>
          <w:rFonts w:hint="eastAsia" w:ascii="Times New Roman" w:hAnsi="Times New Roman" w:eastAsia="宋体" w:cs="Times New Roman"/>
          <w:bCs/>
          <w:kern w:val="2"/>
          <w:sz w:val="24"/>
          <w:szCs w:val="21"/>
          <w:highlight w:val="none"/>
          <w:lang w:val="en-US" w:eastAsia="zh-CN" w:bidi="ar-SA"/>
        </w:rPr>
        <w:t>，即SO</w:t>
      </w:r>
      <w:r>
        <w:rPr>
          <w:rFonts w:hint="eastAsia" w:ascii="Times New Roman" w:hAnsi="Times New Roman" w:eastAsia="宋体" w:cs="Times New Roman"/>
          <w:bCs/>
          <w:kern w:val="2"/>
          <w:sz w:val="24"/>
          <w:szCs w:val="21"/>
          <w:highlight w:val="none"/>
          <w:vertAlign w:val="subscript"/>
          <w:lang w:val="en-US" w:eastAsia="zh-CN" w:bidi="ar-SA"/>
        </w:rPr>
        <w:t>2</w:t>
      </w:r>
      <w:r>
        <w:rPr>
          <w:rFonts w:hint="eastAsia" w:ascii="Times New Roman" w:hAnsi="Times New Roman" w:eastAsia="宋体" w:cs="Times New Roman"/>
          <w:bCs/>
          <w:kern w:val="2"/>
          <w:sz w:val="24"/>
          <w:szCs w:val="21"/>
          <w:highlight w:val="none"/>
          <w:lang w:val="en-US" w:eastAsia="zh-CN" w:bidi="ar-SA"/>
        </w:rPr>
        <w:t>计算系数为2kg/万m³天然气，NO</w:t>
      </w:r>
      <w:r>
        <w:rPr>
          <w:rFonts w:hint="eastAsia" w:ascii="Times New Roman" w:hAnsi="Times New Roman" w:eastAsia="宋体" w:cs="Times New Roman"/>
          <w:bCs/>
          <w:kern w:val="2"/>
          <w:sz w:val="24"/>
          <w:szCs w:val="21"/>
          <w:highlight w:val="none"/>
          <w:vertAlign w:val="subscript"/>
          <w:lang w:val="en-US" w:eastAsia="zh-CN" w:bidi="ar-SA"/>
        </w:rPr>
        <w:t>2</w:t>
      </w:r>
      <w:r>
        <w:rPr>
          <w:rFonts w:hint="eastAsia" w:ascii="Times New Roman" w:hAnsi="Times New Roman" w:eastAsia="宋体" w:cs="Times New Roman"/>
          <w:bCs/>
          <w:kern w:val="2"/>
          <w:sz w:val="24"/>
          <w:szCs w:val="21"/>
          <w:highlight w:val="none"/>
          <w:lang w:val="en-US" w:eastAsia="zh-CN" w:bidi="ar-SA"/>
        </w:rPr>
        <w:t>计算系数为18.71kg/万m³天然气，烟尘计算系数为2.86kg/万m³天然气。</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根据三调数据，规划范围内约有农田、果园等7</w:t>
      </w:r>
      <w:r>
        <w:rPr>
          <w:rFonts w:ascii="Times New Roman" w:hAnsi="Times New Roman" w:eastAsia="宋体" w:cs="Times New Roman"/>
          <w:bCs/>
          <w:kern w:val="2"/>
          <w:sz w:val="24"/>
          <w:szCs w:val="21"/>
          <w:highlight w:val="none"/>
          <w:lang w:val="en-US" w:eastAsia="zh-CN" w:bidi="ar-SA"/>
        </w:rPr>
        <w:t>8.09公顷，即1171.37亩，</w:t>
      </w:r>
      <w:r>
        <w:rPr>
          <w:rFonts w:hint="eastAsia" w:ascii="Times New Roman" w:hAnsi="Times New Roman" w:eastAsia="宋体" w:cs="Times New Roman"/>
          <w:bCs/>
          <w:kern w:val="2"/>
          <w:sz w:val="24"/>
          <w:szCs w:val="21"/>
          <w:highlight w:val="none"/>
          <w:lang w:val="en-US" w:eastAsia="zh-CN" w:bidi="ar-SA"/>
        </w:rPr>
        <w:t>规划范围内不涉及养殖企业和养殖户。</w:t>
      </w:r>
    </w:p>
    <w:p>
      <w:pPr>
        <w:widowControl w:val="0"/>
        <w:adjustRightInd w:val="0"/>
        <w:snapToGrid/>
        <w:spacing w:line="360" w:lineRule="auto"/>
        <w:ind w:firstLine="480" w:firstLineChars="200"/>
        <w:jc w:val="both"/>
        <w:rPr>
          <w:rFonts w:ascii="Times New Roman" w:hAnsi="Times New Roman" w:eastAsia="宋体" w:cs="Times New Roman"/>
          <w:bCs/>
          <w:kern w:val="2"/>
          <w:sz w:val="24"/>
          <w:szCs w:val="21"/>
          <w:highlight w:val="none"/>
          <w:lang w:val="en-US" w:eastAsia="zh-CN" w:bidi="ar-SA"/>
        </w:rPr>
      </w:pPr>
      <w:r>
        <w:rPr>
          <w:rFonts w:hint="eastAsia" w:ascii="Times New Roman" w:hAnsi="Times New Roman" w:eastAsia="宋体" w:cs="Times New Roman"/>
          <w:bCs/>
          <w:kern w:val="2"/>
          <w:sz w:val="24"/>
          <w:szCs w:val="21"/>
          <w:highlight w:val="none"/>
          <w:lang w:val="en-US" w:eastAsia="zh-CN" w:bidi="ar-SA"/>
        </w:rPr>
        <w:t>本次规划范围内现有污染物排放量统计如表3</w:t>
      </w:r>
      <w:r>
        <w:rPr>
          <w:rFonts w:ascii="Times New Roman" w:hAnsi="Times New Roman" w:eastAsia="宋体" w:cs="Times New Roman"/>
          <w:bCs/>
          <w:kern w:val="2"/>
          <w:sz w:val="24"/>
          <w:szCs w:val="21"/>
          <w:highlight w:val="none"/>
          <w:lang w:val="en-US" w:eastAsia="zh-CN" w:bidi="ar-SA"/>
        </w:rPr>
        <w:t>.3-4</w:t>
      </w:r>
      <w:r>
        <w:rPr>
          <w:rFonts w:hint="eastAsia" w:ascii="Times New Roman" w:hAnsi="Times New Roman" w:eastAsia="宋体" w:cs="Times New Roman"/>
          <w:bCs/>
          <w:kern w:val="2"/>
          <w:sz w:val="24"/>
          <w:szCs w:val="21"/>
          <w:highlight w:val="none"/>
          <w:lang w:val="en-US" w:eastAsia="zh-CN" w:bidi="ar-SA"/>
        </w:rPr>
        <w:t>所示。</w:t>
      </w:r>
    </w:p>
    <w:p>
      <w:pPr>
        <w:widowControl w:val="0"/>
        <w:spacing w:line="360" w:lineRule="auto"/>
        <w:ind w:firstLine="360" w:firstLineChars="0"/>
        <w:jc w:val="center"/>
        <w:rPr>
          <w:rFonts w:ascii="Times New Roman" w:hAnsi="Times New Roman" w:eastAsia="黑体" w:cs="Times New Roman"/>
          <w:kern w:val="2"/>
          <w:sz w:val="21"/>
          <w:szCs w:val="20"/>
          <w:highlight w:val="none"/>
          <w:lang w:val="en-US" w:eastAsia="zh-CN" w:bidi="ar-SA"/>
        </w:rPr>
      </w:pPr>
      <w:r>
        <w:rPr>
          <w:rFonts w:hint="eastAsia" w:ascii="Times New Roman" w:hAnsi="Times New Roman" w:eastAsia="黑体" w:cs="Times New Roman"/>
          <w:kern w:val="2"/>
          <w:sz w:val="21"/>
          <w:szCs w:val="20"/>
          <w:highlight w:val="none"/>
          <w:lang w:val="en-US" w:eastAsia="zh-CN" w:bidi="ar-SA"/>
        </w:rPr>
        <w:t>表</w:t>
      </w:r>
      <w:r>
        <w:rPr>
          <w:rFonts w:ascii="Times New Roman" w:hAnsi="Times New Roman" w:eastAsia="黑体" w:cs="Times New Roman"/>
          <w:kern w:val="2"/>
          <w:sz w:val="21"/>
          <w:szCs w:val="20"/>
          <w:highlight w:val="none"/>
          <w:lang w:val="en-US" w:eastAsia="zh-CN" w:bidi="ar-SA"/>
        </w:rPr>
        <w:fldChar w:fldCharType="begin"/>
      </w:r>
      <w:r>
        <w:rPr>
          <w:rFonts w:ascii="Times New Roman" w:hAnsi="Times New Roman" w:eastAsia="黑体" w:cs="Times New Roman"/>
          <w:kern w:val="2"/>
          <w:sz w:val="21"/>
          <w:szCs w:val="20"/>
          <w:highlight w:val="none"/>
          <w:lang w:val="en-US" w:eastAsia="zh-CN" w:bidi="ar-SA"/>
        </w:rPr>
        <w:instrText xml:space="preserve"> </w:instrText>
      </w:r>
      <w:r>
        <w:rPr>
          <w:rFonts w:hint="eastAsia" w:ascii="Times New Roman" w:hAnsi="Times New Roman" w:eastAsia="黑体" w:cs="Times New Roman"/>
          <w:kern w:val="2"/>
          <w:sz w:val="21"/>
          <w:szCs w:val="20"/>
          <w:highlight w:val="none"/>
          <w:lang w:val="en-US" w:eastAsia="zh-CN" w:bidi="ar-SA"/>
        </w:rPr>
        <w:instrText xml:space="preserve">STYLEREF 2 \s</w:instrText>
      </w:r>
      <w:r>
        <w:rPr>
          <w:rFonts w:ascii="Times New Roman" w:hAnsi="Times New Roman" w:eastAsia="黑体" w:cs="Times New Roman"/>
          <w:kern w:val="2"/>
          <w:sz w:val="21"/>
          <w:szCs w:val="20"/>
          <w:highlight w:val="none"/>
          <w:lang w:val="en-US" w:eastAsia="zh-CN" w:bidi="ar-SA"/>
        </w:rPr>
        <w:instrText xml:space="preserve"> </w:instrText>
      </w:r>
      <w:r>
        <w:rPr>
          <w:rFonts w:ascii="Times New Roman" w:hAnsi="Times New Roman" w:eastAsia="黑体" w:cs="Times New Roman"/>
          <w:kern w:val="2"/>
          <w:sz w:val="21"/>
          <w:szCs w:val="20"/>
          <w:highlight w:val="none"/>
          <w:lang w:val="en-US" w:eastAsia="zh-CN" w:bidi="ar-SA"/>
        </w:rPr>
        <w:fldChar w:fldCharType="separate"/>
      </w:r>
      <w:r>
        <w:rPr>
          <w:rFonts w:ascii="Times New Roman" w:hAnsi="Times New Roman" w:eastAsia="黑体" w:cs="Times New Roman"/>
          <w:kern w:val="2"/>
          <w:sz w:val="21"/>
          <w:szCs w:val="20"/>
          <w:highlight w:val="none"/>
          <w:lang w:val="en-US" w:eastAsia="zh-CN" w:bidi="ar-SA"/>
        </w:rPr>
        <w:t>3.</w:t>
      </w:r>
      <w:r>
        <w:rPr>
          <w:rFonts w:ascii="Times New Roman" w:hAnsi="Times New Roman" w:eastAsia="黑体" w:cs="Times New Roman"/>
          <w:kern w:val="2"/>
          <w:sz w:val="21"/>
          <w:szCs w:val="20"/>
          <w:highlight w:val="none"/>
          <w:lang w:val="en-US" w:eastAsia="zh-CN" w:bidi="ar-SA"/>
        </w:rPr>
        <w:fldChar w:fldCharType="end"/>
      </w:r>
      <w:r>
        <w:rPr>
          <w:rFonts w:ascii="Times New Roman" w:hAnsi="Times New Roman" w:eastAsia="黑体" w:cs="Times New Roman"/>
          <w:kern w:val="2"/>
          <w:sz w:val="21"/>
          <w:szCs w:val="20"/>
          <w:highlight w:val="none"/>
          <w:lang w:val="en-US" w:eastAsia="zh-CN" w:bidi="ar-SA"/>
        </w:rPr>
        <w:t>3</w:t>
      </w:r>
      <w:r>
        <w:rPr>
          <w:rFonts w:ascii="Times New Roman" w:hAnsi="Times New Roman" w:eastAsia="黑体" w:cs="Times New Roman"/>
          <w:kern w:val="2"/>
          <w:sz w:val="21"/>
          <w:szCs w:val="20"/>
          <w:highlight w:val="none"/>
          <w:lang w:val="en-US" w:eastAsia="zh-CN" w:bidi="ar-SA"/>
        </w:rPr>
        <w:noBreakHyphen/>
      </w:r>
      <w:r>
        <w:rPr>
          <w:rFonts w:ascii="Times New Roman" w:hAnsi="Times New Roman" w:eastAsia="黑体" w:cs="Times New Roman"/>
          <w:kern w:val="2"/>
          <w:sz w:val="21"/>
          <w:szCs w:val="20"/>
          <w:highlight w:val="none"/>
          <w:lang w:val="en-US" w:eastAsia="zh-CN" w:bidi="ar-SA"/>
        </w:rPr>
        <w:t>4</w:t>
      </w:r>
      <w:r>
        <w:rPr>
          <w:rFonts w:hint="eastAsia" w:ascii="Times New Roman" w:hAnsi="Times New Roman" w:eastAsia="黑体" w:cs="Times New Roman"/>
          <w:kern w:val="2"/>
          <w:sz w:val="21"/>
          <w:szCs w:val="20"/>
          <w:highlight w:val="none"/>
          <w:lang w:val="en-US" w:eastAsia="zh-CN" w:bidi="ar-SA"/>
        </w:rPr>
        <w:t>规划范围内现有污染物排放量统计表单位：t</w:t>
      </w:r>
      <w:r>
        <w:rPr>
          <w:rFonts w:ascii="Times New Roman" w:hAnsi="Times New Roman" w:eastAsia="黑体" w:cs="Times New Roman"/>
          <w:kern w:val="2"/>
          <w:sz w:val="21"/>
          <w:szCs w:val="20"/>
          <w:highlight w:val="none"/>
          <w:lang w:val="en-US" w:eastAsia="zh-CN" w:bidi="ar-SA"/>
        </w:rPr>
        <w:t>/a</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761"/>
        <w:gridCol w:w="1185"/>
        <w:gridCol w:w="1185"/>
        <w:gridCol w:w="1185"/>
        <w:gridCol w:w="1186"/>
        <w:gridCol w:w="1186"/>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 w:hRule="atLeast"/>
        </w:trPr>
        <w:tc>
          <w:tcPr>
            <w:tcW w:w="548" w:type="pct"/>
            <w:shd w:val="clear" w:color="auto" w:fill="auto"/>
            <w:noWrap w:val="0"/>
            <w:vAlign w:val="center"/>
          </w:tcPr>
          <w:p>
            <w:pPr>
              <w:widowControl/>
              <w:spacing w:line="240" w:lineRule="auto"/>
              <w:ind w:firstLine="0" w:firstLineChars="0"/>
              <w:jc w:val="center"/>
              <w:rPr>
                <w:rFonts w:eastAsia="等线" w:cs="Times New Roman"/>
                <w:b/>
                <w:bCs/>
                <w:color w:val="000000"/>
                <w:kern w:val="0"/>
                <w:sz w:val="21"/>
                <w:szCs w:val="21"/>
                <w:highlight w:val="none"/>
              </w:rPr>
            </w:pPr>
            <w:r>
              <w:rPr>
                <w:rFonts w:hint="eastAsia" w:ascii="宋体" w:hAnsi="宋体" w:eastAsia="宋体" w:cs="Times New Roman"/>
                <w:b/>
                <w:bCs/>
                <w:color w:val="000000"/>
                <w:kern w:val="0"/>
                <w:sz w:val="21"/>
                <w:szCs w:val="21"/>
                <w:highlight w:val="none"/>
              </w:rPr>
              <w:t>污染来源</w:t>
            </w:r>
          </w:p>
        </w:tc>
        <w:tc>
          <w:tcPr>
            <w:tcW w:w="884" w:type="pct"/>
            <w:shd w:val="clear" w:color="auto" w:fill="auto"/>
            <w:noWrap w:val="0"/>
            <w:vAlign w:val="center"/>
          </w:tcPr>
          <w:p>
            <w:pPr>
              <w:widowControl/>
              <w:spacing w:line="240" w:lineRule="auto"/>
              <w:ind w:firstLine="0" w:firstLineChars="0"/>
              <w:jc w:val="center"/>
              <w:rPr>
                <w:rFonts w:eastAsia="等线" w:cs="Times New Roman"/>
                <w:b/>
                <w:bCs/>
                <w:color w:val="000000"/>
                <w:kern w:val="0"/>
                <w:sz w:val="21"/>
                <w:szCs w:val="21"/>
                <w:highlight w:val="none"/>
              </w:rPr>
            </w:pPr>
            <w:r>
              <w:rPr>
                <w:rFonts w:hint="eastAsia" w:ascii="宋体" w:hAnsi="宋体" w:eastAsia="宋体" w:cs="Times New Roman"/>
                <w:b/>
                <w:bCs/>
                <w:color w:val="000000"/>
                <w:kern w:val="0"/>
                <w:sz w:val="21"/>
                <w:szCs w:val="21"/>
                <w:highlight w:val="none"/>
              </w:rPr>
              <w:t>废水量（万</w:t>
            </w:r>
            <w:r>
              <w:rPr>
                <w:rFonts w:eastAsia="等线" w:cs="Times New Roman"/>
                <w:b/>
                <w:bCs/>
                <w:color w:val="000000"/>
                <w:kern w:val="0"/>
                <w:sz w:val="21"/>
                <w:szCs w:val="21"/>
                <w:highlight w:val="none"/>
              </w:rPr>
              <w:t>t/d</w:t>
            </w:r>
            <w:r>
              <w:rPr>
                <w:rFonts w:hint="eastAsia" w:ascii="宋体" w:hAnsi="宋体" w:eastAsia="宋体" w:cs="Times New Roman"/>
                <w:b/>
                <w:bCs/>
                <w:color w:val="000000"/>
                <w:kern w:val="0"/>
                <w:sz w:val="21"/>
                <w:szCs w:val="21"/>
                <w:highlight w:val="none"/>
              </w:rPr>
              <w:t>）</w:t>
            </w:r>
          </w:p>
        </w:tc>
        <w:tc>
          <w:tcPr>
            <w:tcW w:w="595" w:type="pct"/>
            <w:shd w:val="clear" w:color="auto" w:fill="auto"/>
            <w:noWrap w:val="0"/>
            <w:vAlign w:val="center"/>
          </w:tcPr>
          <w:p>
            <w:pPr>
              <w:widowControl/>
              <w:spacing w:line="240" w:lineRule="auto"/>
              <w:ind w:firstLine="0" w:firstLineChars="0"/>
              <w:jc w:val="center"/>
              <w:rPr>
                <w:rFonts w:eastAsia="等线" w:cs="Times New Roman"/>
                <w:b/>
                <w:bCs/>
                <w:color w:val="000000"/>
                <w:kern w:val="0"/>
                <w:sz w:val="21"/>
                <w:szCs w:val="21"/>
                <w:highlight w:val="none"/>
              </w:rPr>
            </w:pPr>
            <w:r>
              <w:rPr>
                <w:rFonts w:eastAsia="等线" w:cs="Times New Roman"/>
                <w:b/>
                <w:bCs/>
                <w:color w:val="000000"/>
                <w:kern w:val="0"/>
                <w:sz w:val="21"/>
                <w:szCs w:val="21"/>
                <w:highlight w:val="none"/>
              </w:rPr>
              <w:t>COD</w:t>
            </w:r>
          </w:p>
        </w:tc>
        <w:tc>
          <w:tcPr>
            <w:tcW w:w="595" w:type="pct"/>
            <w:shd w:val="clear" w:color="auto" w:fill="auto"/>
            <w:noWrap w:val="0"/>
            <w:vAlign w:val="center"/>
          </w:tcPr>
          <w:p>
            <w:pPr>
              <w:widowControl/>
              <w:spacing w:line="240" w:lineRule="auto"/>
              <w:ind w:firstLine="0" w:firstLineChars="0"/>
              <w:jc w:val="center"/>
              <w:rPr>
                <w:rFonts w:eastAsia="等线" w:cs="Times New Roman"/>
                <w:b/>
                <w:bCs/>
                <w:color w:val="000000"/>
                <w:kern w:val="0"/>
                <w:sz w:val="21"/>
                <w:szCs w:val="21"/>
                <w:highlight w:val="none"/>
              </w:rPr>
            </w:pPr>
            <w:r>
              <w:rPr>
                <w:rFonts w:hint="eastAsia" w:ascii="宋体" w:hAnsi="宋体" w:eastAsia="宋体" w:cs="Times New Roman"/>
                <w:b/>
                <w:bCs/>
                <w:color w:val="000000"/>
                <w:kern w:val="0"/>
                <w:sz w:val="21"/>
                <w:szCs w:val="21"/>
                <w:highlight w:val="none"/>
              </w:rPr>
              <w:t>氨氮</w:t>
            </w:r>
          </w:p>
        </w:tc>
        <w:tc>
          <w:tcPr>
            <w:tcW w:w="595" w:type="pct"/>
            <w:shd w:val="clear" w:color="auto" w:fill="auto"/>
            <w:noWrap w:val="0"/>
            <w:vAlign w:val="center"/>
          </w:tcPr>
          <w:p>
            <w:pPr>
              <w:widowControl/>
              <w:spacing w:line="240" w:lineRule="auto"/>
              <w:ind w:firstLine="0" w:firstLineChars="0"/>
              <w:jc w:val="center"/>
              <w:rPr>
                <w:rFonts w:eastAsia="等线" w:cs="Times New Roman"/>
                <w:b/>
                <w:bCs/>
                <w:color w:val="000000"/>
                <w:kern w:val="0"/>
                <w:sz w:val="21"/>
                <w:szCs w:val="21"/>
                <w:highlight w:val="none"/>
              </w:rPr>
            </w:pPr>
            <w:r>
              <w:rPr>
                <w:rFonts w:eastAsia="等线" w:cs="Times New Roman"/>
                <w:b/>
                <w:bCs/>
                <w:color w:val="000000"/>
                <w:kern w:val="0"/>
                <w:sz w:val="21"/>
                <w:szCs w:val="21"/>
                <w:highlight w:val="none"/>
              </w:rPr>
              <w:t>TP</w:t>
            </w:r>
          </w:p>
        </w:tc>
        <w:tc>
          <w:tcPr>
            <w:tcW w:w="595" w:type="pct"/>
            <w:shd w:val="clear" w:color="auto" w:fill="auto"/>
            <w:noWrap w:val="0"/>
            <w:vAlign w:val="center"/>
          </w:tcPr>
          <w:p>
            <w:pPr>
              <w:widowControl/>
              <w:spacing w:line="240" w:lineRule="auto"/>
              <w:ind w:firstLine="0" w:firstLineChars="0"/>
              <w:jc w:val="center"/>
              <w:rPr>
                <w:rFonts w:eastAsia="等线" w:cs="Times New Roman"/>
                <w:b/>
                <w:bCs/>
                <w:color w:val="000000"/>
                <w:kern w:val="0"/>
                <w:sz w:val="21"/>
                <w:szCs w:val="21"/>
                <w:highlight w:val="none"/>
              </w:rPr>
            </w:pPr>
            <w:r>
              <w:rPr>
                <w:rFonts w:eastAsia="等线" w:cs="Times New Roman"/>
                <w:b/>
                <w:bCs/>
                <w:color w:val="000000"/>
                <w:kern w:val="0"/>
                <w:sz w:val="21"/>
                <w:szCs w:val="21"/>
                <w:highlight w:val="none"/>
              </w:rPr>
              <w:t>SO</w:t>
            </w:r>
            <w:r>
              <w:rPr>
                <w:rFonts w:eastAsia="等线" w:cs="Times New Roman"/>
                <w:b/>
                <w:bCs/>
                <w:color w:val="000000"/>
                <w:kern w:val="0"/>
                <w:sz w:val="21"/>
                <w:szCs w:val="21"/>
                <w:highlight w:val="none"/>
                <w:vertAlign w:val="subscript"/>
              </w:rPr>
              <w:t>2</w:t>
            </w:r>
          </w:p>
        </w:tc>
        <w:tc>
          <w:tcPr>
            <w:tcW w:w="595" w:type="pct"/>
            <w:shd w:val="clear" w:color="auto" w:fill="auto"/>
            <w:noWrap w:val="0"/>
            <w:vAlign w:val="center"/>
          </w:tcPr>
          <w:p>
            <w:pPr>
              <w:widowControl/>
              <w:spacing w:line="240" w:lineRule="auto"/>
              <w:ind w:firstLine="0" w:firstLineChars="0"/>
              <w:jc w:val="center"/>
              <w:rPr>
                <w:rFonts w:eastAsia="等线" w:cs="Times New Roman"/>
                <w:b/>
                <w:bCs/>
                <w:color w:val="000000"/>
                <w:kern w:val="0"/>
                <w:sz w:val="21"/>
                <w:szCs w:val="21"/>
                <w:highlight w:val="none"/>
              </w:rPr>
            </w:pPr>
            <w:r>
              <w:rPr>
                <w:rFonts w:eastAsia="等线" w:cs="Times New Roman"/>
                <w:b/>
                <w:bCs/>
                <w:color w:val="000000"/>
                <w:kern w:val="0"/>
                <w:sz w:val="21"/>
                <w:szCs w:val="21"/>
                <w:highlight w:val="none"/>
              </w:rPr>
              <w:t>NO</w:t>
            </w:r>
            <w:r>
              <w:rPr>
                <w:rFonts w:eastAsia="等线" w:cs="Times New Roman"/>
                <w:b/>
                <w:bCs/>
                <w:color w:val="000000"/>
                <w:kern w:val="0"/>
                <w:sz w:val="21"/>
                <w:szCs w:val="21"/>
                <w:highlight w:val="none"/>
                <w:vertAlign w:val="subscript"/>
              </w:rPr>
              <w:t>2</w:t>
            </w:r>
          </w:p>
        </w:tc>
        <w:tc>
          <w:tcPr>
            <w:tcW w:w="595" w:type="pct"/>
            <w:shd w:val="clear" w:color="auto" w:fill="auto"/>
            <w:noWrap w:val="0"/>
            <w:vAlign w:val="center"/>
          </w:tcPr>
          <w:p>
            <w:pPr>
              <w:widowControl/>
              <w:spacing w:line="240" w:lineRule="auto"/>
              <w:ind w:firstLine="0" w:firstLineChars="0"/>
              <w:jc w:val="center"/>
              <w:rPr>
                <w:rFonts w:eastAsia="等线" w:cs="Times New Roman"/>
                <w:b/>
                <w:bCs/>
                <w:color w:val="000000"/>
                <w:kern w:val="0"/>
                <w:sz w:val="21"/>
                <w:szCs w:val="21"/>
                <w:highlight w:val="none"/>
              </w:rPr>
            </w:pPr>
            <w:r>
              <w:rPr>
                <w:rFonts w:hint="eastAsia" w:ascii="宋体" w:hAnsi="宋体" w:eastAsia="宋体" w:cs="Times New Roman"/>
                <w:b/>
                <w:bCs/>
                <w:color w:val="000000"/>
                <w:kern w:val="0"/>
                <w:sz w:val="21"/>
                <w:szCs w:val="21"/>
                <w:highlight w:val="none"/>
              </w:rPr>
              <w:t>烟粉尘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hint="eastAsia" w:ascii="宋体" w:hAnsi="宋体" w:eastAsia="宋体" w:cs="Times New Roman"/>
                <w:color w:val="000000"/>
                <w:kern w:val="0"/>
                <w:sz w:val="21"/>
                <w:szCs w:val="21"/>
                <w:highlight w:val="none"/>
              </w:rPr>
              <w:t>生活</w:t>
            </w:r>
          </w:p>
        </w:tc>
        <w:tc>
          <w:tcPr>
            <w:tcW w:w="884"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0.028</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3.025</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0.151</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0.030</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0.0208</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0.1946</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0.0297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hint="eastAsia" w:ascii="宋体" w:hAnsi="宋体" w:eastAsia="宋体" w:cs="Times New Roman"/>
                <w:color w:val="000000"/>
                <w:kern w:val="0"/>
                <w:sz w:val="21"/>
                <w:szCs w:val="21"/>
                <w:highlight w:val="none"/>
              </w:rPr>
              <w:t>农村面源</w:t>
            </w:r>
          </w:p>
        </w:tc>
        <w:tc>
          <w:tcPr>
            <w:tcW w:w="884"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0.005</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0.0010</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0.0001</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hint="eastAsia" w:ascii="宋体" w:hAnsi="宋体" w:eastAsia="宋体" w:cs="Times New Roman"/>
                <w:color w:val="000000"/>
                <w:kern w:val="0"/>
                <w:sz w:val="21"/>
                <w:szCs w:val="21"/>
                <w:highlight w:val="none"/>
              </w:rPr>
              <w:t>合计</w:t>
            </w:r>
          </w:p>
        </w:tc>
        <w:tc>
          <w:tcPr>
            <w:tcW w:w="884"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0.028</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3.030</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0.1523</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0.0304</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0.0208</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0.1946</w:t>
            </w:r>
          </w:p>
        </w:tc>
        <w:tc>
          <w:tcPr>
            <w:tcW w:w="595" w:type="pct"/>
            <w:shd w:val="clear" w:color="auto" w:fill="auto"/>
            <w:noWrap w:val="0"/>
            <w:vAlign w:val="center"/>
          </w:tcPr>
          <w:p>
            <w:pPr>
              <w:widowControl/>
              <w:spacing w:line="240" w:lineRule="auto"/>
              <w:ind w:firstLine="0" w:firstLineChars="0"/>
              <w:jc w:val="center"/>
              <w:rPr>
                <w:rFonts w:eastAsia="等线" w:cs="Times New Roman"/>
                <w:color w:val="000000"/>
                <w:kern w:val="0"/>
                <w:sz w:val="21"/>
                <w:szCs w:val="21"/>
                <w:highlight w:val="none"/>
              </w:rPr>
            </w:pPr>
            <w:r>
              <w:rPr>
                <w:rFonts w:eastAsia="等线" w:cs="Times New Roman"/>
                <w:color w:val="000000"/>
                <w:kern w:val="0"/>
                <w:sz w:val="21"/>
                <w:szCs w:val="21"/>
                <w:highlight w:val="none"/>
              </w:rPr>
              <w:t>0.0297</w:t>
            </w:r>
          </w:p>
        </w:tc>
      </w:tr>
    </w:tbl>
    <w:p>
      <w:pPr>
        <w:ind w:firstLine="0" w:firstLineChars="0"/>
        <w:rPr>
          <w:highlight w:val="none"/>
        </w:rPr>
        <w:sectPr>
          <w:pgSz w:w="11906" w:h="16838"/>
          <w:pgMar w:top="1440" w:right="1080" w:bottom="1440" w:left="1080" w:header="851" w:footer="992" w:gutter="0"/>
          <w:cols w:space="720" w:num="1"/>
          <w:docGrid w:type="lines" w:linePitch="326" w:charSpace="0"/>
        </w:sectPr>
      </w:pPr>
    </w:p>
    <w:p>
      <w:pPr>
        <w:keepNext/>
        <w:keepLines/>
        <w:widowControl w:val="0"/>
        <w:numPr>
          <w:ilvl w:val="0"/>
          <w:numId w:val="9"/>
        </w:numPr>
        <w:spacing w:before="163" w:beforeLines="0" w:after="163" w:afterLines="0" w:line="578" w:lineRule="auto"/>
        <w:ind w:left="440" w:hanging="440" w:firstLineChars="0"/>
        <w:jc w:val="both"/>
        <w:outlineLvl w:val="0"/>
        <w:rPr>
          <w:rFonts w:ascii="Times New Roman" w:hAnsi="Times New Roman" w:eastAsia="黑体" w:cs="Times New Roman"/>
          <w:bCs/>
          <w:kern w:val="44"/>
          <w:sz w:val="44"/>
          <w:szCs w:val="44"/>
          <w:highlight w:val="none"/>
          <w:lang w:val="en-US" w:eastAsia="zh-CN" w:bidi="ar-SA"/>
        </w:rPr>
      </w:pPr>
      <w:bookmarkStart w:id="24" w:name="_Toc145434604"/>
      <w:r>
        <w:rPr>
          <w:rFonts w:hint="eastAsia" w:ascii="Times New Roman" w:hAnsi="Times New Roman" w:eastAsia="黑体" w:cs="Times New Roman"/>
          <w:bCs/>
          <w:kern w:val="44"/>
          <w:sz w:val="44"/>
          <w:szCs w:val="44"/>
          <w:highlight w:val="none"/>
          <w:lang w:val="en-US" w:eastAsia="zh-CN" w:bidi="ar-SA"/>
        </w:rPr>
        <w:t>现状调查与评价</w:t>
      </w:r>
      <w:bookmarkEnd w:id="24"/>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kern w:val="2"/>
          <w:sz w:val="32"/>
          <w:szCs w:val="32"/>
          <w:highlight w:val="none"/>
          <w:lang w:val="en-US" w:eastAsia="zh-CN" w:bidi="ar-SA"/>
        </w:rPr>
      </w:pPr>
      <w:bookmarkStart w:id="25" w:name="_Toc154518147"/>
      <w:bookmarkStart w:id="26" w:name="_Toc154518202"/>
      <w:r>
        <w:rPr>
          <w:rFonts w:hint="eastAsia" w:ascii="Times New Roman" w:hAnsi="Times New Roman" w:eastAsia="黑体" w:cs="Times New Roman"/>
          <w:bCs/>
          <w:kern w:val="2"/>
          <w:sz w:val="32"/>
          <w:szCs w:val="32"/>
          <w:highlight w:val="none"/>
          <w:lang w:val="en-US" w:eastAsia="zh-CN" w:bidi="ar-SA"/>
        </w:rPr>
        <w:t>自然环境概况</w:t>
      </w:r>
      <w:bookmarkEnd w:id="25"/>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地理位置</w:t>
      </w:r>
    </w:p>
    <w:p>
      <w:pPr>
        <w:adjustRightInd w:val="0"/>
        <w:snapToGrid w:val="0"/>
        <w:ind w:firstLine="480"/>
        <w:rPr>
          <w:highlight w:val="none"/>
        </w:rPr>
      </w:pPr>
      <w:r>
        <w:rPr>
          <w:rFonts w:hint="eastAsia"/>
          <w:highlight w:val="none"/>
        </w:rPr>
        <w:t>苍溪县，隶属于四川省广元市，地处四川盆地北缘，大巴山南麓之低、中山丘陵地带，介于北纬31°37′~32°10′，东经105°3′~106°28′之间。东与南江县、巴中市恩阳区接壤，南与南充阆中市相连，西与剑阁县交界，北与旺苍县、广元昭化区毗邻。辖区周长620公里，幅员2346.46平方公里，辖25个镇和6个乡、93个居委会和361个村委会，户籍总人口72.85万人、常住人口50.47万人。县城距广元市及成都市直线距离分别为78公里及215公里。境内地势东北高，西南低，以九龙山主峰为最高，海拔1369.2米，嘉陵江出境处涧溪口海拔352米最低。</w:t>
      </w:r>
    </w:p>
    <w:p>
      <w:pPr>
        <w:adjustRightInd w:val="0"/>
        <w:snapToGrid w:val="0"/>
        <w:ind w:firstLine="480"/>
        <w:rPr>
          <w:szCs w:val="32"/>
          <w:highlight w:val="none"/>
        </w:rPr>
      </w:pPr>
      <w:r>
        <w:rPr>
          <w:rFonts w:hint="eastAsia"/>
          <w:highlight w:val="none"/>
        </w:rPr>
        <w:t>苍溪县百利工业园区位于苍溪县南段，北至镇江村老君堂接赵家山片区，东至嘉陵江岸线范围内，南至嘉陵江元山子沟口，西至兰海高速东侧，总规划面积688.81公顷，其中产业可用地面积为391.21公顷（工业用地351.37公顷）。本次规划百利工业园区（先期启动区）范围为城市开发边界范围内136.64公顷。</w:t>
      </w:r>
    </w:p>
    <w:p>
      <w:pPr>
        <w:pStyle w:val="89"/>
        <w:ind w:firstLine="480"/>
        <w:rPr>
          <w:highlight w:val="none"/>
        </w:rPr>
      </w:pPr>
      <w:r>
        <w:rPr>
          <w:rFonts w:hint="eastAsia"/>
          <w:highlight w:val="none"/>
        </w:rPr>
        <w:t>园区区位图关系见附图1。</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地质地貌</w:t>
      </w:r>
    </w:p>
    <w:p>
      <w:pPr>
        <w:pStyle w:val="89"/>
        <w:ind w:firstLine="480"/>
        <w:rPr>
          <w:highlight w:val="none"/>
        </w:rPr>
      </w:pPr>
      <w:r>
        <w:rPr>
          <w:rFonts w:hint="eastAsia"/>
          <w:highlight w:val="none"/>
        </w:rPr>
        <w:t>苍溪县域受米仓山、大巴山构造控制，地势由东北向西南倾斜。北部横亘海拔1000米以上的黑猫梁、九龙山、五凤山、龙亭山和龙干山。山岭呈北、北东弧形走向，最高处九龙山主峰1377.5m。回水、石门、岐平乡一线以南为低山深丘,山区多呈桌状及台附状，沿江可见冲积阶地，最低处八庙涧溪口海拔353m。整个地貌由低山和深丘及河谷平坝构成。</w:t>
      </w:r>
    </w:p>
    <w:p>
      <w:pPr>
        <w:pStyle w:val="89"/>
        <w:ind w:firstLine="480"/>
        <w:rPr>
          <w:highlight w:val="none"/>
        </w:rPr>
      </w:pPr>
      <w:r>
        <w:rPr>
          <w:rFonts w:hint="eastAsia"/>
          <w:highlight w:val="none"/>
        </w:rPr>
        <w:t>苍溪县在大地构造上属扬子准地台之四川中台坳，从地质力学观点看，苍溪县属我国东部巨型华夏系第三沉降带四川盘地的川西褶带的川中褶带。以苍溪向斜为界，其西北为川西褶带，其东北南为川中褶带。总的看来，构造较为简单，由宽缓的褶一背斜和向斜构成，以北东和北东东向为主。根据《中国地震动参数区划图》（GB18306-2015），规划区地震动峰值加速度为0.05g，动反应谱特征周期0.40g，对应地震基本烈度为I度，区域构造稳定性好。</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气候特征</w:t>
      </w:r>
    </w:p>
    <w:p>
      <w:pPr>
        <w:pStyle w:val="89"/>
        <w:ind w:firstLine="480"/>
        <w:rPr>
          <w:highlight w:val="none"/>
        </w:rPr>
      </w:pPr>
      <w:r>
        <w:rPr>
          <w:rFonts w:hint="eastAsia"/>
          <w:highlight w:val="none"/>
        </w:rPr>
        <w:t>苍溪县属亚热带湿润季风气候区，热量丰富、雨水充沛、无霜期长、气候温和，四季分明，冬长夏短，春长于秋，有“高山寒未尽，谷底春意浓”的气候特征。</w:t>
      </w:r>
    </w:p>
    <w:p>
      <w:pPr>
        <w:pStyle w:val="89"/>
        <w:ind w:firstLine="480"/>
        <w:rPr>
          <w:highlight w:val="none"/>
        </w:rPr>
      </w:pPr>
      <w:r>
        <w:rPr>
          <w:rFonts w:hint="eastAsia"/>
          <w:highlight w:val="none"/>
        </w:rPr>
        <w:t>日照：苍溪县境日照尚足，累年年平均日照时数为1490.9小时，最多1822.3小时(1978年)，最少1154.2小时（1989年）。月日照8月最多，达209.3小时：2月最少，仅72.6小时。</w:t>
      </w:r>
    </w:p>
    <w:p>
      <w:pPr>
        <w:pStyle w:val="89"/>
        <w:ind w:firstLine="480"/>
        <w:rPr>
          <w:highlight w:val="none"/>
        </w:rPr>
      </w:pPr>
      <w:r>
        <w:rPr>
          <w:rFonts w:hint="eastAsia"/>
          <w:highlight w:val="none"/>
        </w:rPr>
        <w:t>温度：苍溪县境气候温和，累年年平均气温16.7℃，最高年份为17.4℃；最低年份仅15.9℃。累年各旬平均气温最高为8月上旬27.8℃；最低为1月上5.9℃累年候平均气温最高28.2℃，出现在第43候，即8月1-5日；最低5.3℃，出现在第1候，即1月1~5日。累年极端最高气温40.9℃，出现在2022年8月15日：最低一4.6℃，出现在1975年12月15日。</w:t>
      </w:r>
    </w:p>
    <w:p>
      <w:pPr>
        <w:pStyle w:val="89"/>
        <w:ind w:firstLine="480"/>
        <w:rPr>
          <w:highlight w:val="none"/>
        </w:rPr>
      </w:pPr>
      <w:r>
        <w:rPr>
          <w:rFonts w:hint="eastAsia"/>
          <w:highlight w:val="none"/>
        </w:rPr>
        <w:t>地温：苍溪县累年各月不同深度土层平均地温均在5.0℃以上，8月最高，1月最低。累年各月地表极端最高温度67.9℃，出现在1962年7月14日：最低一8.9℃，出现在1963年1月14日。</w:t>
      </w:r>
    </w:p>
    <w:p>
      <w:pPr>
        <w:pStyle w:val="89"/>
        <w:ind w:firstLine="480"/>
        <w:rPr>
          <w:highlight w:val="none"/>
        </w:rPr>
      </w:pPr>
      <w:r>
        <w:rPr>
          <w:rFonts w:hint="eastAsia"/>
          <w:highlight w:val="none"/>
        </w:rPr>
        <w:t>降雨：苍溪县境累年年均降雨量，北部山区在1100~1300毫米之间，东部低山区多在900~1200毫米之间，西南部深丘地区多在800~1100毫米之间。县气象站多年平均降雨量1046.7毫米，最多为1605.1毫米，出现在1981年：最少为703.4毫米，出现在1986年。季降雨多集中在夏季，大部分区域平均降雨量在460~600毫米之间，占全年总降雨量46~50%：秋季次之，为280~350毫米之间，占全年总降雨量26~32%：春季降雨量为213.5毫米左右，约占全年总降雨量20%；冬季最少，平均降雨量35.4毫米，仅占全年总降雨量3%。全年各月降雨分配不均，最多是7月，为214.3毫米；9月次之，为185.5毫米；最少是12月，为9.8毫米。日降雨量在50.0毫米以上之暴雨多出现在4~10月；100.0毫米以上之大暴雨多出现在5~9月。</w:t>
      </w:r>
    </w:p>
    <w:p>
      <w:pPr>
        <w:pStyle w:val="89"/>
        <w:ind w:firstLine="480"/>
        <w:rPr>
          <w:highlight w:val="none"/>
        </w:rPr>
      </w:pPr>
      <w:r>
        <w:rPr>
          <w:rFonts w:hint="eastAsia"/>
          <w:highlight w:val="none"/>
        </w:rPr>
        <w:t>湿度：苍溪县累年各月平均相对湿度在67~79%之间，年平均相对湿度73%。极端最小相对湿度7%，出现在1983年3月16日；最大相对湿度出现在9月和10月，分别达80%和79%:最小相对湿度出现在3月和4月，均达68%。</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区域水系及水功能区划</w:t>
      </w:r>
    </w:p>
    <w:p>
      <w:pPr>
        <w:pStyle w:val="89"/>
        <w:ind w:firstLine="482"/>
        <w:outlineLvl w:val="9"/>
        <w:rPr>
          <w:b/>
          <w:bCs w:val="0"/>
          <w:highlight w:val="none"/>
        </w:rPr>
      </w:pPr>
      <w:r>
        <w:rPr>
          <w:rFonts w:hint="eastAsia"/>
          <w:b/>
          <w:bCs w:val="0"/>
          <w:highlight w:val="none"/>
        </w:rPr>
        <w:t>1、地表水</w:t>
      </w:r>
    </w:p>
    <w:p>
      <w:pPr>
        <w:pStyle w:val="89"/>
        <w:ind w:firstLine="480"/>
        <w:rPr>
          <w:highlight w:val="none"/>
        </w:rPr>
      </w:pPr>
      <w:r>
        <w:rPr>
          <w:rFonts w:hint="eastAsia"/>
          <w:highlight w:val="none"/>
        </w:rPr>
        <w:t>苍溪县河流众多，分属嘉陵江水系、渠江水系，流域面积大于50km</w:t>
      </w:r>
      <w:r>
        <w:rPr>
          <w:rFonts w:hint="eastAsia"/>
          <w:highlight w:val="none"/>
          <w:vertAlign w:val="superscript"/>
        </w:rPr>
        <w:t>2</w:t>
      </w:r>
      <w:r>
        <w:rPr>
          <w:rFonts w:hint="eastAsia"/>
          <w:highlight w:val="none"/>
        </w:rPr>
        <w:t>的河流有27条。嘉陵江水系河流17条：嘉陵江干流苍溪段、张家沟、白桥河、白溪浩、东河、柳溪河、插江、雍河、文庙河、白溪沟、深沟河、滥泥沟、鸳溪沟、沙溪浩、拱桥河、龙溪河、盐店沟。渠江水系河流10条：龙凤沟、印斗河、长滩河、苟溪河、严家河、白驿河、双河、白石沟、柳树河、芝子河。百利工业园区（先期启动区）位于嘉陵江干流苍溪段西岸。</w:t>
      </w:r>
    </w:p>
    <w:p>
      <w:pPr>
        <w:pStyle w:val="89"/>
        <w:ind w:firstLine="480"/>
        <w:rPr>
          <w:highlight w:val="none"/>
        </w:rPr>
      </w:pPr>
      <w:r>
        <w:rPr>
          <w:rFonts w:hint="eastAsia"/>
          <w:highlight w:val="none"/>
        </w:rPr>
        <w:t>嘉陵江是长江水系中流域面积最大的支流，流域地跨北纬29°18~3430，东经102°33'~109°00'，北侧及东北侧以秦岭、大巴山与黄河、汉江为界，东侧及东南侧以华莹山与长江相隔，西北侧经龙门山脉与氓江接壤，西侧及西南侧与沱江流域毗连。</w:t>
      </w:r>
    </w:p>
    <w:p>
      <w:pPr>
        <w:pStyle w:val="89"/>
        <w:ind w:firstLine="480"/>
        <w:rPr>
          <w:highlight w:val="none"/>
        </w:rPr>
      </w:pPr>
      <w:r>
        <w:rPr>
          <w:rFonts w:hint="eastAsia"/>
          <w:highlight w:val="none"/>
        </w:rPr>
        <w:t>嘉陵江干流全长1120km，落差2300m，河道平均比降2.05%。按流域地形及河道特征，将干流分为上、中、下游。广元以上为上游，河道长约380km，山势陡峻，河流穿行于高山深谷之间，台地少，植被差，河谷狭窄，水流湍急，险滩密布。广元至合川为中游，河道长约645km，天然落差284m，平均比降0.44‰。中游河段河流由北向南纵贯川中盆地，其中昭化至苍溪段穿剑门山，形成120km峡谷段；苍溪以下，河流由深丘进入浅丘，河谷逐渐开阔，河道蜿蜒穿行于四川盆地丘陵区，有东河、西河、渠江、涪江等支流汇入，河滩及两岸阶地发育，人烟稠密，土地利用程度高。合川至河口为下游，河道长约95km，落差27.5m，平均比降0.29‰。下游河段河道较为顺直，水势平缓，河流向东横切华莹山脉后两岸山峦重叠，峡谷深邃，河谷明显束窄，形成有名的沥鼻、温塘、观音等峡谷，谓之“小三峡”。</w:t>
      </w:r>
    </w:p>
    <w:p>
      <w:pPr>
        <w:pStyle w:val="89"/>
        <w:ind w:firstLine="480"/>
        <w:rPr>
          <w:highlight w:val="none"/>
        </w:rPr>
      </w:pPr>
      <w:r>
        <w:rPr>
          <w:rFonts w:hint="eastAsia"/>
          <w:highlight w:val="none"/>
        </w:rPr>
        <w:t>嘉陵江干流苍溪段北起剑阁县与苍溪县的交界处小溪口，南至苍溪县南充阆中市的交界处涧溪口，全长70.03km，流域面积843.21km</w:t>
      </w:r>
      <w:r>
        <w:rPr>
          <w:rFonts w:hint="eastAsia"/>
          <w:highlight w:val="none"/>
          <w:vertAlign w:val="superscript"/>
        </w:rPr>
        <w:t>2</w:t>
      </w:r>
      <w:r>
        <w:rPr>
          <w:rFonts w:hint="eastAsia"/>
          <w:highlight w:val="none"/>
        </w:rPr>
        <w:t>，流经苍溪县6个乡镇(鸳溪镇、亭子镇、浙水乡、陵江镇、八庙镇、云峰镇)，42个村(社区)。</w:t>
      </w:r>
    </w:p>
    <w:p>
      <w:pPr>
        <w:pStyle w:val="89"/>
        <w:ind w:firstLine="482"/>
        <w:outlineLvl w:val="9"/>
        <w:rPr>
          <w:b/>
          <w:bCs w:val="0"/>
          <w:highlight w:val="none"/>
        </w:rPr>
      </w:pPr>
      <w:r>
        <w:rPr>
          <w:rFonts w:hint="eastAsia"/>
          <w:b/>
          <w:bCs w:val="0"/>
          <w:highlight w:val="none"/>
        </w:rPr>
        <w:t>2、地下水</w:t>
      </w:r>
    </w:p>
    <w:p>
      <w:pPr>
        <w:pStyle w:val="89"/>
        <w:ind w:firstLine="480"/>
        <w:rPr>
          <w:highlight w:val="none"/>
        </w:rPr>
      </w:pPr>
      <w:r>
        <w:rPr>
          <w:rFonts w:hint="eastAsia"/>
          <w:highlight w:val="none"/>
        </w:rPr>
        <w:t>根据四川省近期《四川省地下水资源开发利用规划报告》等成果资料，苍溪县内地下水分区属于山丘区的四川东部盆地区嘉陵江区（Ⅱ—1—3）。</w:t>
      </w:r>
    </w:p>
    <w:p>
      <w:pPr>
        <w:pStyle w:val="89"/>
        <w:ind w:firstLine="480"/>
        <w:rPr>
          <w:highlight w:val="none"/>
        </w:rPr>
      </w:pPr>
      <w:r>
        <w:rPr>
          <w:rFonts w:hint="eastAsia"/>
          <w:highlight w:val="none"/>
        </w:rPr>
        <w:t>大气降水量的渗入是本区地下水的主要补给水源，其补给强度不仅与降水多少及其分配有关，而且也取决于构造、岩性、地形、地貌及植被等因素。本区地层以侏罗系中、上统分布最广，其次是白垩系下统地层，另外尚有第四系地层零星分布。岩性一般为泥岩、砂岩和红色砂岩。以及夹紫红暗紫红粘土岩、粉砂岩。</w:t>
      </w:r>
    </w:p>
    <w:p>
      <w:pPr>
        <w:pStyle w:val="89"/>
        <w:ind w:firstLine="480"/>
        <w:rPr>
          <w:highlight w:val="none"/>
        </w:rPr>
      </w:pPr>
      <w:r>
        <w:rPr>
          <w:rFonts w:hint="eastAsia"/>
          <w:highlight w:val="none"/>
        </w:rPr>
        <w:t>区地下水分属松散岩类孔隙水及基岩裂隙水两大类。</w:t>
      </w:r>
    </w:p>
    <w:p>
      <w:pPr>
        <w:pStyle w:val="89"/>
        <w:ind w:firstLine="480"/>
        <w:rPr>
          <w:highlight w:val="none"/>
        </w:rPr>
      </w:pPr>
    </w:p>
    <w:p>
      <w:pPr>
        <w:pStyle w:val="89"/>
        <w:ind w:firstLine="480"/>
        <w:rPr>
          <w:highlight w:val="none"/>
        </w:rPr>
      </w:pPr>
      <w:r>
        <w:rPr>
          <w:rFonts w:hint="eastAsia"/>
          <w:highlight w:val="none"/>
        </w:rPr>
        <w:t>松散岩类孔隙水：该类地下水主要富存于嘉陵江、渠江沿岸河流堆积漫滩，一、二级阶地砂砾卵石层、高阶地粘土、砂砾卵石层；以及区内其它河流、大冲沟洪积层中。呈不连续零星分布，受大气降水、河水及基岩裂隙水补充；富水性差异较大，仅嘉陵江、渠江漫滩一、二级阶地之砂砾卵石层富水性较好，水量中等，单井涌水量一般100～500t/d，泉水流量0.05～0.1L/s，且因受基岩裂隙水和江水综合调节，全年变幅较小；而其它该类地下水分布地段则富水性较差，且水量、水位受降水影响，变幅较大。</w:t>
      </w:r>
    </w:p>
    <w:p>
      <w:pPr>
        <w:pStyle w:val="89"/>
        <w:ind w:firstLine="480"/>
        <w:rPr>
          <w:highlight w:val="none"/>
        </w:rPr>
      </w:pPr>
      <w:r>
        <w:rPr>
          <w:rFonts w:hint="eastAsia"/>
          <w:highlight w:val="none"/>
        </w:rPr>
        <w:t>基岩裂隙水：该类地下水主要赋存于白垩系及侏罗系砂、泥岩浅部之裂隙、孔隙中，又以风化裂隙水为最丰。该类地下水分布面积占灌区面积95％以上，其特点是：分布普遍，埋藏浅，一般为潜水，受大气降水量补给；富水性差异较大，但一般水量较小，富水性较差；且随降水的减少，水位急剧下降，水量急剧减少。单井出水量一般20～100t/d，泉水流量一般小于0.05L／s。</w:t>
      </w:r>
    </w:p>
    <w:p>
      <w:pPr>
        <w:pStyle w:val="89"/>
        <w:ind w:firstLine="480"/>
        <w:rPr>
          <w:highlight w:val="none"/>
        </w:rPr>
      </w:pPr>
      <w:r>
        <w:rPr>
          <w:rFonts w:hint="eastAsia"/>
          <w:highlight w:val="none"/>
        </w:rPr>
        <w:t>根据《四川省地下水资源开发利用规划报告》“四川省各行政区地下水资源汇总表”中“地下水储量和可开采量模数”，同时参照了四川省地质局《区域水文地质普查报告》，采用径流模数法计算地下水资源量。经计算，苍溪县多年平均地下水资源量为0.95亿m</w:t>
      </w:r>
      <w:r>
        <w:rPr>
          <w:rFonts w:hint="eastAsia"/>
          <w:highlight w:val="none"/>
          <w:vertAlign w:val="superscript"/>
        </w:rPr>
        <w:t>3</w:t>
      </w:r>
      <w:r>
        <w:rPr>
          <w:rFonts w:hint="eastAsia"/>
          <w:highlight w:val="none"/>
        </w:rPr>
        <w:t>（全部为地表水和地下水的重复计算量），多年平均地下水资源量模数为40.86万m</w:t>
      </w:r>
      <w:r>
        <w:rPr>
          <w:rFonts w:hint="eastAsia"/>
          <w:highlight w:val="none"/>
          <w:vertAlign w:val="superscript"/>
        </w:rPr>
        <w:t>3</w:t>
      </w:r>
      <w:r>
        <w:rPr>
          <w:highlight w:val="none"/>
        </w:rPr>
        <w:t>/</w:t>
      </w:r>
      <w:r>
        <w:rPr>
          <w:rFonts w:hint="eastAsia"/>
          <w:highlight w:val="none"/>
        </w:rPr>
        <w:t>km</w:t>
      </w:r>
      <w:r>
        <w:rPr>
          <w:rFonts w:hint="eastAsia"/>
          <w:highlight w:val="none"/>
          <w:vertAlign w:val="superscript"/>
        </w:rPr>
        <w:t>2</w:t>
      </w:r>
      <w:r>
        <w:rPr>
          <w:rFonts w:hint="eastAsia"/>
          <w:highlight w:val="none"/>
        </w:rPr>
        <w:t>·a。</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生态环境状况</w:t>
      </w:r>
    </w:p>
    <w:p>
      <w:pPr>
        <w:pStyle w:val="89"/>
        <w:ind w:firstLine="482"/>
        <w:outlineLvl w:val="9"/>
        <w:rPr>
          <w:rFonts w:hint="eastAsia"/>
          <w:b/>
          <w:bCs w:val="0"/>
          <w:highlight w:val="none"/>
        </w:rPr>
      </w:pPr>
      <w:r>
        <w:rPr>
          <w:rFonts w:hint="eastAsia"/>
          <w:b/>
          <w:bCs w:val="0"/>
          <w:highlight w:val="none"/>
        </w:rPr>
        <w:t>1、土壤</w:t>
      </w:r>
    </w:p>
    <w:p>
      <w:pPr>
        <w:pStyle w:val="89"/>
        <w:ind w:firstLine="480"/>
        <w:rPr>
          <w:highlight w:val="none"/>
        </w:rPr>
      </w:pPr>
      <w:r>
        <w:rPr>
          <w:rFonts w:hint="eastAsia"/>
          <w:highlight w:val="none"/>
        </w:rPr>
        <w:t>苍溪县地带性土壤为黄壤。由于地质、地形和气候差异的影响，土壤类型复杂，垂直分布十分明显；海拔800m以上的地区主要分布的是黄壤，海拔800m以下的低中山及丘陵地段主要分布的紫色土，紫色土分布面积占全县总面积的近60%。根据第二次土壤普查结果，全县共有四个土类，六个亚类，十个土属，四十五个土种。各土类的形成特点和在苍溪的分布规律分述如下：</w:t>
      </w:r>
    </w:p>
    <w:p>
      <w:pPr>
        <w:pStyle w:val="89"/>
        <w:ind w:firstLine="480"/>
        <w:rPr>
          <w:highlight w:val="none"/>
        </w:rPr>
      </w:pPr>
      <w:r>
        <w:rPr>
          <w:rFonts w:hint="eastAsia"/>
          <w:highlight w:val="none"/>
        </w:rPr>
        <w:t>1）潮土：由第四纪全新统近代河流沉积的冲积物经垦作熟化而成，零星分布在嘉陵江两岸，成片分布较少，适宜枫杨、柳、苦悚，恺木、麻柳、刺槐等树种生长；</w:t>
      </w:r>
    </w:p>
    <w:p>
      <w:pPr>
        <w:pStyle w:val="89"/>
        <w:ind w:firstLine="480"/>
        <w:rPr>
          <w:highlight w:val="none"/>
        </w:rPr>
      </w:pPr>
      <w:r>
        <w:rPr>
          <w:rFonts w:hint="eastAsia"/>
          <w:highlight w:val="none"/>
        </w:rPr>
        <w:t>2）黄土：属第四纪冰川沉积母质，为黄泥或黄砂砾石混合物，砾石大小不一。圆或次圆状，排列无顺序，成片黄壤分布在海拔800m以上的地段，主要生长着马尾松、杉木、杜鹃等；</w:t>
      </w:r>
    </w:p>
    <w:p>
      <w:pPr>
        <w:pStyle w:val="89"/>
        <w:ind w:firstLine="480"/>
        <w:rPr>
          <w:highlight w:val="none"/>
        </w:rPr>
      </w:pPr>
      <w:r>
        <w:rPr>
          <w:rFonts w:hint="eastAsia"/>
          <w:highlight w:val="none"/>
        </w:rPr>
        <w:t>3）紫色土：广泛分布于苍溪县境内中低山和各种丘陵地貌，成土母质系白罢纪下统城墙岩群、侏罗纪上统蓬莱镇组紫色沙岩，页岩风化物。适宜柏木、杷木、麻栋、干丈、刺槐，校树等树种生长；</w:t>
      </w:r>
    </w:p>
    <w:p>
      <w:pPr>
        <w:pStyle w:val="89"/>
        <w:ind w:firstLine="480"/>
        <w:rPr>
          <w:highlight w:val="none"/>
        </w:rPr>
      </w:pPr>
      <w:r>
        <w:rPr>
          <w:rFonts w:hint="eastAsia"/>
          <w:highlight w:val="none"/>
        </w:rPr>
        <w:t>4）水稻土：全县各地均有分布，集中分布在坝、沟的两旁及山腰平台地段。</w:t>
      </w:r>
    </w:p>
    <w:p>
      <w:pPr>
        <w:pStyle w:val="89"/>
        <w:ind w:firstLine="482"/>
        <w:outlineLvl w:val="9"/>
        <w:rPr>
          <w:rFonts w:hint="eastAsia"/>
          <w:b/>
          <w:bCs w:val="0"/>
          <w:highlight w:val="none"/>
        </w:rPr>
      </w:pPr>
      <w:r>
        <w:rPr>
          <w:rFonts w:hint="eastAsia"/>
          <w:b/>
          <w:bCs w:val="0"/>
          <w:highlight w:val="none"/>
        </w:rPr>
        <w:t>2、植被</w:t>
      </w:r>
    </w:p>
    <w:p>
      <w:pPr>
        <w:pStyle w:val="89"/>
        <w:ind w:firstLine="480"/>
        <w:rPr>
          <w:highlight w:val="none"/>
        </w:rPr>
      </w:pPr>
      <w:r>
        <w:rPr>
          <w:rFonts w:hint="eastAsia"/>
          <w:highlight w:val="none"/>
        </w:rPr>
        <w:t>苍溪县全县林地面积82100公顷，森林覆盖率为35.23%。森林植被种类繁多，有乔木122种，灌木78种，藤木9种，草本植物47种。有针叶林、阔叶林、灌木林、竹林四种类型。木主要有柏木、青枫、枫杨、桉树、梨、苹、柑桔、柚、桑、桐、竹等；灌木主要有黄荆、马桑、紫穗槐、水渣、蓼叶竹等；藤木主要有猕猴桃、葛藤、金银花、葡萄等；草木主要有白茅、巴茅、狗毛草、青蒿等。中药材有天麻、党参、夏枯草、金钱草、黄白菊等野生中药材250多种。农作物以水稻、小麦、玉米、红苕、花生、油菜籽为主；豆类、杂粮、烟、麻、蔬菜等作物次之；农副土特产品尤以蚕桑、油桐、虫蜡、雪梨、柑橘、猕猴桃、脆香甜柚、黄桃等最为著名；油桐产量名列全国产桐县第八；苍溪雪梨果大，肉厚，汁多味甜，细嫩无渣，入口即化，誉为“沙梨之王”，历代朝延珍为贡品；中华猕猴桃野生资源丰富，品种优良，人工栽培的单产和质量均超过新西兰王牌品种海沃特具有广阔的发展前景。</w:t>
      </w:r>
    </w:p>
    <w:p>
      <w:pPr>
        <w:pStyle w:val="89"/>
        <w:ind w:firstLine="480"/>
        <w:rPr>
          <w:highlight w:val="none"/>
        </w:rPr>
      </w:pPr>
      <w:r>
        <w:rPr>
          <w:rFonts w:hint="eastAsia"/>
          <w:highlight w:val="none"/>
        </w:rPr>
        <w:t>本项目规划区内无珍惜濒危植物、保护植物和古树名木分布。</w:t>
      </w:r>
    </w:p>
    <w:p>
      <w:pPr>
        <w:pStyle w:val="89"/>
        <w:ind w:firstLine="482"/>
        <w:outlineLvl w:val="9"/>
        <w:rPr>
          <w:rFonts w:hint="eastAsia"/>
          <w:b/>
          <w:bCs w:val="0"/>
          <w:highlight w:val="none"/>
        </w:rPr>
      </w:pPr>
      <w:r>
        <w:rPr>
          <w:rFonts w:hint="eastAsia"/>
          <w:b/>
          <w:bCs w:val="0"/>
          <w:highlight w:val="none"/>
        </w:rPr>
        <w:t>3、动物</w:t>
      </w:r>
    </w:p>
    <w:p>
      <w:pPr>
        <w:pStyle w:val="89"/>
        <w:ind w:firstLine="480"/>
        <w:rPr>
          <w:highlight w:val="none"/>
        </w:rPr>
      </w:pPr>
      <w:r>
        <w:rPr>
          <w:rFonts w:hint="eastAsia"/>
          <w:highlight w:val="none"/>
        </w:rPr>
        <w:t>苍溪县境内动物区系主要由亚热带及温带森林农田动物群所组成。无脊椎动物主要有蚯蚓、田螺、河蚌、蚂蚁、蟋蟀等。脊椎动物中鱼类有7目，16科，115种。江河、池塘及沟渠水域中自然鱼种主要有鲤鱼、长吻鲵、鲶鱼、鲢鱼、鲫鱼、白甲鱼等。常见鸟类24科，52种；哺乳动物有13科，21种。珍稀保护动物有金雕、瘴子、林麝、金钱豹、猕猴、红腹锦鸡、白冠长尾雉、水獭、大鲵等；大灵猫和小灵猫在低、中山杂木灌丛亦有少量。爬行动物中有北草蜴、壁虎、乌龟、鳖、黑眉锦蛇、乌梢蛇、翠青蛇和锈链游蛇。两栖动物中有大鲵、蟾蜍等，但以黑斑蛙、沼蛙和泽蛙等稻田蛙类为多。饲养畜禽主要为猪、牛、羊、马、犬、猫、兔、蜂、蚕等15类。</w:t>
      </w:r>
    </w:p>
    <w:p>
      <w:pPr>
        <w:pStyle w:val="89"/>
        <w:ind w:firstLine="480"/>
        <w:rPr>
          <w:highlight w:val="none"/>
        </w:rPr>
      </w:pPr>
      <w:r>
        <w:rPr>
          <w:rFonts w:hint="eastAsia"/>
          <w:highlight w:val="none"/>
        </w:rPr>
        <w:t>根据历史资料调查，在评价河段曾有国家II级保护动物胭脂鱼分布。胭脂鱼具有溯河回流的习性，排污口所在的嘉陵江河段分别于1989年及2007年发现过有胭脂鱼存在，但因嘉陵江梯级水工设施分布的影响，近年来已极少见胭脂鱼出现。除胭脂鱼外，排污口所在嘉陵江河段还曾发现有四川省保护鱼类（鱤鱼、鯮鱼），但上述鱼类均为掠食性鱼类，具有洄游习性，目前仅为残存状态。</w:t>
      </w:r>
    </w:p>
    <w:p>
      <w:pPr>
        <w:pStyle w:val="89"/>
        <w:ind w:firstLine="482"/>
        <w:outlineLvl w:val="9"/>
        <w:rPr>
          <w:rFonts w:hint="eastAsia"/>
          <w:b/>
          <w:bCs w:val="0"/>
          <w:highlight w:val="none"/>
        </w:rPr>
      </w:pPr>
      <w:bookmarkStart w:id="27" w:name="_Toc22327"/>
      <w:r>
        <w:rPr>
          <w:rFonts w:hint="eastAsia"/>
          <w:b/>
          <w:bCs w:val="0"/>
          <w:highlight w:val="none"/>
        </w:rPr>
        <w:t>4、矿产资源</w:t>
      </w:r>
      <w:bookmarkEnd w:id="27"/>
    </w:p>
    <w:p>
      <w:pPr>
        <w:pStyle w:val="89"/>
        <w:ind w:firstLine="480"/>
        <w:rPr>
          <w:highlight w:val="none"/>
        </w:rPr>
      </w:pPr>
      <w:r>
        <w:rPr>
          <w:rFonts w:hint="eastAsia"/>
          <w:highlight w:val="none"/>
        </w:rPr>
        <w:t>苍溪县矿产资源主要有天然气、磷矿、钙质砾岩（水泥原料）、方解石、沥青、石英砂岩（玻璃原料）、白垩土（水泥原料）、红土、硝盐、黄铁矿、沙金、铝土矿、褐铁矿等。其中</w:t>
      </w:r>
      <w:r>
        <w:rPr>
          <w:highlight w:val="none"/>
        </w:rPr>
        <w:t>，元</w:t>
      </w:r>
      <w:r>
        <w:rPr>
          <w:rFonts w:hint="eastAsia"/>
          <w:highlight w:val="none"/>
        </w:rPr>
        <w:t>坝天然气田为广元境内三大富集气田之一，预测储量达上千亿立方米。</w:t>
      </w:r>
    </w:p>
    <w:p>
      <w:pPr>
        <w:pStyle w:val="89"/>
        <w:ind w:firstLine="480"/>
        <w:rPr>
          <w:highlight w:val="none"/>
        </w:rPr>
      </w:pPr>
      <w:r>
        <w:rPr>
          <w:rFonts w:hint="eastAsia"/>
          <w:highlight w:val="none"/>
        </w:rPr>
        <w:t>项目规划区不在元坝天然气田范围内。</w:t>
      </w:r>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kern w:val="2"/>
          <w:sz w:val="32"/>
          <w:szCs w:val="32"/>
          <w:highlight w:val="none"/>
          <w:lang w:val="en-US" w:eastAsia="zh-CN" w:bidi="ar-SA"/>
        </w:rPr>
      </w:pPr>
      <w:bookmarkStart w:id="28" w:name="_Toc154518148"/>
      <w:r>
        <w:rPr>
          <w:rFonts w:hint="eastAsia" w:ascii="Times New Roman" w:hAnsi="Times New Roman" w:eastAsia="黑体" w:cs="Times New Roman"/>
          <w:bCs/>
          <w:kern w:val="2"/>
          <w:sz w:val="32"/>
          <w:szCs w:val="32"/>
          <w:highlight w:val="none"/>
          <w:lang w:val="en-US" w:eastAsia="zh-CN" w:bidi="ar-SA"/>
        </w:rPr>
        <w:t>社会环境概况</w:t>
      </w:r>
      <w:bookmarkEnd w:id="28"/>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行政区划及人口</w:t>
      </w:r>
    </w:p>
    <w:p>
      <w:pPr>
        <w:pStyle w:val="89"/>
        <w:ind w:firstLine="480"/>
        <w:rPr>
          <w:highlight w:val="none"/>
        </w:rPr>
      </w:pPr>
      <w:r>
        <w:rPr>
          <w:rFonts w:hint="eastAsia"/>
          <w:highlight w:val="none"/>
        </w:rPr>
        <w:t>苍溪县辖25个镇、6个乡：陵江镇、云峰镇、东青镇、白桥镇、五龙镇、永宁镇、鸳溪镇、三川镇、龙王镇、元坝镇、唤马镇、歧坪镇、白驿镇、漓江镇、文昌镇、岳东镇、石马镇、运山镇、东溪镇、高坡镇、龙山镇、亭子镇、百利镇、黄猫垭镇、河地镇、白鹤乡、浙水乡、月山乡、白山乡、彭店乡、桥溪乡。苍溪县人民政府驻陵江镇解放路。2022年，苍溪县户籍总人口72.85万人，比上年末减少0.8万人。其中：非农业人口12.92万人，农业人口59.93万人。常住人口50.47万人，城镇化率达34.41%，其中，城镇常住人口17.37万人，农村常住人口33.1万人。全年出生人口3314人，出生率6.51‰；死亡人口5817人，死亡率11.44‰；人口自然增长率－4.92‰。</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国民经济状况</w:t>
      </w:r>
    </w:p>
    <w:p>
      <w:pPr>
        <w:pStyle w:val="89"/>
        <w:ind w:firstLine="480"/>
        <w:rPr>
          <w:highlight w:val="none"/>
        </w:rPr>
      </w:pPr>
      <w:r>
        <w:rPr>
          <w:rFonts w:hint="eastAsia"/>
          <w:highlight w:val="none"/>
        </w:rPr>
        <w:t>2022年，苍溪县全年实现地区生产总值204.04亿元，按可比价格计算，比上年增长2.0%。其中，第一产业增加值58.47亿元，增长4.3%；第二产业增加值58.63亿元，下降4.6%；第三产业增加值86.94亿元，增长5.2%。人均地区生产总值40324元，增长2.8%。一三产业分别拉动经济增长1.2、2.2个百分点，二产业拖后经济下降1.4个百分点。三次产业增加值占地区生产总值的比重分别为28.7%、28.7%和42.6%。</w:t>
      </w:r>
    </w:p>
    <w:p>
      <w:pPr>
        <w:pStyle w:val="89"/>
        <w:ind w:firstLine="480"/>
        <w:rPr>
          <w:highlight w:val="none"/>
        </w:rPr>
      </w:pPr>
      <w:r>
        <w:rPr>
          <w:rFonts w:hint="eastAsia"/>
          <w:highlight w:val="none"/>
        </w:rPr>
        <w:t>全年民营经济增加值112.46亿元，按可比价格计算，比上年增长1.5%，占地区生产总值的比重为55.1%。其中，第一产业增加值19.69亿元，增长3.6%；第二产业增加值39.62亿元，下降2.1%；第三产业增加值53.15亿元，增长3.5%。民营经济三次产业结构为17.5∶35.2∶47.3。</w:t>
      </w:r>
    </w:p>
    <w:p>
      <w:pPr>
        <w:pStyle w:val="89"/>
        <w:ind w:firstLine="480"/>
        <w:rPr>
          <w:highlight w:val="none"/>
        </w:rPr>
      </w:pPr>
      <w:r>
        <w:rPr>
          <w:rFonts w:hint="eastAsia"/>
          <w:highlight w:val="none"/>
        </w:rPr>
        <w:t>年末共有法人单位4536家，比上年增长17.1%，产业活动单位5802家，比上年增长13.5%。“四上”企业在库单位190家，其中：规模以上工业企业63家，规模以上服务业企业28家，限额以上批零住餐企业53家，资质以上建筑业企业28家，房地产开发企业18家。</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道路交通</w:t>
      </w:r>
    </w:p>
    <w:p>
      <w:pPr>
        <w:ind w:firstLine="480"/>
        <w:rPr>
          <w:highlight w:val="none"/>
        </w:rPr>
      </w:pPr>
      <w:r>
        <w:rPr>
          <w:rFonts w:hint="eastAsia"/>
          <w:highlight w:val="none"/>
        </w:rPr>
        <w:t>2022年，苍溪县公路运输总周转量82237万吨公里，比上年增长2.4%，其中，客运周转量4478万人公里，下降59.5%，货运周转量81789万吨公里，增长3.3%。全县民用汽车拥有量6.21万辆，比上年增长4.9％，其中：私人汽车拥有量5.3万辆，增长5.3％。</w:t>
      </w:r>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kern w:val="2"/>
          <w:sz w:val="32"/>
          <w:szCs w:val="32"/>
          <w:highlight w:val="none"/>
          <w:lang w:val="en-US" w:eastAsia="zh-CN" w:bidi="ar-SA"/>
        </w:rPr>
      </w:pPr>
      <w:r>
        <w:rPr>
          <w:rFonts w:hint="eastAsia" w:ascii="Times New Roman" w:hAnsi="Times New Roman" w:eastAsia="黑体" w:cs="Times New Roman"/>
          <w:bCs/>
          <w:kern w:val="2"/>
          <w:sz w:val="32"/>
          <w:szCs w:val="32"/>
          <w:highlight w:val="none"/>
          <w:lang w:val="en-US" w:eastAsia="zh-CN" w:bidi="ar-SA"/>
        </w:rPr>
        <w:t>环境质量趋势分析</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大气环境质量</w:t>
      </w:r>
    </w:p>
    <w:p>
      <w:pPr>
        <w:ind w:firstLine="480"/>
        <w:rPr>
          <w:highlight w:val="none"/>
        </w:rPr>
      </w:pPr>
      <w:r>
        <w:rPr>
          <w:rFonts w:hint="eastAsia"/>
          <w:highlight w:val="none"/>
        </w:rPr>
        <w:t>本次环评重点收集了2</w:t>
      </w:r>
      <w:r>
        <w:rPr>
          <w:highlight w:val="none"/>
        </w:rPr>
        <w:t>01</w:t>
      </w:r>
      <w:r>
        <w:rPr>
          <w:rFonts w:hint="eastAsia"/>
          <w:highlight w:val="none"/>
        </w:rPr>
        <w:t>9</w:t>
      </w:r>
      <w:r>
        <w:rPr>
          <w:highlight w:val="none"/>
        </w:rPr>
        <w:t>-202</w:t>
      </w:r>
      <w:r>
        <w:rPr>
          <w:rFonts w:hint="eastAsia"/>
          <w:highlight w:val="none"/>
        </w:rPr>
        <w:t>3年苍溪县历年环境质量报告书数据，分析评价区域和苍溪县空气质量变化趋势。</w:t>
      </w:r>
    </w:p>
    <w:p>
      <w:pPr>
        <w:ind w:firstLine="480"/>
        <w:rPr>
          <w:highlight w:val="none"/>
        </w:rPr>
      </w:pPr>
      <w:r>
        <w:rPr>
          <w:rFonts w:hint="eastAsia"/>
          <w:highlight w:val="none"/>
        </w:rPr>
        <w:t>（1）监测点位</w:t>
      </w:r>
    </w:p>
    <w:p>
      <w:pPr>
        <w:ind w:firstLine="480"/>
        <w:rPr>
          <w:highlight w:val="none"/>
        </w:rPr>
      </w:pPr>
      <w:r>
        <w:rPr>
          <w:rFonts w:hint="eastAsia"/>
          <w:highlight w:val="none"/>
        </w:rPr>
        <w:t>2019-2021年，苍溪县环境空气质量监测点位为县东城站，采用点式干法系统进行24小时自动连续监测；2022-2023年，苍溪县环境空气质量监测点位为县东城站和县职中点，采用点式干法系统进行24小时自动连续监测。</w:t>
      </w:r>
    </w:p>
    <w:p>
      <w:pPr>
        <w:ind w:firstLine="480"/>
        <w:rPr>
          <w:highlight w:val="none"/>
        </w:rPr>
      </w:pPr>
      <w:r>
        <w:rPr>
          <w:rFonts w:hint="eastAsia"/>
          <w:highlight w:val="none"/>
        </w:rPr>
        <w:t>（2）监测因子</w:t>
      </w:r>
    </w:p>
    <w:p>
      <w:pPr>
        <w:ind w:firstLine="480"/>
        <w:rPr>
          <w:highlight w:val="none"/>
        </w:rPr>
      </w:pPr>
      <w:r>
        <w:rPr>
          <w:rFonts w:hint="eastAsia"/>
          <w:highlight w:val="none"/>
        </w:rPr>
        <w:t>SO</w:t>
      </w:r>
      <w:r>
        <w:rPr>
          <w:rFonts w:hint="eastAsia"/>
          <w:highlight w:val="none"/>
          <w:vertAlign w:val="subscript"/>
        </w:rPr>
        <w:t>2</w:t>
      </w:r>
      <w:r>
        <w:rPr>
          <w:rFonts w:hint="eastAsia"/>
          <w:highlight w:val="none"/>
        </w:rPr>
        <w:t>、NO</w:t>
      </w:r>
      <w:r>
        <w:rPr>
          <w:rFonts w:hint="eastAsia"/>
          <w:highlight w:val="none"/>
          <w:vertAlign w:val="subscript"/>
        </w:rPr>
        <w:t>2</w:t>
      </w:r>
      <w:r>
        <w:rPr>
          <w:rFonts w:hint="eastAsia"/>
          <w:highlight w:val="none"/>
        </w:rPr>
        <w:t>、可吸入颗粒物（</w:t>
      </w:r>
      <w:r>
        <w:rPr>
          <w:rFonts w:hint="eastAsia"/>
          <w:bCs/>
          <w:highlight w:val="none"/>
        </w:rPr>
        <w:t>PM</w:t>
      </w:r>
      <w:r>
        <w:rPr>
          <w:rFonts w:hint="eastAsia"/>
          <w:bCs/>
          <w:highlight w:val="none"/>
          <w:vertAlign w:val="subscript"/>
        </w:rPr>
        <w:t>10</w:t>
      </w:r>
      <w:r>
        <w:rPr>
          <w:rFonts w:hint="eastAsia"/>
          <w:highlight w:val="none"/>
        </w:rPr>
        <w:t>）、细颗粒物（</w:t>
      </w:r>
      <w:r>
        <w:rPr>
          <w:rFonts w:hint="eastAsia"/>
          <w:bCs/>
          <w:highlight w:val="none"/>
        </w:rPr>
        <w:t>PM</w:t>
      </w:r>
      <w:r>
        <w:rPr>
          <w:rFonts w:hint="eastAsia"/>
          <w:bCs/>
          <w:highlight w:val="none"/>
          <w:vertAlign w:val="subscript"/>
        </w:rPr>
        <w:t>2.5</w:t>
      </w:r>
      <w:r>
        <w:rPr>
          <w:rFonts w:hint="eastAsia"/>
          <w:highlight w:val="none"/>
        </w:rPr>
        <w:t>）、CO、O3等6项指标。</w:t>
      </w:r>
    </w:p>
    <w:p>
      <w:pPr>
        <w:ind w:firstLine="480"/>
        <w:rPr>
          <w:highlight w:val="none"/>
        </w:rPr>
      </w:pPr>
      <w:r>
        <w:rPr>
          <w:rFonts w:hint="eastAsia"/>
          <w:highlight w:val="none"/>
        </w:rPr>
        <w:t>（3）例行监测结果</w:t>
      </w:r>
    </w:p>
    <w:p>
      <w:pPr>
        <w:ind w:firstLine="482"/>
        <w:rPr>
          <w:bCs/>
          <w:highlight w:val="none"/>
        </w:rPr>
      </w:pPr>
      <w:r>
        <w:rPr>
          <w:rFonts w:hint="eastAsia"/>
          <w:b/>
          <w:highlight w:val="none"/>
        </w:rPr>
        <w:t>总体达标情况：</w:t>
      </w:r>
      <w:r>
        <w:rPr>
          <w:rFonts w:hint="eastAsia"/>
          <w:bCs/>
          <w:highlight w:val="none"/>
        </w:rPr>
        <w:t>苍溪县20219-2023年度大气基本污染物六项指标均满足《环境空气质量标准》（GB3095-2012）中二级标准浓度限值要求。</w:t>
      </w:r>
    </w:p>
    <w:p>
      <w:pPr>
        <w:ind w:firstLine="482"/>
        <w:rPr>
          <w:bCs/>
          <w:highlight w:val="none"/>
        </w:rPr>
      </w:pPr>
      <w:r>
        <w:rPr>
          <w:rFonts w:hint="eastAsia"/>
          <w:b/>
          <w:highlight w:val="none"/>
        </w:rPr>
        <w:t>变化趋势</w:t>
      </w:r>
      <w:r>
        <w:rPr>
          <w:rFonts w:hint="eastAsia"/>
          <w:highlight w:val="none"/>
        </w:rPr>
        <w:t>：</w:t>
      </w:r>
      <w:r>
        <w:rPr>
          <w:rFonts w:hint="eastAsia"/>
          <w:bCs/>
          <w:highlight w:val="none"/>
        </w:rPr>
        <w:t>苍溪县</w:t>
      </w:r>
      <w:r>
        <w:rPr>
          <w:rFonts w:hint="eastAsia"/>
          <w:highlight w:val="none"/>
        </w:rPr>
        <w:t>NO</w:t>
      </w:r>
      <w:r>
        <w:rPr>
          <w:rFonts w:hint="eastAsia"/>
          <w:highlight w:val="none"/>
          <w:vertAlign w:val="subscript"/>
        </w:rPr>
        <w:t>2</w:t>
      </w:r>
      <w:r>
        <w:rPr>
          <w:rFonts w:hint="eastAsia"/>
          <w:bCs/>
          <w:highlight w:val="none"/>
        </w:rPr>
        <w:t>、PM</w:t>
      </w:r>
      <w:r>
        <w:rPr>
          <w:rFonts w:hint="eastAsia"/>
          <w:bCs/>
          <w:highlight w:val="none"/>
          <w:vertAlign w:val="subscript"/>
        </w:rPr>
        <w:t>10</w:t>
      </w:r>
      <w:r>
        <w:rPr>
          <w:rFonts w:hint="eastAsia"/>
          <w:bCs/>
          <w:highlight w:val="none"/>
        </w:rPr>
        <w:t>、PM</w:t>
      </w:r>
      <w:r>
        <w:rPr>
          <w:rFonts w:hint="eastAsia"/>
          <w:bCs/>
          <w:highlight w:val="none"/>
          <w:vertAlign w:val="subscript"/>
        </w:rPr>
        <w:t>2.5</w:t>
      </w:r>
      <w:r>
        <w:rPr>
          <w:rFonts w:hint="eastAsia"/>
          <w:bCs/>
          <w:highlight w:val="none"/>
        </w:rPr>
        <w:t>呈现逐年下降趋势；</w:t>
      </w:r>
      <w:r>
        <w:rPr>
          <w:rFonts w:hint="eastAsia"/>
          <w:highlight w:val="none"/>
        </w:rPr>
        <w:t>SO</w:t>
      </w:r>
      <w:r>
        <w:rPr>
          <w:rFonts w:hint="eastAsia"/>
          <w:highlight w:val="none"/>
          <w:vertAlign w:val="subscript"/>
        </w:rPr>
        <w:t>2</w:t>
      </w:r>
      <w:r>
        <w:rPr>
          <w:rFonts w:hint="eastAsia"/>
          <w:bCs/>
          <w:highlight w:val="none"/>
        </w:rPr>
        <w:t>、O3呈现上升趋势；CO自2021年达到1</w:t>
      </w:r>
      <w:r>
        <w:rPr>
          <w:bCs/>
          <w:highlight w:val="none"/>
        </w:rPr>
        <w:t xml:space="preserve"> mg/</w:t>
      </w:r>
      <w:r>
        <w:rPr>
          <w:rFonts w:hint="eastAsia"/>
          <w:highlight w:val="none"/>
        </w:rPr>
        <w:t>m</w:t>
      </w:r>
      <w:r>
        <w:rPr>
          <w:rFonts w:hint="eastAsia"/>
          <w:highlight w:val="none"/>
          <w:vertAlign w:val="superscript"/>
        </w:rPr>
        <w:t>3</w:t>
      </w:r>
      <w:r>
        <w:rPr>
          <w:rFonts w:hint="eastAsia"/>
          <w:bCs/>
          <w:highlight w:val="none"/>
        </w:rPr>
        <w:t>后保持稳定。</w:t>
      </w:r>
    </w:p>
    <w:p>
      <w:pPr>
        <w:ind w:firstLine="480"/>
        <w:rPr>
          <w:highlight w:val="none"/>
        </w:rPr>
      </w:pPr>
      <w:r>
        <w:rPr>
          <w:rFonts w:hint="eastAsia"/>
          <w:bCs/>
          <w:highlight w:val="none"/>
        </w:rPr>
        <w:t>区域环境质量变化情况详见下表和下图。</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1</w:instrText>
      </w:r>
      <w:r>
        <w:rPr>
          <w:highlight w:val="none"/>
        </w:rPr>
        <w:instrText xml:space="preserve"> </w:instrText>
      </w:r>
      <w:r>
        <w:rPr>
          <w:highlight w:val="none"/>
        </w:rPr>
        <w:fldChar w:fldCharType="separate"/>
      </w:r>
      <w:r>
        <w:rPr>
          <w:highlight w:val="none"/>
        </w:rPr>
        <w:t>3</w:t>
      </w:r>
      <w:r>
        <w:rPr>
          <w:highlight w:val="none"/>
        </w:rPr>
        <w:fldChar w:fldCharType="end"/>
      </w:r>
      <w:r>
        <w:rPr>
          <w:rFonts w:hint="eastAsia"/>
          <w:highlight w:val="none"/>
        </w:rPr>
        <w:t xml:space="preserve">  近5年大气环境例行监测数据统计表</w:t>
      </w:r>
    </w:p>
    <w:tbl>
      <w:tblPr>
        <w:tblStyle w:val="39"/>
        <w:tblW w:w="97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1136"/>
        <w:gridCol w:w="1080"/>
        <w:gridCol w:w="1040"/>
        <w:gridCol w:w="1040"/>
        <w:gridCol w:w="1141"/>
        <w:gridCol w:w="1040"/>
        <w:gridCol w:w="1141"/>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60" w:type="dxa"/>
            <w:gridSpan w:val="2"/>
            <w:vMerge w:val="restart"/>
            <w:shd w:val="clear" w:color="auto" w:fill="auto"/>
            <w:noWrap/>
            <w:vAlign w:val="center"/>
          </w:tcPr>
          <w:p>
            <w:pPr>
              <w:pStyle w:val="58"/>
              <w:rPr>
                <w:highlight w:val="none"/>
              </w:rPr>
            </w:pPr>
            <w:r>
              <w:rPr>
                <w:rFonts w:hint="eastAsia"/>
                <w:highlight w:val="none"/>
              </w:rPr>
              <w:t>监测项目</w:t>
            </w:r>
          </w:p>
        </w:tc>
        <w:tc>
          <w:tcPr>
            <w:tcW w:w="1080" w:type="dxa"/>
            <w:vMerge w:val="restart"/>
            <w:shd w:val="clear" w:color="auto" w:fill="auto"/>
            <w:noWrap/>
            <w:vAlign w:val="center"/>
          </w:tcPr>
          <w:p>
            <w:pPr>
              <w:pStyle w:val="58"/>
              <w:rPr>
                <w:highlight w:val="none"/>
              </w:rPr>
            </w:pPr>
            <w:r>
              <w:rPr>
                <w:rFonts w:hint="eastAsia"/>
                <w:highlight w:val="none"/>
              </w:rPr>
              <w:t>单位</w:t>
            </w:r>
          </w:p>
        </w:tc>
        <w:tc>
          <w:tcPr>
            <w:tcW w:w="5402" w:type="dxa"/>
            <w:gridSpan w:val="5"/>
            <w:shd w:val="clear" w:color="auto" w:fill="auto"/>
            <w:noWrap/>
            <w:vAlign w:val="center"/>
          </w:tcPr>
          <w:p>
            <w:pPr>
              <w:pStyle w:val="58"/>
              <w:rPr>
                <w:highlight w:val="none"/>
              </w:rPr>
            </w:pPr>
            <w:r>
              <w:rPr>
                <w:rFonts w:hint="eastAsia"/>
                <w:highlight w:val="none"/>
              </w:rPr>
              <w:t>年份</w:t>
            </w:r>
          </w:p>
        </w:tc>
        <w:tc>
          <w:tcPr>
            <w:tcW w:w="1078" w:type="dxa"/>
            <w:vMerge w:val="restart"/>
            <w:shd w:val="clear" w:color="auto" w:fill="auto"/>
            <w:vAlign w:val="center"/>
          </w:tcPr>
          <w:p>
            <w:pPr>
              <w:pStyle w:val="58"/>
              <w:rPr>
                <w:rFonts w:cs="Times New Roman"/>
                <w:highlight w:val="none"/>
              </w:rPr>
            </w:pPr>
            <w:r>
              <w:rPr>
                <w:rFonts w:cs="Times New Roman"/>
                <w:highlight w:val="none"/>
              </w:rPr>
              <w:t>GB3095-2012</w:t>
            </w:r>
            <w:r>
              <w:rPr>
                <w:rFonts w:hint="eastAsia" w:ascii="宋体" w:hAnsi="宋体" w:eastAsia="宋体" w:cs="Times New Roman"/>
                <w:highlight w:val="none"/>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0" w:type="dxa"/>
            <w:gridSpan w:val="2"/>
            <w:vMerge w:val="continue"/>
            <w:vAlign w:val="center"/>
          </w:tcPr>
          <w:p>
            <w:pPr>
              <w:pStyle w:val="58"/>
              <w:rPr>
                <w:highlight w:val="none"/>
              </w:rPr>
            </w:pPr>
          </w:p>
        </w:tc>
        <w:tc>
          <w:tcPr>
            <w:tcW w:w="1080" w:type="dxa"/>
            <w:vMerge w:val="continue"/>
            <w:vAlign w:val="center"/>
          </w:tcPr>
          <w:p>
            <w:pPr>
              <w:pStyle w:val="58"/>
              <w:rPr>
                <w:highlight w:val="none"/>
              </w:rPr>
            </w:pPr>
          </w:p>
        </w:tc>
        <w:tc>
          <w:tcPr>
            <w:tcW w:w="1040" w:type="dxa"/>
            <w:shd w:val="clear" w:color="auto" w:fill="auto"/>
            <w:noWrap/>
            <w:vAlign w:val="center"/>
          </w:tcPr>
          <w:p>
            <w:pPr>
              <w:pStyle w:val="58"/>
              <w:rPr>
                <w:highlight w:val="none"/>
              </w:rPr>
            </w:pPr>
            <w:r>
              <w:rPr>
                <w:rFonts w:hint="eastAsia"/>
                <w:highlight w:val="none"/>
              </w:rPr>
              <w:t>2019年</w:t>
            </w:r>
          </w:p>
        </w:tc>
        <w:tc>
          <w:tcPr>
            <w:tcW w:w="1040" w:type="dxa"/>
            <w:shd w:val="clear" w:color="auto" w:fill="auto"/>
            <w:noWrap/>
            <w:vAlign w:val="center"/>
          </w:tcPr>
          <w:p>
            <w:pPr>
              <w:pStyle w:val="58"/>
              <w:rPr>
                <w:highlight w:val="none"/>
              </w:rPr>
            </w:pPr>
            <w:r>
              <w:rPr>
                <w:rFonts w:hint="eastAsia"/>
                <w:highlight w:val="none"/>
              </w:rPr>
              <w:t>2020年</w:t>
            </w:r>
          </w:p>
        </w:tc>
        <w:tc>
          <w:tcPr>
            <w:tcW w:w="1141" w:type="dxa"/>
            <w:shd w:val="clear" w:color="auto" w:fill="auto"/>
            <w:noWrap/>
            <w:vAlign w:val="center"/>
          </w:tcPr>
          <w:p>
            <w:pPr>
              <w:pStyle w:val="58"/>
              <w:rPr>
                <w:highlight w:val="none"/>
              </w:rPr>
            </w:pPr>
            <w:r>
              <w:rPr>
                <w:rFonts w:hint="eastAsia"/>
                <w:highlight w:val="none"/>
              </w:rPr>
              <w:t>2021年</w:t>
            </w:r>
          </w:p>
        </w:tc>
        <w:tc>
          <w:tcPr>
            <w:tcW w:w="1040" w:type="dxa"/>
            <w:shd w:val="clear" w:color="auto" w:fill="auto"/>
            <w:noWrap/>
            <w:vAlign w:val="center"/>
          </w:tcPr>
          <w:p>
            <w:pPr>
              <w:pStyle w:val="58"/>
              <w:rPr>
                <w:highlight w:val="none"/>
              </w:rPr>
            </w:pPr>
            <w:r>
              <w:rPr>
                <w:rFonts w:hint="eastAsia"/>
                <w:highlight w:val="none"/>
              </w:rPr>
              <w:t>2022年</w:t>
            </w:r>
          </w:p>
        </w:tc>
        <w:tc>
          <w:tcPr>
            <w:tcW w:w="1141" w:type="dxa"/>
            <w:shd w:val="clear" w:color="auto" w:fill="auto"/>
            <w:noWrap/>
            <w:vAlign w:val="center"/>
          </w:tcPr>
          <w:p>
            <w:pPr>
              <w:pStyle w:val="58"/>
              <w:rPr>
                <w:highlight w:val="none"/>
              </w:rPr>
            </w:pPr>
            <w:r>
              <w:rPr>
                <w:rFonts w:hint="eastAsia"/>
                <w:highlight w:val="none"/>
              </w:rPr>
              <w:t>2023年</w:t>
            </w:r>
          </w:p>
        </w:tc>
        <w:tc>
          <w:tcPr>
            <w:tcW w:w="1078" w:type="dxa"/>
            <w:vMerge w:val="continue"/>
            <w:vAlign w:val="center"/>
          </w:tcPr>
          <w:p>
            <w:pPr>
              <w:pStyle w:val="58"/>
              <w:rPr>
                <w:rFonts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shd w:val="clear" w:color="auto" w:fill="auto"/>
            <w:noWrap/>
            <w:vAlign w:val="center"/>
          </w:tcPr>
          <w:p>
            <w:pPr>
              <w:pStyle w:val="58"/>
              <w:rPr>
                <w:highlight w:val="none"/>
              </w:rPr>
            </w:pPr>
            <w:r>
              <w:rPr>
                <w:rFonts w:hint="eastAsia"/>
                <w:highlight w:val="none"/>
              </w:rPr>
              <w:t>SO</w:t>
            </w:r>
            <w:r>
              <w:rPr>
                <w:rFonts w:hint="eastAsia"/>
                <w:highlight w:val="none"/>
                <w:vertAlign w:val="subscript"/>
              </w:rPr>
              <w:t>2</w:t>
            </w:r>
          </w:p>
        </w:tc>
        <w:tc>
          <w:tcPr>
            <w:tcW w:w="1136" w:type="dxa"/>
            <w:shd w:val="clear" w:color="auto" w:fill="auto"/>
            <w:noWrap/>
            <w:vAlign w:val="center"/>
          </w:tcPr>
          <w:p>
            <w:pPr>
              <w:pStyle w:val="58"/>
              <w:rPr>
                <w:highlight w:val="none"/>
              </w:rPr>
            </w:pPr>
            <w:r>
              <w:rPr>
                <w:rFonts w:hint="eastAsia"/>
                <w:highlight w:val="none"/>
              </w:rPr>
              <w:t>年平均</w:t>
            </w:r>
          </w:p>
        </w:tc>
        <w:tc>
          <w:tcPr>
            <w:tcW w:w="1080" w:type="dxa"/>
            <w:shd w:val="clear" w:color="auto" w:fill="auto"/>
            <w:noWrap/>
            <w:vAlign w:val="center"/>
          </w:tcPr>
          <w:p>
            <w:pPr>
              <w:pStyle w:val="58"/>
              <w:rPr>
                <w:highlight w:val="none"/>
              </w:rPr>
            </w:pPr>
            <w:r>
              <w:rPr>
                <w:rFonts w:hint="eastAsia"/>
                <w:highlight w:val="none"/>
              </w:rPr>
              <w:t>μg/m</w:t>
            </w:r>
            <w:r>
              <w:rPr>
                <w:rFonts w:hint="eastAsia"/>
                <w:highlight w:val="none"/>
                <w:vertAlign w:val="superscript"/>
              </w:rPr>
              <w:t>3</w:t>
            </w:r>
          </w:p>
        </w:tc>
        <w:tc>
          <w:tcPr>
            <w:tcW w:w="1040" w:type="dxa"/>
            <w:shd w:val="clear" w:color="auto" w:fill="auto"/>
            <w:noWrap/>
            <w:vAlign w:val="center"/>
          </w:tcPr>
          <w:p>
            <w:pPr>
              <w:pStyle w:val="58"/>
              <w:rPr>
                <w:highlight w:val="none"/>
              </w:rPr>
            </w:pPr>
            <w:r>
              <w:rPr>
                <w:rFonts w:hint="eastAsia"/>
                <w:highlight w:val="none"/>
              </w:rPr>
              <w:t>4.4</w:t>
            </w:r>
          </w:p>
        </w:tc>
        <w:tc>
          <w:tcPr>
            <w:tcW w:w="1040" w:type="dxa"/>
            <w:shd w:val="clear" w:color="auto" w:fill="auto"/>
            <w:noWrap/>
            <w:vAlign w:val="center"/>
          </w:tcPr>
          <w:p>
            <w:pPr>
              <w:pStyle w:val="58"/>
              <w:rPr>
                <w:highlight w:val="none"/>
              </w:rPr>
            </w:pPr>
            <w:r>
              <w:rPr>
                <w:rFonts w:hint="eastAsia"/>
                <w:highlight w:val="none"/>
              </w:rPr>
              <w:t>3.9</w:t>
            </w:r>
          </w:p>
        </w:tc>
        <w:tc>
          <w:tcPr>
            <w:tcW w:w="1141" w:type="dxa"/>
            <w:shd w:val="clear" w:color="auto" w:fill="auto"/>
            <w:noWrap/>
            <w:vAlign w:val="center"/>
          </w:tcPr>
          <w:p>
            <w:pPr>
              <w:pStyle w:val="58"/>
              <w:rPr>
                <w:highlight w:val="none"/>
              </w:rPr>
            </w:pPr>
            <w:r>
              <w:rPr>
                <w:rFonts w:hint="eastAsia"/>
                <w:highlight w:val="none"/>
              </w:rPr>
              <w:t>4.5</w:t>
            </w:r>
          </w:p>
        </w:tc>
        <w:tc>
          <w:tcPr>
            <w:tcW w:w="1040" w:type="dxa"/>
            <w:shd w:val="clear" w:color="auto" w:fill="auto"/>
            <w:noWrap/>
            <w:vAlign w:val="center"/>
          </w:tcPr>
          <w:p>
            <w:pPr>
              <w:pStyle w:val="58"/>
              <w:rPr>
                <w:highlight w:val="none"/>
              </w:rPr>
            </w:pPr>
            <w:r>
              <w:rPr>
                <w:rFonts w:hint="eastAsia"/>
                <w:highlight w:val="none"/>
              </w:rPr>
              <w:t>5.2</w:t>
            </w:r>
          </w:p>
        </w:tc>
        <w:tc>
          <w:tcPr>
            <w:tcW w:w="1141" w:type="dxa"/>
            <w:shd w:val="clear" w:color="auto" w:fill="auto"/>
            <w:noWrap/>
            <w:vAlign w:val="center"/>
          </w:tcPr>
          <w:p>
            <w:pPr>
              <w:pStyle w:val="58"/>
              <w:rPr>
                <w:highlight w:val="none"/>
              </w:rPr>
            </w:pPr>
            <w:r>
              <w:rPr>
                <w:rFonts w:hint="eastAsia"/>
                <w:highlight w:val="none"/>
              </w:rPr>
              <w:t>6.6</w:t>
            </w:r>
          </w:p>
        </w:tc>
        <w:tc>
          <w:tcPr>
            <w:tcW w:w="1078" w:type="dxa"/>
            <w:shd w:val="clear" w:color="auto" w:fill="auto"/>
            <w:noWrap/>
            <w:vAlign w:val="center"/>
          </w:tcPr>
          <w:p>
            <w:pPr>
              <w:pStyle w:val="58"/>
              <w:rPr>
                <w:highlight w:val="none"/>
              </w:rPr>
            </w:pPr>
            <w:r>
              <w:rPr>
                <w:rFonts w:hint="eastAsia"/>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shd w:val="clear" w:color="auto" w:fill="auto"/>
            <w:noWrap/>
            <w:vAlign w:val="center"/>
          </w:tcPr>
          <w:p>
            <w:pPr>
              <w:pStyle w:val="58"/>
              <w:rPr>
                <w:highlight w:val="none"/>
              </w:rPr>
            </w:pPr>
            <w:r>
              <w:rPr>
                <w:rFonts w:hint="eastAsia"/>
                <w:highlight w:val="none"/>
              </w:rPr>
              <w:t>NO</w:t>
            </w:r>
            <w:r>
              <w:rPr>
                <w:rFonts w:hint="eastAsia"/>
                <w:highlight w:val="none"/>
                <w:vertAlign w:val="subscript"/>
              </w:rPr>
              <w:t>2</w:t>
            </w:r>
          </w:p>
        </w:tc>
        <w:tc>
          <w:tcPr>
            <w:tcW w:w="1136" w:type="dxa"/>
            <w:shd w:val="clear" w:color="auto" w:fill="auto"/>
            <w:noWrap/>
            <w:vAlign w:val="center"/>
          </w:tcPr>
          <w:p>
            <w:pPr>
              <w:pStyle w:val="58"/>
              <w:rPr>
                <w:highlight w:val="none"/>
              </w:rPr>
            </w:pPr>
            <w:r>
              <w:rPr>
                <w:rFonts w:hint="eastAsia"/>
                <w:highlight w:val="none"/>
              </w:rPr>
              <w:t>年平均</w:t>
            </w:r>
          </w:p>
        </w:tc>
        <w:tc>
          <w:tcPr>
            <w:tcW w:w="1080" w:type="dxa"/>
            <w:shd w:val="clear" w:color="auto" w:fill="auto"/>
            <w:noWrap/>
            <w:vAlign w:val="center"/>
          </w:tcPr>
          <w:p>
            <w:pPr>
              <w:pStyle w:val="58"/>
              <w:rPr>
                <w:highlight w:val="none"/>
              </w:rPr>
            </w:pPr>
            <w:r>
              <w:rPr>
                <w:rFonts w:hint="eastAsia"/>
                <w:highlight w:val="none"/>
              </w:rPr>
              <w:t>μg/m</w:t>
            </w:r>
            <w:r>
              <w:rPr>
                <w:rFonts w:hint="eastAsia"/>
                <w:highlight w:val="none"/>
                <w:vertAlign w:val="superscript"/>
              </w:rPr>
              <w:t>3</w:t>
            </w:r>
          </w:p>
        </w:tc>
        <w:tc>
          <w:tcPr>
            <w:tcW w:w="1040" w:type="dxa"/>
            <w:shd w:val="clear" w:color="auto" w:fill="auto"/>
            <w:noWrap/>
            <w:vAlign w:val="center"/>
          </w:tcPr>
          <w:p>
            <w:pPr>
              <w:pStyle w:val="58"/>
              <w:rPr>
                <w:highlight w:val="none"/>
              </w:rPr>
            </w:pPr>
            <w:r>
              <w:rPr>
                <w:rFonts w:hint="eastAsia"/>
                <w:highlight w:val="none"/>
              </w:rPr>
              <w:t>14.3</w:t>
            </w:r>
          </w:p>
        </w:tc>
        <w:tc>
          <w:tcPr>
            <w:tcW w:w="1040" w:type="dxa"/>
            <w:shd w:val="clear" w:color="auto" w:fill="auto"/>
            <w:noWrap/>
            <w:vAlign w:val="center"/>
          </w:tcPr>
          <w:p>
            <w:pPr>
              <w:pStyle w:val="58"/>
              <w:rPr>
                <w:highlight w:val="none"/>
              </w:rPr>
            </w:pPr>
            <w:r>
              <w:rPr>
                <w:rFonts w:hint="eastAsia"/>
                <w:highlight w:val="none"/>
              </w:rPr>
              <w:t>13.3</w:t>
            </w:r>
          </w:p>
        </w:tc>
        <w:tc>
          <w:tcPr>
            <w:tcW w:w="1141" w:type="dxa"/>
            <w:shd w:val="clear" w:color="auto" w:fill="auto"/>
            <w:noWrap/>
            <w:vAlign w:val="center"/>
          </w:tcPr>
          <w:p>
            <w:pPr>
              <w:pStyle w:val="58"/>
              <w:rPr>
                <w:highlight w:val="none"/>
              </w:rPr>
            </w:pPr>
            <w:r>
              <w:rPr>
                <w:rFonts w:hint="eastAsia"/>
                <w:highlight w:val="none"/>
              </w:rPr>
              <w:t>13.6</w:t>
            </w:r>
          </w:p>
        </w:tc>
        <w:tc>
          <w:tcPr>
            <w:tcW w:w="1040" w:type="dxa"/>
            <w:shd w:val="clear" w:color="auto" w:fill="auto"/>
            <w:noWrap/>
            <w:vAlign w:val="center"/>
          </w:tcPr>
          <w:p>
            <w:pPr>
              <w:pStyle w:val="58"/>
              <w:rPr>
                <w:highlight w:val="none"/>
              </w:rPr>
            </w:pPr>
            <w:r>
              <w:rPr>
                <w:rFonts w:hint="eastAsia"/>
                <w:highlight w:val="none"/>
              </w:rPr>
              <w:t>12.8</w:t>
            </w:r>
          </w:p>
        </w:tc>
        <w:tc>
          <w:tcPr>
            <w:tcW w:w="1141" w:type="dxa"/>
            <w:shd w:val="clear" w:color="auto" w:fill="auto"/>
            <w:noWrap/>
            <w:vAlign w:val="center"/>
          </w:tcPr>
          <w:p>
            <w:pPr>
              <w:pStyle w:val="58"/>
              <w:rPr>
                <w:highlight w:val="none"/>
              </w:rPr>
            </w:pPr>
            <w:r>
              <w:rPr>
                <w:rFonts w:hint="eastAsia"/>
                <w:highlight w:val="none"/>
              </w:rPr>
              <w:t>13.2</w:t>
            </w:r>
          </w:p>
        </w:tc>
        <w:tc>
          <w:tcPr>
            <w:tcW w:w="1078" w:type="dxa"/>
            <w:shd w:val="clear" w:color="auto" w:fill="auto"/>
            <w:noWrap/>
            <w:vAlign w:val="center"/>
          </w:tcPr>
          <w:p>
            <w:pPr>
              <w:pStyle w:val="58"/>
              <w:rPr>
                <w:highlight w:val="none"/>
              </w:rPr>
            </w:pPr>
            <w:r>
              <w:rPr>
                <w:rFonts w:hint="eastAsia"/>
                <w:highlight w:val="none"/>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shd w:val="clear" w:color="auto" w:fill="auto"/>
            <w:noWrap/>
            <w:vAlign w:val="center"/>
          </w:tcPr>
          <w:p>
            <w:pPr>
              <w:pStyle w:val="58"/>
              <w:rPr>
                <w:highlight w:val="none"/>
              </w:rPr>
            </w:pPr>
            <w:r>
              <w:rPr>
                <w:rFonts w:hint="eastAsia"/>
                <w:bCs/>
                <w:highlight w:val="none"/>
              </w:rPr>
              <w:t>PM</w:t>
            </w:r>
            <w:r>
              <w:rPr>
                <w:rFonts w:hint="eastAsia"/>
                <w:bCs/>
                <w:highlight w:val="none"/>
                <w:vertAlign w:val="subscript"/>
              </w:rPr>
              <w:t>10</w:t>
            </w:r>
          </w:p>
        </w:tc>
        <w:tc>
          <w:tcPr>
            <w:tcW w:w="1136" w:type="dxa"/>
            <w:shd w:val="clear" w:color="auto" w:fill="auto"/>
            <w:noWrap/>
            <w:vAlign w:val="center"/>
          </w:tcPr>
          <w:p>
            <w:pPr>
              <w:pStyle w:val="58"/>
              <w:rPr>
                <w:highlight w:val="none"/>
              </w:rPr>
            </w:pPr>
            <w:r>
              <w:rPr>
                <w:rFonts w:hint="eastAsia"/>
                <w:highlight w:val="none"/>
              </w:rPr>
              <w:t>年平均</w:t>
            </w:r>
          </w:p>
        </w:tc>
        <w:tc>
          <w:tcPr>
            <w:tcW w:w="1080" w:type="dxa"/>
            <w:shd w:val="clear" w:color="auto" w:fill="auto"/>
            <w:noWrap/>
            <w:vAlign w:val="center"/>
          </w:tcPr>
          <w:p>
            <w:pPr>
              <w:pStyle w:val="58"/>
              <w:rPr>
                <w:highlight w:val="none"/>
              </w:rPr>
            </w:pPr>
            <w:r>
              <w:rPr>
                <w:rFonts w:hint="eastAsia"/>
                <w:highlight w:val="none"/>
              </w:rPr>
              <w:t>μg/m</w:t>
            </w:r>
            <w:r>
              <w:rPr>
                <w:rFonts w:hint="eastAsia"/>
                <w:highlight w:val="none"/>
                <w:vertAlign w:val="superscript"/>
              </w:rPr>
              <w:t>3</w:t>
            </w:r>
          </w:p>
        </w:tc>
        <w:tc>
          <w:tcPr>
            <w:tcW w:w="1040" w:type="dxa"/>
            <w:shd w:val="clear" w:color="auto" w:fill="auto"/>
            <w:noWrap/>
            <w:vAlign w:val="center"/>
          </w:tcPr>
          <w:p>
            <w:pPr>
              <w:pStyle w:val="58"/>
              <w:rPr>
                <w:highlight w:val="none"/>
              </w:rPr>
            </w:pPr>
            <w:r>
              <w:rPr>
                <w:rFonts w:hint="eastAsia"/>
                <w:highlight w:val="none"/>
              </w:rPr>
              <w:t>47.4</w:t>
            </w:r>
          </w:p>
        </w:tc>
        <w:tc>
          <w:tcPr>
            <w:tcW w:w="1040" w:type="dxa"/>
            <w:shd w:val="clear" w:color="auto" w:fill="auto"/>
            <w:noWrap/>
            <w:vAlign w:val="center"/>
          </w:tcPr>
          <w:p>
            <w:pPr>
              <w:pStyle w:val="58"/>
              <w:rPr>
                <w:highlight w:val="none"/>
              </w:rPr>
            </w:pPr>
            <w:r>
              <w:rPr>
                <w:rFonts w:hint="eastAsia"/>
                <w:highlight w:val="none"/>
              </w:rPr>
              <w:t>43.4</w:t>
            </w:r>
          </w:p>
        </w:tc>
        <w:tc>
          <w:tcPr>
            <w:tcW w:w="1141" w:type="dxa"/>
            <w:shd w:val="clear" w:color="auto" w:fill="auto"/>
            <w:noWrap/>
            <w:vAlign w:val="center"/>
          </w:tcPr>
          <w:p>
            <w:pPr>
              <w:pStyle w:val="58"/>
              <w:rPr>
                <w:highlight w:val="none"/>
              </w:rPr>
            </w:pPr>
            <w:r>
              <w:rPr>
                <w:rFonts w:hint="eastAsia"/>
                <w:highlight w:val="none"/>
              </w:rPr>
              <w:t>41.8</w:t>
            </w:r>
          </w:p>
        </w:tc>
        <w:tc>
          <w:tcPr>
            <w:tcW w:w="1040" w:type="dxa"/>
            <w:shd w:val="clear" w:color="auto" w:fill="auto"/>
            <w:noWrap/>
            <w:vAlign w:val="center"/>
          </w:tcPr>
          <w:p>
            <w:pPr>
              <w:pStyle w:val="58"/>
              <w:rPr>
                <w:highlight w:val="none"/>
              </w:rPr>
            </w:pPr>
            <w:r>
              <w:rPr>
                <w:rFonts w:hint="eastAsia"/>
                <w:highlight w:val="none"/>
              </w:rPr>
              <w:t>41.8</w:t>
            </w:r>
          </w:p>
        </w:tc>
        <w:tc>
          <w:tcPr>
            <w:tcW w:w="1141" w:type="dxa"/>
            <w:shd w:val="clear" w:color="auto" w:fill="auto"/>
            <w:noWrap/>
            <w:vAlign w:val="center"/>
          </w:tcPr>
          <w:p>
            <w:pPr>
              <w:pStyle w:val="58"/>
              <w:rPr>
                <w:highlight w:val="none"/>
              </w:rPr>
            </w:pPr>
            <w:r>
              <w:rPr>
                <w:rFonts w:hint="eastAsia"/>
                <w:highlight w:val="none"/>
              </w:rPr>
              <w:t>41.5</w:t>
            </w:r>
          </w:p>
        </w:tc>
        <w:tc>
          <w:tcPr>
            <w:tcW w:w="1078" w:type="dxa"/>
            <w:shd w:val="clear" w:color="auto" w:fill="auto"/>
            <w:noWrap/>
            <w:vAlign w:val="center"/>
          </w:tcPr>
          <w:p>
            <w:pPr>
              <w:pStyle w:val="58"/>
              <w:rPr>
                <w:highlight w:val="none"/>
              </w:rPr>
            </w:pPr>
            <w:r>
              <w:rPr>
                <w:rFonts w:hint="eastAsia"/>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shd w:val="clear" w:color="auto" w:fill="auto"/>
            <w:noWrap/>
            <w:vAlign w:val="center"/>
          </w:tcPr>
          <w:p>
            <w:pPr>
              <w:pStyle w:val="58"/>
              <w:rPr>
                <w:highlight w:val="none"/>
              </w:rPr>
            </w:pPr>
            <w:r>
              <w:rPr>
                <w:rFonts w:hint="eastAsia"/>
                <w:bCs/>
                <w:highlight w:val="none"/>
              </w:rPr>
              <w:t>PM</w:t>
            </w:r>
            <w:r>
              <w:rPr>
                <w:rFonts w:hint="eastAsia"/>
                <w:bCs/>
                <w:highlight w:val="none"/>
                <w:vertAlign w:val="subscript"/>
              </w:rPr>
              <w:t>2.5</w:t>
            </w:r>
          </w:p>
        </w:tc>
        <w:tc>
          <w:tcPr>
            <w:tcW w:w="1136" w:type="dxa"/>
            <w:shd w:val="clear" w:color="auto" w:fill="auto"/>
            <w:noWrap/>
            <w:vAlign w:val="center"/>
          </w:tcPr>
          <w:p>
            <w:pPr>
              <w:pStyle w:val="58"/>
              <w:rPr>
                <w:highlight w:val="none"/>
              </w:rPr>
            </w:pPr>
            <w:r>
              <w:rPr>
                <w:rFonts w:hint="eastAsia"/>
                <w:highlight w:val="none"/>
              </w:rPr>
              <w:t>年平均</w:t>
            </w:r>
          </w:p>
        </w:tc>
        <w:tc>
          <w:tcPr>
            <w:tcW w:w="1080" w:type="dxa"/>
            <w:shd w:val="clear" w:color="auto" w:fill="auto"/>
            <w:noWrap/>
            <w:vAlign w:val="center"/>
          </w:tcPr>
          <w:p>
            <w:pPr>
              <w:pStyle w:val="58"/>
              <w:rPr>
                <w:highlight w:val="none"/>
              </w:rPr>
            </w:pPr>
            <w:r>
              <w:rPr>
                <w:rFonts w:hint="eastAsia"/>
                <w:highlight w:val="none"/>
              </w:rPr>
              <w:t>μg/m</w:t>
            </w:r>
            <w:r>
              <w:rPr>
                <w:rFonts w:hint="eastAsia"/>
                <w:highlight w:val="none"/>
                <w:vertAlign w:val="superscript"/>
              </w:rPr>
              <w:t>3</w:t>
            </w:r>
          </w:p>
        </w:tc>
        <w:tc>
          <w:tcPr>
            <w:tcW w:w="1040" w:type="dxa"/>
            <w:shd w:val="clear" w:color="auto" w:fill="auto"/>
            <w:noWrap/>
            <w:vAlign w:val="center"/>
          </w:tcPr>
          <w:p>
            <w:pPr>
              <w:pStyle w:val="58"/>
              <w:rPr>
                <w:highlight w:val="none"/>
              </w:rPr>
            </w:pPr>
            <w:r>
              <w:rPr>
                <w:rFonts w:hint="eastAsia"/>
                <w:highlight w:val="none"/>
              </w:rPr>
              <w:t>36</w:t>
            </w:r>
          </w:p>
        </w:tc>
        <w:tc>
          <w:tcPr>
            <w:tcW w:w="1040" w:type="dxa"/>
            <w:shd w:val="clear" w:color="auto" w:fill="auto"/>
            <w:noWrap/>
            <w:vAlign w:val="center"/>
          </w:tcPr>
          <w:p>
            <w:pPr>
              <w:pStyle w:val="58"/>
              <w:rPr>
                <w:highlight w:val="none"/>
              </w:rPr>
            </w:pPr>
            <w:r>
              <w:rPr>
                <w:rFonts w:hint="eastAsia"/>
                <w:highlight w:val="none"/>
              </w:rPr>
              <w:t>32.7</w:t>
            </w:r>
          </w:p>
        </w:tc>
        <w:tc>
          <w:tcPr>
            <w:tcW w:w="1141" w:type="dxa"/>
            <w:shd w:val="clear" w:color="auto" w:fill="auto"/>
            <w:noWrap/>
            <w:vAlign w:val="center"/>
          </w:tcPr>
          <w:p>
            <w:pPr>
              <w:pStyle w:val="58"/>
              <w:rPr>
                <w:highlight w:val="none"/>
              </w:rPr>
            </w:pPr>
            <w:r>
              <w:rPr>
                <w:rFonts w:hint="eastAsia"/>
                <w:highlight w:val="none"/>
              </w:rPr>
              <w:t>31.9</w:t>
            </w:r>
          </w:p>
        </w:tc>
        <w:tc>
          <w:tcPr>
            <w:tcW w:w="1040" w:type="dxa"/>
            <w:shd w:val="clear" w:color="auto" w:fill="auto"/>
            <w:noWrap/>
            <w:vAlign w:val="center"/>
          </w:tcPr>
          <w:p>
            <w:pPr>
              <w:pStyle w:val="58"/>
              <w:rPr>
                <w:highlight w:val="none"/>
              </w:rPr>
            </w:pPr>
            <w:r>
              <w:rPr>
                <w:rFonts w:hint="eastAsia"/>
                <w:highlight w:val="none"/>
              </w:rPr>
              <w:t>26.8</w:t>
            </w:r>
          </w:p>
        </w:tc>
        <w:tc>
          <w:tcPr>
            <w:tcW w:w="1141" w:type="dxa"/>
            <w:shd w:val="clear" w:color="auto" w:fill="auto"/>
            <w:noWrap/>
            <w:vAlign w:val="center"/>
          </w:tcPr>
          <w:p>
            <w:pPr>
              <w:pStyle w:val="58"/>
              <w:rPr>
                <w:highlight w:val="none"/>
              </w:rPr>
            </w:pPr>
            <w:r>
              <w:rPr>
                <w:rFonts w:hint="eastAsia"/>
                <w:highlight w:val="none"/>
              </w:rPr>
              <w:t>27</w:t>
            </w:r>
          </w:p>
        </w:tc>
        <w:tc>
          <w:tcPr>
            <w:tcW w:w="1078" w:type="dxa"/>
            <w:shd w:val="clear" w:color="auto" w:fill="auto"/>
            <w:noWrap/>
            <w:vAlign w:val="center"/>
          </w:tcPr>
          <w:p>
            <w:pPr>
              <w:pStyle w:val="58"/>
              <w:rPr>
                <w:highlight w:val="none"/>
              </w:rPr>
            </w:pPr>
            <w:r>
              <w:rPr>
                <w:rFonts w:hint="eastAsia"/>
                <w:highlight w:val="none"/>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shd w:val="clear" w:color="auto" w:fill="auto"/>
            <w:noWrap/>
            <w:vAlign w:val="center"/>
          </w:tcPr>
          <w:p>
            <w:pPr>
              <w:pStyle w:val="58"/>
              <w:rPr>
                <w:highlight w:val="none"/>
              </w:rPr>
            </w:pPr>
            <w:r>
              <w:rPr>
                <w:rFonts w:hint="eastAsia"/>
                <w:highlight w:val="none"/>
              </w:rPr>
              <w:t>CO</w:t>
            </w:r>
          </w:p>
        </w:tc>
        <w:tc>
          <w:tcPr>
            <w:tcW w:w="1136" w:type="dxa"/>
            <w:shd w:val="clear" w:color="auto" w:fill="auto"/>
            <w:noWrap/>
            <w:vAlign w:val="center"/>
          </w:tcPr>
          <w:p>
            <w:pPr>
              <w:pStyle w:val="58"/>
              <w:rPr>
                <w:highlight w:val="none"/>
              </w:rPr>
            </w:pPr>
            <w:r>
              <w:rPr>
                <w:rFonts w:hint="eastAsia"/>
                <w:highlight w:val="none"/>
              </w:rPr>
              <w:t>年平均</w:t>
            </w:r>
          </w:p>
        </w:tc>
        <w:tc>
          <w:tcPr>
            <w:tcW w:w="1080" w:type="dxa"/>
            <w:shd w:val="clear" w:color="auto" w:fill="auto"/>
            <w:noWrap/>
            <w:vAlign w:val="center"/>
          </w:tcPr>
          <w:p>
            <w:pPr>
              <w:pStyle w:val="58"/>
              <w:rPr>
                <w:highlight w:val="none"/>
              </w:rPr>
            </w:pPr>
            <w:r>
              <w:rPr>
                <w:rFonts w:hint="eastAsia"/>
                <w:highlight w:val="none"/>
              </w:rPr>
              <w:t>mg/m</w:t>
            </w:r>
            <w:r>
              <w:rPr>
                <w:rFonts w:hint="eastAsia"/>
                <w:highlight w:val="none"/>
                <w:vertAlign w:val="superscript"/>
              </w:rPr>
              <w:t>3</w:t>
            </w:r>
          </w:p>
        </w:tc>
        <w:tc>
          <w:tcPr>
            <w:tcW w:w="1040" w:type="dxa"/>
            <w:shd w:val="clear" w:color="auto" w:fill="auto"/>
            <w:noWrap/>
            <w:vAlign w:val="center"/>
          </w:tcPr>
          <w:p>
            <w:pPr>
              <w:pStyle w:val="58"/>
              <w:rPr>
                <w:highlight w:val="none"/>
              </w:rPr>
            </w:pPr>
            <w:r>
              <w:rPr>
                <w:rFonts w:hint="eastAsia"/>
                <w:highlight w:val="none"/>
              </w:rPr>
              <w:t>0.8</w:t>
            </w:r>
          </w:p>
        </w:tc>
        <w:tc>
          <w:tcPr>
            <w:tcW w:w="1040" w:type="dxa"/>
            <w:shd w:val="clear" w:color="auto" w:fill="auto"/>
            <w:noWrap/>
            <w:vAlign w:val="center"/>
          </w:tcPr>
          <w:p>
            <w:pPr>
              <w:pStyle w:val="58"/>
              <w:rPr>
                <w:highlight w:val="none"/>
              </w:rPr>
            </w:pPr>
            <w:r>
              <w:rPr>
                <w:rFonts w:hint="eastAsia"/>
                <w:highlight w:val="none"/>
              </w:rPr>
              <w:t>0.8</w:t>
            </w:r>
          </w:p>
        </w:tc>
        <w:tc>
          <w:tcPr>
            <w:tcW w:w="1141" w:type="dxa"/>
            <w:shd w:val="clear" w:color="auto" w:fill="auto"/>
            <w:noWrap/>
            <w:vAlign w:val="center"/>
          </w:tcPr>
          <w:p>
            <w:pPr>
              <w:pStyle w:val="58"/>
              <w:rPr>
                <w:highlight w:val="none"/>
              </w:rPr>
            </w:pPr>
            <w:r>
              <w:rPr>
                <w:rFonts w:hint="eastAsia"/>
                <w:highlight w:val="none"/>
              </w:rPr>
              <w:t>1</w:t>
            </w:r>
          </w:p>
        </w:tc>
        <w:tc>
          <w:tcPr>
            <w:tcW w:w="1040" w:type="dxa"/>
            <w:shd w:val="clear" w:color="auto" w:fill="auto"/>
            <w:noWrap/>
            <w:vAlign w:val="center"/>
          </w:tcPr>
          <w:p>
            <w:pPr>
              <w:pStyle w:val="58"/>
              <w:rPr>
                <w:highlight w:val="none"/>
              </w:rPr>
            </w:pPr>
            <w:r>
              <w:rPr>
                <w:rFonts w:hint="eastAsia"/>
                <w:highlight w:val="none"/>
              </w:rPr>
              <w:t>1</w:t>
            </w:r>
          </w:p>
        </w:tc>
        <w:tc>
          <w:tcPr>
            <w:tcW w:w="1141" w:type="dxa"/>
            <w:shd w:val="clear" w:color="auto" w:fill="auto"/>
            <w:noWrap/>
            <w:vAlign w:val="center"/>
          </w:tcPr>
          <w:p>
            <w:pPr>
              <w:pStyle w:val="58"/>
              <w:rPr>
                <w:highlight w:val="none"/>
              </w:rPr>
            </w:pPr>
            <w:r>
              <w:rPr>
                <w:rFonts w:hint="eastAsia"/>
                <w:highlight w:val="none"/>
              </w:rPr>
              <w:t>1</w:t>
            </w:r>
          </w:p>
        </w:tc>
        <w:tc>
          <w:tcPr>
            <w:tcW w:w="1078" w:type="dxa"/>
            <w:shd w:val="clear" w:color="auto" w:fill="auto"/>
            <w:noWrap/>
            <w:vAlign w:val="center"/>
          </w:tcPr>
          <w:p>
            <w:pPr>
              <w:pStyle w:val="58"/>
              <w:rPr>
                <w:highlight w:val="none"/>
              </w:rPr>
            </w:pPr>
            <w:r>
              <w:rPr>
                <w:rFonts w:hint="eastAsia"/>
                <w:highlight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shd w:val="clear" w:color="auto" w:fill="auto"/>
            <w:noWrap/>
            <w:vAlign w:val="center"/>
          </w:tcPr>
          <w:p>
            <w:pPr>
              <w:pStyle w:val="58"/>
              <w:rPr>
                <w:highlight w:val="none"/>
              </w:rPr>
            </w:pPr>
            <w:r>
              <w:rPr>
                <w:rFonts w:hint="eastAsia"/>
                <w:highlight w:val="none"/>
              </w:rPr>
              <w:t>O3</w:t>
            </w:r>
          </w:p>
        </w:tc>
        <w:tc>
          <w:tcPr>
            <w:tcW w:w="1136" w:type="dxa"/>
            <w:shd w:val="clear" w:color="auto" w:fill="auto"/>
            <w:noWrap/>
            <w:vAlign w:val="center"/>
          </w:tcPr>
          <w:p>
            <w:pPr>
              <w:pStyle w:val="58"/>
              <w:rPr>
                <w:highlight w:val="none"/>
              </w:rPr>
            </w:pPr>
            <w:r>
              <w:rPr>
                <w:rFonts w:hint="eastAsia"/>
                <w:highlight w:val="none"/>
              </w:rPr>
              <w:t>年平均</w:t>
            </w:r>
          </w:p>
        </w:tc>
        <w:tc>
          <w:tcPr>
            <w:tcW w:w="1080" w:type="dxa"/>
            <w:shd w:val="clear" w:color="auto" w:fill="auto"/>
            <w:noWrap/>
            <w:vAlign w:val="center"/>
          </w:tcPr>
          <w:p>
            <w:pPr>
              <w:pStyle w:val="58"/>
              <w:rPr>
                <w:highlight w:val="none"/>
              </w:rPr>
            </w:pPr>
            <w:r>
              <w:rPr>
                <w:rFonts w:hint="eastAsia"/>
                <w:highlight w:val="none"/>
              </w:rPr>
              <w:t>μg/m</w:t>
            </w:r>
            <w:r>
              <w:rPr>
                <w:rFonts w:hint="eastAsia"/>
                <w:highlight w:val="none"/>
                <w:vertAlign w:val="superscript"/>
              </w:rPr>
              <w:t>3</w:t>
            </w:r>
          </w:p>
        </w:tc>
        <w:tc>
          <w:tcPr>
            <w:tcW w:w="1040" w:type="dxa"/>
            <w:shd w:val="clear" w:color="auto" w:fill="auto"/>
            <w:noWrap/>
            <w:vAlign w:val="center"/>
          </w:tcPr>
          <w:p>
            <w:pPr>
              <w:pStyle w:val="58"/>
              <w:rPr>
                <w:highlight w:val="none"/>
              </w:rPr>
            </w:pPr>
            <w:r>
              <w:rPr>
                <w:rFonts w:hint="eastAsia"/>
                <w:highlight w:val="none"/>
              </w:rPr>
              <w:t>119</w:t>
            </w:r>
          </w:p>
        </w:tc>
        <w:tc>
          <w:tcPr>
            <w:tcW w:w="1040" w:type="dxa"/>
            <w:shd w:val="clear" w:color="auto" w:fill="auto"/>
            <w:noWrap/>
            <w:vAlign w:val="center"/>
          </w:tcPr>
          <w:p>
            <w:pPr>
              <w:pStyle w:val="58"/>
              <w:rPr>
                <w:highlight w:val="none"/>
              </w:rPr>
            </w:pPr>
            <w:r>
              <w:rPr>
                <w:rFonts w:hint="eastAsia"/>
                <w:highlight w:val="none"/>
              </w:rPr>
              <w:t>124</w:t>
            </w:r>
          </w:p>
        </w:tc>
        <w:tc>
          <w:tcPr>
            <w:tcW w:w="1141" w:type="dxa"/>
            <w:shd w:val="clear" w:color="auto" w:fill="auto"/>
            <w:noWrap/>
            <w:vAlign w:val="center"/>
          </w:tcPr>
          <w:p>
            <w:pPr>
              <w:pStyle w:val="58"/>
              <w:rPr>
                <w:highlight w:val="none"/>
              </w:rPr>
            </w:pPr>
            <w:r>
              <w:rPr>
                <w:rFonts w:hint="eastAsia"/>
                <w:highlight w:val="none"/>
              </w:rPr>
              <w:t>113.6</w:t>
            </w:r>
          </w:p>
        </w:tc>
        <w:tc>
          <w:tcPr>
            <w:tcW w:w="1040" w:type="dxa"/>
            <w:shd w:val="clear" w:color="auto" w:fill="auto"/>
            <w:noWrap/>
            <w:vAlign w:val="center"/>
          </w:tcPr>
          <w:p>
            <w:pPr>
              <w:pStyle w:val="58"/>
              <w:rPr>
                <w:highlight w:val="none"/>
              </w:rPr>
            </w:pPr>
            <w:r>
              <w:rPr>
                <w:rFonts w:hint="eastAsia"/>
                <w:highlight w:val="none"/>
              </w:rPr>
              <w:t>124</w:t>
            </w:r>
          </w:p>
        </w:tc>
        <w:tc>
          <w:tcPr>
            <w:tcW w:w="1141" w:type="dxa"/>
            <w:shd w:val="clear" w:color="auto" w:fill="auto"/>
            <w:noWrap/>
            <w:vAlign w:val="center"/>
          </w:tcPr>
          <w:p>
            <w:pPr>
              <w:pStyle w:val="58"/>
              <w:rPr>
                <w:highlight w:val="none"/>
              </w:rPr>
            </w:pPr>
            <w:r>
              <w:rPr>
                <w:rFonts w:hint="eastAsia"/>
                <w:highlight w:val="none"/>
              </w:rPr>
              <w:t>133.6</w:t>
            </w:r>
          </w:p>
        </w:tc>
        <w:tc>
          <w:tcPr>
            <w:tcW w:w="1078" w:type="dxa"/>
            <w:shd w:val="clear" w:color="auto" w:fill="auto"/>
            <w:noWrap/>
            <w:vAlign w:val="center"/>
          </w:tcPr>
          <w:p>
            <w:pPr>
              <w:pStyle w:val="58"/>
              <w:rPr>
                <w:highlight w:val="none"/>
              </w:rPr>
            </w:pPr>
            <w:r>
              <w:rPr>
                <w:rFonts w:hint="eastAsia"/>
                <w:highlight w:val="none"/>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720" w:type="dxa"/>
            <w:gridSpan w:val="9"/>
            <w:shd w:val="clear" w:color="auto" w:fill="auto"/>
            <w:noWrap/>
            <w:vAlign w:val="center"/>
          </w:tcPr>
          <w:p>
            <w:pPr>
              <w:pStyle w:val="58"/>
              <w:rPr>
                <w:highlight w:val="none"/>
              </w:rPr>
            </w:pPr>
            <w:r>
              <w:rPr>
                <w:rFonts w:hint="eastAsia"/>
                <w:highlight w:val="none"/>
              </w:rPr>
              <w:t>注：CO年均值：日均值第95百分位浓度，03年均值：日最大8小时平均第90百分位浓度。</w:t>
            </w:r>
          </w:p>
        </w:tc>
      </w:tr>
    </w:tbl>
    <w:p>
      <w:pPr>
        <w:keepNext/>
        <w:ind w:firstLine="480"/>
        <w:jc w:val="center"/>
        <w:rPr>
          <w:highlight w:val="none"/>
        </w:rPr>
      </w:pPr>
      <w:r>
        <w:rPr>
          <w:highlight w:val="none"/>
        </w:rPr>
        <w:drawing>
          <wp:inline distT="0" distB="0" distL="0" distR="0">
            <wp:extent cx="4572000" cy="2743200"/>
            <wp:effectExtent l="0" t="0" r="0" b="0"/>
            <wp:docPr id="187034542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57"/>
        <w:spacing w:after="163"/>
        <w:rPr>
          <w:highlight w:val="none"/>
        </w:rPr>
      </w:pPr>
      <w:r>
        <w:rPr>
          <w:rFonts w:hint="eastAsia"/>
          <w:highlight w:val="none"/>
        </w:rPr>
        <w:t xml:space="preserve">图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图 \* ARABIC \s 1</w:instrText>
      </w:r>
      <w:r>
        <w:rPr>
          <w:highlight w:val="none"/>
        </w:rPr>
        <w:instrText xml:space="preserve"> </w:instrText>
      </w:r>
      <w:r>
        <w:rPr>
          <w:highlight w:val="none"/>
        </w:rPr>
        <w:fldChar w:fldCharType="separate"/>
      </w:r>
      <w:r>
        <w:rPr>
          <w:highlight w:val="none"/>
        </w:rPr>
        <w:t>1</w:t>
      </w:r>
      <w:r>
        <w:rPr>
          <w:highlight w:val="none"/>
        </w:rPr>
        <w:fldChar w:fldCharType="end"/>
      </w:r>
      <w:r>
        <w:rPr>
          <w:rFonts w:hint="eastAsia"/>
          <w:highlight w:val="none"/>
        </w:rPr>
        <w:t xml:space="preserve">  区域大气污染物（除CO）年均浓度变化趋势</w:t>
      </w:r>
    </w:p>
    <w:p>
      <w:pPr>
        <w:keepNext/>
        <w:ind w:firstLine="480"/>
        <w:jc w:val="center"/>
        <w:rPr>
          <w:highlight w:val="none"/>
        </w:rPr>
      </w:pPr>
      <w:r>
        <w:rPr>
          <w:highlight w:val="none"/>
        </w:rPr>
        <w:drawing>
          <wp:inline distT="0" distB="0" distL="0" distR="0">
            <wp:extent cx="4572000" cy="2743200"/>
            <wp:effectExtent l="0" t="0" r="0" b="0"/>
            <wp:docPr id="97949553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57"/>
        <w:spacing w:after="163"/>
        <w:rPr>
          <w:highlight w:val="none"/>
        </w:rPr>
      </w:pPr>
      <w:r>
        <w:rPr>
          <w:rFonts w:hint="eastAsia"/>
          <w:highlight w:val="none"/>
        </w:rPr>
        <w:t xml:space="preserve">图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图 \* ARABIC \s 1</w:instrText>
      </w:r>
      <w:r>
        <w:rPr>
          <w:highlight w:val="none"/>
        </w:rPr>
        <w:instrText xml:space="preserve"> </w:instrText>
      </w:r>
      <w:r>
        <w:rPr>
          <w:highlight w:val="none"/>
        </w:rPr>
        <w:fldChar w:fldCharType="separate"/>
      </w:r>
      <w:r>
        <w:rPr>
          <w:highlight w:val="none"/>
        </w:rPr>
        <w:t>2</w:t>
      </w:r>
      <w:r>
        <w:rPr>
          <w:highlight w:val="none"/>
        </w:rPr>
        <w:fldChar w:fldCharType="end"/>
      </w:r>
      <w:r>
        <w:rPr>
          <w:rFonts w:hint="eastAsia"/>
          <w:highlight w:val="none"/>
        </w:rPr>
        <w:t xml:space="preserve">  区域CO年均浓度变化趋势</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地表水环境质量</w:t>
      </w:r>
    </w:p>
    <w:p>
      <w:pPr>
        <w:adjustRightInd w:val="0"/>
        <w:snapToGrid w:val="0"/>
        <w:ind w:firstLine="480"/>
        <w:rPr>
          <w:highlight w:val="none"/>
        </w:rPr>
      </w:pPr>
      <w:r>
        <w:rPr>
          <w:rFonts w:hint="eastAsia"/>
          <w:highlight w:val="none"/>
        </w:rPr>
        <w:t>（1）监测断面</w:t>
      </w:r>
    </w:p>
    <w:p>
      <w:pPr>
        <w:adjustRightInd w:val="0"/>
        <w:snapToGrid w:val="0"/>
        <w:ind w:firstLine="480"/>
        <w:rPr>
          <w:highlight w:val="none"/>
        </w:rPr>
      </w:pPr>
      <w:r>
        <w:rPr>
          <w:rFonts w:hint="eastAsia"/>
          <w:highlight w:val="none"/>
        </w:rPr>
        <w:t>规划区域位于苍溪县南端，嘉陵江自北向南紧邻规划区东侧而过。距离规划区最近的一个国控断面为位于阆中市境内的沙溪国控断面；嘉陵江苍溪境现有省控断面1个，为金银渡省控断面（于</w:t>
      </w:r>
      <w:r>
        <w:rPr>
          <w:rFonts w:cs="Times New Roman"/>
          <w:highlight w:val="none"/>
        </w:rPr>
        <w:t>202</w:t>
      </w:r>
      <w:r>
        <w:rPr>
          <w:rFonts w:hint="eastAsia" w:cs="Times New Roman"/>
          <w:highlight w:val="none"/>
        </w:rPr>
        <w:t>0</w:t>
      </w:r>
      <w:r>
        <w:rPr>
          <w:rFonts w:hint="eastAsia"/>
          <w:highlight w:val="none"/>
        </w:rPr>
        <w:t>年开始监测）；原张家岩省控断面于2013年-2019年进行监测，后调整取消张家岩省控断面，现沙溪断面为广元市的出市境监控断面。</w:t>
      </w:r>
    </w:p>
    <w:p>
      <w:pPr>
        <w:adjustRightInd w:val="0"/>
        <w:snapToGrid w:val="0"/>
        <w:ind w:firstLine="480"/>
        <w:rPr>
          <w:highlight w:val="none"/>
        </w:rPr>
      </w:pPr>
      <w:r>
        <w:rPr>
          <w:rFonts w:hint="eastAsia"/>
          <w:highlight w:val="none"/>
        </w:rPr>
        <w:t>（2）评价因子</w:t>
      </w:r>
    </w:p>
    <w:p>
      <w:pPr>
        <w:adjustRightInd w:val="0"/>
        <w:snapToGrid w:val="0"/>
        <w:ind w:firstLine="480"/>
        <w:rPr>
          <w:highlight w:val="none"/>
        </w:rPr>
      </w:pPr>
      <w:r>
        <w:rPr>
          <w:rFonts w:hint="eastAsia"/>
          <w:highlight w:val="none"/>
        </w:rPr>
        <w:t>高锰酸盐指数、化学需氧量、氨氮、总磷、总氮、五日生化需氧量等6项主要指标。</w:t>
      </w:r>
    </w:p>
    <w:p>
      <w:pPr>
        <w:adjustRightInd w:val="0"/>
        <w:snapToGrid w:val="0"/>
        <w:ind w:firstLine="480"/>
        <w:rPr>
          <w:highlight w:val="none"/>
        </w:rPr>
      </w:pPr>
      <w:r>
        <w:rPr>
          <w:rFonts w:hint="eastAsia"/>
          <w:highlight w:val="none"/>
        </w:rPr>
        <w:t>（3）例行监测结果</w:t>
      </w:r>
    </w:p>
    <w:p>
      <w:pPr>
        <w:adjustRightInd w:val="0"/>
        <w:snapToGrid w:val="0"/>
        <w:ind w:firstLine="482"/>
        <w:rPr>
          <w:highlight w:val="none"/>
        </w:rPr>
      </w:pPr>
      <w:r>
        <w:rPr>
          <w:rFonts w:hint="eastAsia"/>
          <w:b/>
          <w:bCs/>
          <w:highlight w:val="none"/>
        </w:rPr>
        <w:t>总体达标情况：</w:t>
      </w:r>
      <w:r>
        <w:rPr>
          <w:rFonts w:hint="eastAsia"/>
          <w:highlight w:val="none"/>
        </w:rPr>
        <w:t>评价河段各监测断面污染物年均浓度均满足《地表水环境质量标准》（GB3838-2002）中相应水质标准。沙溪国控断面2019-2023年度各水污染物年均浓度满足《地表水环境质量标准》（GB3838-2002）中Ⅱ类水标准；原张家岩省控断面2019年各水污染物年均浓度满足《地表水环境质量标准》（G</w:t>
      </w:r>
      <w:r>
        <w:rPr>
          <w:highlight w:val="none"/>
        </w:rPr>
        <w:t>B3838-2002</w:t>
      </w:r>
      <w:r>
        <w:rPr>
          <w:rFonts w:hint="eastAsia"/>
          <w:highlight w:val="none"/>
        </w:rPr>
        <w:t>）中Ⅲ类水标准；金银渡省控断面2021-2023年度各水污染物年均浓度满足《地表水环境质量标准》（G</w:t>
      </w:r>
      <w:r>
        <w:rPr>
          <w:highlight w:val="none"/>
        </w:rPr>
        <w:t>B3838-2002</w:t>
      </w:r>
      <w:r>
        <w:rPr>
          <w:rFonts w:hint="eastAsia"/>
          <w:highlight w:val="none"/>
        </w:rPr>
        <w:t>）中Ⅲ类水标准。</w:t>
      </w:r>
    </w:p>
    <w:p>
      <w:pPr>
        <w:adjustRightInd w:val="0"/>
        <w:snapToGrid w:val="0"/>
        <w:ind w:firstLine="482"/>
        <w:rPr>
          <w:highlight w:val="none"/>
        </w:rPr>
      </w:pPr>
      <w:r>
        <w:rPr>
          <w:rFonts w:hint="eastAsia"/>
          <w:b/>
          <w:bCs/>
          <w:highlight w:val="none"/>
        </w:rPr>
        <w:t>沙溪国控断面变化趋势：</w:t>
      </w:r>
      <w:r>
        <w:rPr>
          <w:rFonts w:hint="eastAsia"/>
          <w:highlight w:val="none"/>
        </w:rPr>
        <w:t>各污染物年均浓度均满足《地表水环境质量标准》（GB3838-2002）中Ⅱ类水标准。其中，总氮呈现明显下降趋势；高锰酸盐指数、化学需氧量、氨氮、总磷等主要污染指标基本持平，呈现波动变化；五日生化需氧量呈现上升趋势。</w:t>
      </w:r>
    </w:p>
    <w:p>
      <w:pPr>
        <w:adjustRightInd w:val="0"/>
        <w:snapToGrid w:val="0"/>
        <w:ind w:firstLine="482"/>
        <w:rPr>
          <w:highlight w:val="none"/>
        </w:rPr>
      </w:pPr>
      <w:r>
        <w:rPr>
          <w:rFonts w:hint="eastAsia"/>
          <w:b/>
          <w:bCs/>
          <w:highlight w:val="none"/>
        </w:rPr>
        <w:t>金银渡省控断面变化趋势：</w:t>
      </w:r>
      <w:r>
        <w:rPr>
          <w:rFonts w:hint="eastAsia"/>
          <w:highlight w:val="none"/>
        </w:rPr>
        <w:t>各污染物年均浓度满足《地表水环境质量标准》（GB3838-2002）中Ⅲ类水标准。高锰酸盐指数、化学需氧量、总磷、五日生化需氧量呈现下降趋势；水质氨氮指标基本持平；总氮指标变化较大，呈现先升后降的趋势。2022年总氮年均浓度最高，为1.19mg/m</w:t>
      </w:r>
      <w:r>
        <w:rPr>
          <w:rFonts w:hint="eastAsia"/>
          <w:highlight w:val="none"/>
          <w:vertAlign w:val="superscript"/>
        </w:rPr>
        <w:t>3</w:t>
      </w:r>
      <w:r>
        <w:rPr>
          <w:rFonts w:hint="eastAsia"/>
          <w:highlight w:val="none"/>
        </w:rPr>
        <w:t>；2023年总氮年均浓度下降为1.13mg/m</w:t>
      </w:r>
      <w:r>
        <w:rPr>
          <w:rFonts w:hint="eastAsia"/>
          <w:highlight w:val="none"/>
          <w:vertAlign w:val="superscript"/>
        </w:rPr>
        <w:t>3</w:t>
      </w:r>
      <w:r>
        <w:rPr>
          <w:rFonts w:hint="eastAsia"/>
          <w:highlight w:val="none"/>
        </w:rPr>
        <w:t>。</w:t>
      </w:r>
    </w:p>
    <w:p>
      <w:pPr>
        <w:adjustRightInd w:val="0"/>
        <w:snapToGrid w:val="0"/>
        <w:ind w:firstLine="480"/>
        <w:rPr>
          <w:highlight w:val="none"/>
        </w:rPr>
      </w:pPr>
      <w:r>
        <w:rPr>
          <w:rFonts w:hint="eastAsia"/>
          <w:highlight w:val="none"/>
        </w:rPr>
        <w:t>评价河段各断面主要污染物浓度变化详见下表、下图。</w:t>
      </w:r>
      <w:r>
        <w:rPr>
          <w:highlight w:val="none"/>
        </w:rPr>
        <w:br w:type="page"/>
      </w:r>
    </w:p>
    <w:p>
      <w:pPr>
        <w:adjustRightInd w:val="0"/>
        <w:snapToGrid w:val="0"/>
        <w:ind w:firstLine="480"/>
        <w:rPr>
          <w:highlight w:val="none"/>
        </w:rPr>
        <w:sectPr>
          <w:headerReference r:id="rId24" w:type="first"/>
          <w:footerReference r:id="rId27" w:type="first"/>
          <w:headerReference r:id="rId22" w:type="default"/>
          <w:footerReference r:id="rId25" w:type="default"/>
          <w:headerReference r:id="rId23" w:type="even"/>
          <w:footerReference r:id="rId26" w:type="even"/>
          <w:pgSz w:w="11906" w:h="16838"/>
          <w:pgMar w:top="1418" w:right="1418" w:bottom="1418" w:left="1418" w:header="851" w:footer="992" w:gutter="0"/>
          <w:pgNumType w:start="1" w:chapStyle="1"/>
          <w:cols w:space="425" w:num="1"/>
          <w:docGrid w:type="lines" w:linePitch="326" w:charSpace="0"/>
        </w:sectPr>
      </w:pPr>
    </w:p>
    <w:p>
      <w:pPr>
        <w:pStyle w:val="13"/>
        <w:keepNext/>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1</w:instrText>
      </w:r>
      <w:r>
        <w:rPr>
          <w:highlight w:val="none"/>
        </w:rPr>
        <w:instrText xml:space="preserve"> </w:instrText>
      </w:r>
      <w:r>
        <w:rPr>
          <w:highlight w:val="none"/>
        </w:rPr>
        <w:fldChar w:fldCharType="separate"/>
      </w:r>
      <w:r>
        <w:rPr>
          <w:highlight w:val="none"/>
        </w:rPr>
        <w:t>4</w:t>
      </w:r>
      <w:r>
        <w:rPr>
          <w:highlight w:val="none"/>
        </w:rPr>
        <w:fldChar w:fldCharType="end"/>
      </w:r>
      <w:r>
        <w:rPr>
          <w:rFonts w:hint="eastAsia"/>
          <w:highlight w:val="none"/>
        </w:rPr>
        <w:t xml:space="preserve">  近5年地表水环境例行监测数据统计表</w:t>
      </w:r>
    </w:p>
    <w:tbl>
      <w:tblPr>
        <w:tblStyle w:val="39"/>
        <w:tblW w:w="1399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078"/>
        <w:gridCol w:w="1567"/>
        <w:gridCol w:w="1215"/>
        <w:gridCol w:w="1480"/>
        <w:gridCol w:w="1098"/>
        <w:gridCol w:w="1001"/>
        <w:gridCol w:w="1097"/>
        <w:gridCol w:w="1097"/>
        <w:gridCol w:w="1097"/>
        <w:gridCol w:w="1078"/>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restart"/>
            <w:shd w:val="clear" w:color="auto" w:fill="auto"/>
            <w:noWrap/>
            <w:vAlign w:val="center"/>
          </w:tcPr>
          <w:p>
            <w:pPr>
              <w:pStyle w:val="58"/>
              <w:rPr>
                <w:highlight w:val="none"/>
              </w:rPr>
            </w:pPr>
            <w:r>
              <w:rPr>
                <w:highlight w:val="none"/>
              </w:rPr>
              <w:t>序号</w:t>
            </w:r>
          </w:p>
        </w:tc>
        <w:tc>
          <w:tcPr>
            <w:tcW w:w="1080" w:type="dxa"/>
            <w:vMerge w:val="restart"/>
            <w:shd w:val="clear" w:color="auto" w:fill="auto"/>
            <w:noWrap/>
            <w:vAlign w:val="center"/>
          </w:tcPr>
          <w:p>
            <w:pPr>
              <w:pStyle w:val="58"/>
              <w:rPr>
                <w:highlight w:val="none"/>
              </w:rPr>
            </w:pPr>
            <w:r>
              <w:rPr>
                <w:highlight w:val="none"/>
              </w:rPr>
              <w:t>断面名称</w:t>
            </w:r>
          </w:p>
        </w:tc>
        <w:tc>
          <w:tcPr>
            <w:tcW w:w="1570" w:type="dxa"/>
            <w:vMerge w:val="restart"/>
            <w:shd w:val="clear" w:color="auto" w:fill="auto"/>
            <w:noWrap/>
            <w:vAlign w:val="center"/>
          </w:tcPr>
          <w:p>
            <w:pPr>
              <w:pStyle w:val="58"/>
              <w:rPr>
                <w:highlight w:val="none"/>
              </w:rPr>
            </w:pPr>
            <w:r>
              <w:rPr>
                <w:highlight w:val="none"/>
              </w:rPr>
              <w:t>断面性质</w:t>
            </w:r>
          </w:p>
        </w:tc>
        <w:tc>
          <w:tcPr>
            <w:tcW w:w="1217" w:type="dxa"/>
            <w:vMerge w:val="restart"/>
            <w:shd w:val="clear" w:color="auto" w:fill="auto"/>
            <w:noWrap/>
            <w:vAlign w:val="center"/>
          </w:tcPr>
          <w:p>
            <w:pPr>
              <w:pStyle w:val="58"/>
              <w:rPr>
                <w:highlight w:val="none"/>
              </w:rPr>
            </w:pPr>
            <w:r>
              <w:rPr>
                <w:highlight w:val="none"/>
              </w:rPr>
              <w:t>位置</w:t>
            </w:r>
          </w:p>
        </w:tc>
        <w:tc>
          <w:tcPr>
            <w:tcW w:w="1483" w:type="dxa"/>
            <w:vMerge w:val="restart"/>
            <w:shd w:val="clear" w:color="auto" w:fill="auto"/>
            <w:noWrap/>
            <w:vAlign w:val="center"/>
          </w:tcPr>
          <w:p>
            <w:pPr>
              <w:pStyle w:val="58"/>
              <w:rPr>
                <w:highlight w:val="none"/>
              </w:rPr>
            </w:pPr>
            <w:r>
              <w:rPr>
                <w:highlight w:val="none"/>
              </w:rPr>
              <w:t>监测因子</w:t>
            </w:r>
          </w:p>
        </w:tc>
        <w:tc>
          <w:tcPr>
            <w:tcW w:w="5400" w:type="dxa"/>
            <w:gridSpan w:val="5"/>
            <w:shd w:val="clear" w:color="auto" w:fill="auto"/>
            <w:noWrap/>
            <w:vAlign w:val="center"/>
          </w:tcPr>
          <w:p>
            <w:pPr>
              <w:pStyle w:val="58"/>
              <w:rPr>
                <w:highlight w:val="none"/>
              </w:rPr>
            </w:pPr>
            <w:r>
              <w:rPr>
                <w:highlight w:val="none"/>
              </w:rPr>
              <w:t>年份</w:t>
            </w:r>
          </w:p>
        </w:tc>
        <w:tc>
          <w:tcPr>
            <w:tcW w:w="1080" w:type="dxa"/>
            <w:vMerge w:val="restart"/>
            <w:shd w:val="clear" w:color="auto" w:fill="auto"/>
            <w:noWrap/>
            <w:vAlign w:val="center"/>
          </w:tcPr>
          <w:p>
            <w:pPr>
              <w:pStyle w:val="58"/>
              <w:rPr>
                <w:highlight w:val="none"/>
              </w:rPr>
            </w:pPr>
            <w:r>
              <w:rPr>
                <w:highlight w:val="none"/>
              </w:rPr>
              <w:t>限值要求</w:t>
            </w:r>
          </w:p>
        </w:tc>
        <w:tc>
          <w:tcPr>
            <w:tcW w:w="1080" w:type="dxa"/>
            <w:vMerge w:val="restart"/>
            <w:shd w:val="clear" w:color="auto" w:fill="auto"/>
            <w:noWrap/>
            <w:vAlign w:val="center"/>
          </w:tcPr>
          <w:p>
            <w:pPr>
              <w:pStyle w:val="58"/>
              <w:rPr>
                <w:highlight w:val="none"/>
              </w:rPr>
            </w:pPr>
            <w:r>
              <w:rPr>
                <w:highlight w:val="none"/>
              </w:rPr>
              <w:t>水质标准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vMerge w:val="continue"/>
            <w:vAlign w:val="center"/>
          </w:tcPr>
          <w:p>
            <w:pPr>
              <w:pStyle w:val="58"/>
              <w:rPr>
                <w:highlight w:val="none"/>
              </w:rPr>
            </w:pPr>
          </w:p>
        </w:tc>
        <w:tc>
          <w:tcPr>
            <w:tcW w:w="1100" w:type="dxa"/>
            <w:shd w:val="clear" w:color="auto" w:fill="auto"/>
            <w:noWrap/>
            <w:vAlign w:val="center"/>
          </w:tcPr>
          <w:p>
            <w:pPr>
              <w:pStyle w:val="58"/>
              <w:rPr>
                <w:highlight w:val="none"/>
              </w:rPr>
            </w:pPr>
            <w:r>
              <w:rPr>
                <w:highlight w:val="none"/>
              </w:rPr>
              <w:t>2019</w:t>
            </w:r>
            <w:r>
              <w:rPr>
                <w:rFonts w:hint="eastAsia"/>
                <w:highlight w:val="none"/>
              </w:rPr>
              <w:t>年</w:t>
            </w:r>
          </w:p>
        </w:tc>
        <w:tc>
          <w:tcPr>
            <w:tcW w:w="1003" w:type="dxa"/>
            <w:shd w:val="clear" w:color="auto" w:fill="auto"/>
            <w:noWrap/>
            <w:vAlign w:val="center"/>
          </w:tcPr>
          <w:p>
            <w:pPr>
              <w:pStyle w:val="58"/>
              <w:rPr>
                <w:highlight w:val="none"/>
              </w:rPr>
            </w:pPr>
            <w:r>
              <w:rPr>
                <w:highlight w:val="none"/>
              </w:rPr>
              <w:t>2020</w:t>
            </w:r>
            <w:r>
              <w:rPr>
                <w:rFonts w:hint="eastAsia"/>
                <w:highlight w:val="none"/>
              </w:rPr>
              <w:t>年</w:t>
            </w:r>
          </w:p>
        </w:tc>
        <w:tc>
          <w:tcPr>
            <w:tcW w:w="1099" w:type="dxa"/>
            <w:shd w:val="clear" w:color="auto" w:fill="auto"/>
            <w:noWrap/>
            <w:vAlign w:val="center"/>
          </w:tcPr>
          <w:p>
            <w:pPr>
              <w:pStyle w:val="58"/>
              <w:rPr>
                <w:highlight w:val="none"/>
              </w:rPr>
            </w:pPr>
            <w:r>
              <w:rPr>
                <w:highlight w:val="none"/>
              </w:rPr>
              <w:t>2021</w:t>
            </w:r>
            <w:r>
              <w:rPr>
                <w:rFonts w:hint="eastAsia"/>
                <w:highlight w:val="none"/>
              </w:rPr>
              <w:t>年</w:t>
            </w:r>
          </w:p>
        </w:tc>
        <w:tc>
          <w:tcPr>
            <w:tcW w:w="1099" w:type="dxa"/>
            <w:shd w:val="clear" w:color="auto" w:fill="auto"/>
            <w:noWrap/>
            <w:vAlign w:val="center"/>
          </w:tcPr>
          <w:p>
            <w:pPr>
              <w:pStyle w:val="58"/>
              <w:rPr>
                <w:highlight w:val="none"/>
              </w:rPr>
            </w:pPr>
            <w:r>
              <w:rPr>
                <w:highlight w:val="none"/>
              </w:rPr>
              <w:t>2022</w:t>
            </w:r>
            <w:r>
              <w:rPr>
                <w:rFonts w:hint="eastAsia"/>
                <w:highlight w:val="none"/>
              </w:rPr>
              <w:t>年</w:t>
            </w:r>
          </w:p>
        </w:tc>
        <w:tc>
          <w:tcPr>
            <w:tcW w:w="1099" w:type="dxa"/>
            <w:shd w:val="clear" w:color="auto" w:fill="auto"/>
            <w:noWrap/>
            <w:vAlign w:val="center"/>
          </w:tcPr>
          <w:p>
            <w:pPr>
              <w:pStyle w:val="58"/>
              <w:rPr>
                <w:highlight w:val="none"/>
              </w:rPr>
            </w:pPr>
            <w:r>
              <w:rPr>
                <w:highlight w:val="none"/>
              </w:rPr>
              <w:t>2023</w:t>
            </w:r>
            <w:r>
              <w:rPr>
                <w:rFonts w:hint="eastAsia"/>
                <w:highlight w:val="none"/>
              </w:rPr>
              <w:t>年</w:t>
            </w:r>
          </w:p>
        </w:tc>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restart"/>
            <w:shd w:val="clear" w:color="auto" w:fill="auto"/>
            <w:noWrap/>
            <w:vAlign w:val="center"/>
          </w:tcPr>
          <w:p>
            <w:pPr>
              <w:pStyle w:val="58"/>
              <w:rPr>
                <w:highlight w:val="none"/>
              </w:rPr>
            </w:pPr>
            <w:r>
              <w:rPr>
                <w:highlight w:val="none"/>
              </w:rPr>
              <w:t>1</w:t>
            </w:r>
          </w:p>
        </w:tc>
        <w:tc>
          <w:tcPr>
            <w:tcW w:w="1080" w:type="dxa"/>
            <w:vMerge w:val="restart"/>
            <w:shd w:val="clear" w:color="auto" w:fill="auto"/>
            <w:noWrap/>
            <w:vAlign w:val="center"/>
          </w:tcPr>
          <w:p>
            <w:pPr>
              <w:pStyle w:val="58"/>
              <w:rPr>
                <w:highlight w:val="none"/>
              </w:rPr>
            </w:pPr>
            <w:r>
              <w:rPr>
                <w:highlight w:val="none"/>
              </w:rPr>
              <w:t>沙溪</w:t>
            </w:r>
          </w:p>
        </w:tc>
        <w:tc>
          <w:tcPr>
            <w:tcW w:w="1570" w:type="dxa"/>
            <w:vMerge w:val="restart"/>
            <w:shd w:val="clear" w:color="auto" w:fill="auto"/>
            <w:noWrap/>
            <w:vAlign w:val="center"/>
          </w:tcPr>
          <w:p>
            <w:pPr>
              <w:pStyle w:val="58"/>
              <w:rPr>
                <w:highlight w:val="none"/>
              </w:rPr>
            </w:pPr>
            <w:r>
              <w:rPr>
                <w:highlight w:val="none"/>
              </w:rPr>
              <w:t>国控断面</w:t>
            </w:r>
          </w:p>
        </w:tc>
        <w:tc>
          <w:tcPr>
            <w:tcW w:w="1217" w:type="dxa"/>
            <w:vMerge w:val="restart"/>
            <w:shd w:val="clear" w:color="auto" w:fill="auto"/>
            <w:noWrap/>
            <w:vAlign w:val="center"/>
          </w:tcPr>
          <w:p>
            <w:pPr>
              <w:pStyle w:val="58"/>
              <w:rPr>
                <w:highlight w:val="none"/>
              </w:rPr>
            </w:pPr>
            <w:r>
              <w:rPr>
                <w:highlight w:val="none"/>
              </w:rPr>
              <w:t>南充市阆中市</w:t>
            </w:r>
          </w:p>
        </w:tc>
        <w:tc>
          <w:tcPr>
            <w:tcW w:w="1483" w:type="dxa"/>
            <w:shd w:val="clear" w:color="auto" w:fill="auto"/>
            <w:noWrap/>
            <w:vAlign w:val="center"/>
          </w:tcPr>
          <w:p>
            <w:pPr>
              <w:pStyle w:val="58"/>
              <w:rPr>
                <w:highlight w:val="none"/>
              </w:rPr>
            </w:pPr>
            <w:r>
              <w:rPr>
                <w:highlight w:val="none"/>
              </w:rPr>
              <w:t>高锰酸盐指数</w:t>
            </w:r>
          </w:p>
        </w:tc>
        <w:tc>
          <w:tcPr>
            <w:tcW w:w="1100" w:type="dxa"/>
            <w:shd w:val="clear" w:color="auto" w:fill="auto"/>
            <w:noWrap/>
            <w:vAlign w:val="center"/>
          </w:tcPr>
          <w:p>
            <w:pPr>
              <w:pStyle w:val="58"/>
              <w:rPr>
                <w:highlight w:val="none"/>
              </w:rPr>
            </w:pPr>
            <w:r>
              <w:rPr>
                <w:highlight w:val="none"/>
              </w:rPr>
              <w:t>1.94</w:t>
            </w:r>
          </w:p>
        </w:tc>
        <w:tc>
          <w:tcPr>
            <w:tcW w:w="1003" w:type="dxa"/>
            <w:shd w:val="clear" w:color="auto" w:fill="auto"/>
            <w:noWrap/>
            <w:vAlign w:val="center"/>
          </w:tcPr>
          <w:p>
            <w:pPr>
              <w:pStyle w:val="58"/>
              <w:rPr>
                <w:highlight w:val="none"/>
              </w:rPr>
            </w:pPr>
            <w:r>
              <w:rPr>
                <w:highlight w:val="none"/>
              </w:rPr>
              <w:t>1.32</w:t>
            </w:r>
          </w:p>
        </w:tc>
        <w:tc>
          <w:tcPr>
            <w:tcW w:w="1099" w:type="dxa"/>
            <w:shd w:val="clear" w:color="auto" w:fill="auto"/>
            <w:noWrap/>
            <w:vAlign w:val="center"/>
          </w:tcPr>
          <w:p>
            <w:pPr>
              <w:pStyle w:val="58"/>
              <w:rPr>
                <w:highlight w:val="none"/>
              </w:rPr>
            </w:pPr>
            <w:r>
              <w:rPr>
                <w:highlight w:val="none"/>
              </w:rPr>
              <w:t>1.38</w:t>
            </w:r>
          </w:p>
        </w:tc>
        <w:tc>
          <w:tcPr>
            <w:tcW w:w="1099" w:type="dxa"/>
            <w:shd w:val="clear" w:color="auto" w:fill="auto"/>
            <w:noWrap/>
            <w:vAlign w:val="center"/>
          </w:tcPr>
          <w:p>
            <w:pPr>
              <w:pStyle w:val="58"/>
              <w:rPr>
                <w:highlight w:val="none"/>
              </w:rPr>
            </w:pPr>
            <w:r>
              <w:rPr>
                <w:highlight w:val="none"/>
              </w:rPr>
              <w:t>1.36</w:t>
            </w:r>
          </w:p>
        </w:tc>
        <w:tc>
          <w:tcPr>
            <w:tcW w:w="1099" w:type="dxa"/>
            <w:shd w:val="clear" w:color="auto" w:fill="auto"/>
            <w:noWrap/>
            <w:vAlign w:val="center"/>
          </w:tcPr>
          <w:p>
            <w:pPr>
              <w:pStyle w:val="58"/>
              <w:rPr>
                <w:highlight w:val="none"/>
              </w:rPr>
            </w:pPr>
            <w:r>
              <w:rPr>
                <w:highlight w:val="none"/>
              </w:rPr>
              <w:t>1.82</w:t>
            </w:r>
          </w:p>
        </w:tc>
        <w:tc>
          <w:tcPr>
            <w:tcW w:w="1080" w:type="dxa"/>
            <w:shd w:val="clear" w:color="auto" w:fill="auto"/>
            <w:noWrap/>
            <w:vAlign w:val="center"/>
          </w:tcPr>
          <w:p>
            <w:pPr>
              <w:pStyle w:val="58"/>
              <w:rPr>
                <w:highlight w:val="none"/>
              </w:rPr>
            </w:pPr>
            <w:r>
              <w:rPr>
                <w:highlight w:val="none"/>
              </w:rPr>
              <w:t>4</w:t>
            </w:r>
          </w:p>
        </w:tc>
        <w:tc>
          <w:tcPr>
            <w:tcW w:w="1080" w:type="dxa"/>
            <w:vMerge w:val="restart"/>
            <w:shd w:val="clear" w:color="auto" w:fill="auto"/>
            <w:vAlign w:val="center"/>
          </w:tcPr>
          <w:p>
            <w:pPr>
              <w:pStyle w:val="58"/>
              <w:rPr>
                <w:highlight w:val="none"/>
              </w:rPr>
            </w:pPr>
            <w:r>
              <w:rPr>
                <w:highlight w:val="none"/>
              </w:rPr>
              <w:t>《地表水环境质量标准》（GB 3838-2002）II 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化学需氧量</w:t>
            </w:r>
          </w:p>
        </w:tc>
        <w:tc>
          <w:tcPr>
            <w:tcW w:w="1100" w:type="dxa"/>
            <w:shd w:val="clear" w:color="auto" w:fill="auto"/>
            <w:noWrap/>
            <w:vAlign w:val="center"/>
          </w:tcPr>
          <w:p>
            <w:pPr>
              <w:pStyle w:val="58"/>
              <w:rPr>
                <w:highlight w:val="none"/>
              </w:rPr>
            </w:pPr>
            <w:r>
              <w:rPr>
                <w:highlight w:val="none"/>
              </w:rPr>
              <w:t>7.42</w:t>
            </w:r>
          </w:p>
        </w:tc>
        <w:tc>
          <w:tcPr>
            <w:tcW w:w="1003" w:type="dxa"/>
            <w:shd w:val="clear" w:color="auto" w:fill="auto"/>
            <w:noWrap/>
            <w:vAlign w:val="center"/>
          </w:tcPr>
          <w:p>
            <w:pPr>
              <w:pStyle w:val="58"/>
              <w:rPr>
                <w:highlight w:val="none"/>
              </w:rPr>
            </w:pPr>
            <w:r>
              <w:rPr>
                <w:highlight w:val="none"/>
              </w:rPr>
              <w:t>7.11</w:t>
            </w:r>
          </w:p>
        </w:tc>
        <w:tc>
          <w:tcPr>
            <w:tcW w:w="1099" w:type="dxa"/>
            <w:shd w:val="clear" w:color="auto" w:fill="auto"/>
            <w:noWrap/>
            <w:vAlign w:val="center"/>
          </w:tcPr>
          <w:p>
            <w:pPr>
              <w:pStyle w:val="58"/>
              <w:rPr>
                <w:highlight w:val="none"/>
              </w:rPr>
            </w:pPr>
            <w:r>
              <w:rPr>
                <w:highlight w:val="none"/>
              </w:rPr>
              <w:t>7.9</w:t>
            </w:r>
          </w:p>
        </w:tc>
        <w:tc>
          <w:tcPr>
            <w:tcW w:w="1099" w:type="dxa"/>
            <w:shd w:val="clear" w:color="auto" w:fill="auto"/>
            <w:noWrap/>
            <w:vAlign w:val="center"/>
          </w:tcPr>
          <w:p>
            <w:pPr>
              <w:pStyle w:val="58"/>
              <w:rPr>
                <w:highlight w:val="none"/>
              </w:rPr>
            </w:pPr>
            <w:r>
              <w:rPr>
                <w:highlight w:val="none"/>
              </w:rPr>
              <w:t>8.08</w:t>
            </w:r>
          </w:p>
        </w:tc>
        <w:tc>
          <w:tcPr>
            <w:tcW w:w="1099" w:type="dxa"/>
            <w:shd w:val="clear" w:color="auto" w:fill="auto"/>
            <w:noWrap/>
            <w:vAlign w:val="center"/>
          </w:tcPr>
          <w:p>
            <w:pPr>
              <w:pStyle w:val="58"/>
              <w:rPr>
                <w:highlight w:val="none"/>
              </w:rPr>
            </w:pPr>
            <w:r>
              <w:rPr>
                <w:highlight w:val="none"/>
              </w:rPr>
              <w:t>8.3</w:t>
            </w:r>
          </w:p>
        </w:tc>
        <w:tc>
          <w:tcPr>
            <w:tcW w:w="1080" w:type="dxa"/>
            <w:shd w:val="clear" w:color="auto" w:fill="auto"/>
            <w:noWrap/>
            <w:vAlign w:val="center"/>
          </w:tcPr>
          <w:p>
            <w:pPr>
              <w:pStyle w:val="58"/>
              <w:rPr>
                <w:highlight w:val="none"/>
              </w:rPr>
            </w:pPr>
            <w:r>
              <w:rPr>
                <w:highlight w:val="none"/>
              </w:rPr>
              <w:t>15</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氨氮</w:t>
            </w:r>
          </w:p>
        </w:tc>
        <w:tc>
          <w:tcPr>
            <w:tcW w:w="1100" w:type="dxa"/>
            <w:shd w:val="clear" w:color="auto" w:fill="auto"/>
            <w:noWrap/>
            <w:vAlign w:val="center"/>
          </w:tcPr>
          <w:p>
            <w:pPr>
              <w:pStyle w:val="58"/>
              <w:rPr>
                <w:highlight w:val="none"/>
              </w:rPr>
            </w:pPr>
            <w:r>
              <w:rPr>
                <w:highlight w:val="none"/>
              </w:rPr>
              <w:t>0.05</w:t>
            </w:r>
          </w:p>
        </w:tc>
        <w:tc>
          <w:tcPr>
            <w:tcW w:w="1003" w:type="dxa"/>
            <w:shd w:val="clear" w:color="auto" w:fill="auto"/>
            <w:noWrap/>
            <w:vAlign w:val="center"/>
          </w:tcPr>
          <w:p>
            <w:pPr>
              <w:pStyle w:val="58"/>
              <w:rPr>
                <w:highlight w:val="none"/>
              </w:rPr>
            </w:pPr>
            <w:r>
              <w:rPr>
                <w:highlight w:val="none"/>
              </w:rPr>
              <w:t>0.13</w:t>
            </w:r>
          </w:p>
        </w:tc>
        <w:tc>
          <w:tcPr>
            <w:tcW w:w="1099" w:type="dxa"/>
            <w:shd w:val="clear" w:color="auto" w:fill="auto"/>
            <w:noWrap/>
            <w:vAlign w:val="center"/>
          </w:tcPr>
          <w:p>
            <w:pPr>
              <w:pStyle w:val="58"/>
              <w:rPr>
                <w:highlight w:val="none"/>
              </w:rPr>
            </w:pPr>
            <w:r>
              <w:rPr>
                <w:highlight w:val="none"/>
              </w:rPr>
              <w:t>0.11</w:t>
            </w:r>
          </w:p>
        </w:tc>
        <w:tc>
          <w:tcPr>
            <w:tcW w:w="1099" w:type="dxa"/>
            <w:shd w:val="clear" w:color="auto" w:fill="auto"/>
            <w:noWrap/>
            <w:vAlign w:val="center"/>
          </w:tcPr>
          <w:p>
            <w:pPr>
              <w:pStyle w:val="58"/>
              <w:rPr>
                <w:highlight w:val="none"/>
              </w:rPr>
            </w:pPr>
            <w:r>
              <w:rPr>
                <w:highlight w:val="none"/>
              </w:rPr>
              <w:t>0.02</w:t>
            </w:r>
          </w:p>
        </w:tc>
        <w:tc>
          <w:tcPr>
            <w:tcW w:w="1099" w:type="dxa"/>
            <w:shd w:val="clear" w:color="auto" w:fill="auto"/>
            <w:noWrap/>
            <w:vAlign w:val="center"/>
          </w:tcPr>
          <w:p>
            <w:pPr>
              <w:pStyle w:val="58"/>
              <w:rPr>
                <w:highlight w:val="none"/>
              </w:rPr>
            </w:pPr>
            <w:r>
              <w:rPr>
                <w:highlight w:val="none"/>
              </w:rPr>
              <w:t>0.09</w:t>
            </w:r>
          </w:p>
        </w:tc>
        <w:tc>
          <w:tcPr>
            <w:tcW w:w="1080" w:type="dxa"/>
            <w:shd w:val="clear" w:color="auto" w:fill="auto"/>
            <w:noWrap/>
            <w:vAlign w:val="center"/>
          </w:tcPr>
          <w:p>
            <w:pPr>
              <w:pStyle w:val="58"/>
              <w:rPr>
                <w:highlight w:val="none"/>
              </w:rPr>
            </w:pPr>
            <w:r>
              <w:rPr>
                <w:highlight w:val="none"/>
              </w:rPr>
              <w:t>0.5</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总磷</w:t>
            </w:r>
          </w:p>
        </w:tc>
        <w:tc>
          <w:tcPr>
            <w:tcW w:w="1100" w:type="dxa"/>
            <w:shd w:val="clear" w:color="auto" w:fill="auto"/>
            <w:noWrap/>
            <w:vAlign w:val="center"/>
          </w:tcPr>
          <w:p>
            <w:pPr>
              <w:pStyle w:val="58"/>
              <w:rPr>
                <w:highlight w:val="none"/>
              </w:rPr>
            </w:pPr>
            <w:r>
              <w:rPr>
                <w:highlight w:val="none"/>
              </w:rPr>
              <w:t>0.02</w:t>
            </w:r>
          </w:p>
        </w:tc>
        <w:tc>
          <w:tcPr>
            <w:tcW w:w="1003" w:type="dxa"/>
            <w:shd w:val="clear" w:color="auto" w:fill="auto"/>
            <w:noWrap/>
            <w:vAlign w:val="center"/>
          </w:tcPr>
          <w:p>
            <w:pPr>
              <w:pStyle w:val="58"/>
              <w:rPr>
                <w:highlight w:val="none"/>
              </w:rPr>
            </w:pPr>
            <w:r>
              <w:rPr>
                <w:highlight w:val="none"/>
              </w:rPr>
              <w:t>0.02</w:t>
            </w:r>
          </w:p>
        </w:tc>
        <w:tc>
          <w:tcPr>
            <w:tcW w:w="1099" w:type="dxa"/>
            <w:shd w:val="clear" w:color="auto" w:fill="auto"/>
            <w:noWrap/>
            <w:vAlign w:val="center"/>
          </w:tcPr>
          <w:p>
            <w:pPr>
              <w:pStyle w:val="58"/>
              <w:rPr>
                <w:highlight w:val="none"/>
              </w:rPr>
            </w:pPr>
            <w:r>
              <w:rPr>
                <w:highlight w:val="none"/>
              </w:rPr>
              <w:t>0.02</w:t>
            </w:r>
          </w:p>
        </w:tc>
        <w:tc>
          <w:tcPr>
            <w:tcW w:w="1099" w:type="dxa"/>
            <w:shd w:val="clear" w:color="auto" w:fill="auto"/>
            <w:noWrap/>
            <w:vAlign w:val="center"/>
          </w:tcPr>
          <w:p>
            <w:pPr>
              <w:pStyle w:val="58"/>
              <w:rPr>
                <w:highlight w:val="none"/>
              </w:rPr>
            </w:pPr>
            <w:r>
              <w:rPr>
                <w:highlight w:val="none"/>
              </w:rPr>
              <w:t>0.01</w:t>
            </w:r>
          </w:p>
        </w:tc>
        <w:tc>
          <w:tcPr>
            <w:tcW w:w="1099" w:type="dxa"/>
            <w:shd w:val="clear" w:color="auto" w:fill="auto"/>
            <w:noWrap/>
            <w:vAlign w:val="center"/>
          </w:tcPr>
          <w:p>
            <w:pPr>
              <w:pStyle w:val="58"/>
              <w:rPr>
                <w:highlight w:val="none"/>
              </w:rPr>
            </w:pPr>
            <w:r>
              <w:rPr>
                <w:highlight w:val="none"/>
              </w:rPr>
              <w:t>0.02</w:t>
            </w:r>
          </w:p>
        </w:tc>
        <w:tc>
          <w:tcPr>
            <w:tcW w:w="1080" w:type="dxa"/>
            <w:shd w:val="clear" w:color="auto" w:fill="auto"/>
            <w:noWrap/>
            <w:vAlign w:val="center"/>
          </w:tcPr>
          <w:p>
            <w:pPr>
              <w:pStyle w:val="58"/>
              <w:rPr>
                <w:highlight w:val="none"/>
              </w:rPr>
            </w:pPr>
            <w:r>
              <w:rPr>
                <w:highlight w:val="none"/>
              </w:rPr>
              <w:t>0.1</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总氮</w:t>
            </w:r>
          </w:p>
        </w:tc>
        <w:tc>
          <w:tcPr>
            <w:tcW w:w="1100" w:type="dxa"/>
            <w:shd w:val="clear" w:color="auto" w:fill="auto"/>
            <w:noWrap/>
            <w:vAlign w:val="center"/>
          </w:tcPr>
          <w:p>
            <w:pPr>
              <w:pStyle w:val="58"/>
              <w:rPr>
                <w:highlight w:val="none"/>
              </w:rPr>
            </w:pPr>
            <w:r>
              <w:rPr>
                <w:highlight w:val="none"/>
              </w:rPr>
              <w:t>1.35</w:t>
            </w:r>
          </w:p>
        </w:tc>
        <w:tc>
          <w:tcPr>
            <w:tcW w:w="1003" w:type="dxa"/>
            <w:shd w:val="clear" w:color="auto" w:fill="auto"/>
            <w:noWrap/>
            <w:vAlign w:val="center"/>
          </w:tcPr>
          <w:p>
            <w:pPr>
              <w:pStyle w:val="58"/>
              <w:rPr>
                <w:highlight w:val="none"/>
              </w:rPr>
            </w:pPr>
            <w:r>
              <w:rPr>
                <w:highlight w:val="none"/>
              </w:rPr>
              <w:t>1.37</w:t>
            </w:r>
          </w:p>
        </w:tc>
        <w:tc>
          <w:tcPr>
            <w:tcW w:w="1099" w:type="dxa"/>
            <w:shd w:val="clear" w:color="auto" w:fill="auto"/>
            <w:noWrap/>
            <w:vAlign w:val="center"/>
          </w:tcPr>
          <w:p>
            <w:pPr>
              <w:pStyle w:val="58"/>
              <w:rPr>
                <w:highlight w:val="none"/>
              </w:rPr>
            </w:pPr>
            <w:r>
              <w:rPr>
                <w:highlight w:val="none"/>
              </w:rPr>
              <w:t>1.16</w:t>
            </w:r>
          </w:p>
        </w:tc>
        <w:tc>
          <w:tcPr>
            <w:tcW w:w="1099" w:type="dxa"/>
            <w:shd w:val="clear" w:color="auto" w:fill="auto"/>
            <w:noWrap/>
            <w:vAlign w:val="center"/>
          </w:tcPr>
          <w:p>
            <w:pPr>
              <w:pStyle w:val="58"/>
              <w:rPr>
                <w:highlight w:val="none"/>
              </w:rPr>
            </w:pPr>
            <w:r>
              <w:rPr>
                <w:highlight w:val="none"/>
              </w:rPr>
              <w:t>0.69</w:t>
            </w:r>
          </w:p>
        </w:tc>
        <w:tc>
          <w:tcPr>
            <w:tcW w:w="1099" w:type="dxa"/>
            <w:shd w:val="clear" w:color="auto" w:fill="auto"/>
            <w:noWrap/>
            <w:vAlign w:val="center"/>
          </w:tcPr>
          <w:p>
            <w:pPr>
              <w:pStyle w:val="58"/>
              <w:rPr>
                <w:highlight w:val="none"/>
              </w:rPr>
            </w:pPr>
            <w:r>
              <w:rPr>
                <w:highlight w:val="none"/>
              </w:rPr>
              <w:t>/</w:t>
            </w:r>
          </w:p>
        </w:tc>
        <w:tc>
          <w:tcPr>
            <w:tcW w:w="1080" w:type="dxa"/>
            <w:shd w:val="clear" w:color="auto" w:fill="auto"/>
            <w:noWrap/>
            <w:vAlign w:val="center"/>
          </w:tcPr>
          <w:p>
            <w:pPr>
              <w:pStyle w:val="58"/>
              <w:rPr>
                <w:highlight w:val="none"/>
              </w:rPr>
            </w:pPr>
            <w:r>
              <w:rPr>
                <w:highlight w:val="none"/>
              </w:rPr>
              <w:t>/</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BOD</w:t>
            </w:r>
            <w:r>
              <w:rPr>
                <w:highlight w:val="none"/>
                <w:vertAlign w:val="subscript"/>
              </w:rPr>
              <w:t>5</w:t>
            </w:r>
          </w:p>
        </w:tc>
        <w:tc>
          <w:tcPr>
            <w:tcW w:w="1100" w:type="dxa"/>
            <w:shd w:val="clear" w:color="auto" w:fill="auto"/>
            <w:noWrap/>
            <w:vAlign w:val="center"/>
          </w:tcPr>
          <w:p>
            <w:pPr>
              <w:pStyle w:val="58"/>
              <w:rPr>
                <w:highlight w:val="none"/>
              </w:rPr>
            </w:pPr>
            <w:r>
              <w:rPr>
                <w:highlight w:val="none"/>
              </w:rPr>
              <w:t>0.53</w:t>
            </w:r>
          </w:p>
        </w:tc>
        <w:tc>
          <w:tcPr>
            <w:tcW w:w="1003" w:type="dxa"/>
            <w:shd w:val="clear" w:color="auto" w:fill="auto"/>
            <w:noWrap/>
            <w:vAlign w:val="center"/>
          </w:tcPr>
          <w:p>
            <w:pPr>
              <w:pStyle w:val="58"/>
              <w:rPr>
                <w:highlight w:val="none"/>
              </w:rPr>
            </w:pPr>
            <w:r>
              <w:rPr>
                <w:highlight w:val="none"/>
              </w:rPr>
              <w:t>0.54</w:t>
            </w:r>
          </w:p>
        </w:tc>
        <w:tc>
          <w:tcPr>
            <w:tcW w:w="1099" w:type="dxa"/>
            <w:shd w:val="clear" w:color="auto" w:fill="auto"/>
            <w:noWrap/>
            <w:vAlign w:val="center"/>
          </w:tcPr>
          <w:p>
            <w:pPr>
              <w:pStyle w:val="58"/>
              <w:rPr>
                <w:highlight w:val="none"/>
              </w:rPr>
            </w:pPr>
            <w:r>
              <w:rPr>
                <w:highlight w:val="none"/>
              </w:rPr>
              <w:t>0.63</w:t>
            </w:r>
          </w:p>
        </w:tc>
        <w:tc>
          <w:tcPr>
            <w:tcW w:w="1099" w:type="dxa"/>
            <w:shd w:val="clear" w:color="auto" w:fill="auto"/>
            <w:noWrap/>
            <w:vAlign w:val="center"/>
          </w:tcPr>
          <w:p>
            <w:pPr>
              <w:pStyle w:val="58"/>
              <w:rPr>
                <w:highlight w:val="none"/>
              </w:rPr>
            </w:pPr>
            <w:r>
              <w:rPr>
                <w:highlight w:val="none"/>
              </w:rPr>
              <w:t>0.8</w:t>
            </w:r>
          </w:p>
        </w:tc>
        <w:tc>
          <w:tcPr>
            <w:tcW w:w="1099" w:type="dxa"/>
            <w:shd w:val="clear" w:color="auto" w:fill="auto"/>
            <w:noWrap/>
            <w:vAlign w:val="center"/>
          </w:tcPr>
          <w:p>
            <w:pPr>
              <w:pStyle w:val="58"/>
              <w:rPr>
                <w:highlight w:val="none"/>
              </w:rPr>
            </w:pPr>
            <w:r>
              <w:rPr>
                <w:highlight w:val="none"/>
              </w:rPr>
              <w:t>1.28</w:t>
            </w:r>
          </w:p>
        </w:tc>
        <w:tc>
          <w:tcPr>
            <w:tcW w:w="1080" w:type="dxa"/>
            <w:shd w:val="clear" w:color="auto" w:fill="auto"/>
            <w:noWrap/>
            <w:vAlign w:val="center"/>
          </w:tcPr>
          <w:p>
            <w:pPr>
              <w:pStyle w:val="58"/>
              <w:rPr>
                <w:highlight w:val="none"/>
              </w:rPr>
            </w:pPr>
            <w:r>
              <w:rPr>
                <w:highlight w:val="none"/>
              </w:rPr>
              <w:t>3</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restart"/>
            <w:shd w:val="clear" w:color="auto" w:fill="auto"/>
            <w:noWrap/>
            <w:vAlign w:val="center"/>
          </w:tcPr>
          <w:p>
            <w:pPr>
              <w:pStyle w:val="58"/>
              <w:rPr>
                <w:highlight w:val="none"/>
              </w:rPr>
            </w:pPr>
            <w:r>
              <w:rPr>
                <w:highlight w:val="none"/>
              </w:rPr>
              <w:t>2</w:t>
            </w:r>
          </w:p>
        </w:tc>
        <w:tc>
          <w:tcPr>
            <w:tcW w:w="1080" w:type="dxa"/>
            <w:vMerge w:val="restart"/>
            <w:shd w:val="clear" w:color="auto" w:fill="auto"/>
            <w:noWrap/>
            <w:vAlign w:val="center"/>
          </w:tcPr>
          <w:p>
            <w:pPr>
              <w:pStyle w:val="58"/>
              <w:rPr>
                <w:highlight w:val="none"/>
              </w:rPr>
            </w:pPr>
            <w:r>
              <w:rPr>
                <w:highlight w:val="none"/>
              </w:rPr>
              <w:t>张家岩</w:t>
            </w:r>
          </w:p>
        </w:tc>
        <w:tc>
          <w:tcPr>
            <w:tcW w:w="1570" w:type="dxa"/>
            <w:vMerge w:val="restart"/>
            <w:shd w:val="clear" w:color="auto" w:fill="auto"/>
            <w:noWrap/>
            <w:vAlign w:val="center"/>
          </w:tcPr>
          <w:p>
            <w:pPr>
              <w:pStyle w:val="58"/>
              <w:rPr>
                <w:highlight w:val="none"/>
              </w:rPr>
            </w:pPr>
            <w:r>
              <w:rPr>
                <w:highlight w:val="none"/>
              </w:rPr>
              <w:t>省控断面（原）</w:t>
            </w:r>
          </w:p>
        </w:tc>
        <w:tc>
          <w:tcPr>
            <w:tcW w:w="1217" w:type="dxa"/>
            <w:vMerge w:val="restart"/>
            <w:shd w:val="clear" w:color="auto" w:fill="auto"/>
            <w:noWrap/>
            <w:vAlign w:val="center"/>
          </w:tcPr>
          <w:p>
            <w:pPr>
              <w:pStyle w:val="58"/>
              <w:rPr>
                <w:highlight w:val="none"/>
              </w:rPr>
            </w:pPr>
            <w:r>
              <w:rPr>
                <w:highlight w:val="none"/>
              </w:rPr>
              <w:t>广元市苍溪县</w:t>
            </w:r>
          </w:p>
        </w:tc>
        <w:tc>
          <w:tcPr>
            <w:tcW w:w="1483" w:type="dxa"/>
            <w:shd w:val="clear" w:color="auto" w:fill="auto"/>
            <w:noWrap/>
            <w:vAlign w:val="center"/>
          </w:tcPr>
          <w:p>
            <w:pPr>
              <w:pStyle w:val="58"/>
              <w:rPr>
                <w:highlight w:val="none"/>
              </w:rPr>
            </w:pPr>
            <w:r>
              <w:rPr>
                <w:highlight w:val="none"/>
              </w:rPr>
              <w:t>高锰酸盐指数</w:t>
            </w:r>
          </w:p>
        </w:tc>
        <w:tc>
          <w:tcPr>
            <w:tcW w:w="1100" w:type="dxa"/>
            <w:shd w:val="clear" w:color="auto" w:fill="auto"/>
            <w:noWrap/>
            <w:vAlign w:val="center"/>
          </w:tcPr>
          <w:p>
            <w:pPr>
              <w:pStyle w:val="58"/>
              <w:rPr>
                <w:highlight w:val="none"/>
              </w:rPr>
            </w:pPr>
            <w:r>
              <w:rPr>
                <w:highlight w:val="none"/>
              </w:rPr>
              <w:t>2</w:t>
            </w:r>
          </w:p>
        </w:tc>
        <w:tc>
          <w:tcPr>
            <w:tcW w:w="1003"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80" w:type="dxa"/>
            <w:shd w:val="clear" w:color="auto" w:fill="auto"/>
            <w:noWrap/>
            <w:vAlign w:val="center"/>
          </w:tcPr>
          <w:p>
            <w:pPr>
              <w:pStyle w:val="58"/>
              <w:rPr>
                <w:highlight w:val="none"/>
              </w:rPr>
            </w:pPr>
            <w:r>
              <w:rPr>
                <w:highlight w:val="none"/>
              </w:rPr>
              <w:t>6</w:t>
            </w:r>
          </w:p>
        </w:tc>
        <w:tc>
          <w:tcPr>
            <w:tcW w:w="1080" w:type="dxa"/>
            <w:vMerge w:val="restart"/>
            <w:shd w:val="clear" w:color="auto" w:fill="auto"/>
            <w:vAlign w:val="center"/>
          </w:tcPr>
          <w:p>
            <w:pPr>
              <w:pStyle w:val="58"/>
              <w:rPr>
                <w:highlight w:val="none"/>
              </w:rPr>
            </w:pPr>
            <w:r>
              <w:rPr>
                <w:highlight w:val="none"/>
              </w:rPr>
              <w:t>《地表水环境质量标准》（GB 3838-2002）III 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化学需氧量</w:t>
            </w:r>
          </w:p>
        </w:tc>
        <w:tc>
          <w:tcPr>
            <w:tcW w:w="1100" w:type="dxa"/>
            <w:shd w:val="clear" w:color="auto" w:fill="auto"/>
            <w:noWrap/>
            <w:vAlign w:val="center"/>
          </w:tcPr>
          <w:p>
            <w:pPr>
              <w:pStyle w:val="58"/>
              <w:rPr>
                <w:highlight w:val="none"/>
              </w:rPr>
            </w:pPr>
            <w:r>
              <w:rPr>
                <w:highlight w:val="none"/>
              </w:rPr>
              <w:t>9</w:t>
            </w:r>
          </w:p>
        </w:tc>
        <w:tc>
          <w:tcPr>
            <w:tcW w:w="1003"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80" w:type="dxa"/>
            <w:shd w:val="clear" w:color="auto" w:fill="auto"/>
            <w:noWrap/>
            <w:vAlign w:val="center"/>
          </w:tcPr>
          <w:p>
            <w:pPr>
              <w:pStyle w:val="58"/>
              <w:rPr>
                <w:highlight w:val="none"/>
              </w:rPr>
            </w:pPr>
            <w:r>
              <w:rPr>
                <w:highlight w:val="none"/>
              </w:rPr>
              <w:t>20</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氨氮</w:t>
            </w:r>
          </w:p>
        </w:tc>
        <w:tc>
          <w:tcPr>
            <w:tcW w:w="1100" w:type="dxa"/>
            <w:shd w:val="clear" w:color="auto" w:fill="auto"/>
            <w:noWrap/>
            <w:vAlign w:val="center"/>
          </w:tcPr>
          <w:p>
            <w:pPr>
              <w:pStyle w:val="58"/>
              <w:rPr>
                <w:highlight w:val="none"/>
              </w:rPr>
            </w:pPr>
            <w:r>
              <w:rPr>
                <w:highlight w:val="none"/>
              </w:rPr>
              <w:t>0.164</w:t>
            </w:r>
          </w:p>
        </w:tc>
        <w:tc>
          <w:tcPr>
            <w:tcW w:w="1003"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80" w:type="dxa"/>
            <w:shd w:val="clear" w:color="auto" w:fill="auto"/>
            <w:noWrap/>
            <w:vAlign w:val="center"/>
          </w:tcPr>
          <w:p>
            <w:pPr>
              <w:pStyle w:val="58"/>
              <w:rPr>
                <w:highlight w:val="none"/>
              </w:rPr>
            </w:pPr>
            <w:r>
              <w:rPr>
                <w:highlight w:val="none"/>
              </w:rPr>
              <w:t>1</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总磷</w:t>
            </w:r>
          </w:p>
        </w:tc>
        <w:tc>
          <w:tcPr>
            <w:tcW w:w="1100" w:type="dxa"/>
            <w:shd w:val="clear" w:color="auto" w:fill="auto"/>
            <w:noWrap/>
            <w:vAlign w:val="center"/>
          </w:tcPr>
          <w:p>
            <w:pPr>
              <w:pStyle w:val="58"/>
              <w:rPr>
                <w:highlight w:val="none"/>
              </w:rPr>
            </w:pPr>
            <w:r>
              <w:rPr>
                <w:highlight w:val="none"/>
              </w:rPr>
              <w:t>0.02</w:t>
            </w:r>
          </w:p>
        </w:tc>
        <w:tc>
          <w:tcPr>
            <w:tcW w:w="1003"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80" w:type="dxa"/>
            <w:shd w:val="clear" w:color="auto" w:fill="auto"/>
            <w:noWrap/>
            <w:vAlign w:val="center"/>
          </w:tcPr>
          <w:p>
            <w:pPr>
              <w:pStyle w:val="58"/>
              <w:rPr>
                <w:highlight w:val="none"/>
              </w:rPr>
            </w:pPr>
            <w:r>
              <w:rPr>
                <w:highlight w:val="none"/>
              </w:rPr>
              <w:t>0.2</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总氮</w:t>
            </w:r>
          </w:p>
        </w:tc>
        <w:tc>
          <w:tcPr>
            <w:tcW w:w="1100" w:type="dxa"/>
            <w:shd w:val="clear" w:color="auto" w:fill="auto"/>
            <w:noWrap/>
            <w:vAlign w:val="center"/>
          </w:tcPr>
          <w:p>
            <w:pPr>
              <w:pStyle w:val="58"/>
              <w:rPr>
                <w:highlight w:val="none"/>
              </w:rPr>
            </w:pPr>
            <w:r>
              <w:rPr>
                <w:highlight w:val="none"/>
              </w:rPr>
              <w:t>/</w:t>
            </w:r>
          </w:p>
        </w:tc>
        <w:tc>
          <w:tcPr>
            <w:tcW w:w="1003"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80" w:type="dxa"/>
            <w:shd w:val="clear" w:color="auto" w:fill="auto"/>
            <w:noWrap/>
            <w:vAlign w:val="center"/>
          </w:tcPr>
          <w:p>
            <w:pPr>
              <w:pStyle w:val="58"/>
              <w:rPr>
                <w:highlight w:val="none"/>
              </w:rPr>
            </w:pPr>
            <w:r>
              <w:rPr>
                <w:highlight w:val="none"/>
              </w:rPr>
              <w:t>/</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BOD</w:t>
            </w:r>
            <w:r>
              <w:rPr>
                <w:highlight w:val="none"/>
                <w:vertAlign w:val="subscript"/>
              </w:rPr>
              <w:t>5</w:t>
            </w:r>
          </w:p>
        </w:tc>
        <w:tc>
          <w:tcPr>
            <w:tcW w:w="1100" w:type="dxa"/>
            <w:shd w:val="clear" w:color="auto" w:fill="auto"/>
            <w:noWrap/>
            <w:vAlign w:val="center"/>
          </w:tcPr>
          <w:p>
            <w:pPr>
              <w:pStyle w:val="58"/>
              <w:rPr>
                <w:highlight w:val="none"/>
              </w:rPr>
            </w:pPr>
            <w:r>
              <w:rPr>
                <w:highlight w:val="none"/>
              </w:rPr>
              <w:t>1.1</w:t>
            </w:r>
          </w:p>
        </w:tc>
        <w:tc>
          <w:tcPr>
            <w:tcW w:w="1003"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w:t>
            </w:r>
          </w:p>
        </w:tc>
        <w:tc>
          <w:tcPr>
            <w:tcW w:w="1080" w:type="dxa"/>
            <w:shd w:val="clear" w:color="auto" w:fill="auto"/>
            <w:noWrap/>
            <w:vAlign w:val="center"/>
          </w:tcPr>
          <w:p>
            <w:pPr>
              <w:pStyle w:val="58"/>
              <w:rPr>
                <w:highlight w:val="none"/>
              </w:rPr>
            </w:pPr>
            <w:r>
              <w:rPr>
                <w:highlight w:val="none"/>
              </w:rPr>
              <w:t>4</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restart"/>
            <w:shd w:val="clear" w:color="auto" w:fill="auto"/>
            <w:noWrap/>
            <w:vAlign w:val="center"/>
          </w:tcPr>
          <w:p>
            <w:pPr>
              <w:pStyle w:val="58"/>
              <w:rPr>
                <w:highlight w:val="none"/>
              </w:rPr>
            </w:pPr>
            <w:r>
              <w:rPr>
                <w:highlight w:val="none"/>
              </w:rPr>
              <w:t>3</w:t>
            </w:r>
          </w:p>
        </w:tc>
        <w:tc>
          <w:tcPr>
            <w:tcW w:w="1080" w:type="dxa"/>
            <w:vMerge w:val="restart"/>
            <w:shd w:val="clear" w:color="auto" w:fill="auto"/>
            <w:noWrap/>
            <w:vAlign w:val="center"/>
          </w:tcPr>
          <w:p>
            <w:pPr>
              <w:pStyle w:val="58"/>
              <w:rPr>
                <w:highlight w:val="none"/>
              </w:rPr>
            </w:pPr>
            <w:r>
              <w:rPr>
                <w:highlight w:val="none"/>
              </w:rPr>
              <w:t>金银渡</w:t>
            </w:r>
          </w:p>
        </w:tc>
        <w:tc>
          <w:tcPr>
            <w:tcW w:w="1570" w:type="dxa"/>
            <w:vMerge w:val="restart"/>
            <w:shd w:val="clear" w:color="auto" w:fill="auto"/>
            <w:noWrap/>
            <w:vAlign w:val="center"/>
          </w:tcPr>
          <w:p>
            <w:pPr>
              <w:pStyle w:val="58"/>
              <w:rPr>
                <w:highlight w:val="none"/>
              </w:rPr>
            </w:pPr>
            <w:r>
              <w:rPr>
                <w:highlight w:val="none"/>
              </w:rPr>
              <w:t>省控断面</w:t>
            </w:r>
          </w:p>
        </w:tc>
        <w:tc>
          <w:tcPr>
            <w:tcW w:w="1217" w:type="dxa"/>
            <w:vMerge w:val="restart"/>
            <w:shd w:val="clear" w:color="auto" w:fill="auto"/>
            <w:noWrap/>
            <w:vAlign w:val="center"/>
          </w:tcPr>
          <w:p>
            <w:pPr>
              <w:pStyle w:val="58"/>
              <w:rPr>
                <w:highlight w:val="none"/>
              </w:rPr>
            </w:pPr>
            <w:r>
              <w:rPr>
                <w:highlight w:val="none"/>
              </w:rPr>
              <w:t>广元市苍溪县</w:t>
            </w:r>
          </w:p>
        </w:tc>
        <w:tc>
          <w:tcPr>
            <w:tcW w:w="1483" w:type="dxa"/>
            <w:shd w:val="clear" w:color="auto" w:fill="auto"/>
            <w:noWrap/>
            <w:vAlign w:val="center"/>
          </w:tcPr>
          <w:p>
            <w:pPr>
              <w:pStyle w:val="58"/>
              <w:rPr>
                <w:highlight w:val="none"/>
              </w:rPr>
            </w:pPr>
            <w:r>
              <w:rPr>
                <w:highlight w:val="none"/>
              </w:rPr>
              <w:t>高锰酸盐指数</w:t>
            </w:r>
          </w:p>
        </w:tc>
        <w:tc>
          <w:tcPr>
            <w:tcW w:w="1100" w:type="dxa"/>
            <w:shd w:val="clear" w:color="auto" w:fill="auto"/>
            <w:noWrap/>
            <w:vAlign w:val="center"/>
          </w:tcPr>
          <w:p>
            <w:pPr>
              <w:pStyle w:val="58"/>
              <w:rPr>
                <w:highlight w:val="none"/>
              </w:rPr>
            </w:pPr>
            <w:r>
              <w:rPr>
                <w:highlight w:val="none"/>
              </w:rPr>
              <w:t>/</w:t>
            </w:r>
          </w:p>
        </w:tc>
        <w:tc>
          <w:tcPr>
            <w:tcW w:w="1003"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1.7</w:t>
            </w:r>
          </w:p>
        </w:tc>
        <w:tc>
          <w:tcPr>
            <w:tcW w:w="1099" w:type="dxa"/>
            <w:shd w:val="clear" w:color="auto" w:fill="auto"/>
            <w:noWrap/>
            <w:vAlign w:val="center"/>
          </w:tcPr>
          <w:p>
            <w:pPr>
              <w:pStyle w:val="58"/>
              <w:rPr>
                <w:highlight w:val="none"/>
              </w:rPr>
            </w:pPr>
            <w:r>
              <w:rPr>
                <w:highlight w:val="none"/>
              </w:rPr>
              <w:t>1.6</w:t>
            </w:r>
          </w:p>
        </w:tc>
        <w:tc>
          <w:tcPr>
            <w:tcW w:w="1099" w:type="dxa"/>
            <w:shd w:val="clear" w:color="auto" w:fill="auto"/>
            <w:noWrap/>
            <w:vAlign w:val="center"/>
          </w:tcPr>
          <w:p>
            <w:pPr>
              <w:pStyle w:val="58"/>
              <w:rPr>
                <w:highlight w:val="none"/>
              </w:rPr>
            </w:pPr>
            <w:r>
              <w:rPr>
                <w:highlight w:val="none"/>
              </w:rPr>
              <w:t>1.38</w:t>
            </w:r>
          </w:p>
        </w:tc>
        <w:tc>
          <w:tcPr>
            <w:tcW w:w="1080" w:type="dxa"/>
            <w:shd w:val="clear" w:color="auto" w:fill="auto"/>
            <w:noWrap/>
            <w:vAlign w:val="center"/>
          </w:tcPr>
          <w:p>
            <w:pPr>
              <w:pStyle w:val="58"/>
              <w:rPr>
                <w:highlight w:val="none"/>
              </w:rPr>
            </w:pPr>
            <w:r>
              <w:rPr>
                <w:highlight w:val="none"/>
              </w:rPr>
              <w:t>6</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化学需氧量</w:t>
            </w:r>
          </w:p>
        </w:tc>
        <w:tc>
          <w:tcPr>
            <w:tcW w:w="1100" w:type="dxa"/>
            <w:shd w:val="clear" w:color="auto" w:fill="auto"/>
            <w:noWrap/>
            <w:vAlign w:val="center"/>
          </w:tcPr>
          <w:p>
            <w:pPr>
              <w:pStyle w:val="58"/>
              <w:rPr>
                <w:highlight w:val="none"/>
              </w:rPr>
            </w:pPr>
            <w:r>
              <w:rPr>
                <w:highlight w:val="none"/>
              </w:rPr>
              <w:t>/</w:t>
            </w:r>
          </w:p>
        </w:tc>
        <w:tc>
          <w:tcPr>
            <w:tcW w:w="1003"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10</w:t>
            </w:r>
          </w:p>
        </w:tc>
        <w:tc>
          <w:tcPr>
            <w:tcW w:w="1099" w:type="dxa"/>
            <w:shd w:val="clear" w:color="auto" w:fill="auto"/>
            <w:noWrap/>
            <w:vAlign w:val="center"/>
          </w:tcPr>
          <w:p>
            <w:pPr>
              <w:pStyle w:val="58"/>
              <w:rPr>
                <w:highlight w:val="none"/>
              </w:rPr>
            </w:pPr>
            <w:r>
              <w:rPr>
                <w:highlight w:val="none"/>
              </w:rPr>
              <w:t>10</w:t>
            </w:r>
          </w:p>
        </w:tc>
        <w:tc>
          <w:tcPr>
            <w:tcW w:w="1099" w:type="dxa"/>
            <w:shd w:val="clear" w:color="auto" w:fill="auto"/>
            <w:noWrap/>
            <w:vAlign w:val="center"/>
          </w:tcPr>
          <w:p>
            <w:pPr>
              <w:pStyle w:val="58"/>
              <w:rPr>
                <w:highlight w:val="none"/>
              </w:rPr>
            </w:pPr>
            <w:r>
              <w:rPr>
                <w:highlight w:val="none"/>
              </w:rPr>
              <w:t>8</w:t>
            </w:r>
          </w:p>
        </w:tc>
        <w:tc>
          <w:tcPr>
            <w:tcW w:w="1080" w:type="dxa"/>
            <w:shd w:val="clear" w:color="auto" w:fill="auto"/>
            <w:noWrap/>
            <w:vAlign w:val="center"/>
          </w:tcPr>
          <w:p>
            <w:pPr>
              <w:pStyle w:val="58"/>
              <w:rPr>
                <w:highlight w:val="none"/>
              </w:rPr>
            </w:pPr>
            <w:r>
              <w:rPr>
                <w:highlight w:val="none"/>
              </w:rPr>
              <w:t>20</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氨氮</w:t>
            </w:r>
          </w:p>
        </w:tc>
        <w:tc>
          <w:tcPr>
            <w:tcW w:w="1100" w:type="dxa"/>
            <w:shd w:val="clear" w:color="auto" w:fill="auto"/>
            <w:noWrap/>
            <w:vAlign w:val="center"/>
          </w:tcPr>
          <w:p>
            <w:pPr>
              <w:pStyle w:val="58"/>
              <w:rPr>
                <w:highlight w:val="none"/>
              </w:rPr>
            </w:pPr>
            <w:r>
              <w:rPr>
                <w:highlight w:val="none"/>
              </w:rPr>
              <w:t>/</w:t>
            </w:r>
          </w:p>
        </w:tc>
        <w:tc>
          <w:tcPr>
            <w:tcW w:w="1003"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0.064</w:t>
            </w:r>
          </w:p>
        </w:tc>
        <w:tc>
          <w:tcPr>
            <w:tcW w:w="1099" w:type="dxa"/>
            <w:shd w:val="clear" w:color="auto" w:fill="auto"/>
            <w:noWrap/>
            <w:vAlign w:val="center"/>
          </w:tcPr>
          <w:p>
            <w:pPr>
              <w:pStyle w:val="58"/>
              <w:rPr>
                <w:highlight w:val="none"/>
              </w:rPr>
            </w:pPr>
            <w:r>
              <w:rPr>
                <w:highlight w:val="none"/>
              </w:rPr>
              <w:t>0.118</w:t>
            </w:r>
          </w:p>
        </w:tc>
        <w:tc>
          <w:tcPr>
            <w:tcW w:w="1099" w:type="dxa"/>
            <w:shd w:val="clear" w:color="auto" w:fill="auto"/>
            <w:noWrap/>
            <w:vAlign w:val="center"/>
          </w:tcPr>
          <w:p>
            <w:pPr>
              <w:pStyle w:val="58"/>
              <w:rPr>
                <w:highlight w:val="none"/>
              </w:rPr>
            </w:pPr>
            <w:r>
              <w:rPr>
                <w:highlight w:val="none"/>
              </w:rPr>
              <w:t>0.097</w:t>
            </w:r>
          </w:p>
        </w:tc>
        <w:tc>
          <w:tcPr>
            <w:tcW w:w="1080" w:type="dxa"/>
            <w:shd w:val="clear" w:color="auto" w:fill="auto"/>
            <w:noWrap/>
            <w:vAlign w:val="center"/>
          </w:tcPr>
          <w:p>
            <w:pPr>
              <w:pStyle w:val="58"/>
              <w:rPr>
                <w:highlight w:val="none"/>
              </w:rPr>
            </w:pPr>
            <w:r>
              <w:rPr>
                <w:highlight w:val="none"/>
              </w:rPr>
              <w:t>1</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总磷</w:t>
            </w:r>
          </w:p>
        </w:tc>
        <w:tc>
          <w:tcPr>
            <w:tcW w:w="1100" w:type="dxa"/>
            <w:shd w:val="clear" w:color="auto" w:fill="auto"/>
            <w:noWrap/>
            <w:vAlign w:val="center"/>
          </w:tcPr>
          <w:p>
            <w:pPr>
              <w:pStyle w:val="58"/>
              <w:rPr>
                <w:highlight w:val="none"/>
              </w:rPr>
            </w:pPr>
            <w:r>
              <w:rPr>
                <w:highlight w:val="none"/>
              </w:rPr>
              <w:t>/</w:t>
            </w:r>
          </w:p>
        </w:tc>
        <w:tc>
          <w:tcPr>
            <w:tcW w:w="1003"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0.03</w:t>
            </w:r>
          </w:p>
        </w:tc>
        <w:tc>
          <w:tcPr>
            <w:tcW w:w="1099" w:type="dxa"/>
            <w:shd w:val="clear" w:color="auto" w:fill="auto"/>
            <w:noWrap/>
            <w:vAlign w:val="center"/>
          </w:tcPr>
          <w:p>
            <w:pPr>
              <w:pStyle w:val="58"/>
              <w:rPr>
                <w:highlight w:val="none"/>
              </w:rPr>
            </w:pPr>
            <w:r>
              <w:rPr>
                <w:highlight w:val="none"/>
              </w:rPr>
              <w:t>0.03</w:t>
            </w:r>
          </w:p>
        </w:tc>
        <w:tc>
          <w:tcPr>
            <w:tcW w:w="1099" w:type="dxa"/>
            <w:shd w:val="clear" w:color="auto" w:fill="auto"/>
            <w:noWrap/>
            <w:vAlign w:val="center"/>
          </w:tcPr>
          <w:p>
            <w:pPr>
              <w:pStyle w:val="58"/>
              <w:rPr>
                <w:highlight w:val="none"/>
              </w:rPr>
            </w:pPr>
            <w:r>
              <w:rPr>
                <w:highlight w:val="none"/>
              </w:rPr>
              <w:t>0.02</w:t>
            </w:r>
          </w:p>
        </w:tc>
        <w:tc>
          <w:tcPr>
            <w:tcW w:w="1080" w:type="dxa"/>
            <w:shd w:val="clear" w:color="auto" w:fill="auto"/>
            <w:noWrap/>
            <w:vAlign w:val="center"/>
          </w:tcPr>
          <w:p>
            <w:pPr>
              <w:pStyle w:val="58"/>
              <w:rPr>
                <w:highlight w:val="none"/>
              </w:rPr>
            </w:pPr>
            <w:r>
              <w:rPr>
                <w:highlight w:val="none"/>
              </w:rPr>
              <w:t>0.2</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总氮</w:t>
            </w:r>
          </w:p>
        </w:tc>
        <w:tc>
          <w:tcPr>
            <w:tcW w:w="1100" w:type="dxa"/>
            <w:shd w:val="clear" w:color="auto" w:fill="auto"/>
            <w:noWrap/>
            <w:vAlign w:val="center"/>
          </w:tcPr>
          <w:p>
            <w:pPr>
              <w:pStyle w:val="58"/>
              <w:rPr>
                <w:highlight w:val="none"/>
              </w:rPr>
            </w:pPr>
            <w:r>
              <w:rPr>
                <w:highlight w:val="none"/>
              </w:rPr>
              <w:t>/</w:t>
            </w:r>
          </w:p>
        </w:tc>
        <w:tc>
          <w:tcPr>
            <w:tcW w:w="1003"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1.13</w:t>
            </w:r>
          </w:p>
        </w:tc>
        <w:tc>
          <w:tcPr>
            <w:tcW w:w="1099" w:type="dxa"/>
            <w:shd w:val="clear" w:color="auto" w:fill="auto"/>
            <w:noWrap/>
            <w:vAlign w:val="center"/>
          </w:tcPr>
          <w:p>
            <w:pPr>
              <w:pStyle w:val="58"/>
              <w:rPr>
                <w:highlight w:val="none"/>
              </w:rPr>
            </w:pPr>
            <w:r>
              <w:rPr>
                <w:highlight w:val="none"/>
              </w:rPr>
              <w:t>1.19</w:t>
            </w:r>
          </w:p>
        </w:tc>
        <w:tc>
          <w:tcPr>
            <w:tcW w:w="1099" w:type="dxa"/>
            <w:shd w:val="clear" w:color="auto" w:fill="auto"/>
            <w:noWrap/>
            <w:vAlign w:val="center"/>
          </w:tcPr>
          <w:p>
            <w:pPr>
              <w:pStyle w:val="58"/>
              <w:rPr>
                <w:highlight w:val="none"/>
              </w:rPr>
            </w:pPr>
            <w:r>
              <w:rPr>
                <w:highlight w:val="none"/>
              </w:rPr>
              <w:t>1.13</w:t>
            </w:r>
          </w:p>
        </w:tc>
        <w:tc>
          <w:tcPr>
            <w:tcW w:w="1080" w:type="dxa"/>
            <w:shd w:val="clear" w:color="auto" w:fill="auto"/>
            <w:noWrap/>
            <w:vAlign w:val="center"/>
          </w:tcPr>
          <w:p>
            <w:pPr>
              <w:pStyle w:val="58"/>
              <w:rPr>
                <w:highlight w:val="none"/>
              </w:rPr>
            </w:pPr>
            <w:r>
              <w:rPr>
                <w:highlight w:val="none"/>
              </w:rPr>
              <w:t>/</w:t>
            </w:r>
          </w:p>
        </w:tc>
        <w:tc>
          <w:tcPr>
            <w:tcW w:w="1080" w:type="dxa"/>
            <w:vMerge w:val="continue"/>
            <w:vAlign w:val="center"/>
          </w:tcPr>
          <w:p>
            <w:pPr>
              <w:pStyle w:val="58"/>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pStyle w:val="58"/>
              <w:rPr>
                <w:highlight w:val="none"/>
              </w:rPr>
            </w:pPr>
          </w:p>
        </w:tc>
        <w:tc>
          <w:tcPr>
            <w:tcW w:w="1080" w:type="dxa"/>
            <w:vMerge w:val="continue"/>
            <w:vAlign w:val="center"/>
          </w:tcPr>
          <w:p>
            <w:pPr>
              <w:pStyle w:val="58"/>
              <w:rPr>
                <w:highlight w:val="none"/>
              </w:rPr>
            </w:pPr>
          </w:p>
        </w:tc>
        <w:tc>
          <w:tcPr>
            <w:tcW w:w="1570" w:type="dxa"/>
            <w:vMerge w:val="continue"/>
            <w:vAlign w:val="center"/>
          </w:tcPr>
          <w:p>
            <w:pPr>
              <w:pStyle w:val="58"/>
              <w:rPr>
                <w:highlight w:val="none"/>
              </w:rPr>
            </w:pPr>
          </w:p>
        </w:tc>
        <w:tc>
          <w:tcPr>
            <w:tcW w:w="1217" w:type="dxa"/>
            <w:vMerge w:val="continue"/>
            <w:vAlign w:val="center"/>
          </w:tcPr>
          <w:p>
            <w:pPr>
              <w:pStyle w:val="58"/>
              <w:rPr>
                <w:highlight w:val="none"/>
              </w:rPr>
            </w:pPr>
          </w:p>
        </w:tc>
        <w:tc>
          <w:tcPr>
            <w:tcW w:w="1483" w:type="dxa"/>
            <w:shd w:val="clear" w:color="auto" w:fill="auto"/>
            <w:noWrap/>
            <w:vAlign w:val="center"/>
          </w:tcPr>
          <w:p>
            <w:pPr>
              <w:pStyle w:val="58"/>
              <w:rPr>
                <w:highlight w:val="none"/>
              </w:rPr>
            </w:pPr>
            <w:r>
              <w:rPr>
                <w:highlight w:val="none"/>
              </w:rPr>
              <w:t>BOD</w:t>
            </w:r>
            <w:r>
              <w:rPr>
                <w:highlight w:val="none"/>
                <w:vertAlign w:val="subscript"/>
              </w:rPr>
              <w:t>5</w:t>
            </w:r>
          </w:p>
        </w:tc>
        <w:tc>
          <w:tcPr>
            <w:tcW w:w="1100" w:type="dxa"/>
            <w:shd w:val="clear" w:color="auto" w:fill="auto"/>
            <w:noWrap/>
            <w:vAlign w:val="center"/>
          </w:tcPr>
          <w:p>
            <w:pPr>
              <w:pStyle w:val="58"/>
              <w:rPr>
                <w:highlight w:val="none"/>
              </w:rPr>
            </w:pPr>
            <w:r>
              <w:rPr>
                <w:highlight w:val="none"/>
              </w:rPr>
              <w:t>/</w:t>
            </w:r>
          </w:p>
        </w:tc>
        <w:tc>
          <w:tcPr>
            <w:tcW w:w="1003" w:type="dxa"/>
            <w:shd w:val="clear" w:color="auto" w:fill="auto"/>
            <w:noWrap/>
            <w:vAlign w:val="center"/>
          </w:tcPr>
          <w:p>
            <w:pPr>
              <w:pStyle w:val="58"/>
              <w:rPr>
                <w:highlight w:val="none"/>
              </w:rPr>
            </w:pPr>
            <w:r>
              <w:rPr>
                <w:highlight w:val="none"/>
              </w:rPr>
              <w:t>/</w:t>
            </w:r>
          </w:p>
        </w:tc>
        <w:tc>
          <w:tcPr>
            <w:tcW w:w="1099" w:type="dxa"/>
            <w:shd w:val="clear" w:color="auto" w:fill="auto"/>
            <w:noWrap/>
            <w:vAlign w:val="center"/>
          </w:tcPr>
          <w:p>
            <w:pPr>
              <w:pStyle w:val="58"/>
              <w:rPr>
                <w:highlight w:val="none"/>
              </w:rPr>
            </w:pPr>
            <w:r>
              <w:rPr>
                <w:highlight w:val="none"/>
              </w:rPr>
              <w:t>1.3</w:t>
            </w:r>
          </w:p>
        </w:tc>
        <w:tc>
          <w:tcPr>
            <w:tcW w:w="1099" w:type="dxa"/>
            <w:shd w:val="clear" w:color="auto" w:fill="auto"/>
            <w:noWrap/>
            <w:vAlign w:val="center"/>
          </w:tcPr>
          <w:p>
            <w:pPr>
              <w:pStyle w:val="58"/>
              <w:rPr>
                <w:highlight w:val="none"/>
              </w:rPr>
            </w:pPr>
            <w:r>
              <w:rPr>
                <w:highlight w:val="none"/>
              </w:rPr>
              <w:t>1.5</w:t>
            </w:r>
          </w:p>
        </w:tc>
        <w:tc>
          <w:tcPr>
            <w:tcW w:w="1099" w:type="dxa"/>
            <w:shd w:val="clear" w:color="auto" w:fill="auto"/>
            <w:noWrap/>
            <w:vAlign w:val="center"/>
          </w:tcPr>
          <w:p>
            <w:pPr>
              <w:pStyle w:val="58"/>
              <w:rPr>
                <w:highlight w:val="none"/>
              </w:rPr>
            </w:pPr>
            <w:r>
              <w:rPr>
                <w:highlight w:val="none"/>
              </w:rPr>
              <w:t>1.22</w:t>
            </w:r>
          </w:p>
        </w:tc>
        <w:tc>
          <w:tcPr>
            <w:tcW w:w="1080" w:type="dxa"/>
            <w:shd w:val="clear" w:color="auto" w:fill="auto"/>
            <w:noWrap/>
            <w:vAlign w:val="center"/>
          </w:tcPr>
          <w:p>
            <w:pPr>
              <w:pStyle w:val="58"/>
              <w:rPr>
                <w:highlight w:val="none"/>
              </w:rPr>
            </w:pPr>
            <w:r>
              <w:rPr>
                <w:highlight w:val="none"/>
              </w:rPr>
              <w:t>4</w:t>
            </w:r>
          </w:p>
        </w:tc>
        <w:tc>
          <w:tcPr>
            <w:tcW w:w="1080" w:type="dxa"/>
            <w:vMerge w:val="continue"/>
            <w:vAlign w:val="center"/>
          </w:tcPr>
          <w:p>
            <w:pPr>
              <w:pStyle w:val="58"/>
              <w:rPr>
                <w:highlight w:val="none"/>
              </w:rPr>
            </w:pPr>
          </w:p>
        </w:tc>
      </w:tr>
    </w:tbl>
    <w:p>
      <w:pPr>
        <w:adjustRightInd w:val="0"/>
        <w:snapToGrid w:val="0"/>
        <w:ind w:firstLine="480"/>
        <w:rPr>
          <w:highlight w:val="none"/>
        </w:rPr>
      </w:pPr>
    </w:p>
    <w:tbl>
      <w:tblPr>
        <w:tblStyle w:val="4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01"/>
        <w:gridCol w:w="70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7001" w:type="dxa"/>
          </w:tcPr>
          <w:p>
            <w:pPr>
              <w:adjustRightInd w:val="0"/>
              <w:snapToGrid w:val="0"/>
              <w:ind w:firstLine="0" w:firstLineChars="0"/>
              <w:rPr>
                <w:highlight w:val="none"/>
              </w:rPr>
            </w:pPr>
            <w:r>
              <w:rPr>
                <w:highlight w:val="none"/>
              </w:rPr>
              <w:drawing>
                <wp:inline distT="0" distB="0" distL="0" distR="0">
                  <wp:extent cx="4139565" cy="2411730"/>
                  <wp:effectExtent l="0" t="0" r="13335" b="7620"/>
                  <wp:docPr id="94028439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57"/>
              <w:spacing w:after="120"/>
              <w:rPr>
                <w:highlight w:val="none"/>
              </w:rPr>
            </w:pPr>
            <w:r>
              <w:rPr>
                <w:rFonts w:hint="eastAsia"/>
                <w:highlight w:val="none"/>
              </w:rPr>
              <w:t>（1）沙溪国控断面高锰酸盐指数变化趋势图</w:t>
            </w:r>
          </w:p>
        </w:tc>
        <w:tc>
          <w:tcPr>
            <w:tcW w:w="7001" w:type="dxa"/>
          </w:tcPr>
          <w:p>
            <w:pPr>
              <w:adjustRightInd w:val="0"/>
              <w:snapToGrid w:val="0"/>
              <w:ind w:firstLine="0" w:firstLineChars="0"/>
              <w:rPr>
                <w:highlight w:val="none"/>
              </w:rPr>
            </w:pPr>
            <w:r>
              <w:rPr>
                <w:highlight w:val="none"/>
              </w:rPr>
              <w:drawing>
                <wp:inline distT="0" distB="0" distL="0" distR="0">
                  <wp:extent cx="4139565" cy="2411730"/>
                  <wp:effectExtent l="0" t="0" r="13335" b="7620"/>
                  <wp:docPr id="149298047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57"/>
              <w:spacing w:after="120"/>
              <w:rPr>
                <w:highlight w:val="none"/>
              </w:rPr>
            </w:pPr>
            <w:r>
              <w:rPr>
                <w:rFonts w:hint="eastAsia"/>
                <w:highlight w:val="none"/>
              </w:rPr>
              <w:t>（2）沙溪国控断面化学需氧量变化趋势图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01" w:type="dxa"/>
          </w:tcPr>
          <w:p>
            <w:pPr>
              <w:adjustRightInd w:val="0"/>
              <w:snapToGrid w:val="0"/>
              <w:ind w:firstLine="0" w:firstLineChars="0"/>
              <w:rPr>
                <w:highlight w:val="none"/>
              </w:rPr>
            </w:pPr>
            <w:r>
              <w:rPr>
                <w:highlight w:val="none"/>
              </w:rPr>
              <w:drawing>
                <wp:inline distT="0" distB="0" distL="0" distR="0">
                  <wp:extent cx="4139565" cy="2411730"/>
                  <wp:effectExtent l="0" t="0" r="13335" b="7620"/>
                  <wp:docPr id="199586725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57"/>
              <w:spacing w:after="120"/>
              <w:rPr>
                <w:highlight w:val="none"/>
              </w:rPr>
            </w:pPr>
            <w:r>
              <w:rPr>
                <w:rFonts w:hint="eastAsia"/>
                <w:highlight w:val="none"/>
              </w:rPr>
              <w:t>（3）沙溪国控断面氨氮变化趋势图</w:t>
            </w:r>
          </w:p>
        </w:tc>
        <w:tc>
          <w:tcPr>
            <w:tcW w:w="7001" w:type="dxa"/>
          </w:tcPr>
          <w:p>
            <w:pPr>
              <w:adjustRightInd w:val="0"/>
              <w:snapToGrid w:val="0"/>
              <w:ind w:firstLine="0" w:firstLineChars="0"/>
              <w:rPr>
                <w:highlight w:val="none"/>
              </w:rPr>
            </w:pPr>
            <w:r>
              <w:rPr>
                <w:highlight w:val="none"/>
              </w:rPr>
              <w:drawing>
                <wp:inline distT="0" distB="0" distL="0" distR="0">
                  <wp:extent cx="4139565" cy="2411730"/>
                  <wp:effectExtent l="0" t="0" r="13335" b="7620"/>
                  <wp:docPr id="111497958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57"/>
              <w:spacing w:after="120"/>
              <w:rPr>
                <w:highlight w:val="none"/>
              </w:rPr>
            </w:pPr>
            <w:r>
              <w:rPr>
                <w:rFonts w:hint="eastAsia"/>
                <w:highlight w:val="none"/>
              </w:rPr>
              <w:t>（4）沙溪国控断面总磷变化趋势图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01" w:type="dxa"/>
          </w:tcPr>
          <w:p>
            <w:pPr>
              <w:adjustRightInd w:val="0"/>
              <w:snapToGrid w:val="0"/>
              <w:ind w:firstLine="0" w:firstLineChars="0"/>
              <w:rPr>
                <w:highlight w:val="none"/>
              </w:rPr>
            </w:pPr>
            <w:r>
              <w:rPr>
                <w:highlight w:val="none"/>
              </w:rPr>
              <w:drawing>
                <wp:inline distT="0" distB="0" distL="0" distR="0">
                  <wp:extent cx="4139565" cy="2411730"/>
                  <wp:effectExtent l="0" t="0" r="13335" b="7620"/>
                  <wp:docPr id="35207338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57"/>
              <w:spacing w:after="120"/>
              <w:rPr>
                <w:highlight w:val="none"/>
              </w:rPr>
            </w:pPr>
            <w:r>
              <w:rPr>
                <w:rFonts w:hint="eastAsia"/>
                <w:highlight w:val="none"/>
              </w:rPr>
              <w:t>（5）沙溪国控断面总氮变化趋势图</w:t>
            </w:r>
          </w:p>
        </w:tc>
        <w:tc>
          <w:tcPr>
            <w:tcW w:w="7001" w:type="dxa"/>
          </w:tcPr>
          <w:p>
            <w:pPr>
              <w:adjustRightInd w:val="0"/>
              <w:snapToGrid w:val="0"/>
              <w:ind w:firstLine="0" w:firstLineChars="0"/>
              <w:rPr>
                <w:highlight w:val="none"/>
              </w:rPr>
            </w:pPr>
            <w:r>
              <w:rPr>
                <w:highlight w:val="none"/>
              </w:rPr>
              <w:drawing>
                <wp:inline distT="0" distB="0" distL="0" distR="0">
                  <wp:extent cx="4139565" cy="2411730"/>
                  <wp:effectExtent l="0" t="0" r="13335" b="7620"/>
                  <wp:docPr id="167828956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57"/>
              <w:keepNext/>
              <w:spacing w:after="120"/>
              <w:rPr>
                <w:highlight w:val="none"/>
              </w:rPr>
            </w:pPr>
            <w:r>
              <w:rPr>
                <w:rFonts w:hint="eastAsia"/>
                <w:highlight w:val="none"/>
              </w:rPr>
              <w:t>（6）沙溪国控断面五日生化需氧量变化趋势图</w:t>
            </w:r>
          </w:p>
        </w:tc>
      </w:tr>
    </w:tbl>
    <w:p>
      <w:pPr>
        <w:pStyle w:val="13"/>
        <w:rPr>
          <w:highlight w:val="none"/>
        </w:rPr>
      </w:pPr>
      <w:r>
        <w:rPr>
          <w:rFonts w:hint="eastAsia"/>
          <w:highlight w:val="none"/>
        </w:rPr>
        <w:t xml:space="preserve">图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图 \* ARABIC \s 1</w:instrText>
      </w:r>
      <w:r>
        <w:rPr>
          <w:highlight w:val="none"/>
        </w:rPr>
        <w:instrText xml:space="preserve"> </w:instrText>
      </w:r>
      <w:r>
        <w:rPr>
          <w:highlight w:val="none"/>
        </w:rPr>
        <w:fldChar w:fldCharType="separate"/>
      </w:r>
      <w:r>
        <w:rPr>
          <w:highlight w:val="none"/>
        </w:rPr>
        <w:t>3</w:t>
      </w:r>
      <w:r>
        <w:rPr>
          <w:highlight w:val="none"/>
        </w:rPr>
        <w:fldChar w:fldCharType="end"/>
      </w:r>
      <w:r>
        <w:rPr>
          <w:rFonts w:hint="eastAsia"/>
          <w:highlight w:val="none"/>
        </w:rPr>
        <w:t xml:space="preserve">  2019-2023年沙溪断面水环境质量变化趋势图</w:t>
      </w:r>
    </w:p>
    <w:p>
      <w:pPr>
        <w:ind w:firstLine="480"/>
        <w:rPr>
          <w:highlight w:val="none"/>
        </w:rPr>
      </w:pPr>
    </w:p>
    <w:tbl>
      <w:tblPr>
        <w:tblStyle w:val="4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01"/>
        <w:gridCol w:w="70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001" w:type="dxa"/>
          </w:tcPr>
          <w:p>
            <w:pPr>
              <w:adjustRightInd w:val="0"/>
              <w:snapToGrid w:val="0"/>
              <w:ind w:firstLine="0" w:firstLineChars="0"/>
              <w:rPr>
                <w:highlight w:val="none"/>
              </w:rPr>
            </w:pPr>
            <w:r>
              <w:rPr>
                <w:highlight w:val="none"/>
              </w:rPr>
              <w:drawing>
                <wp:inline distT="0" distB="0" distL="0" distR="0">
                  <wp:extent cx="4139565" cy="2411730"/>
                  <wp:effectExtent l="0" t="0" r="13335" b="7620"/>
                  <wp:docPr id="124818152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57"/>
              <w:spacing w:after="120"/>
              <w:rPr>
                <w:highlight w:val="none"/>
              </w:rPr>
            </w:pPr>
            <w:r>
              <w:rPr>
                <w:rFonts w:hint="eastAsia"/>
                <w:highlight w:val="none"/>
              </w:rPr>
              <w:t>（1）金银渡省控断面高锰酸盐指数变化趋势图</w:t>
            </w:r>
          </w:p>
        </w:tc>
        <w:tc>
          <w:tcPr>
            <w:tcW w:w="7001" w:type="dxa"/>
          </w:tcPr>
          <w:p>
            <w:pPr>
              <w:adjustRightInd w:val="0"/>
              <w:snapToGrid w:val="0"/>
              <w:ind w:firstLine="0" w:firstLineChars="0"/>
              <w:rPr>
                <w:highlight w:val="none"/>
              </w:rPr>
            </w:pPr>
            <w:r>
              <w:rPr>
                <w:highlight w:val="none"/>
              </w:rPr>
              <w:drawing>
                <wp:inline distT="0" distB="0" distL="0" distR="0">
                  <wp:extent cx="4139565" cy="2411730"/>
                  <wp:effectExtent l="0" t="0" r="13335" b="7620"/>
                  <wp:docPr id="130126060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57"/>
              <w:spacing w:after="120"/>
              <w:rPr>
                <w:highlight w:val="none"/>
              </w:rPr>
            </w:pPr>
            <w:r>
              <w:rPr>
                <w:rFonts w:hint="eastAsia"/>
                <w:highlight w:val="none"/>
              </w:rPr>
              <w:t>（2）金银渡省控断面化学需氧量变化趋势图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01" w:type="dxa"/>
          </w:tcPr>
          <w:p>
            <w:pPr>
              <w:adjustRightInd w:val="0"/>
              <w:snapToGrid w:val="0"/>
              <w:ind w:firstLine="0" w:firstLineChars="0"/>
              <w:rPr>
                <w:highlight w:val="none"/>
              </w:rPr>
            </w:pPr>
            <w:r>
              <w:rPr>
                <w:highlight w:val="none"/>
              </w:rPr>
              <w:drawing>
                <wp:inline distT="0" distB="0" distL="0" distR="0">
                  <wp:extent cx="4139565" cy="2411730"/>
                  <wp:effectExtent l="0" t="0" r="13335" b="7620"/>
                  <wp:docPr id="104290358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57"/>
              <w:spacing w:after="120"/>
              <w:rPr>
                <w:highlight w:val="none"/>
              </w:rPr>
            </w:pPr>
            <w:r>
              <w:rPr>
                <w:rFonts w:hint="eastAsia"/>
                <w:highlight w:val="none"/>
              </w:rPr>
              <w:t>（3）金银渡省控断面氨氮变化趋势图</w:t>
            </w:r>
          </w:p>
        </w:tc>
        <w:tc>
          <w:tcPr>
            <w:tcW w:w="7001" w:type="dxa"/>
          </w:tcPr>
          <w:p>
            <w:pPr>
              <w:adjustRightInd w:val="0"/>
              <w:snapToGrid w:val="0"/>
              <w:ind w:firstLine="0" w:firstLineChars="0"/>
              <w:rPr>
                <w:highlight w:val="none"/>
              </w:rPr>
            </w:pPr>
            <w:r>
              <w:rPr>
                <w:highlight w:val="none"/>
              </w:rPr>
              <w:drawing>
                <wp:inline distT="0" distB="0" distL="0" distR="0">
                  <wp:extent cx="4139565" cy="2411730"/>
                  <wp:effectExtent l="0" t="0" r="13335" b="7620"/>
                  <wp:docPr id="17887121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57"/>
              <w:spacing w:after="120"/>
              <w:rPr>
                <w:highlight w:val="none"/>
              </w:rPr>
            </w:pPr>
            <w:r>
              <w:rPr>
                <w:rFonts w:hint="eastAsia"/>
                <w:highlight w:val="none"/>
              </w:rPr>
              <w:t>（4）金银渡省控断面总磷变化趋势图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01" w:type="dxa"/>
          </w:tcPr>
          <w:p>
            <w:pPr>
              <w:adjustRightInd w:val="0"/>
              <w:snapToGrid w:val="0"/>
              <w:ind w:firstLine="0" w:firstLineChars="0"/>
              <w:rPr>
                <w:highlight w:val="none"/>
              </w:rPr>
            </w:pPr>
            <w:r>
              <w:rPr>
                <w:highlight w:val="none"/>
              </w:rPr>
              <w:drawing>
                <wp:inline distT="0" distB="0" distL="0" distR="0">
                  <wp:extent cx="4139565" cy="2411730"/>
                  <wp:effectExtent l="0" t="0" r="13335" b="7620"/>
                  <wp:docPr id="90811958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57"/>
              <w:spacing w:after="120"/>
              <w:rPr>
                <w:highlight w:val="none"/>
              </w:rPr>
            </w:pPr>
            <w:r>
              <w:rPr>
                <w:rFonts w:hint="eastAsia"/>
                <w:highlight w:val="none"/>
              </w:rPr>
              <w:t>（5）金银渡省控断面总氮变化趋势图</w:t>
            </w:r>
          </w:p>
        </w:tc>
        <w:tc>
          <w:tcPr>
            <w:tcW w:w="7001" w:type="dxa"/>
          </w:tcPr>
          <w:p>
            <w:pPr>
              <w:keepNext/>
              <w:adjustRightInd w:val="0"/>
              <w:snapToGrid w:val="0"/>
              <w:ind w:firstLine="0" w:firstLineChars="0"/>
              <w:rPr>
                <w:highlight w:val="none"/>
              </w:rPr>
            </w:pPr>
            <w:r>
              <w:rPr>
                <w:highlight w:val="none"/>
              </w:rPr>
              <w:drawing>
                <wp:inline distT="0" distB="0" distL="0" distR="0">
                  <wp:extent cx="4139565" cy="2411730"/>
                  <wp:effectExtent l="0" t="0" r="13335" b="7620"/>
                  <wp:docPr id="102891346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57"/>
              <w:spacing w:after="120"/>
              <w:rPr>
                <w:highlight w:val="none"/>
              </w:rPr>
            </w:pPr>
            <w:r>
              <w:rPr>
                <w:rFonts w:hint="eastAsia"/>
                <w:highlight w:val="none"/>
              </w:rPr>
              <w:t>（6）金银渡省控断面五日生化需氧量变化趋势图</w:t>
            </w:r>
          </w:p>
        </w:tc>
      </w:tr>
    </w:tbl>
    <w:p>
      <w:pPr>
        <w:pStyle w:val="13"/>
        <w:rPr>
          <w:highlight w:val="none"/>
        </w:rPr>
      </w:pPr>
      <w:r>
        <w:rPr>
          <w:rFonts w:hint="eastAsia"/>
          <w:highlight w:val="none"/>
        </w:rPr>
        <w:t xml:space="preserve">图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图 \* ARABIC \s 1</w:instrText>
      </w:r>
      <w:r>
        <w:rPr>
          <w:highlight w:val="none"/>
        </w:rPr>
        <w:instrText xml:space="preserve"> </w:instrText>
      </w:r>
      <w:r>
        <w:rPr>
          <w:highlight w:val="none"/>
        </w:rPr>
        <w:fldChar w:fldCharType="separate"/>
      </w:r>
      <w:r>
        <w:rPr>
          <w:highlight w:val="none"/>
        </w:rPr>
        <w:t>4</w:t>
      </w:r>
      <w:r>
        <w:rPr>
          <w:highlight w:val="none"/>
        </w:rPr>
        <w:fldChar w:fldCharType="end"/>
      </w:r>
      <w:r>
        <w:rPr>
          <w:rFonts w:hint="eastAsia"/>
          <w:highlight w:val="none"/>
        </w:rPr>
        <w:t xml:space="preserve">  2021-2023年金银渡断面水环境质量变化趋势图</w:t>
      </w:r>
    </w:p>
    <w:p>
      <w:pPr>
        <w:rPr>
          <w:highlight w:val="none"/>
        </w:rPr>
        <w:sectPr>
          <w:pgSz w:w="16838" w:h="11906" w:orient="landscape"/>
          <w:pgMar w:top="1418" w:right="1418" w:bottom="1418" w:left="1418" w:header="851" w:footer="992" w:gutter="0"/>
          <w:pgNumType w:chapStyle="1"/>
          <w:cols w:space="425" w:num="1"/>
          <w:docGrid w:linePitch="326" w:charSpace="0"/>
        </w:sectPr>
      </w:pP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声环境质量</w:t>
      </w:r>
    </w:p>
    <w:p>
      <w:pPr>
        <w:adjustRightInd w:val="0"/>
        <w:snapToGrid w:val="0"/>
        <w:ind w:firstLine="480"/>
        <w:rPr>
          <w:highlight w:val="none"/>
        </w:rPr>
      </w:pPr>
      <w:r>
        <w:rPr>
          <w:rFonts w:hint="eastAsia"/>
          <w:highlight w:val="none"/>
        </w:rPr>
        <w:t>本次环评重点收集了2019-2023年苍溪县历年环境状况公报，分析评价区域和苍溪县声环境质量变化趋势。</w:t>
      </w:r>
    </w:p>
    <w:p>
      <w:pPr>
        <w:adjustRightInd w:val="0"/>
        <w:snapToGrid w:val="0"/>
        <w:ind w:firstLine="480"/>
        <w:rPr>
          <w:highlight w:val="none"/>
        </w:rPr>
      </w:pPr>
      <w:r>
        <w:rPr>
          <w:rFonts w:hint="eastAsia"/>
          <w:highlight w:val="none"/>
        </w:rPr>
        <w:t>（1）监测点位</w:t>
      </w:r>
    </w:p>
    <w:p>
      <w:pPr>
        <w:adjustRightInd w:val="0"/>
        <w:snapToGrid w:val="0"/>
        <w:ind w:firstLine="480"/>
        <w:rPr>
          <w:highlight w:val="none"/>
        </w:rPr>
      </w:pPr>
      <w:r>
        <w:rPr>
          <w:rFonts w:hint="eastAsia"/>
          <w:highlight w:val="none"/>
        </w:rPr>
        <w:t>2019-2023年度苍溪县进行了功能区声环境监测、道路交通声环境监测、城市区域声环境监测。</w:t>
      </w:r>
    </w:p>
    <w:p>
      <w:pPr>
        <w:pStyle w:val="56"/>
        <w:spacing w:before="120"/>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1</w:instrText>
      </w:r>
      <w:r>
        <w:rPr>
          <w:highlight w:val="none"/>
        </w:rPr>
        <w:instrText xml:space="preserve"> </w:instrText>
      </w:r>
      <w:r>
        <w:rPr>
          <w:highlight w:val="none"/>
        </w:rPr>
        <w:fldChar w:fldCharType="separate"/>
      </w:r>
      <w:r>
        <w:rPr>
          <w:highlight w:val="none"/>
        </w:rPr>
        <w:t>5</w:t>
      </w:r>
      <w:r>
        <w:rPr>
          <w:highlight w:val="none"/>
        </w:rPr>
        <w:fldChar w:fldCharType="end"/>
      </w:r>
      <w:r>
        <w:rPr>
          <w:rFonts w:hint="eastAsia"/>
          <w:highlight w:val="none"/>
        </w:rPr>
        <w:t xml:space="preserve">  苍溪县声环境监测点位个数</w:t>
      </w:r>
    </w:p>
    <w:tbl>
      <w:tblPr>
        <w:tblStyle w:val="4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65" w:type="dxa"/>
            <w:vMerge w:val="restart"/>
            <w:vAlign w:val="center"/>
          </w:tcPr>
          <w:p>
            <w:pPr>
              <w:pStyle w:val="58"/>
              <w:rPr>
                <w:rFonts w:eastAsia="宋体" w:cs="Times New Roman"/>
                <w:highlight w:val="none"/>
              </w:rPr>
            </w:pPr>
            <w:r>
              <w:rPr>
                <w:rFonts w:eastAsia="宋体" w:cs="Times New Roman"/>
                <w:highlight w:val="none"/>
              </w:rPr>
              <w:t>年份</w:t>
            </w:r>
          </w:p>
        </w:tc>
        <w:tc>
          <w:tcPr>
            <w:tcW w:w="6795" w:type="dxa"/>
            <w:gridSpan w:val="3"/>
            <w:vAlign w:val="center"/>
          </w:tcPr>
          <w:p>
            <w:pPr>
              <w:pStyle w:val="58"/>
              <w:rPr>
                <w:rFonts w:eastAsia="宋体" w:cs="Times New Roman"/>
                <w:highlight w:val="none"/>
              </w:rPr>
            </w:pPr>
            <w:r>
              <w:rPr>
                <w:rFonts w:eastAsia="宋体" w:cs="Times New Roman"/>
                <w:highlight w:val="none"/>
              </w:rPr>
              <w:t>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65" w:type="dxa"/>
            <w:vMerge w:val="continue"/>
            <w:vAlign w:val="center"/>
          </w:tcPr>
          <w:p>
            <w:pPr>
              <w:pStyle w:val="58"/>
              <w:rPr>
                <w:rFonts w:eastAsia="宋体" w:cs="Times New Roman"/>
                <w:highlight w:val="none"/>
              </w:rPr>
            </w:pPr>
          </w:p>
        </w:tc>
        <w:tc>
          <w:tcPr>
            <w:tcW w:w="2265" w:type="dxa"/>
            <w:vAlign w:val="center"/>
          </w:tcPr>
          <w:p>
            <w:pPr>
              <w:pStyle w:val="58"/>
              <w:rPr>
                <w:rFonts w:eastAsia="宋体" w:cs="Times New Roman"/>
                <w:highlight w:val="none"/>
              </w:rPr>
            </w:pPr>
            <w:r>
              <w:rPr>
                <w:rFonts w:eastAsia="宋体" w:cs="Times New Roman"/>
                <w:highlight w:val="none"/>
              </w:rPr>
              <w:t>功能区</w:t>
            </w:r>
          </w:p>
        </w:tc>
        <w:tc>
          <w:tcPr>
            <w:tcW w:w="2265" w:type="dxa"/>
            <w:vAlign w:val="center"/>
          </w:tcPr>
          <w:p>
            <w:pPr>
              <w:pStyle w:val="58"/>
              <w:rPr>
                <w:rFonts w:eastAsia="宋体" w:cs="Times New Roman"/>
                <w:highlight w:val="none"/>
              </w:rPr>
            </w:pPr>
            <w:r>
              <w:rPr>
                <w:rFonts w:eastAsia="宋体" w:cs="Times New Roman"/>
                <w:highlight w:val="none"/>
              </w:rPr>
              <w:t>交通</w:t>
            </w:r>
          </w:p>
        </w:tc>
        <w:tc>
          <w:tcPr>
            <w:tcW w:w="2265" w:type="dxa"/>
            <w:vAlign w:val="center"/>
          </w:tcPr>
          <w:p>
            <w:pPr>
              <w:pStyle w:val="58"/>
              <w:rPr>
                <w:rFonts w:eastAsia="宋体" w:cs="Times New Roman"/>
                <w:highlight w:val="none"/>
              </w:rPr>
            </w:pPr>
            <w:r>
              <w:rPr>
                <w:rFonts w:eastAsia="宋体" w:cs="Times New Roman"/>
                <w:highlight w:val="none"/>
              </w:rPr>
              <w:t>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pPr>
              <w:pStyle w:val="58"/>
              <w:rPr>
                <w:rFonts w:eastAsia="宋体" w:cs="Times New Roman"/>
                <w:highlight w:val="none"/>
              </w:rPr>
            </w:pPr>
            <w:r>
              <w:rPr>
                <w:rFonts w:eastAsia="宋体" w:cs="Times New Roman"/>
                <w:highlight w:val="none"/>
              </w:rPr>
              <w:t>2019年-2021年</w:t>
            </w:r>
          </w:p>
        </w:tc>
        <w:tc>
          <w:tcPr>
            <w:tcW w:w="2265" w:type="dxa"/>
            <w:shd w:val="clear" w:color="auto" w:fill="auto"/>
            <w:vAlign w:val="center"/>
          </w:tcPr>
          <w:p>
            <w:pPr>
              <w:pStyle w:val="58"/>
              <w:rPr>
                <w:rFonts w:eastAsia="宋体" w:cs="Times New Roman"/>
                <w:highlight w:val="none"/>
              </w:rPr>
            </w:pPr>
            <w:r>
              <w:rPr>
                <w:rFonts w:eastAsia="宋体" w:cs="Times New Roman"/>
                <w:highlight w:val="none"/>
              </w:rPr>
              <w:t>4</w:t>
            </w:r>
          </w:p>
        </w:tc>
        <w:tc>
          <w:tcPr>
            <w:tcW w:w="2265" w:type="dxa"/>
            <w:shd w:val="clear" w:color="auto" w:fill="auto"/>
            <w:vAlign w:val="center"/>
          </w:tcPr>
          <w:p>
            <w:pPr>
              <w:pStyle w:val="58"/>
              <w:rPr>
                <w:rFonts w:eastAsia="宋体" w:cs="Times New Roman"/>
                <w:highlight w:val="none"/>
              </w:rPr>
            </w:pPr>
            <w:r>
              <w:rPr>
                <w:rFonts w:eastAsia="宋体" w:cs="Times New Roman"/>
                <w:highlight w:val="none"/>
              </w:rPr>
              <w:t>6</w:t>
            </w:r>
          </w:p>
        </w:tc>
        <w:tc>
          <w:tcPr>
            <w:tcW w:w="2265" w:type="dxa"/>
            <w:shd w:val="clear" w:color="auto" w:fill="auto"/>
            <w:vAlign w:val="center"/>
          </w:tcPr>
          <w:p>
            <w:pPr>
              <w:pStyle w:val="58"/>
              <w:rPr>
                <w:rFonts w:eastAsia="宋体" w:cs="Times New Roman"/>
                <w:highlight w:val="none"/>
              </w:rPr>
            </w:pPr>
            <w:r>
              <w:rPr>
                <w:rFonts w:eastAsia="宋体" w:cs="Times New Roman"/>
                <w:highlight w:val="none"/>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pPr>
              <w:pStyle w:val="58"/>
              <w:rPr>
                <w:rFonts w:eastAsia="宋体" w:cs="Times New Roman"/>
                <w:highlight w:val="none"/>
              </w:rPr>
            </w:pPr>
            <w:r>
              <w:rPr>
                <w:rFonts w:eastAsia="宋体" w:cs="Times New Roman"/>
                <w:highlight w:val="none"/>
              </w:rPr>
              <w:t>2022年</w:t>
            </w:r>
          </w:p>
        </w:tc>
        <w:tc>
          <w:tcPr>
            <w:tcW w:w="2265" w:type="dxa"/>
            <w:shd w:val="clear" w:color="auto" w:fill="auto"/>
            <w:vAlign w:val="center"/>
          </w:tcPr>
          <w:p>
            <w:pPr>
              <w:pStyle w:val="58"/>
              <w:rPr>
                <w:rFonts w:eastAsia="宋体" w:cs="Times New Roman"/>
                <w:highlight w:val="none"/>
              </w:rPr>
            </w:pPr>
            <w:r>
              <w:rPr>
                <w:rFonts w:eastAsia="宋体" w:cs="Times New Roman"/>
                <w:highlight w:val="none"/>
              </w:rPr>
              <w:t>8</w:t>
            </w:r>
          </w:p>
        </w:tc>
        <w:tc>
          <w:tcPr>
            <w:tcW w:w="2265" w:type="dxa"/>
            <w:shd w:val="clear" w:color="auto" w:fill="auto"/>
            <w:vAlign w:val="center"/>
          </w:tcPr>
          <w:p>
            <w:pPr>
              <w:pStyle w:val="58"/>
              <w:rPr>
                <w:rFonts w:eastAsia="宋体" w:cs="Times New Roman"/>
                <w:highlight w:val="none"/>
              </w:rPr>
            </w:pPr>
            <w:r>
              <w:rPr>
                <w:rFonts w:eastAsia="宋体" w:cs="Times New Roman"/>
                <w:highlight w:val="none"/>
              </w:rPr>
              <w:t>6</w:t>
            </w:r>
          </w:p>
        </w:tc>
        <w:tc>
          <w:tcPr>
            <w:tcW w:w="2265" w:type="dxa"/>
            <w:shd w:val="clear" w:color="auto" w:fill="auto"/>
            <w:vAlign w:val="center"/>
          </w:tcPr>
          <w:p>
            <w:pPr>
              <w:pStyle w:val="58"/>
              <w:rPr>
                <w:rFonts w:eastAsia="宋体" w:cs="Times New Roman"/>
                <w:highlight w:val="none"/>
              </w:rPr>
            </w:pPr>
            <w:r>
              <w:rPr>
                <w:rFonts w:eastAsia="宋体" w:cs="Times New Roman"/>
                <w:highlight w:val="none"/>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pPr>
              <w:pStyle w:val="58"/>
              <w:rPr>
                <w:rFonts w:eastAsia="宋体" w:cs="Times New Roman"/>
                <w:highlight w:val="none"/>
              </w:rPr>
            </w:pPr>
            <w:r>
              <w:rPr>
                <w:rFonts w:eastAsia="宋体" w:cs="Times New Roman"/>
                <w:highlight w:val="none"/>
              </w:rPr>
              <w:t>2023年</w:t>
            </w:r>
          </w:p>
        </w:tc>
        <w:tc>
          <w:tcPr>
            <w:tcW w:w="2265" w:type="dxa"/>
            <w:shd w:val="clear" w:color="auto" w:fill="auto"/>
            <w:vAlign w:val="center"/>
          </w:tcPr>
          <w:p>
            <w:pPr>
              <w:pStyle w:val="58"/>
              <w:rPr>
                <w:rFonts w:eastAsia="宋体" w:cs="Times New Roman"/>
                <w:highlight w:val="none"/>
              </w:rPr>
            </w:pPr>
            <w:r>
              <w:rPr>
                <w:rFonts w:eastAsia="宋体" w:cs="Times New Roman"/>
                <w:highlight w:val="none"/>
              </w:rPr>
              <w:t>7</w:t>
            </w:r>
          </w:p>
        </w:tc>
        <w:tc>
          <w:tcPr>
            <w:tcW w:w="2265" w:type="dxa"/>
            <w:shd w:val="clear" w:color="auto" w:fill="auto"/>
            <w:vAlign w:val="center"/>
          </w:tcPr>
          <w:p>
            <w:pPr>
              <w:pStyle w:val="58"/>
              <w:rPr>
                <w:rFonts w:eastAsia="宋体" w:cs="Times New Roman"/>
                <w:highlight w:val="none"/>
              </w:rPr>
            </w:pPr>
            <w:r>
              <w:rPr>
                <w:rFonts w:eastAsia="宋体" w:cs="Times New Roman"/>
                <w:highlight w:val="none"/>
              </w:rPr>
              <w:t>22</w:t>
            </w:r>
          </w:p>
        </w:tc>
        <w:tc>
          <w:tcPr>
            <w:tcW w:w="2265" w:type="dxa"/>
            <w:shd w:val="clear" w:color="auto" w:fill="auto"/>
            <w:vAlign w:val="center"/>
          </w:tcPr>
          <w:p>
            <w:pPr>
              <w:pStyle w:val="58"/>
              <w:rPr>
                <w:rFonts w:eastAsia="宋体" w:cs="Times New Roman"/>
                <w:highlight w:val="none"/>
              </w:rPr>
            </w:pPr>
            <w:r>
              <w:rPr>
                <w:rFonts w:eastAsia="宋体" w:cs="Times New Roman"/>
                <w:highlight w:val="none"/>
              </w:rPr>
              <w:t>105</w:t>
            </w:r>
          </w:p>
        </w:tc>
      </w:tr>
    </w:tbl>
    <w:p>
      <w:pPr>
        <w:adjustRightInd w:val="0"/>
        <w:snapToGrid w:val="0"/>
        <w:ind w:firstLine="480"/>
        <w:rPr>
          <w:highlight w:val="none"/>
        </w:rPr>
      </w:pPr>
      <w:r>
        <w:rPr>
          <w:rFonts w:hint="eastAsia"/>
          <w:highlight w:val="none"/>
        </w:rPr>
        <w:t>（2）监测频次</w:t>
      </w:r>
    </w:p>
    <w:p>
      <w:pPr>
        <w:adjustRightInd w:val="0"/>
        <w:snapToGrid w:val="0"/>
        <w:ind w:firstLine="480"/>
        <w:rPr>
          <w:highlight w:val="none"/>
        </w:rPr>
      </w:pPr>
      <w:r>
        <w:rPr>
          <w:rFonts w:hint="eastAsia"/>
          <w:highlight w:val="none"/>
        </w:rPr>
        <w:t>功能区噪声：每季监测一次，全年监测四次；</w:t>
      </w:r>
    </w:p>
    <w:p>
      <w:pPr>
        <w:adjustRightInd w:val="0"/>
        <w:snapToGrid w:val="0"/>
        <w:ind w:firstLine="480"/>
        <w:rPr>
          <w:highlight w:val="none"/>
        </w:rPr>
      </w:pPr>
      <w:r>
        <w:rPr>
          <w:rFonts w:hint="eastAsia"/>
          <w:highlight w:val="none"/>
        </w:rPr>
        <w:t>道路交通噪声：全年监测一次；</w:t>
      </w:r>
    </w:p>
    <w:p>
      <w:pPr>
        <w:adjustRightInd w:val="0"/>
        <w:snapToGrid w:val="0"/>
        <w:ind w:firstLine="480"/>
        <w:rPr>
          <w:highlight w:val="none"/>
        </w:rPr>
      </w:pPr>
      <w:r>
        <w:rPr>
          <w:rFonts w:hint="eastAsia"/>
          <w:highlight w:val="none"/>
        </w:rPr>
        <w:t>区域环境噪声：全年监测一次。</w:t>
      </w:r>
    </w:p>
    <w:p>
      <w:pPr>
        <w:adjustRightInd w:val="0"/>
        <w:snapToGrid w:val="0"/>
        <w:ind w:firstLine="480"/>
        <w:rPr>
          <w:highlight w:val="none"/>
        </w:rPr>
      </w:pPr>
      <w:r>
        <w:rPr>
          <w:rFonts w:hint="eastAsia"/>
          <w:highlight w:val="none"/>
        </w:rPr>
        <w:t>（3）例行监测结果</w:t>
      </w:r>
    </w:p>
    <w:p>
      <w:pPr>
        <w:adjustRightInd w:val="0"/>
        <w:snapToGrid w:val="0"/>
        <w:ind w:firstLine="482"/>
        <w:rPr>
          <w:highlight w:val="none"/>
        </w:rPr>
      </w:pPr>
      <w:r>
        <w:rPr>
          <w:rFonts w:hint="eastAsia"/>
          <w:b/>
          <w:bCs/>
          <w:highlight w:val="none"/>
        </w:rPr>
        <w:t>总体达标情况：</w:t>
      </w:r>
      <w:r>
        <w:rPr>
          <w:rFonts w:hint="eastAsia"/>
          <w:highlight w:val="none"/>
        </w:rPr>
        <w:t>苍溪县各功能区域均满足《声环境质量标准》（GB3096-2008）相应功能区标准；2019-2023年，苍溪县道路交通监测值昼间平均等效声级≦68.0 dB(A)，夜间平均等效声级≦58.0 dB(A)，按照《环境噪声监测技术规范城市声环境常规监测》（HJ 640-2012）评价，等级为一级；近5年，苍溪县城市区域昼间平均等效声级位于50.1~55.0 dB(A)之间，夜间平均等效声级位于40.1~45.0 dB(A)之间，按照《环境噪声监测技术规范城市声环境常规监测》（HJ 640-2012）评价，等级为二级。</w:t>
      </w:r>
    </w:p>
    <w:p>
      <w:pPr>
        <w:keepNext/>
        <w:keepLines/>
        <w:widowControl w:val="0"/>
        <w:numPr>
          <w:ilvl w:val="1"/>
          <w:numId w:val="9"/>
        </w:numPr>
        <w:spacing w:line="480" w:lineRule="auto"/>
        <w:ind w:left="576" w:hanging="576" w:firstLineChars="0"/>
        <w:jc w:val="both"/>
        <w:outlineLvl w:val="1"/>
        <w:rPr>
          <w:rFonts w:ascii="Times New Roman" w:hAnsi="Times New Roman" w:eastAsia="黑体" w:cs="Times New Roman"/>
          <w:bCs/>
          <w:kern w:val="2"/>
          <w:sz w:val="32"/>
          <w:szCs w:val="32"/>
          <w:highlight w:val="none"/>
          <w:lang w:val="en-US" w:eastAsia="zh-CN" w:bidi="ar-SA"/>
        </w:rPr>
      </w:pPr>
      <w:bookmarkStart w:id="29" w:name="_Toc145434609"/>
      <w:r>
        <w:rPr>
          <w:rFonts w:hint="eastAsia" w:ascii="Times New Roman" w:hAnsi="Times New Roman" w:eastAsia="黑体" w:cs="Times New Roman"/>
          <w:bCs/>
          <w:kern w:val="2"/>
          <w:sz w:val="32"/>
          <w:szCs w:val="32"/>
          <w:highlight w:val="none"/>
          <w:lang w:val="en-US" w:eastAsia="zh-CN" w:bidi="ar-SA"/>
        </w:rPr>
        <w:t>现状问题和制约因素分析及对策措施</w:t>
      </w:r>
      <w:bookmarkEnd w:id="29"/>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现状问题</w:t>
      </w:r>
    </w:p>
    <w:p>
      <w:pPr>
        <w:ind w:firstLine="480"/>
        <w:rPr>
          <w:rFonts w:eastAsia="宋体" w:cs="Times New Roman"/>
          <w:highlight w:val="none"/>
        </w:rPr>
      </w:pPr>
      <w:r>
        <w:rPr>
          <w:rFonts w:hint="eastAsia" w:eastAsia="宋体" w:cs="Times New Roman"/>
          <w:highlight w:val="none"/>
        </w:rPr>
        <w:t>目前区域为自然农村环境，区域环境质量较好，无现状环境问题。</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kern w:val="2"/>
          <w:sz w:val="28"/>
          <w:szCs w:val="32"/>
          <w:highlight w:val="none"/>
          <w:lang w:val="en-US" w:eastAsia="zh-CN" w:bidi="ar-SA"/>
        </w:rPr>
      </w:pPr>
      <w:r>
        <w:rPr>
          <w:rFonts w:hint="eastAsia" w:ascii="Times New Roman" w:hAnsi="Times New Roman" w:eastAsia="黑体" w:cs="Times New Roman"/>
          <w:bCs/>
          <w:kern w:val="2"/>
          <w:sz w:val="28"/>
          <w:szCs w:val="32"/>
          <w:highlight w:val="none"/>
          <w:lang w:val="en-US" w:eastAsia="zh-CN" w:bidi="ar-SA"/>
        </w:rPr>
        <w:t>制约因素分析</w:t>
      </w:r>
    </w:p>
    <w:p>
      <w:pPr>
        <w:ind w:firstLine="480"/>
        <w:rPr>
          <w:rFonts w:eastAsia="宋体" w:cs="Times New Roman"/>
          <w:highlight w:val="none"/>
        </w:rPr>
      </w:pPr>
      <w:r>
        <w:rPr>
          <w:rFonts w:hint="eastAsia" w:eastAsia="宋体" w:cs="Times New Roman"/>
          <w:highlight w:val="none"/>
        </w:rPr>
        <w:t>本次选址区域为自然原始风貌，属于农村环境，基础设施不完善。本次规划主导产业对用气、用电要求高，且规划主导产业对外环境具有一定影响。园区规划发展过程中存在的环境制约因素问题，主要体现在如下几个方面。</w:t>
      </w:r>
    </w:p>
    <w:p>
      <w:pPr>
        <w:ind w:firstLine="482"/>
        <w:rPr>
          <w:rFonts w:eastAsia="宋体" w:cs="Times New Roman"/>
          <w:b/>
          <w:bCs/>
          <w:highlight w:val="none"/>
        </w:rPr>
      </w:pPr>
      <w:r>
        <w:rPr>
          <w:rFonts w:hint="eastAsia" w:eastAsia="宋体" w:cs="Times New Roman"/>
          <w:b/>
          <w:bCs/>
          <w:highlight w:val="none"/>
        </w:rPr>
        <w:t>1、规划区用地紧张，对产业发展形成制约</w:t>
      </w:r>
    </w:p>
    <w:p>
      <w:pPr>
        <w:ind w:firstLine="480"/>
        <w:rPr>
          <w:rFonts w:hint="eastAsia" w:eastAsia="宋体" w:cs="Times New Roman"/>
          <w:highlight w:val="none"/>
        </w:rPr>
      </w:pPr>
      <w:r>
        <w:rPr>
          <w:rFonts w:hint="eastAsia" w:eastAsia="宋体" w:cs="Times New Roman"/>
          <w:highlight w:val="none"/>
        </w:rPr>
        <w:t>百利工业园规划面积714.26公顷，规划范围北至镇江村老君堂接赵家山片区，东至嘉陵江岸线范围以内，南至嘉陵江元山子沟口，西至兰海高速西侧。受控于“三区三线”要求，本次以国土空间中城镇开发区范围内1</w:t>
      </w:r>
      <w:r>
        <w:rPr>
          <w:rFonts w:eastAsia="宋体" w:cs="Times New Roman"/>
          <w:highlight w:val="none"/>
        </w:rPr>
        <w:t>36.63公顷</w:t>
      </w:r>
      <w:r>
        <w:rPr>
          <w:rFonts w:hint="eastAsia" w:eastAsia="宋体" w:cs="Times New Roman"/>
          <w:highlight w:val="none"/>
        </w:rPr>
        <w:t>进行</w:t>
      </w:r>
      <w:r>
        <w:rPr>
          <w:rFonts w:eastAsia="宋体" w:cs="Times New Roman"/>
          <w:highlight w:val="none"/>
        </w:rPr>
        <w:t>城镇化改造</w:t>
      </w:r>
      <w:r>
        <w:rPr>
          <w:rFonts w:hint="eastAsia" w:eastAsia="宋体" w:cs="Times New Roman"/>
          <w:highlight w:val="none"/>
        </w:rPr>
        <w:t>，建设</w:t>
      </w:r>
      <w:r>
        <w:rPr>
          <w:rFonts w:eastAsia="宋体" w:cs="Times New Roman"/>
          <w:highlight w:val="none"/>
        </w:rPr>
        <w:t>“百利工业园先期启动区”。规划区域内地块较为分散，本次主导产业上下游关系紧密，对用地规模有一定需求，规划范围内部分用地为已建胡家梁社区，适宜工业开发的用地紧缺，对产业发展形成制约。</w:t>
      </w:r>
    </w:p>
    <w:p>
      <w:pPr>
        <w:ind w:firstLine="482"/>
        <w:rPr>
          <w:rFonts w:eastAsia="宋体" w:cs="Times New Roman"/>
          <w:highlight w:val="none"/>
        </w:rPr>
      </w:pPr>
      <w:r>
        <w:rPr>
          <w:rFonts w:hint="eastAsia" w:eastAsia="宋体" w:cs="Times New Roman"/>
          <w:b/>
          <w:bCs/>
          <w:highlight w:val="none"/>
        </w:rPr>
        <w:t>对策措施：</w:t>
      </w:r>
      <w:r>
        <w:rPr>
          <w:rFonts w:hint="eastAsia" w:eastAsia="宋体" w:cs="Times New Roman"/>
          <w:highlight w:val="none"/>
        </w:rPr>
        <w:t>保留现状胡家梁社区居住区，并控制与周边工业项目距离，控制工业发展规模。</w:t>
      </w:r>
    </w:p>
    <w:p>
      <w:pPr>
        <w:ind w:firstLine="482"/>
        <w:rPr>
          <w:rFonts w:eastAsia="宋体" w:cs="Times New Roman"/>
          <w:b/>
          <w:bCs/>
          <w:highlight w:val="none"/>
        </w:rPr>
      </w:pPr>
      <w:bookmarkStart w:id="30" w:name="_Hlk123908624"/>
      <w:r>
        <w:rPr>
          <w:rFonts w:hint="eastAsia" w:eastAsia="宋体" w:cs="Times New Roman"/>
          <w:b/>
          <w:bCs/>
          <w:highlight w:val="none"/>
        </w:rPr>
        <w:t>2、基础设施建设欠完善，对规划实施形成制约。</w:t>
      </w:r>
    </w:p>
    <w:p>
      <w:pPr>
        <w:ind w:firstLine="480"/>
        <w:rPr>
          <w:rFonts w:eastAsia="宋体" w:cs="Times New Roman"/>
          <w:highlight w:val="none"/>
        </w:rPr>
      </w:pPr>
      <w:r>
        <w:rPr>
          <w:rFonts w:hint="eastAsia" w:eastAsia="宋体" w:cs="Times New Roman"/>
          <w:highlight w:val="none"/>
        </w:rPr>
        <w:t>本次规划范围内暂无集中式供水工程，无工业集中式污水处理厂。规划主导产业对燃气需求较高，需配套建设燃气管网。</w:t>
      </w:r>
    </w:p>
    <w:p>
      <w:pPr>
        <w:ind w:firstLine="482"/>
        <w:rPr>
          <w:rFonts w:eastAsia="宋体" w:cs="Times New Roman"/>
          <w:b/>
          <w:bCs/>
          <w:highlight w:val="none"/>
        </w:rPr>
      </w:pPr>
      <w:r>
        <w:rPr>
          <w:rFonts w:hint="eastAsia" w:eastAsia="宋体" w:cs="Times New Roman"/>
          <w:b/>
          <w:bCs/>
          <w:highlight w:val="none"/>
        </w:rPr>
        <w:t>对策措施：</w:t>
      </w:r>
      <w:r>
        <w:rPr>
          <w:rFonts w:hint="eastAsia" w:eastAsia="宋体" w:cs="Times New Roman"/>
          <w:highlight w:val="none"/>
        </w:rPr>
        <w:t>加快百利新城污水处理厂改造工作，完善规划区能源供应基础设施。</w:t>
      </w:r>
    </w:p>
    <w:bookmarkEnd w:id="30"/>
    <w:p>
      <w:pPr>
        <w:ind w:firstLine="480"/>
        <w:rPr>
          <w:rFonts w:hint="eastAsia" w:eastAsia="宋体" w:cs="Times New Roman"/>
          <w:highlight w:val="none"/>
        </w:rPr>
      </w:pPr>
    </w:p>
    <w:p>
      <w:pPr>
        <w:rPr>
          <w:highlight w:val="none"/>
        </w:rPr>
        <w:sectPr>
          <w:pgSz w:w="11906" w:h="16838"/>
          <w:pgMar w:top="1440" w:right="1080" w:bottom="1440" w:left="1080" w:header="851" w:footer="992" w:gutter="0"/>
          <w:cols w:space="720" w:num="1"/>
          <w:docGrid w:type="lines" w:linePitch="326" w:charSpace="0"/>
        </w:sectPr>
      </w:pPr>
    </w:p>
    <w:p>
      <w:pPr>
        <w:widowControl/>
        <w:spacing w:line="240" w:lineRule="auto"/>
        <w:ind w:firstLine="0" w:firstLineChars="0"/>
        <w:jc w:val="left"/>
        <w:rPr>
          <w:highlight w:val="none"/>
        </w:rPr>
      </w:pPr>
      <w:r>
        <w:rPr>
          <w:highlight w:val="none"/>
        </w:rPr>
        <w:br w:type="page"/>
      </w:r>
    </w:p>
    <w:p>
      <w:pPr>
        <w:adjustRightInd w:val="0"/>
        <w:snapToGrid w:val="0"/>
        <w:ind w:firstLine="480"/>
        <w:rPr>
          <w:highlight w:val="none"/>
        </w:rPr>
        <w:sectPr>
          <w:pgSz w:w="11906" w:h="16838"/>
          <w:pgMar w:top="1418" w:right="1418" w:bottom="1418" w:left="1418" w:header="851" w:footer="992" w:gutter="0"/>
          <w:pgNumType w:chapStyle="1"/>
          <w:cols w:space="425" w:num="1"/>
          <w:docGrid w:linePitch="326" w:charSpace="0"/>
        </w:sectPr>
      </w:pPr>
    </w:p>
    <w:p>
      <w:pPr>
        <w:pStyle w:val="13"/>
        <w:keepNext/>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1</w:instrText>
      </w:r>
      <w:r>
        <w:rPr>
          <w:highlight w:val="none"/>
        </w:rPr>
        <w:instrText xml:space="preserve"> </w:instrText>
      </w:r>
      <w:r>
        <w:rPr>
          <w:highlight w:val="none"/>
        </w:rPr>
        <w:fldChar w:fldCharType="separate"/>
      </w:r>
      <w:r>
        <w:rPr>
          <w:highlight w:val="none"/>
        </w:rPr>
        <w:t>6</w:t>
      </w:r>
      <w:r>
        <w:rPr>
          <w:highlight w:val="none"/>
        </w:rPr>
        <w:fldChar w:fldCharType="end"/>
      </w:r>
      <w:r>
        <w:rPr>
          <w:rFonts w:hint="eastAsia"/>
          <w:highlight w:val="none"/>
        </w:rPr>
        <w:t xml:space="preserve">  声环境例行监测数据统          单位：dB(A)</w:t>
      </w:r>
    </w:p>
    <w:tbl>
      <w:tblPr>
        <w:tblStyle w:val="39"/>
        <w:tblW w:w="137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701"/>
        <w:gridCol w:w="1701"/>
        <w:gridCol w:w="1275"/>
        <w:gridCol w:w="1560"/>
        <w:gridCol w:w="1417"/>
        <w:gridCol w:w="1559"/>
        <w:gridCol w:w="993"/>
        <w:gridCol w:w="992"/>
        <w:gridCol w:w="1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8" w:type="dxa"/>
            <w:vMerge w:val="restart"/>
            <w:shd w:val="clear" w:color="auto" w:fill="auto"/>
            <w:noWrap/>
            <w:vAlign w:val="center"/>
          </w:tcPr>
          <w:p>
            <w:pPr>
              <w:pStyle w:val="58"/>
              <w:rPr>
                <w:rFonts w:eastAsia="宋体" w:cs="Times New Roman"/>
                <w:highlight w:val="none"/>
              </w:rPr>
            </w:pPr>
            <w:r>
              <w:rPr>
                <w:rFonts w:eastAsia="宋体" w:cs="Times New Roman"/>
                <w:highlight w:val="none"/>
              </w:rPr>
              <w:t>序号</w:t>
            </w:r>
          </w:p>
        </w:tc>
        <w:tc>
          <w:tcPr>
            <w:tcW w:w="3402" w:type="dxa"/>
            <w:gridSpan w:val="2"/>
            <w:vMerge w:val="restart"/>
            <w:shd w:val="clear" w:color="auto" w:fill="auto"/>
            <w:noWrap/>
            <w:vAlign w:val="center"/>
          </w:tcPr>
          <w:p>
            <w:pPr>
              <w:pStyle w:val="58"/>
              <w:rPr>
                <w:rFonts w:eastAsia="宋体" w:cs="Times New Roman"/>
                <w:highlight w:val="none"/>
              </w:rPr>
            </w:pPr>
            <w:r>
              <w:rPr>
                <w:rFonts w:eastAsia="宋体" w:cs="Times New Roman"/>
                <w:highlight w:val="none"/>
              </w:rPr>
              <w:t>类型</w:t>
            </w:r>
          </w:p>
        </w:tc>
        <w:tc>
          <w:tcPr>
            <w:tcW w:w="1275" w:type="dxa"/>
            <w:vMerge w:val="restart"/>
            <w:shd w:val="clear" w:color="auto" w:fill="auto"/>
            <w:noWrap/>
            <w:vAlign w:val="center"/>
          </w:tcPr>
          <w:p>
            <w:pPr>
              <w:pStyle w:val="58"/>
              <w:rPr>
                <w:rFonts w:eastAsia="宋体" w:cs="Times New Roman"/>
                <w:highlight w:val="none"/>
              </w:rPr>
            </w:pPr>
            <w:r>
              <w:rPr>
                <w:rFonts w:eastAsia="宋体" w:cs="Times New Roman"/>
                <w:highlight w:val="none"/>
              </w:rPr>
              <w:t>年份</w:t>
            </w:r>
          </w:p>
        </w:tc>
        <w:tc>
          <w:tcPr>
            <w:tcW w:w="2977" w:type="dxa"/>
            <w:gridSpan w:val="2"/>
            <w:shd w:val="clear" w:color="auto" w:fill="auto"/>
            <w:noWrap/>
            <w:vAlign w:val="center"/>
          </w:tcPr>
          <w:p>
            <w:pPr>
              <w:pStyle w:val="58"/>
              <w:rPr>
                <w:rFonts w:eastAsia="宋体" w:cs="Times New Roman"/>
                <w:highlight w:val="none"/>
              </w:rPr>
            </w:pPr>
            <w:r>
              <w:rPr>
                <w:rFonts w:eastAsia="宋体" w:cs="Times New Roman"/>
                <w:highlight w:val="none"/>
              </w:rPr>
              <w:t>全年平均等效声级（dB（A））</w:t>
            </w:r>
          </w:p>
        </w:tc>
        <w:tc>
          <w:tcPr>
            <w:tcW w:w="3544" w:type="dxa"/>
            <w:gridSpan w:val="3"/>
            <w:shd w:val="clear" w:color="auto" w:fill="auto"/>
            <w:noWrap/>
            <w:vAlign w:val="center"/>
          </w:tcPr>
          <w:p>
            <w:pPr>
              <w:pStyle w:val="58"/>
              <w:rPr>
                <w:rFonts w:eastAsia="宋体" w:cs="Times New Roman"/>
                <w:highlight w:val="none"/>
              </w:rPr>
            </w:pPr>
            <w:r>
              <w:rPr>
                <w:rFonts w:eastAsia="宋体" w:cs="Times New Roman"/>
                <w:highlight w:val="none"/>
              </w:rPr>
              <w:t>评价标准</w:t>
            </w:r>
          </w:p>
        </w:tc>
        <w:tc>
          <w:tcPr>
            <w:tcW w:w="1559" w:type="dxa"/>
            <w:vMerge w:val="restart"/>
            <w:shd w:val="clear" w:color="auto" w:fill="auto"/>
            <w:noWrap/>
            <w:vAlign w:val="center"/>
          </w:tcPr>
          <w:p>
            <w:pPr>
              <w:pStyle w:val="58"/>
              <w:rPr>
                <w:rFonts w:eastAsia="宋体" w:cs="Times New Roman"/>
                <w:highlight w:val="none"/>
              </w:rPr>
            </w:pPr>
            <w:r>
              <w:rPr>
                <w:rFonts w:eastAsia="宋体" w:cs="Times New Roman"/>
                <w:highlight w:val="none"/>
              </w:rPr>
              <w:t>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78" w:type="dxa"/>
            <w:vMerge w:val="continue"/>
            <w:vAlign w:val="center"/>
          </w:tcPr>
          <w:p>
            <w:pPr>
              <w:pStyle w:val="58"/>
              <w:rPr>
                <w:rFonts w:eastAsia="宋体" w:cs="Times New Roman"/>
                <w:highlight w:val="none"/>
              </w:rPr>
            </w:pPr>
          </w:p>
        </w:tc>
        <w:tc>
          <w:tcPr>
            <w:tcW w:w="3402" w:type="dxa"/>
            <w:gridSpan w:val="2"/>
            <w:vMerge w:val="continue"/>
            <w:vAlign w:val="center"/>
          </w:tcPr>
          <w:p>
            <w:pPr>
              <w:pStyle w:val="58"/>
              <w:rPr>
                <w:rFonts w:eastAsia="宋体" w:cs="Times New Roman"/>
                <w:highlight w:val="none"/>
              </w:rPr>
            </w:pPr>
          </w:p>
        </w:tc>
        <w:tc>
          <w:tcPr>
            <w:tcW w:w="1275" w:type="dxa"/>
            <w:vMerge w:val="continue"/>
            <w:vAlign w:val="center"/>
          </w:tcPr>
          <w:p>
            <w:pPr>
              <w:pStyle w:val="58"/>
              <w:rPr>
                <w:rFonts w:eastAsia="宋体" w:cs="Times New Roman"/>
                <w:highlight w:val="none"/>
              </w:rPr>
            </w:pP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昼间</w:t>
            </w:r>
          </w:p>
        </w:tc>
        <w:tc>
          <w:tcPr>
            <w:tcW w:w="1417" w:type="dxa"/>
            <w:shd w:val="clear" w:color="auto" w:fill="auto"/>
            <w:noWrap/>
            <w:vAlign w:val="center"/>
          </w:tcPr>
          <w:p>
            <w:pPr>
              <w:pStyle w:val="58"/>
              <w:rPr>
                <w:rFonts w:eastAsia="宋体" w:cs="Times New Roman"/>
                <w:highlight w:val="none"/>
              </w:rPr>
            </w:pPr>
            <w:r>
              <w:rPr>
                <w:rFonts w:eastAsia="宋体" w:cs="Times New Roman"/>
                <w:highlight w:val="none"/>
              </w:rPr>
              <w:t>夜间</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声环境功能区</w:t>
            </w:r>
          </w:p>
        </w:tc>
        <w:tc>
          <w:tcPr>
            <w:tcW w:w="993" w:type="dxa"/>
            <w:shd w:val="clear" w:color="auto" w:fill="auto"/>
            <w:noWrap/>
            <w:vAlign w:val="center"/>
          </w:tcPr>
          <w:p>
            <w:pPr>
              <w:pStyle w:val="58"/>
              <w:rPr>
                <w:rFonts w:eastAsia="宋体" w:cs="Times New Roman"/>
                <w:highlight w:val="none"/>
              </w:rPr>
            </w:pPr>
            <w:r>
              <w:rPr>
                <w:rFonts w:eastAsia="宋体" w:cs="Times New Roman"/>
                <w:highlight w:val="none"/>
              </w:rPr>
              <w:t>昼间</w:t>
            </w:r>
          </w:p>
        </w:tc>
        <w:tc>
          <w:tcPr>
            <w:tcW w:w="992" w:type="dxa"/>
            <w:shd w:val="clear" w:color="auto" w:fill="auto"/>
            <w:noWrap/>
            <w:vAlign w:val="center"/>
          </w:tcPr>
          <w:p>
            <w:pPr>
              <w:pStyle w:val="58"/>
              <w:rPr>
                <w:rFonts w:eastAsia="宋体" w:cs="Times New Roman"/>
                <w:highlight w:val="none"/>
              </w:rPr>
            </w:pPr>
            <w:r>
              <w:rPr>
                <w:rFonts w:eastAsia="宋体" w:cs="Times New Roman"/>
                <w:highlight w:val="none"/>
              </w:rPr>
              <w:t>夜间</w:t>
            </w:r>
          </w:p>
        </w:tc>
        <w:tc>
          <w:tcPr>
            <w:tcW w:w="1559" w:type="dxa"/>
            <w:vMerge w:val="continue"/>
            <w:vAlign w:val="center"/>
          </w:tcPr>
          <w:p>
            <w:pPr>
              <w:pStyle w:val="58"/>
              <w:rPr>
                <w:rFonts w:eastAsia="宋体"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78" w:type="dxa"/>
            <w:vMerge w:val="restart"/>
            <w:shd w:val="clear" w:color="auto" w:fill="auto"/>
            <w:noWrap/>
            <w:vAlign w:val="center"/>
          </w:tcPr>
          <w:p>
            <w:pPr>
              <w:pStyle w:val="58"/>
              <w:rPr>
                <w:rFonts w:eastAsia="宋体" w:cs="Times New Roman"/>
                <w:highlight w:val="none"/>
              </w:rPr>
            </w:pPr>
            <w:r>
              <w:rPr>
                <w:rFonts w:eastAsia="宋体" w:cs="Times New Roman"/>
                <w:highlight w:val="none"/>
              </w:rPr>
              <w:t>1</w:t>
            </w:r>
          </w:p>
        </w:tc>
        <w:tc>
          <w:tcPr>
            <w:tcW w:w="1701" w:type="dxa"/>
            <w:vMerge w:val="restart"/>
            <w:shd w:val="clear" w:color="auto" w:fill="auto"/>
            <w:vAlign w:val="center"/>
          </w:tcPr>
          <w:p>
            <w:pPr>
              <w:pStyle w:val="58"/>
              <w:rPr>
                <w:rFonts w:eastAsia="宋体" w:cs="Times New Roman"/>
                <w:highlight w:val="none"/>
              </w:rPr>
            </w:pPr>
            <w:r>
              <w:rPr>
                <w:rFonts w:eastAsia="宋体" w:cs="Times New Roman"/>
                <w:highlight w:val="none"/>
              </w:rPr>
              <w:t>功能区声环境</w:t>
            </w:r>
          </w:p>
        </w:tc>
        <w:tc>
          <w:tcPr>
            <w:tcW w:w="1701" w:type="dxa"/>
            <w:vMerge w:val="restart"/>
            <w:shd w:val="clear" w:color="auto" w:fill="auto"/>
            <w:vAlign w:val="center"/>
          </w:tcPr>
          <w:p>
            <w:pPr>
              <w:pStyle w:val="58"/>
              <w:rPr>
                <w:rFonts w:eastAsia="宋体" w:cs="Times New Roman"/>
                <w:highlight w:val="none"/>
              </w:rPr>
            </w:pPr>
            <w:r>
              <w:rPr>
                <w:rFonts w:eastAsia="宋体" w:cs="Times New Roman"/>
                <w:highlight w:val="none"/>
              </w:rPr>
              <w:t>居住、文教（一类区）</w:t>
            </w: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2019年</w:t>
            </w: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47.2</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37.6</w:t>
            </w:r>
          </w:p>
        </w:tc>
        <w:tc>
          <w:tcPr>
            <w:tcW w:w="1559" w:type="dxa"/>
            <w:vMerge w:val="restart"/>
            <w:shd w:val="clear" w:color="auto" w:fill="auto"/>
            <w:noWrap/>
            <w:vAlign w:val="center"/>
          </w:tcPr>
          <w:p>
            <w:pPr>
              <w:pStyle w:val="58"/>
              <w:rPr>
                <w:rFonts w:eastAsia="宋体" w:cs="Times New Roman"/>
                <w:highlight w:val="none"/>
              </w:rPr>
            </w:pPr>
            <w:r>
              <w:rPr>
                <w:rFonts w:eastAsia="宋体" w:cs="Times New Roman"/>
                <w:highlight w:val="none"/>
              </w:rPr>
              <w:t>1类</w:t>
            </w:r>
          </w:p>
        </w:tc>
        <w:tc>
          <w:tcPr>
            <w:tcW w:w="993" w:type="dxa"/>
            <w:vMerge w:val="restart"/>
            <w:shd w:val="clear" w:color="000000" w:fill="FFFFFF"/>
            <w:vAlign w:val="center"/>
          </w:tcPr>
          <w:p>
            <w:pPr>
              <w:pStyle w:val="58"/>
              <w:rPr>
                <w:rFonts w:eastAsia="宋体" w:cs="Times New Roman"/>
                <w:szCs w:val="24"/>
                <w:highlight w:val="none"/>
              </w:rPr>
            </w:pPr>
            <w:r>
              <w:rPr>
                <w:rFonts w:eastAsia="宋体" w:cs="Times New Roman"/>
                <w:szCs w:val="24"/>
                <w:highlight w:val="none"/>
              </w:rPr>
              <w:t>55</w:t>
            </w:r>
          </w:p>
        </w:tc>
        <w:tc>
          <w:tcPr>
            <w:tcW w:w="992" w:type="dxa"/>
            <w:vMerge w:val="restart"/>
            <w:shd w:val="clear" w:color="000000" w:fill="FFFFFF"/>
            <w:vAlign w:val="center"/>
          </w:tcPr>
          <w:p>
            <w:pPr>
              <w:pStyle w:val="58"/>
              <w:rPr>
                <w:rFonts w:eastAsia="宋体" w:cs="Times New Roman"/>
                <w:szCs w:val="24"/>
                <w:highlight w:val="none"/>
              </w:rPr>
            </w:pPr>
            <w:r>
              <w:rPr>
                <w:rFonts w:eastAsia="宋体" w:cs="Times New Roman"/>
                <w:szCs w:val="24"/>
                <w:highlight w:val="none"/>
              </w:rPr>
              <w:t>45</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2020年</w:t>
            </w: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47.4</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39.5</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2021年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45.8</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39.4</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2022年</w:t>
            </w: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47.3</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36.8</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2023年</w:t>
            </w: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45.0</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37.2</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restart"/>
            <w:shd w:val="clear" w:color="auto" w:fill="auto"/>
            <w:noWrap/>
            <w:vAlign w:val="center"/>
          </w:tcPr>
          <w:p>
            <w:pPr>
              <w:pStyle w:val="58"/>
              <w:rPr>
                <w:rFonts w:eastAsia="宋体" w:cs="Times New Roman"/>
                <w:highlight w:val="none"/>
              </w:rPr>
            </w:pPr>
            <w:r>
              <w:rPr>
                <w:rFonts w:eastAsia="宋体" w:cs="Times New Roman"/>
                <w:highlight w:val="none"/>
              </w:rPr>
              <w:t>2</w:t>
            </w:r>
          </w:p>
        </w:tc>
        <w:tc>
          <w:tcPr>
            <w:tcW w:w="1701" w:type="dxa"/>
            <w:vMerge w:val="continue"/>
            <w:vAlign w:val="center"/>
          </w:tcPr>
          <w:p>
            <w:pPr>
              <w:pStyle w:val="58"/>
              <w:rPr>
                <w:rFonts w:eastAsia="宋体" w:cs="Times New Roman"/>
                <w:highlight w:val="none"/>
              </w:rPr>
            </w:pPr>
          </w:p>
        </w:tc>
        <w:tc>
          <w:tcPr>
            <w:tcW w:w="1701" w:type="dxa"/>
            <w:vMerge w:val="restart"/>
            <w:shd w:val="clear" w:color="auto" w:fill="auto"/>
            <w:vAlign w:val="center"/>
          </w:tcPr>
          <w:p>
            <w:pPr>
              <w:pStyle w:val="58"/>
              <w:rPr>
                <w:rFonts w:eastAsia="宋体" w:cs="Times New Roman"/>
                <w:highlight w:val="none"/>
              </w:rPr>
            </w:pPr>
            <w:r>
              <w:rPr>
                <w:rFonts w:eastAsia="宋体" w:cs="Times New Roman"/>
                <w:highlight w:val="none"/>
              </w:rPr>
              <w:t>商、住混合（二类区）</w:t>
            </w: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2019年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55.8</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46.7</w:t>
            </w:r>
          </w:p>
        </w:tc>
        <w:tc>
          <w:tcPr>
            <w:tcW w:w="1559" w:type="dxa"/>
            <w:vMerge w:val="restart"/>
            <w:shd w:val="clear" w:color="auto" w:fill="auto"/>
            <w:noWrap/>
            <w:vAlign w:val="center"/>
          </w:tcPr>
          <w:p>
            <w:pPr>
              <w:pStyle w:val="58"/>
              <w:rPr>
                <w:rFonts w:eastAsia="宋体" w:cs="Times New Roman"/>
                <w:highlight w:val="none"/>
              </w:rPr>
            </w:pPr>
            <w:r>
              <w:rPr>
                <w:rFonts w:eastAsia="宋体" w:cs="Times New Roman"/>
                <w:highlight w:val="none"/>
              </w:rPr>
              <w:t>2类</w:t>
            </w:r>
          </w:p>
        </w:tc>
        <w:tc>
          <w:tcPr>
            <w:tcW w:w="993" w:type="dxa"/>
            <w:vMerge w:val="restart"/>
            <w:shd w:val="clear" w:color="000000" w:fill="FFFFFF"/>
            <w:vAlign w:val="center"/>
          </w:tcPr>
          <w:p>
            <w:pPr>
              <w:pStyle w:val="58"/>
              <w:rPr>
                <w:rFonts w:eastAsia="宋体" w:cs="Times New Roman"/>
                <w:szCs w:val="24"/>
                <w:highlight w:val="none"/>
              </w:rPr>
            </w:pPr>
            <w:r>
              <w:rPr>
                <w:rFonts w:eastAsia="宋体" w:cs="Times New Roman"/>
                <w:szCs w:val="24"/>
                <w:highlight w:val="none"/>
              </w:rPr>
              <w:t>60</w:t>
            </w:r>
          </w:p>
        </w:tc>
        <w:tc>
          <w:tcPr>
            <w:tcW w:w="992" w:type="dxa"/>
            <w:vMerge w:val="restart"/>
            <w:shd w:val="clear" w:color="000000" w:fill="FFFFFF"/>
            <w:vAlign w:val="center"/>
          </w:tcPr>
          <w:p>
            <w:pPr>
              <w:pStyle w:val="58"/>
              <w:rPr>
                <w:rFonts w:eastAsia="宋体" w:cs="Times New Roman"/>
                <w:szCs w:val="24"/>
                <w:highlight w:val="none"/>
              </w:rPr>
            </w:pPr>
            <w:r>
              <w:rPr>
                <w:rFonts w:eastAsia="宋体" w:cs="Times New Roman"/>
                <w:szCs w:val="24"/>
                <w:highlight w:val="none"/>
              </w:rPr>
              <w:t>50</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2020年</w:t>
            </w: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54.6</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45</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2021年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53.7</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44.7</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2022年</w:t>
            </w: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53.7</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40.8</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2023年</w:t>
            </w: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54.7</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45.8</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restart"/>
            <w:shd w:val="clear" w:color="auto" w:fill="auto"/>
            <w:noWrap/>
            <w:vAlign w:val="center"/>
          </w:tcPr>
          <w:p>
            <w:pPr>
              <w:pStyle w:val="58"/>
              <w:rPr>
                <w:rFonts w:eastAsia="宋体" w:cs="Times New Roman"/>
                <w:highlight w:val="none"/>
              </w:rPr>
            </w:pPr>
            <w:r>
              <w:rPr>
                <w:rFonts w:eastAsia="宋体" w:cs="Times New Roman"/>
                <w:highlight w:val="none"/>
              </w:rPr>
              <w:t>3</w:t>
            </w:r>
          </w:p>
        </w:tc>
        <w:tc>
          <w:tcPr>
            <w:tcW w:w="1701" w:type="dxa"/>
            <w:vMerge w:val="continue"/>
            <w:vAlign w:val="center"/>
          </w:tcPr>
          <w:p>
            <w:pPr>
              <w:pStyle w:val="58"/>
              <w:rPr>
                <w:rFonts w:eastAsia="宋体" w:cs="Times New Roman"/>
                <w:highlight w:val="none"/>
              </w:rPr>
            </w:pPr>
          </w:p>
        </w:tc>
        <w:tc>
          <w:tcPr>
            <w:tcW w:w="1701" w:type="dxa"/>
            <w:vMerge w:val="restart"/>
            <w:shd w:val="clear" w:color="auto" w:fill="auto"/>
            <w:vAlign w:val="center"/>
          </w:tcPr>
          <w:p>
            <w:pPr>
              <w:pStyle w:val="58"/>
              <w:rPr>
                <w:rFonts w:eastAsia="宋体" w:cs="Times New Roman"/>
                <w:highlight w:val="none"/>
              </w:rPr>
            </w:pPr>
            <w:r>
              <w:rPr>
                <w:rFonts w:eastAsia="宋体" w:cs="Times New Roman"/>
                <w:highlight w:val="none"/>
              </w:rPr>
              <w:t>工业区（三类区）</w:t>
            </w: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2019年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59.2</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50.6</w:t>
            </w:r>
          </w:p>
        </w:tc>
        <w:tc>
          <w:tcPr>
            <w:tcW w:w="1559" w:type="dxa"/>
            <w:vMerge w:val="restart"/>
            <w:shd w:val="clear" w:color="auto" w:fill="auto"/>
            <w:noWrap/>
            <w:vAlign w:val="center"/>
          </w:tcPr>
          <w:p>
            <w:pPr>
              <w:pStyle w:val="58"/>
              <w:rPr>
                <w:rFonts w:eastAsia="宋体" w:cs="Times New Roman"/>
                <w:highlight w:val="none"/>
              </w:rPr>
            </w:pPr>
            <w:r>
              <w:rPr>
                <w:rFonts w:eastAsia="宋体" w:cs="Times New Roman"/>
                <w:highlight w:val="none"/>
              </w:rPr>
              <w:t>3类</w:t>
            </w:r>
          </w:p>
        </w:tc>
        <w:tc>
          <w:tcPr>
            <w:tcW w:w="993" w:type="dxa"/>
            <w:vMerge w:val="restart"/>
            <w:shd w:val="clear" w:color="000000" w:fill="FFFFFF"/>
            <w:vAlign w:val="center"/>
          </w:tcPr>
          <w:p>
            <w:pPr>
              <w:pStyle w:val="58"/>
              <w:rPr>
                <w:rFonts w:eastAsia="宋体" w:cs="Times New Roman"/>
                <w:szCs w:val="24"/>
                <w:highlight w:val="none"/>
              </w:rPr>
            </w:pPr>
            <w:r>
              <w:rPr>
                <w:rFonts w:eastAsia="宋体" w:cs="Times New Roman"/>
                <w:szCs w:val="24"/>
                <w:highlight w:val="none"/>
              </w:rPr>
              <w:t>65</w:t>
            </w:r>
          </w:p>
        </w:tc>
        <w:tc>
          <w:tcPr>
            <w:tcW w:w="992" w:type="dxa"/>
            <w:vMerge w:val="restart"/>
            <w:shd w:val="clear" w:color="000000" w:fill="FFFFFF"/>
            <w:vAlign w:val="center"/>
          </w:tcPr>
          <w:p>
            <w:pPr>
              <w:pStyle w:val="58"/>
              <w:rPr>
                <w:rFonts w:eastAsia="宋体" w:cs="Times New Roman"/>
                <w:szCs w:val="24"/>
                <w:highlight w:val="none"/>
              </w:rPr>
            </w:pPr>
            <w:r>
              <w:rPr>
                <w:rFonts w:eastAsia="宋体" w:cs="Times New Roman"/>
                <w:szCs w:val="24"/>
                <w:highlight w:val="none"/>
              </w:rPr>
              <w:t>55</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2020年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58</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49.4</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2021年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58.4</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49.4</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2022年</w:t>
            </w: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56.9</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48.1</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2023年</w:t>
            </w: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58.7</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50.1</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restart"/>
            <w:shd w:val="clear" w:color="auto" w:fill="auto"/>
            <w:noWrap/>
            <w:vAlign w:val="center"/>
          </w:tcPr>
          <w:p>
            <w:pPr>
              <w:pStyle w:val="58"/>
              <w:rPr>
                <w:rFonts w:eastAsia="宋体" w:cs="Times New Roman"/>
                <w:highlight w:val="none"/>
              </w:rPr>
            </w:pPr>
            <w:r>
              <w:rPr>
                <w:rFonts w:eastAsia="宋体" w:cs="Times New Roman"/>
                <w:highlight w:val="none"/>
              </w:rPr>
              <w:t>4</w:t>
            </w:r>
          </w:p>
        </w:tc>
        <w:tc>
          <w:tcPr>
            <w:tcW w:w="1701" w:type="dxa"/>
            <w:vMerge w:val="continue"/>
            <w:vAlign w:val="center"/>
          </w:tcPr>
          <w:p>
            <w:pPr>
              <w:pStyle w:val="58"/>
              <w:rPr>
                <w:rFonts w:eastAsia="宋体" w:cs="Times New Roman"/>
                <w:highlight w:val="none"/>
              </w:rPr>
            </w:pPr>
          </w:p>
        </w:tc>
        <w:tc>
          <w:tcPr>
            <w:tcW w:w="1701" w:type="dxa"/>
            <w:vMerge w:val="restart"/>
            <w:shd w:val="clear" w:color="auto" w:fill="auto"/>
            <w:vAlign w:val="center"/>
          </w:tcPr>
          <w:p>
            <w:pPr>
              <w:pStyle w:val="58"/>
              <w:rPr>
                <w:rFonts w:eastAsia="宋体" w:cs="Times New Roman"/>
                <w:highlight w:val="none"/>
              </w:rPr>
            </w:pPr>
            <w:r>
              <w:rPr>
                <w:rFonts w:eastAsia="宋体" w:cs="Times New Roman"/>
                <w:highlight w:val="none"/>
              </w:rPr>
              <w:t>交通干线道路两侧区（四类区）</w:t>
            </w: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2019年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62</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52.9</w:t>
            </w:r>
          </w:p>
        </w:tc>
        <w:tc>
          <w:tcPr>
            <w:tcW w:w="1559" w:type="dxa"/>
            <w:vMerge w:val="restart"/>
            <w:shd w:val="clear" w:color="auto" w:fill="auto"/>
            <w:noWrap/>
            <w:vAlign w:val="center"/>
          </w:tcPr>
          <w:p>
            <w:pPr>
              <w:pStyle w:val="58"/>
              <w:rPr>
                <w:rFonts w:eastAsia="宋体" w:cs="Times New Roman"/>
                <w:highlight w:val="none"/>
              </w:rPr>
            </w:pPr>
            <w:r>
              <w:rPr>
                <w:rFonts w:eastAsia="宋体" w:cs="Times New Roman"/>
                <w:highlight w:val="none"/>
              </w:rPr>
              <w:t>4a类</w:t>
            </w:r>
          </w:p>
        </w:tc>
        <w:tc>
          <w:tcPr>
            <w:tcW w:w="993" w:type="dxa"/>
            <w:vMerge w:val="restart"/>
            <w:shd w:val="clear" w:color="000000" w:fill="FFFFFF"/>
            <w:vAlign w:val="center"/>
          </w:tcPr>
          <w:p>
            <w:pPr>
              <w:pStyle w:val="58"/>
              <w:rPr>
                <w:rFonts w:eastAsia="宋体" w:cs="Times New Roman"/>
                <w:szCs w:val="24"/>
                <w:highlight w:val="none"/>
              </w:rPr>
            </w:pPr>
            <w:r>
              <w:rPr>
                <w:rFonts w:eastAsia="宋体" w:cs="Times New Roman"/>
                <w:szCs w:val="24"/>
                <w:highlight w:val="none"/>
              </w:rPr>
              <w:t>70</w:t>
            </w:r>
          </w:p>
        </w:tc>
        <w:tc>
          <w:tcPr>
            <w:tcW w:w="992" w:type="dxa"/>
            <w:vMerge w:val="restart"/>
            <w:shd w:val="clear" w:color="000000" w:fill="FFFFFF"/>
            <w:vAlign w:val="center"/>
          </w:tcPr>
          <w:p>
            <w:pPr>
              <w:pStyle w:val="58"/>
              <w:rPr>
                <w:rFonts w:eastAsia="宋体" w:cs="Times New Roman"/>
                <w:szCs w:val="24"/>
                <w:highlight w:val="none"/>
              </w:rPr>
            </w:pPr>
            <w:r>
              <w:rPr>
                <w:rFonts w:eastAsia="宋体" w:cs="Times New Roman"/>
                <w:szCs w:val="24"/>
                <w:highlight w:val="none"/>
              </w:rPr>
              <w:t>55</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2020年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61.8</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51.4</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2021年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61.3</w:t>
            </w:r>
          </w:p>
        </w:tc>
        <w:tc>
          <w:tcPr>
            <w:tcW w:w="1417"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51.6</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2022年</w:t>
            </w: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61.4</w:t>
            </w:r>
          </w:p>
        </w:tc>
        <w:tc>
          <w:tcPr>
            <w:tcW w:w="1417" w:type="dxa"/>
            <w:shd w:val="clear" w:color="auto" w:fill="auto"/>
            <w:noWrap/>
            <w:vAlign w:val="center"/>
          </w:tcPr>
          <w:p>
            <w:pPr>
              <w:pStyle w:val="58"/>
              <w:rPr>
                <w:rFonts w:eastAsia="宋体" w:cs="Times New Roman"/>
                <w:highlight w:val="none"/>
              </w:rPr>
            </w:pPr>
            <w:r>
              <w:rPr>
                <w:rFonts w:eastAsia="宋体" w:cs="Times New Roman"/>
                <w:highlight w:val="none"/>
              </w:rPr>
              <w:t>51.6</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2023年</w:t>
            </w: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60.4</w:t>
            </w:r>
          </w:p>
        </w:tc>
        <w:tc>
          <w:tcPr>
            <w:tcW w:w="1417" w:type="dxa"/>
            <w:shd w:val="clear" w:color="auto" w:fill="auto"/>
            <w:noWrap/>
            <w:vAlign w:val="center"/>
          </w:tcPr>
          <w:p>
            <w:pPr>
              <w:pStyle w:val="58"/>
              <w:rPr>
                <w:rFonts w:eastAsia="宋体" w:cs="Times New Roman"/>
                <w:highlight w:val="none"/>
              </w:rPr>
            </w:pPr>
            <w:r>
              <w:rPr>
                <w:rFonts w:eastAsia="宋体" w:cs="Times New Roman"/>
                <w:highlight w:val="none"/>
              </w:rPr>
              <w:t>51.2</w:t>
            </w:r>
          </w:p>
        </w:tc>
        <w:tc>
          <w:tcPr>
            <w:tcW w:w="1559" w:type="dxa"/>
            <w:vMerge w:val="continue"/>
            <w:vAlign w:val="center"/>
          </w:tcPr>
          <w:p>
            <w:pPr>
              <w:pStyle w:val="58"/>
              <w:rPr>
                <w:rFonts w:eastAsia="宋体" w:cs="Times New Roman"/>
                <w:highlight w:val="none"/>
              </w:rPr>
            </w:pPr>
          </w:p>
        </w:tc>
        <w:tc>
          <w:tcPr>
            <w:tcW w:w="993" w:type="dxa"/>
            <w:vMerge w:val="continue"/>
            <w:vAlign w:val="center"/>
          </w:tcPr>
          <w:p>
            <w:pPr>
              <w:pStyle w:val="58"/>
              <w:rPr>
                <w:rFonts w:eastAsia="宋体" w:cs="Times New Roman"/>
                <w:szCs w:val="24"/>
                <w:highlight w:val="none"/>
              </w:rPr>
            </w:pPr>
          </w:p>
        </w:tc>
        <w:tc>
          <w:tcPr>
            <w:tcW w:w="992" w:type="dxa"/>
            <w:vMerge w:val="continue"/>
            <w:vAlign w:val="center"/>
          </w:tcPr>
          <w:p>
            <w:pPr>
              <w:pStyle w:val="58"/>
              <w:rPr>
                <w:rFonts w:eastAsia="宋体" w:cs="Times New Roman"/>
                <w:szCs w:val="24"/>
                <w:highlight w:val="none"/>
              </w:rPr>
            </w:pP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8" w:type="dxa"/>
            <w:vMerge w:val="restart"/>
            <w:shd w:val="clear" w:color="auto" w:fill="auto"/>
            <w:noWrap/>
            <w:vAlign w:val="center"/>
          </w:tcPr>
          <w:p>
            <w:pPr>
              <w:pStyle w:val="58"/>
              <w:rPr>
                <w:rFonts w:eastAsia="宋体" w:cs="Times New Roman"/>
                <w:highlight w:val="none"/>
              </w:rPr>
            </w:pPr>
            <w:r>
              <w:rPr>
                <w:rFonts w:eastAsia="宋体" w:cs="Times New Roman"/>
                <w:highlight w:val="none"/>
              </w:rPr>
              <w:t>5</w:t>
            </w:r>
          </w:p>
        </w:tc>
        <w:tc>
          <w:tcPr>
            <w:tcW w:w="1701" w:type="dxa"/>
            <w:vMerge w:val="restart"/>
            <w:shd w:val="clear" w:color="auto" w:fill="auto"/>
            <w:noWrap/>
            <w:vAlign w:val="center"/>
          </w:tcPr>
          <w:p>
            <w:pPr>
              <w:pStyle w:val="58"/>
              <w:rPr>
                <w:rFonts w:eastAsia="宋体" w:cs="Times New Roman"/>
                <w:highlight w:val="none"/>
              </w:rPr>
            </w:pPr>
            <w:r>
              <w:rPr>
                <w:rFonts w:eastAsia="宋体" w:cs="Times New Roman"/>
                <w:highlight w:val="none"/>
              </w:rPr>
              <w:t>苍溪县</w:t>
            </w:r>
          </w:p>
        </w:tc>
        <w:tc>
          <w:tcPr>
            <w:tcW w:w="1701" w:type="dxa"/>
            <w:vMerge w:val="restart"/>
            <w:shd w:val="clear" w:color="auto" w:fill="auto"/>
            <w:vAlign w:val="center"/>
          </w:tcPr>
          <w:p>
            <w:pPr>
              <w:pStyle w:val="58"/>
              <w:rPr>
                <w:rFonts w:eastAsia="宋体" w:cs="Times New Roman"/>
                <w:highlight w:val="none"/>
              </w:rPr>
            </w:pPr>
            <w:r>
              <w:rPr>
                <w:rFonts w:eastAsia="宋体" w:cs="Times New Roman"/>
                <w:highlight w:val="none"/>
              </w:rPr>
              <w:t>道路交通声环境监测</w:t>
            </w: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2019年</w:t>
            </w: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63.9</w:t>
            </w:r>
          </w:p>
        </w:tc>
        <w:tc>
          <w:tcPr>
            <w:tcW w:w="1417"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3"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2"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一级-好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2020年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66.2</w:t>
            </w:r>
          </w:p>
        </w:tc>
        <w:tc>
          <w:tcPr>
            <w:tcW w:w="1417"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3"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2"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一级-好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2021年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66.5</w:t>
            </w:r>
          </w:p>
        </w:tc>
        <w:tc>
          <w:tcPr>
            <w:tcW w:w="1417"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3"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2"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一级-好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2022年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66.1</w:t>
            </w:r>
          </w:p>
        </w:tc>
        <w:tc>
          <w:tcPr>
            <w:tcW w:w="1417"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3"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2"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一级-好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2023年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64.7</w:t>
            </w:r>
          </w:p>
        </w:tc>
        <w:tc>
          <w:tcPr>
            <w:tcW w:w="1417" w:type="dxa"/>
            <w:shd w:val="clear" w:color="auto" w:fill="auto"/>
            <w:noWrap/>
            <w:vAlign w:val="center"/>
          </w:tcPr>
          <w:p>
            <w:pPr>
              <w:pStyle w:val="58"/>
              <w:rPr>
                <w:rFonts w:eastAsia="宋体" w:cs="Times New Roman"/>
                <w:highlight w:val="none"/>
              </w:rPr>
            </w:pPr>
            <w:r>
              <w:rPr>
                <w:rFonts w:eastAsia="宋体" w:cs="Times New Roman"/>
                <w:highlight w:val="none"/>
              </w:rPr>
              <w:t>52.3</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3"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2"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一级-好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8" w:type="dxa"/>
            <w:vMerge w:val="restart"/>
            <w:shd w:val="clear" w:color="auto" w:fill="auto"/>
            <w:noWrap/>
            <w:vAlign w:val="center"/>
          </w:tcPr>
          <w:p>
            <w:pPr>
              <w:pStyle w:val="58"/>
              <w:rPr>
                <w:rFonts w:eastAsia="宋体" w:cs="Times New Roman"/>
                <w:highlight w:val="none"/>
              </w:rPr>
            </w:pPr>
            <w:r>
              <w:rPr>
                <w:rFonts w:eastAsia="宋体" w:cs="Times New Roman"/>
                <w:highlight w:val="none"/>
              </w:rPr>
              <w:t>6</w:t>
            </w:r>
          </w:p>
        </w:tc>
        <w:tc>
          <w:tcPr>
            <w:tcW w:w="1701" w:type="dxa"/>
            <w:vMerge w:val="restart"/>
            <w:shd w:val="clear" w:color="auto" w:fill="auto"/>
            <w:noWrap/>
            <w:vAlign w:val="center"/>
          </w:tcPr>
          <w:p>
            <w:pPr>
              <w:pStyle w:val="58"/>
              <w:rPr>
                <w:rFonts w:eastAsia="宋体" w:cs="Times New Roman"/>
                <w:highlight w:val="none"/>
              </w:rPr>
            </w:pPr>
            <w:r>
              <w:rPr>
                <w:rFonts w:eastAsia="宋体" w:cs="Times New Roman"/>
                <w:highlight w:val="none"/>
              </w:rPr>
              <w:t>苍溪县</w:t>
            </w:r>
          </w:p>
        </w:tc>
        <w:tc>
          <w:tcPr>
            <w:tcW w:w="1701" w:type="dxa"/>
            <w:vMerge w:val="restart"/>
            <w:shd w:val="clear" w:color="auto" w:fill="auto"/>
            <w:vAlign w:val="center"/>
          </w:tcPr>
          <w:p>
            <w:pPr>
              <w:pStyle w:val="58"/>
              <w:rPr>
                <w:rFonts w:eastAsia="宋体" w:cs="Times New Roman"/>
                <w:highlight w:val="none"/>
              </w:rPr>
            </w:pPr>
            <w:r>
              <w:rPr>
                <w:rFonts w:eastAsia="宋体" w:cs="Times New Roman"/>
                <w:highlight w:val="none"/>
              </w:rPr>
              <w:t>城市区域声环境</w:t>
            </w: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2019年</w:t>
            </w:r>
          </w:p>
        </w:tc>
        <w:tc>
          <w:tcPr>
            <w:tcW w:w="1560" w:type="dxa"/>
            <w:shd w:val="clear" w:color="auto" w:fill="auto"/>
            <w:noWrap/>
            <w:vAlign w:val="center"/>
          </w:tcPr>
          <w:p>
            <w:pPr>
              <w:pStyle w:val="58"/>
              <w:rPr>
                <w:rFonts w:eastAsia="宋体" w:cs="Times New Roman"/>
                <w:highlight w:val="none"/>
              </w:rPr>
            </w:pPr>
            <w:r>
              <w:rPr>
                <w:rFonts w:eastAsia="宋体" w:cs="Times New Roman"/>
                <w:highlight w:val="none"/>
              </w:rPr>
              <w:t>51.8</w:t>
            </w:r>
          </w:p>
        </w:tc>
        <w:tc>
          <w:tcPr>
            <w:tcW w:w="1417"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3"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2"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二级-较好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2020年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54.4</w:t>
            </w:r>
          </w:p>
        </w:tc>
        <w:tc>
          <w:tcPr>
            <w:tcW w:w="1417"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3"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2"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二级-较好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2021年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53.7</w:t>
            </w:r>
          </w:p>
        </w:tc>
        <w:tc>
          <w:tcPr>
            <w:tcW w:w="1417"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3"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2"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二级-较好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2022年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53.7</w:t>
            </w:r>
          </w:p>
        </w:tc>
        <w:tc>
          <w:tcPr>
            <w:tcW w:w="1417"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3"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2"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二级-较好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78"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701" w:type="dxa"/>
            <w:vMerge w:val="continue"/>
            <w:vAlign w:val="center"/>
          </w:tcPr>
          <w:p>
            <w:pPr>
              <w:pStyle w:val="58"/>
              <w:rPr>
                <w:rFonts w:eastAsia="宋体" w:cs="Times New Roman"/>
                <w:highlight w:val="none"/>
              </w:rPr>
            </w:pPr>
          </w:p>
        </w:tc>
        <w:tc>
          <w:tcPr>
            <w:tcW w:w="1275" w:type="dxa"/>
            <w:shd w:val="clear" w:color="auto" w:fill="auto"/>
            <w:noWrap/>
            <w:vAlign w:val="center"/>
          </w:tcPr>
          <w:p>
            <w:pPr>
              <w:pStyle w:val="58"/>
              <w:rPr>
                <w:rFonts w:eastAsia="宋体" w:cs="Times New Roman"/>
                <w:highlight w:val="none"/>
              </w:rPr>
            </w:pPr>
            <w:r>
              <w:rPr>
                <w:rFonts w:eastAsia="宋体" w:cs="Times New Roman"/>
                <w:highlight w:val="none"/>
              </w:rPr>
              <w:t>2023年</w:t>
            </w:r>
          </w:p>
        </w:tc>
        <w:tc>
          <w:tcPr>
            <w:tcW w:w="1560" w:type="dxa"/>
            <w:shd w:val="clear" w:color="auto" w:fill="auto"/>
            <w:noWrap/>
            <w:vAlign w:val="center"/>
          </w:tcPr>
          <w:p>
            <w:pPr>
              <w:pStyle w:val="58"/>
              <w:rPr>
                <w:rFonts w:eastAsia="宋体" w:cs="Times New Roman"/>
                <w:szCs w:val="24"/>
                <w:highlight w:val="none"/>
              </w:rPr>
            </w:pPr>
            <w:r>
              <w:rPr>
                <w:rFonts w:eastAsia="宋体" w:cs="Times New Roman"/>
                <w:szCs w:val="24"/>
                <w:highlight w:val="none"/>
              </w:rPr>
              <w:t>54</w:t>
            </w:r>
          </w:p>
        </w:tc>
        <w:tc>
          <w:tcPr>
            <w:tcW w:w="1417" w:type="dxa"/>
            <w:shd w:val="clear" w:color="auto" w:fill="auto"/>
            <w:noWrap/>
            <w:vAlign w:val="center"/>
          </w:tcPr>
          <w:p>
            <w:pPr>
              <w:pStyle w:val="58"/>
              <w:rPr>
                <w:rFonts w:eastAsia="宋体" w:cs="Times New Roman"/>
                <w:highlight w:val="none"/>
              </w:rPr>
            </w:pPr>
            <w:r>
              <w:rPr>
                <w:rFonts w:eastAsia="宋体" w:cs="Times New Roman"/>
                <w:highlight w:val="none"/>
              </w:rPr>
              <w:t>43.4</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3"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992" w:type="dxa"/>
            <w:shd w:val="clear" w:color="auto" w:fill="auto"/>
            <w:noWrap/>
            <w:vAlign w:val="center"/>
          </w:tcPr>
          <w:p>
            <w:pPr>
              <w:pStyle w:val="58"/>
              <w:rPr>
                <w:rFonts w:eastAsia="宋体" w:cs="Times New Roman"/>
                <w:highlight w:val="none"/>
              </w:rPr>
            </w:pPr>
            <w:r>
              <w:rPr>
                <w:rFonts w:eastAsia="宋体" w:cs="Times New Roman"/>
                <w:highlight w:val="none"/>
              </w:rPr>
              <w:t>/</w:t>
            </w:r>
          </w:p>
        </w:tc>
        <w:tc>
          <w:tcPr>
            <w:tcW w:w="1559" w:type="dxa"/>
            <w:shd w:val="clear" w:color="auto" w:fill="auto"/>
            <w:noWrap/>
            <w:vAlign w:val="center"/>
          </w:tcPr>
          <w:p>
            <w:pPr>
              <w:pStyle w:val="58"/>
              <w:rPr>
                <w:rFonts w:eastAsia="宋体" w:cs="Times New Roman"/>
                <w:highlight w:val="none"/>
              </w:rPr>
            </w:pPr>
            <w:r>
              <w:rPr>
                <w:rFonts w:eastAsia="宋体" w:cs="Times New Roman"/>
                <w:highlight w:val="none"/>
              </w:rPr>
              <w:t>二级-较好</w:t>
            </w:r>
          </w:p>
        </w:tc>
      </w:tr>
    </w:tbl>
    <w:p>
      <w:pPr>
        <w:adjustRightInd w:val="0"/>
        <w:snapToGrid w:val="0"/>
        <w:ind w:firstLine="0" w:firstLineChars="0"/>
        <w:rPr>
          <w:highlight w:val="none"/>
        </w:rPr>
      </w:pPr>
    </w:p>
    <w:tbl>
      <w:tblPr>
        <w:tblStyle w:val="4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22"/>
        <w:gridCol w:w="69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416" w:type="dxa"/>
            <w:vAlign w:val="center"/>
          </w:tcPr>
          <w:p>
            <w:pPr>
              <w:adjustRightInd w:val="0"/>
              <w:snapToGrid w:val="0"/>
              <w:ind w:firstLine="0" w:firstLineChars="0"/>
              <w:jc w:val="center"/>
              <w:rPr>
                <w:highlight w:val="none"/>
              </w:rPr>
            </w:pPr>
            <w:r>
              <w:rPr>
                <w:highlight w:val="none"/>
              </w:rPr>
              <w:drawing>
                <wp:inline distT="0" distB="0" distL="0" distR="0">
                  <wp:extent cx="4276725" cy="2411730"/>
                  <wp:effectExtent l="0" t="0" r="9525" b="7620"/>
                  <wp:docPr id="68918566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57"/>
              <w:spacing w:after="120"/>
              <w:rPr>
                <w:highlight w:val="none"/>
              </w:rPr>
            </w:pPr>
            <w:r>
              <w:rPr>
                <w:rFonts w:hint="eastAsia"/>
                <w:highlight w:val="none"/>
              </w:rPr>
              <w:t>（1）各功能区昼间环境噪声变化情况</w:t>
            </w:r>
          </w:p>
        </w:tc>
        <w:tc>
          <w:tcPr>
            <w:tcW w:w="1644" w:type="dxa"/>
            <w:vAlign w:val="center"/>
          </w:tcPr>
          <w:p>
            <w:pPr>
              <w:keepNext/>
              <w:adjustRightInd w:val="0"/>
              <w:snapToGrid w:val="0"/>
              <w:ind w:firstLine="0" w:firstLineChars="0"/>
              <w:jc w:val="center"/>
              <w:rPr>
                <w:highlight w:val="none"/>
              </w:rPr>
            </w:pPr>
            <w:r>
              <w:rPr>
                <w:highlight w:val="none"/>
              </w:rPr>
              <w:drawing>
                <wp:inline distT="0" distB="0" distL="0" distR="0">
                  <wp:extent cx="4291965" cy="2411730"/>
                  <wp:effectExtent l="0" t="0" r="13335" b="7620"/>
                  <wp:docPr id="194584904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57"/>
              <w:spacing w:after="120"/>
              <w:rPr>
                <w:highlight w:val="none"/>
              </w:rPr>
            </w:pPr>
            <w:r>
              <w:rPr>
                <w:rFonts w:hint="eastAsia"/>
                <w:highlight w:val="none"/>
              </w:rPr>
              <w:t>（2）各功能区夜间环境噪声变化情况</w:t>
            </w:r>
          </w:p>
        </w:tc>
      </w:tr>
    </w:tbl>
    <w:p>
      <w:pPr>
        <w:pStyle w:val="13"/>
        <w:rPr>
          <w:highlight w:val="none"/>
        </w:rPr>
      </w:pPr>
      <w:r>
        <w:rPr>
          <w:rFonts w:hint="eastAsia"/>
          <w:highlight w:val="none"/>
        </w:rPr>
        <w:t xml:space="preserve">图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图 \* ARABIC \s 1</w:instrText>
      </w:r>
      <w:r>
        <w:rPr>
          <w:highlight w:val="none"/>
        </w:rPr>
        <w:instrText xml:space="preserve"> </w:instrText>
      </w:r>
      <w:r>
        <w:rPr>
          <w:highlight w:val="none"/>
        </w:rPr>
        <w:fldChar w:fldCharType="separate"/>
      </w:r>
      <w:r>
        <w:rPr>
          <w:highlight w:val="none"/>
        </w:rPr>
        <w:t>5</w:t>
      </w:r>
      <w:r>
        <w:rPr>
          <w:highlight w:val="none"/>
        </w:rPr>
        <w:fldChar w:fldCharType="end"/>
      </w:r>
      <w:r>
        <w:rPr>
          <w:rFonts w:hint="eastAsia"/>
          <w:highlight w:val="none"/>
        </w:rPr>
        <w:t xml:space="preserve">  苍溪县各功能区环境噪声变化情况</w:t>
      </w:r>
    </w:p>
    <w:p>
      <w:pPr>
        <w:adjustRightInd w:val="0"/>
        <w:snapToGrid w:val="0"/>
        <w:ind w:firstLine="480"/>
        <w:rPr>
          <w:highlight w:val="none"/>
        </w:rPr>
      </w:pPr>
    </w:p>
    <w:p>
      <w:pPr>
        <w:adjustRightInd w:val="0"/>
        <w:snapToGrid w:val="0"/>
        <w:ind w:firstLine="480"/>
        <w:rPr>
          <w:highlight w:val="none"/>
        </w:rPr>
      </w:pPr>
    </w:p>
    <w:p>
      <w:pPr>
        <w:keepNext/>
        <w:adjustRightInd w:val="0"/>
        <w:snapToGrid w:val="0"/>
        <w:ind w:firstLine="480"/>
        <w:jc w:val="center"/>
        <w:rPr>
          <w:highlight w:val="none"/>
        </w:rPr>
      </w:pPr>
      <w:r>
        <w:rPr>
          <w:highlight w:val="none"/>
        </w:rPr>
        <w:drawing>
          <wp:inline distT="0" distB="0" distL="0" distR="0">
            <wp:extent cx="4572000" cy="2743200"/>
            <wp:effectExtent l="0" t="0" r="0" b="0"/>
            <wp:docPr id="6409182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13"/>
        <w:rPr>
          <w:highlight w:val="none"/>
        </w:rPr>
      </w:pPr>
      <w:r>
        <w:rPr>
          <w:rFonts w:hint="eastAsia"/>
          <w:highlight w:val="none"/>
        </w:rPr>
        <w:t xml:space="preserve">图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图 \* ARABIC \s 1</w:instrText>
      </w:r>
      <w:r>
        <w:rPr>
          <w:highlight w:val="none"/>
        </w:rPr>
        <w:instrText xml:space="preserve"> </w:instrText>
      </w:r>
      <w:r>
        <w:rPr>
          <w:highlight w:val="none"/>
        </w:rPr>
        <w:fldChar w:fldCharType="separate"/>
      </w:r>
      <w:r>
        <w:rPr>
          <w:highlight w:val="none"/>
        </w:rPr>
        <w:t>6</w:t>
      </w:r>
      <w:r>
        <w:rPr>
          <w:highlight w:val="none"/>
        </w:rPr>
        <w:fldChar w:fldCharType="end"/>
      </w:r>
      <w:r>
        <w:rPr>
          <w:rFonts w:hint="eastAsia"/>
          <w:highlight w:val="none"/>
        </w:rPr>
        <w:t xml:space="preserve">  道路交通声环境变化趋势</w:t>
      </w:r>
    </w:p>
    <w:p>
      <w:pPr>
        <w:keepNext/>
        <w:adjustRightInd w:val="0"/>
        <w:snapToGrid w:val="0"/>
        <w:ind w:firstLine="480"/>
        <w:jc w:val="center"/>
        <w:rPr>
          <w:highlight w:val="none"/>
        </w:rPr>
      </w:pPr>
      <w:r>
        <w:rPr>
          <w:highlight w:val="none"/>
        </w:rPr>
        <w:drawing>
          <wp:inline distT="0" distB="0" distL="0" distR="0">
            <wp:extent cx="4572000" cy="2743200"/>
            <wp:effectExtent l="0" t="0" r="0" b="0"/>
            <wp:docPr id="39992139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13"/>
        <w:rPr>
          <w:highlight w:val="none"/>
        </w:rPr>
      </w:pPr>
      <w:r>
        <w:rPr>
          <w:rFonts w:hint="eastAsia"/>
          <w:highlight w:val="none"/>
        </w:rPr>
        <w:t xml:space="preserve">图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4</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图 \* ARABIC \s 1</w:instrText>
      </w:r>
      <w:r>
        <w:rPr>
          <w:highlight w:val="none"/>
        </w:rPr>
        <w:instrText xml:space="preserve"> </w:instrText>
      </w:r>
      <w:r>
        <w:rPr>
          <w:highlight w:val="none"/>
        </w:rPr>
        <w:fldChar w:fldCharType="separate"/>
      </w:r>
      <w:r>
        <w:rPr>
          <w:highlight w:val="none"/>
        </w:rPr>
        <w:t>7</w:t>
      </w:r>
      <w:r>
        <w:rPr>
          <w:highlight w:val="none"/>
        </w:rPr>
        <w:fldChar w:fldCharType="end"/>
      </w:r>
      <w:r>
        <w:rPr>
          <w:rFonts w:hint="eastAsia"/>
          <w:highlight w:val="none"/>
        </w:rPr>
        <w:t xml:space="preserve">  城市区域声环境变化趋势</w:t>
      </w:r>
    </w:p>
    <w:p>
      <w:pPr>
        <w:widowControl/>
        <w:spacing w:line="240" w:lineRule="auto"/>
        <w:ind w:firstLine="0" w:firstLineChars="0"/>
        <w:jc w:val="left"/>
        <w:rPr>
          <w:sz w:val="21"/>
          <w:szCs w:val="21"/>
          <w:highlight w:val="none"/>
        </w:rPr>
      </w:pPr>
      <w:r>
        <w:rPr>
          <w:highlight w:val="none"/>
        </w:rPr>
        <w:br w:type="page"/>
      </w:r>
    </w:p>
    <w:p>
      <w:pPr>
        <w:pStyle w:val="58"/>
        <w:jc w:val="both"/>
        <w:rPr>
          <w:rFonts w:hint="eastAsia"/>
          <w:highlight w:val="none"/>
        </w:rPr>
        <w:sectPr>
          <w:pgSz w:w="16838" w:h="11906" w:orient="landscape"/>
          <w:pgMar w:top="1418" w:right="1418" w:bottom="1418" w:left="1418" w:header="851" w:footer="992" w:gutter="0"/>
          <w:pgNumType w:chapStyle="1"/>
          <w:cols w:space="425" w:num="1"/>
          <w:docGrid w:linePitch="326" w:charSpace="0"/>
        </w:sectPr>
      </w:pPr>
    </w:p>
    <w:p>
      <w:pPr>
        <w:keepNext/>
        <w:keepLines/>
        <w:widowControl w:val="0"/>
        <w:numPr>
          <w:ilvl w:val="0"/>
          <w:numId w:val="9"/>
        </w:numPr>
        <w:spacing w:before="163" w:beforeLines="0" w:after="163" w:afterLines="0" w:line="578" w:lineRule="auto"/>
        <w:ind w:left="440" w:hanging="440" w:firstLineChars="0"/>
        <w:jc w:val="both"/>
        <w:outlineLvl w:val="0"/>
        <w:rPr>
          <w:rFonts w:hint="eastAsia" w:ascii="Times New Roman" w:hAnsi="Times New Roman" w:eastAsia="黑体" w:cs="Times New Roman"/>
          <w:bCs/>
          <w:kern w:val="44"/>
          <w:sz w:val="44"/>
          <w:szCs w:val="44"/>
          <w:highlight w:val="none"/>
          <w:lang w:val="en-US" w:eastAsia="zh-CN" w:bidi="ar-SA"/>
        </w:rPr>
      </w:pPr>
      <w:bookmarkStart w:id="31" w:name="_Toc162353653"/>
      <w:r>
        <w:rPr>
          <w:rFonts w:hint="eastAsia" w:ascii="Times New Roman" w:hAnsi="Times New Roman" w:eastAsia="黑体" w:cs="Times New Roman"/>
          <w:bCs/>
          <w:kern w:val="44"/>
          <w:sz w:val="44"/>
          <w:szCs w:val="44"/>
          <w:highlight w:val="none"/>
          <w:lang w:val="en-US" w:eastAsia="zh-CN" w:bidi="ar-SA"/>
        </w:rPr>
        <w:t>环境影响识别与评价指标体系</w:t>
      </w:r>
      <w:bookmarkEnd w:id="31"/>
    </w:p>
    <w:p>
      <w:pPr>
        <w:keepNext/>
        <w:keepLines/>
        <w:widowControl w:val="0"/>
        <w:numPr>
          <w:ilvl w:val="1"/>
          <w:numId w:val="9"/>
        </w:numPr>
        <w:spacing w:line="480" w:lineRule="auto"/>
        <w:ind w:left="576" w:hanging="576" w:firstLineChars="0"/>
        <w:jc w:val="both"/>
        <w:outlineLvl w:val="1"/>
        <w:rPr>
          <w:rFonts w:ascii="Times New Roman" w:hAnsi="Times New Roman" w:eastAsia="黑体" w:cs="Times New Roman"/>
          <w:bCs/>
          <w:color w:val="7030A0"/>
          <w:kern w:val="2"/>
          <w:sz w:val="32"/>
          <w:szCs w:val="32"/>
          <w:highlight w:val="none"/>
          <w:lang w:val="en-US" w:eastAsia="zh-CN" w:bidi="ar-SA"/>
        </w:rPr>
      </w:pPr>
      <w:bookmarkStart w:id="32" w:name="_Toc162353654"/>
      <w:r>
        <w:rPr>
          <w:rFonts w:hint="eastAsia" w:ascii="Times New Roman" w:hAnsi="Times New Roman" w:eastAsia="黑体" w:cs="Times New Roman"/>
          <w:bCs/>
          <w:color w:val="7030A0"/>
          <w:kern w:val="2"/>
          <w:sz w:val="32"/>
          <w:szCs w:val="32"/>
          <w:highlight w:val="none"/>
          <w:lang w:val="en-US" w:eastAsia="zh-CN" w:bidi="ar-SA"/>
        </w:rPr>
        <w:t>环境影响识别</w:t>
      </w:r>
      <w:bookmarkEnd w:id="32"/>
    </w:p>
    <w:p>
      <w:pPr>
        <w:ind w:firstLine="480"/>
        <w:rPr>
          <w:rFonts w:eastAsia="宋体" w:cs="Times New Roman"/>
          <w:color w:val="7030A0"/>
          <w:highlight w:val="none"/>
        </w:rPr>
      </w:pPr>
      <w:r>
        <w:rPr>
          <w:rFonts w:hint="eastAsia" w:eastAsia="宋体" w:cs="Times New Roman"/>
          <w:color w:val="7030A0"/>
          <w:highlight w:val="none"/>
        </w:rPr>
        <w:t>按照一致性、整体性和层次性原则，识别规划实施可能影响的资源与环境要素，建立规划要素与资源、环境要素之间的关系，初步判断影响的性质、范围和程度，确定评价重点。并根据环境目标，结合现状调查与评价的结果，以及确定的评价重点，建立评价的指标体系。</w:t>
      </w:r>
    </w:p>
    <w:p>
      <w:pPr>
        <w:ind w:firstLine="480"/>
        <w:rPr>
          <w:rFonts w:eastAsia="宋体" w:cs="Times New Roman"/>
          <w:color w:val="7030A0"/>
          <w:highlight w:val="none"/>
        </w:rPr>
      </w:pPr>
      <w:r>
        <w:rPr>
          <w:rFonts w:eastAsia="宋体" w:cs="Times New Roman"/>
          <w:highlight w:val="none"/>
        </w:rPr>
        <mc:AlternateContent>
          <mc:Choice Requires="wpg">
            <w:drawing>
              <wp:anchor distT="0" distB="0" distL="114300" distR="114300" simplePos="0" relativeHeight="251659264" behindDoc="0" locked="0" layoutInCell="1" allowOverlap="1">
                <wp:simplePos x="0" y="0"/>
                <wp:positionH relativeFrom="character">
                  <wp:posOffset>227330</wp:posOffset>
                </wp:positionH>
                <wp:positionV relativeFrom="line">
                  <wp:posOffset>323215</wp:posOffset>
                </wp:positionV>
                <wp:extent cx="4835525" cy="3994785"/>
                <wp:effectExtent l="0" t="0" r="22225" b="24765"/>
                <wp:wrapTopAndBottom/>
                <wp:docPr id="17" name="组合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35525" cy="3994785"/>
                          <a:chOff x="0" y="0"/>
                          <a:chExt cx="8280" cy="6840"/>
                        </a:xfrm>
                        <a:effectLst/>
                      </wpg:grpSpPr>
                      <wps:wsp>
                        <wps:cNvPr id="54" name="AutoShape 3"/>
                        <wps:cNvSpPr>
                          <a:spLocks noChangeAspect="1" noChangeArrowheads="1" noTextEdit="1"/>
                        </wps:cNvSpPr>
                        <wps:spPr bwMode="auto">
                          <a:xfrm>
                            <a:off x="0" y="0"/>
                            <a:ext cx="8280" cy="6840"/>
                          </a:xfrm>
                          <a:prstGeom prst="rect">
                            <a:avLst/>
                          </a:prstGeom>
                          <a:noFill/>
                          <a:ln>
                            <a:noFill/>
                          </a:ln>
                          <a:effectLst/>
                        </wps:spPr>
                        <wps:bodyPr rot="0" vert="horz" wrap="square" lIns="91440" tIns="45720" rIns="91440" bIns="45720" anchor="t" anchorCtr="0" upright="1">
                          <a:noAutofit/>
                        </wps:bodyPr>
                      </wps:wsp>
                      <pic:pic xmlns:pic="http://schemas.openxmlformats.org/drawingml/2006/picture">
                        <pic:nvPicPr>
                          <pic:cNvPr id="55"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8291" cy="6851"/>
                          </a:xfrm>
                          <a:prstGeom prst="rect">
                            <a:avLst/>
                          </a:prstGeom>
                          <a:noFill/>
                          <a:ln>
                            <a:noFill/>
                          </a:ln>
                          <a:effectLst/>
                        </pic:spPr>
                      </pic:pic>
                    </wpg:wgp>
                  </a:graphicData>
                </a:graphic>
              </wp:anchor>
            </w:drawing>
          </mc:Choice>
          <mc:Fallback>
            <w:pict>
              <v:group id="_x0000_s1026" o:spid="_x0000_s1026" o:spt="203" style="position:absolute;left:0pt;margin-left:17.9pt;margin-top:25.45pt;height:314.55pt;width:380.75pt;mso-position-horizontal-relative:char;mso-position-vertical-relative:line;mso-wrap-distance-bottom:0pt;mso-wrap-distance-top:0pt;z-index:251659264;mso-width-relative:page;mso-height-relative:page;" coordsize="8280,6840" o:gfxdata="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">
                <o:lock v:ext="edit" aspectratio="t"/>
                <v:rect id="AutoShape 3" o:spid="_x0000_s1026" o:spt="1" style="position:absolute;left:0;top:0;height:6840;width:8280;" filled="f" stroked="f" coordsize="21600,21600" o:gfxdata="UEsDBAoAAAAAAIdO4kAAAAAAAAAAAAAAAAAEAAAAZHJzL1BLAwQUAAAACACHTuJA+W4b074AAADb&#10;AAAADwAAAGRycy9kb3ducmV2LnhtbEWPQWvCQBSE7wX/w/KEXopuIq2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b074A&#10;AADbAAAADwAAAAAAAAABACAAAAAiAAAAZHJzL2Rvd25yZXYueG1sUEsBAhQAFAAAAAgAh07iQDMv&#10;BZ47AAAAOQAAABAAAAAAAAAAAQAgAAAADQEAAGRycy9zaGFwZXhtbC54bWxQSwUGAAAAAAYABgBb&#10;AQAAtwMAAAAA&#10;">
                  <v:fill on="f" focussize="0,0"/>
                  <v:stroke on="f"/>
                  <v:imagedata o:title=""/>
                  <o:lock v:ext="edit" text="t" aspectratio="t"/>
                </v:rect>
                <v:shape id="Picture 4" o:spid="_x0000_s1026" o:spt="75" type="#_x0000_t75" style="position:absolute;left:0;top:0;height:6851;width:8291;" filled="f" o:preferrelative="t" stroked="f" coordsize="21600,21600" o:gfxdata="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JruL4A&#10;AADbAAAADwAAAAAAAAABACAAAAAiAAAAZHJzL2Rvd25yZXYueG1sUEsBAhQAFAAAAAgAh07iQDMv&#10;BZ47AAAAOQAAABAAAAAAAAAAAQAgAAAADQEAAGRycy9zaGFwZXhtbC54bWxQSwUGAAAAAAYABgBb&#10;AQAAtwMAAAAA&#10;">
                  <v:fill on="f" focussize="0,0"/>
                  <v:stroke on="f"/>
                  <v:imagedata r:id="rId57" o:title=""/>
                  <o:lock v:ext="edit" aspectratio="t"/>
                </v:shape>
                <w10:wrap type="topAndBottom"/>
              </v:group>
            </w:pict>
          </mc:Fallback>
        </mc:AlternateContent>
      </w:r>
      <w:r>
        <w:rPr>
          <w:rFonts w:hint="eastAsia" w:eastAsia="宋体" w:cs="Times New Roman"/>
          <w:color w:val="7030A0"/>
          <w:highlight w:val="none"/>
        </w:rPr>
        <w:t>规划的环境影响识别与确定评价指标的基本程序见下图。</w:t>
      </w:r>
    </w:p>
    <w:p>
      <w:pPr>
        <w:ind w:firstLine="480"/>
        <w:jc w:val="center"/>
        <w:rPr>
          <w:rFonts w:eastAsia="宋体" w:cs="Times New Roman"/>
          <w:highlight w:val="none"/>
        </w:rPr>
      </w:pPr>
    </w:p>
    <w:p>
      <w:pPr>
        <w:widowControl w:val="0"/>
        <w:spacing w:line="360" w:lineRule="auto"/>
        <w:ind w:firstLine="0" w:firstLineChars="0"/>
        <w:jc w:val="center"/>
        <w:rPr>
          <w:rFonts w:ascii="Times New Roman" w:hAnsi="Times New Roman" w:eastAsia="黑体" w:cs="Times New Roman"/>
          <w:color w:val="7030A0"/>
          <w:kern w:val="2"/>
          <w:sz w:val="21"/>
          <w:szCs w:val="20"/>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图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5.1</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图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1</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t>规划的环境影响识别与确定评价指标程序</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环境影响识别方法</w:t>
      </w:r>
    </w:p>
    <w:p>
      <w:pPr>
        <w:ind w:firstLine="480"/>
        <w:rPr>
          <w:rFonts w:eastAsia="宋体" w:cs="Times New Roman"/>
          <w:color w:val="7030A0"/>
          <w:highlight w:val="none"/>
        </w:rPr>
      </w:pPr>
      <w:r>
        <w:rPr>
          <w:rFonts w:hint="eastAsia" w:eastAsia="宋体" w:cs="Times New Roman"/>
          <w:color w:val="7030A0"/>
          <w:highlight w:val="none"/>
        </w:rPr>
        <w:t>不同层次、不同类型的战略，对其环境的影响差别不同。这种影响可以看成是源（影响发生的原因）与受体（受影响的环境因子）之间的因果关系。根据源与受体不同的联系方式，规划环境影响的识别方法有核查表法、网络法、层次分析法、矩阵法、系统流程法、情景分析法等。本次规划环评拟采用情景分析法、矩阵法、核查表法。</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环境影响识别重点</w:t>
      </w:r>
    </w:p>
    <w:p>
      <w:pPr>
        <w:ind w:firstLine="480"/>
        <w:rPr>
          <w:rFonts w:eastAsia="宋体" w:cs="Times New Roman"/>
          <w:color w:val="7030A0"/>
          <w:highlight w:val="none"/>
        </w:rPr>
      </w:pPr>
      <w:r>
        <w:rPr>
          <w:rFonts w:hint="eastAsia" w:eastAsia="宋体" w:cs="Times New Roman"/>
          <w:color w:val="7030A0"/>
          <w:highlight w:val="none"/>
        </w:rPr>
        <w:t>根据规划的发展目标、空间布局、产业结构，结合广元市、苍溪县自然环境特点、环境质量现状，在充分分析区域现有环境问题的基础上，识别规划方案实施可能对自然环境和社会环境产生的影响，进行层次分析，筛选出环境影响因子。本次环评列出了各环境影响因子的影响范围、时间跨度、影响性质和强弱，力图较全面地反映各种环境影响，具体见下表。</w:t>
      </w:r>
    </w:p>
    <w:p>
      <w:pPr>
        <w:widowControl w:val="0"/>
        <w:spacing w:line="360" w:lineRule="auto"/>
        <w:ind w:firstLine="0" w:firstLineChars="0"/>
        <w:jc w:val="center"/>
        <w:rPr>
          <w:rFonts w:ascii="黑体" w:hAnsi="黑体" w:eastAsia="黑体" w:cs="Times New Roman"/>
          <w:color w:val="7030A0"/>
          <w:kern w:val="2"/>
          <w:sz w:val="21"/>
          <w:szCs w:val="20"/>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表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5.1</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表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1</w:t>
      </w:r>
      <w:r>
        <w:rPr>
          <w:rFonts w:ascii="Times New Roman" w:hAnsi="Times New Roman" w:eastAsia="黑体" w:cs="Times New Roman"/>
          <w:color w:val="7030A0"/>
          <w:kern w:val="2"/>
          <w:sz w:val="21"/>
          <w:szCs w:val="20"/>
          <w:highlight w:val="none"/>
          <w:lang w:val="en-US" w:eastAsia="zh-CN" w:bidi="ar-SA"/>
        </w:rPr>
        <w:fldChar w:fldCharType="end"/>
      </w:r>
      <w:r>
        <w:rPr>
          <w:rFonts w:hint="eastAsia" w:ascii="黑体" w:hAnsi="黑体" w:eastAsia="黑体" w:cs="Times New Roman"/>
          <w:color w:val="7030A0"/>
          <w:kern w:val="2"/>
          <w:sz w:val="21"/>
          <w:szCs w:val="20"/>
          <w:highlight w:val="none"/>
          <w:lang w:val="en-US" w:eastAsia="zh-CN" w:bidi="ar-SA"/>
        </w:rPr>
        <w:t>环境影响识别分析表</w:t>
      </w:r>
    </w:p>
    <w:tbl>
      <w:tblPr>
        <w:tblStyle w:val="39"/>
        <w:tblW w:w="5000" w:type="pct"/>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08"/>
        <w:gridCol w:w="1611"/>
        <w:gridCol w:w="2777"/>
        <w:gridCol w:w="1911"/>
        <w:gridCol w:w="1209"/>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461"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
                <w:bCs/>
                <w:color w:val="7030A0"/>
                <w:kern w:val="2"/>
                <w:sz w:val="21"/>
                <w:szCs w:val="21"/>
                <w:highlight w:val="none"/>
                <w:lang w:val="en-US" w:eastAsia="zh-CN" w:bidi="ar-SA"/>
              </w:rPr>
            </w:pPr>
            <w:r>
              <w:rPr>
                <w:rFonts w:ascii="Times New Roman" w:hAnsi="Times New Roman" w:eastAsia="宋体" w:cs="Times New Roman"/>
                <w:b/>
                <w:bCs/>
                <w:color w:val="7030A0"/>
                <w:kern w:val="2"/>
                <w:sz w:val="21"/>
                <w:szCs w:val="21"/>
                <w:highlight w:val="none"/>
                <w:lang w:val="en-US" w:eastAsia="zh-CN" w:bidi="ar-SA"/>
              </w:rPr>
              <w:t>环境影响要素识别</w:t>
            </w: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
                <w:bCs/>
                <w:color w:val="7030A0"/>
                <w:kern w:val="2"/>
                <w:sz w:val="21"/>
                <w:szCs w:val="21"/>
                <w:highlight w:val="none"/>
                <w:lang w:val="en-US" w:eastAsia="zh-CN" w:bidi="ar-SA"/>
              </w:rPr>
            </w:pPr>
            <w:r>
              <w:rPr>
                <w:rFonts w:ascii="Times New Roman" w:hAnsi="Times New Roman" w:eastAsia="宋体" w:cs="Times New Roman"/>
                <w:b/>
                <w:bCs/>
                <w:color w:val="7030A0"/>
                <w:kern w:val="2"/>
                <w:sz w:val="21"/>
                <w:szCs w:val="21"/>
                <w:highlight w:val="none"/>
                <w:lang w:val="en-US" w:eastAsia="zh-CN" w:bidi="ar-SA"/>
              </w:rPr>
              <w:t>主要影响行为或影响因子</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
                <w:bCs/>
                <w:color w:val="7030A0"/>
                <w:kern w:val="2"/>
                <w:sz w:val="21"/>
                <w:szCs w:val="21"/>
                <w:highlight w:val="none"/>
                <w:lang w:val="en-US" w:eastAsia="zh-CN" w:bidi="ar-SA"/>
              </w:rPr>
            </w:pPr>
            <w:r>
              <w:rPr>
                <w:rFonts w:ascii="Times New Roman" w:hAnsi="Times New Roman" w:eastAsia="宋体" w:cs="Times New Roman"/>
                <w:b/>
                <w:bCs/>
                <w:color w:val="7030A0"/>
                <w:kern w:val="2"/>
                <w:sz w:val="21"/>
                <w:szCs w:val="21"/>
                <w:highlight w:val="none"/>
                <w:lang w:val="en-US" w:eastAsia="zh-CN" w:bidi="ar-SA"/>
              </w:rPr>
              <w:t>环境影响识别</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
                <w:bCs/>
                <w:color w:val="7030A0"/>
                <w:kern w:val="2"/>
                <w:sz w:val="21"/>
                <w:szCs w:val="21"/>
                <w:highlight w:val="none"/>
                <w:lang w:val="en-US" w:eastAsia="zh-CN" w:bidi="ar-SA"/>
              </w:rPr>
            </w:pPr>
            <w:r>
              <w:rPr>
                <w:rFonts w:ascii="Times New Roman" w:hAnsi="Times New Roman" w:eastAsia="宋体" w:cs="Times New Roman"/>
                <w:b/>
                <w:bCs/>
                <w:color w:val="7030A0"/>
                <w:kern w:val="2"/>
                <w:sz w:val="21"/>
                <w:szCs w:val="21"/>
                <w:highlight w:val="none"/>
                <w:lang w:val="en-US" w:eastAsia="zh-CN" w:bidi="ar-SA"/>
              </w:rPr>
              <w:t>影响范围</w:t>
            </w:r>
          </w:p>
        </w:tc>
        <w:tc>
          <w:tcPr>
            <w:tcW w:w="61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
                <w:bCs/>
                <w:color w:val="7030A0"/>
                <w:kern w:val="2"/>
                <w:sz w:val="21"/>
                <w:szCs w:val="21"/>
                <w:highlight w:val="none"/>
                <w:lang w:val="en-US" w:eastAsia="zh-CN" w:bidi="ar-SA"/>
              </w:rPr>
            </w:pPr>
            <w:r>
              <w:rPr>
                <w:rFonts w:ascii="Times New Roman" w:hAnsi="Times New Roman" w:eastAsia="宋体" w:cs="Times New Roman"/>
                <w:b/>
                <w:bCs/>
                <w:color w:val="7030A0"/>
                <w:kern w:val="2"/>
                <w:sz w:val="21"/>
                <w:szCs w:val="21"/>
                <w:highlight w:val="none"/>
                <w:lang w:val="en-US" w:eastAsia="zh-CN" w:bidi="ar-SA"/>
              </w:rPr>
              <w:t>时间跨度</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
                <w:bCs/>
                <w:color w:val="7030A0"/>
                <w:kern w:val="2"/>
                <w:sz w:val="21"/>
                <w:szCs w:val="21"/>
                <w:highlight w:val="none"/>
                <w:lang w:val="en-US" w:eastAsia="zh-CN" w:bidi="ar-SA"/>
              </w:rPr>
            </w:pPr>
            <w:r>
              <w:rPr>
                <w:rFonts w:ascii="Times New Roman" w:hAnsi="Times New Roman" w:eastAsia="宋体" w:cs="Times New Roman"/>
                <w:b/>
                <w:bCs/>
                <w:color w:val="7030A0"/>
                <w:kern w:val="2"/>
                <w:sz w:val="21"/>
                <w:szCs w:val="21"/>
                <w:highlight w:val="none"/>
                <w:lang w:val="en-US" w:eastAsia="zh-CN" w:bidi="ar-SA"/>
              </w:rPr>
              <w:t>正负效应及</w:t>
            </w:r>
          </w:p>
          <w:p>
            <w:pPr>
              <w:widowControl w:val="0"/>
              <w:adjustRightInd w:val="0"/>
              <w:snapToGrid w:val="0"/>
              <w:spacing w:line="240" w:lineRule="auto"/>
              <w:ind w:firstLine="0" w:firstLineChars="0"/>
              <w:jc w:val="center"/>
              <w:rPr>
                <w:rFonts w:ascii="Times New Roman" w:hAnsi="Times New Roman" w:eastAsia="宋体" w:cs="Times New Roman"/>
                <w:b/>
                <w:bCs/>
                <w:color w:val="7030A0"/>
                <w:kern w:val="2"/>
                <w:sz w:val="21"/>
                <w:szCs w:val="21"/>
                <w:highlight w:val="none"/>
                <w:lang w:val="en-US" w:eastAsia="zh-CN" w:bidi="ar-SA"/>
              </w:rPr>
            </w:pPr>
            <w:r>
              <w:rPr>
                <w:rFonts w:ascii="Times New Roman" w:hAnsi="Times New Roman" w:eastAsia="宋体" w:cs="Times New Roman"/>
                <w:b/>
                <w:bCs/>
                <w:color w:val="7030A0"/>
                <w:kern w:val="2"/>
                <w:sz w:val="21"/>
                <w:szCs w:val="21"/>
                <w:highlight w:val="none"/>
                <w:lang w:val="en-US" w:eastAsia="zh-CN" w:bidi="ar-SA"/>
              </w:rPr>
              <w:t>影响强弱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土地资源</w:t>
            </w:r>
          </w:p>
        </w:tc>
        <w:tc>
          <w:tcPr>
            <w:tcW w:w="817"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土地</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永久改变土地利用类型，农业用地转化为商业、</w:t>
            </w:r>
            <w:r>
              <w:rPr>
                <w:rFonts w:hint="eastAsia" w:ascii="Times New Roman" w:hAnsi="Times New Roman" w:eastAsia="宋体" w:cs="Times New Roman"/>
                <w:bCs/>
                <w:color w:val="7030A0"/>
                <w:kern w:val="2"/>
                <w:sz w:val="21"/>
                <w:szCs w:val="21"/>
                <w:highlight w:val="none"/>
                <w:lang w:val="en-US" w:eastAsia="zh-CN" w:bidi="ar-SA"/>
              </w:rPr>
              <w:t>工业用地</w:t>
            </w:r>
            <w:r>
              <w:rPr>
                <w:rFonts w:ascii="Times New Roman" w:hAnsi="Times New Roman" w:eastAsia="宋体" w:cs="Times New Roman"/>
                <w:bCs/>
                <w:color w:val="7030A0"/>
                <w:kern w:val="2"/>
                <w:sz w:val="21"/>
                <w:szCs w:val="21"/>
                <w:highlight w:val="none"/>
                <w:lang w:val="en-US" w:eastAsia="zh-CN" w:bidi="ar-SA"/>
              </w:rPr>
              <w:t>等其它用地，减少农业种植面积</w:t>
            </w:r>
          </w:p>
        </w:tc>
        <w:tc>
          <w:tcPr>
            <w:tcW w:w="969"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规划</w:t>
            </w:r>
            <w:r>
              <w:rPr>
                <w:rFonts w:ascii="Times New Roman" w:hAnsi="Times New Roman" w:eastAsia="宋体" w:cs="Times New Roman"/>
                <w:bCs/>
                <w:color w:val="7030A0"/>
                <w:kern w:val="2"/>
                <w:sz w:val="21"/>
                <w:szCs w:val="21"/>
                <w:highlight w:val="none"/>
                <w:lang w:val="en-US" w:eastAsia="zh-CN" w:bidi="ar-SA"/>
              </w:rPr>
              <w:t>区域</w:t>
            </w:r>
          </w:p>
        </w:tc>
        <w:tc>
          <w:tcPr>
            <w:tcW w:w="613"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规划期及其后较长时间</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p>
        </w:tc>
        <w:tc>
          <w:tcPr>
            <w:tcW w:w="817"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大幅度提高土地单位面积的产值</w:t>
            </w:r>
          </w:p>
        </w:tc>
        <w:tc>
          <w:tcPr>
            <w:tcW w:w="969"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2"/>
            </w:r>
            <w:r>
              <w:rPr>
                <w:rFonts w:ascii="Times New Roman" w:hAnsi="Times New Roman" w:eastAsia="宋体" w:cs="Times New Roman"/>
                <w:bCs/>
                <w:color w:val="7030A0"/>
                <w:kern w:val="2"/>
                <w:sz w:val="21"/>
                <w:szCs w:val="21"/>
                <w:highlight w:val="none"/>
                <w:lang w:val="en-US" w:eastAsia="zh-CN" w:bidi="ar-SA"/>
              </w:rPr>
              <w:sym w:font="Wingdings 3" w:char="F072"/>
            </w:r>
            <w:r>
              <w:rPr>
                <w:rFonts w:ascii="Times New Roman" w:hAnsi="Times New Roman" w:eastAsia="宋体" w:cs="Times New Roman"/>
                <w:bCs/>
                <w:color w:val="7030A0"/>
                <w:kern w:val="2"/>
                <w:sz w:val="21"/>
                <w:szCs w:val="21"/>
                <w:highlight w:val="none"/>
                <w:lang w:val="en-US" w:eastAsia="zh-CN" w:bidi="ar-SA"/>
              </w:rPr>
              <w:sym w:font="Wingdings 3" w:char="F07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水资源</w:t>
            </w: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供水</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供水规模过大可能增加供水压力或影响城镇用水需求</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规划区全域</w:t>
            </w:r>
          </w:p>
        </w:tc>
        <w:tc>
          <w:tcPr>
            <w:tcW w:w="61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规划期及其后较长时间</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降雨与排水</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区域地表初期雨水径流含各种污染物</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嘉陵江</w:t>
            </w:r>
            <w:r>
              <w:rPr>
                <w:rFonts w:ascii="Times New Roman" w:hAnsi="Times New Roman" w:eastAsia="宋体" w:cs="Times New Roman"/>
                <w:bCs/>
                <w:color w:val="7030A0"/>
                <w:kern w:val="2"/>
                <w:sz w:val="21"/>
                <w:szCs w:val="21"/>
                <w:highlight w:val="none"/>
                <w:lang w:val="en-US" w:eastAsia="zh-CN" w:bidi="ar-SA"/>
              </w:rPr>
              <w:t>就近地表水体</w:t>
            </w:r>
          </w:p>
        </w:tc>
        <w:tc>
          <w:tcPr>
            <w:tcW w:w="61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规划期及其后较长时间</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中水回用</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减轻水资源压力</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规划区全域</w:t>
            </w:r>
          </w:p>
        </w:tc>
        <w:tc>
          <w:tcPr>
            <w:tcW w:w="61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规划期及其后较长时间</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2"/>
            </w:r>
            <w:r>
              <w:rPr>
                <w:rFonts w:ascii="Times New Roman" w:hAnsi="Times New Roman" w:eastAsia="宋体" w:cs="Times New Roman"/>
                <w:bCs/>
                <w:color w:val="7030A0"/>
                <w:kern w:val="2"/>
                <w:sz w:val="21"/>
                <w:szCs w:val="21"/>
                <w:highlight w:val="none"/>
                <w:lang w:val="en-US" w:eastAsia="zh-CN" w:bidi="ar-SA"/>
              </w:rPr>
              <w:sym w:font="Wingdings 3" w:char="F072"/>
            </w:r>
            <w:r>
              <w:rPr>
                <w:rFonts w:ascii="Times New Roman" w:hAnsi="Times New Roman" w:eastAsia="宋体" w:cs="Times New Roman"/>
                <w:bCs/>
                <w:color w:val="7030A0"/>
                <w:kern w:val="2"/>
                <w:sz w:val="21"/>
                <w:szCs w:val="21"/>
                <w:highlight w:val="none"/>
                <w:lang w:val="en-US" w:eastAsia="zh-CN" w:bidi="ar-SA"/>
              </w:rPr>
              <w:sym w:font="Wingdings 3" w:char="F07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能源</w:t>
            </w: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能源消耗</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能源的消耗增加，节能减排，综合利用</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规划区及周边区域</w:t>
            </w:r>
          </w:p>
        </w:tc>
        <w:tc>
          <w:tcPr>
            <w:tcW w:w="61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地表水环境</w:t>
            </w: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地表水污染：涉及COD、BOD</w:t>
            </w:r>
            <w:r>
              <w:rPr>
                <w:rFonts w:ascii="Times New Roman" w:hAnsi="Times New Roman" w:eastAsia="宋体" w:cs="Times New Roman"/>
                <w:bCs/>
                <w:color w:val="7030A0"/>
                <w:kern w:val="2"/>
                <w:sz w:val="21"/>
                <w:szCs w:val="21"/>
                <w:highlight w:val="none"/>
                <w:vertAlign w:val="subscript"/>
                <w:lang w:val="en-US" w:eastAsia="zh-CN" w:bidi="ar-SA"/>
              </w:rPr>
              <w:t>5</w:t>
            </w:r>
            <w:r>
              <w:rPr>
                <w:rFonts w:ascii="Times New Roman" w:hAnsi="Times New Roman" w:eastAsia="宋体" w:cs="Times New Roman"/>
                <w:bCs/>
                <w:color w:val="7030A0"/>
                <w:kern w:val="2"/>
                <w:sz w:val="21"/>
                <w:szCs w:val="21"/>
                <w:highlight w:val="none"/>
                <w:lang w:val="en-US" w:eastAsia="zh-CN" w:bidi="ar-SA"/>
              </w:rPr>
              <w:t>、SS、NH</w:t>
            </w:r>
            <w:r>
              <w:rPr>
                <w:rFonts w:ascii="Times New Roman" w:hAnsi="Times New Roman" w:eastAsia="宋体" w:cs="Times New Roman"/>
                <w:bCs/>
                <w:color w:val="7030A0"/>
                <w:kern w:val="2"/>
                <w:sz w:val="21"/>
                <w:szCs w:val="21"/>
                <w:highlight w:val="none"/>
                <w:vertAlign w:val="subscript"/>
                <w:lang w:val="en-US" w:eastAsia="zh-CN" w:bidi="ar-SA"/>
              </w:rPr>
              <w:t>3</w:t>
            </w:r>
            <w:r>
              <w:rPr>
                <w:rFonts w:ascii="Times New Roman" w:hAnsi="Times New Roman" w:eastAsia="宋体" w:cs="Times New Roman"/>
                <w:bCs/>
                <w:color w:val="7030A0"/>
                <w:kern w:val="2"/>
                <w:sz w:val="21"/>
                <w:szCs w:val="21"/>
                <w:highlight w:val="none"/>
                <w:lang w:val="en-US" w:eastAsia="zh-CN" w:bidi="ar-SA"/>
              </w:rPr>
              <w:t>-N等污染物</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恶化水质、水体浊度、感观、影响复氧，降低DO及水环境容量</w:t>
            </w:r>
          </w:p>
        </w:tc>
        <w:tc>
          <w:tcPr>
            <w:tcW w:w="969"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嘉陵江</w:t>
            </w:r>
            <w:r>
              <w:rPr>
                <w:rFonts w:ascii="Times New Roman" w:hAnsi="Times New Roman" w:eastAsia="宋体" w:cs="Times New Roman"/>
                <w:bCs/>
                <w:color w:val="7030A0"/>
                <w:kern w:val="2"/>
                <w:sz w:val="21"/>
                <w:szCs w:val="21"/>
                <w:highlight w:val="none"/>
                <w:lang w:val="en-US" w:eastAsia="zh-CN" w:bidi="ar-SA"/>
              </w:rPr>
              <w:t>就近地表水体</w:t>
            </w:r>
          </w:p>
        </w:tc>
        <w:tc>
          <w:tcPr>
            <w:tcW w:w="61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规划期及其后较长时间</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排放量</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若废水排放总量过大，可能对水环境功能目标产生影响</w:t>
            </w:r>
          </w:p>
        </w:tc>
        <w:tc>
          <w:tcPr>
            <w:tcW w:w="969"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p>
        </w:tc>
        <w:tc>
          <w:tcPr>
            <w:tcW w:w="61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规划期及其后较长时间</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污水收集处理设施建设</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污水收集处理设施建设滞后或不配套，未处理污水的直接排放将对水环境产生影响</w:t>
            </w:r>
          </w:p>
        </w:tc>
        <w:tc>
          <w:tcPr>
            <w:tcW w:w="969"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p>
        </w:tc>
        <w:tc>
          <w:tcPr>
            <w:tcW w:w="61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规划期及其后较长时间</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地下水环境</w:t>
            </w: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地表径流</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硬化地面，减少地表径流下渗</w:t>
            </w:r>
          </w:p>
        </w:tc>
        <w:tc>
          <w:tcPr>
            <w:tcW w:w="969"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就近地下水环境</w:t>
            </w:r>
          </w:p>
        </w:tc>
        <w:tc>
          <w:tcPr>
            <w:tcW w:w="613"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规划期及其后较长时间</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地下水污染</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物料等泄漏可能污染地下水</w:t>
            </w:r>
          </w:p>
        </w:tc>
        <w:tc>
          <w:tcPr>
            <w:tcW w:w="969"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大气环境</w:t>
            </w: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CO</w:t>
            </w:r>
            <w:r>
              <w:rPr>
                <w:rFonts w:ascii="Times New Roman" w:hAnsi="Times New Roman" w:eastAsia="宋体" w:cs="Times New Roman"/>
                <w:b/>
                <w:bCs/>
                <w:color w:val="7030A0"/>
                <w:kern w:val="2"/>
                <w:sz w:val="21"/>
                <w:szCs w:val="21"/>
                <w:highlight w:val="none"/>
                <w:vertAlign w:val="subscript"/>
                <w:lang w:val="en-US" w:eastAsia="zh-CN" w:bidi="ar-SA"/>
              </w:rPr>
              <w:t>2</w:t>
            </w:r>
            <w:r>
              <w:rPr>
                <w:rFonts w:ascii="Times New Roman" w:hAnsi="Times New Roman" w:eastAsia="宋体" w:cs="Times New Roman"/>
                <w:bCs/>
                <w:color w:val="7030A0"/>
                <w:kern w:val="2"/>
                <w:sz w:val="21"/>
                <w:szCs w:val="21"/>
                <w:highlight w:val="none"/>
                <w:lang w:val="en-US" w:eastAsia="zh-CN" w:bidi="ar-SA"/>
              </w:rPr>
              <w:t>等</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温室效应</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全球</w:t>
            </w:r>
          </w:p>
        </w:tc>
        <w:tc>
          <w:tcPr>
            <w:tcW w:w="61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极长</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SO</w:t>
            </w:r>
            <w:r>
              <w:rPr>
                <w:rFonts w:hint="eastAsia" w:ascii="Times New Roman" w:hAnsi="Times New Roman" w:eastAsia="宋体" w:cs="Times New Roman"/>
                <w:bCs/>
                <w:color w:val="7030A0"/>
                <w:kern w:val="2"/>
                <w:sz w:val="21"/>
                <w:szCs w:val="21"/>
                <w:highlight w:val="none"/>
                <w:vertAlign w:val="subscript"/>
                <w:lang w:val="en-US" w:eastAsia="zh-CN" w:bidi="ar-SA"/>
              </w:rPr>
              <w:t>2</w:t>
            </w:r>
            <w:r>
              <w:rPr>
                <w:rFonts w:hint="eastAsia" w:ascii="Times New Roman" w:hAnsi="Times New Roman" w:eastAsia="宋体" w:cs="Times New Roman"/>
                <w:bCs/>
                <w:color w:val="7030A0"/>
                <w:kern w:val="2"/>
                <w:sz w:val="21"/>
                <w:szCs w:val="21"/>
                <w:highlight w:val="none"/>
                <w:lang w:val="en-US" w:eastAsia="zh-CN" w:bidi="ar-SA"/>
              </w:rPr>
              <w:t>、NOx、烟粉尘</w:t>
            </w:r>
          </w:p>
        </w:tc>
        <w:tc>
          <w:tcPr>
            <w:tcW w:w="1408"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导致区域环境空气质量明显下降</w:t>
            </w:r>
          </w:p>
        </w:tc>
        <w:tc>
          <w:tcPr>
            <w:tcW w:w="969"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排气筒周围一定范围内</w:t>
            </w:r>
          </w:p>
        </w:tc>
        <w:tc>
          <w:tcPr>
            <w:tcW w:w="613"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规划期及其后较长时间</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VOCs等</w:t>
            </w:r>
          </w:p>
        </w:tc>
        <w:tc>
          <w:tcPr>
            <w:tcW w:w="1408"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969"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声环境</w:t>
            </w: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交通噪声</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对外交通噪声防护距离不足导致功能区声环境质量不达标</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规划区全域</w:t>
            </w:r>
          </w:p>
        </w:tc>
        <w:tc>
          <w:tcPr>
            <w:tcW w:w="61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工业噪声</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影响工业企业周边居民</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企业周围200m范围及就近居民区</w:t>
            </w:r>
          </w:p>
        </w:tc>
        <w:tc>
          <w:tcPr>
            <w:tcW w:w="61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固体废物</w:t>
            </w: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一般工业固废</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土地占用、恶臭、渗滤液</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工业固废暂存及处置场所周围500m范围</w:t>
            </w:r>
          </w:p>
        </w:tc>
        <w:tc>
          <w:tcPr>
            <w:tcW w:w="61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规划期及其后较长时间</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生活垃圾</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恶臭、渗滤液、啮齿动物滋生可能传播疾病</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垃圾收集点周围500m范围内</w:t>
            </w:r>
          </w:p>
        </w:tc>
        <w:tc>
          <w:tcPr>
            <w:tcW w:w="61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规划期及其后较长时间</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生态环境</w:t>
            </w: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水土流失</w:t>
            </w:r>
          </w:p>
        </w:tc>
        <w:tc>
          <w:tcPr>
            <w:tcW w:w="1408"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地表覆盖物改变导致水土流失，自然景观部分被工业、城市建筑（景观）替代，原景观破碎。</w:t>
            </w:r>
          </w:p>
        </w:tc>
        <w:tc>
          <w:tcPr>
            <w:tcW w:w="969"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w:t>
            </w:r>
          </w:p>
        </w:tc>
        <w:tc>
          <w:tcPr>
            <w:tcW w:w="613"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建设施工期</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植被</w:t>
            </w:r>
          </w:p>
        </w:tc>
        <w:tc>
          <w:tcPr>
            <w:tcW w:w="1408"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969"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地质灾害</w:t>
            </w:r>
          </w:p>
        </w:tc>
        <w:tc>
          <w:tcPr>
            <w:tcW w:w="1408"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969"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景观</w:t>
            </w:r>
          </w:p>
        </w:tc>
        <w:tc>
          <w:tcPr>
            <w:tcW w:w="1408"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969"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社会环境</w:t>
            </w: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地方财政</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提高地方财政收入</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苍溪县</w:t>
            </w:r>
          </w:p>
        </w:tc>
        <w:tc>
          <w:tcPr>
            <w:tcW w:w="613"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规划期及其后较长时间</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2"/>
            </w:r>
            <w:r>
              <w:rPr>
                <w:rFonts w:ascii="Times New Roman" w:hAnsi="Times New Roman" w:eastAsia="宋体" w:cs="Times New Roman"/>
                <w:bCs/>
                <w:color w:val="7030A0"/>
                <w:kern w:val="2"/>
                <w:sz w:val="21"/>
                <w:szCs w:val="21"/>
                <w:highlight w:val="none"/>
                <w:lang w:val="en-US" w:eastAsia="zh-CN" w:bidi="ar-SA"/>
              </w:rPr>
              <w:sym w:font="Wingdings 3" w:char="F072"/>
            </w:r>
            <w:r>
              <w:rPr>
                <w:rFonts w:ascii="Times New Roman" w:hAnsi="Times New Roman" w:eastAsia="宋体" w:cs="Times New Roman"/>
                <w:bCs/>
                <w:color w:val="7030A0"/>
                <w:kern w:val="2"/>
                <w:sz w:val="21"/>
                <w:szCs w:val="21"/>
                <w:highlight w:val="none"/>
                <w:lang w:val="en-US" w:eastAsia="zh-CN" w:bidi="ar-SA"/>
              </w:rPr>
              <w:sym w:font="Wingdings 3" w:char="F07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经济增长方式</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推进了苍溪经济结构的优化升级，发展数字经济产业链</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w:t>
            </w: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2"/>
            </w:r>
            <w:r>
              <w:rPr>
                <w:rFonts w:ascii="Times New Roman" w:hAnsi="Times New Roman" w:eastAsia="宋体" w:cs="Times New Roman"/>
                <w:bCs/>
                <w:color w:val="7030A0"/>
                <w:kern w:val="2"/>
                <w:sz w:val="21"/>
                <w:szCs w:val="21"/>
                <w:highlight w:val="none"/>
                <w:lang w:val="en-US" w:eastAsia="zh-CN" w:bidi="ar-SA"/>
              </w:rPr>
              <w:sym w:font="Wingdings 3" w:char="F072"/>
            </w:r>
            <w:r>
              <w:rPr>
                <w:rFonts w:ascii="Times New Roman" w:hAnsi="Times New Roman" w:eastAsia="宋体" w:cs="Times New Roman"/>
                <w:bCs/>
                <w:color w:val="7030A0"/>
                <w:kern w:val="2"/>
                <w:sz w:val="21"/>
                <w:szCs w:val="21"/>
                <w:highlight w:val="none"/>
                <w:lang w:val="en-US" w:eastAsia="zh-CN" w:bidi="ar-SA"/>
              </w:rPr>
              <w:sym w:font="Wingdings 3" w:char="F07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经济及产业结构</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提高高新技术产业比重</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苍溪县</w:t>
            </w: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2"/>
            </w:r>
            <w:r>
              <w:rPr>
                <w:rFonts w:ascii="Times New Roman" w:hAnsi="Times New Roman" w:eastAsia="宋体" w:cs="Times New Roman"/>
                <w:bCs/>
                <w:color w:val="7030A0"/>
                <w:kern w:val="2"/>
                <w:sz w:val="21"/>
                <w:szCs w:val="21"/>
                <w:highlight w:val="none"/>
                <w:lang w:val="en-US" w:eastAsia="zh-CN" w:bidi="ar-SA"/>
              </w:rPr>
              <w:sym w:font="Wingdings 3" w:char="F072"/>
            </w:r>
            <w:r>
              <w:rPr>
                <w:rFonts w:ascii="Times New Roman" w:hAnsi="Times New Roman" w:eastAsia="宋体" w:cs="Times New Roman"/>
                <w:bCs/>
                <w:color w:val="7030A0"/>
                <w:kern w:val="2"/>
                <w:sz w:val="21"/>
                <w:szCs w:val="21"/>
                <w:highlight w:val="none"/>
                <w:lang w:val="en-US" w:eastAsia="zh-CN" w:bidi="ar-SA"/>
              </w:rPr>
              <w:sym w:font="Wingdings 3" w:char="F07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城市居民生活质量</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收入提高，生活质量改善</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苍溪县</w:t>
            </w: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2"/>
            </w:r>
            <w:r>
              <w:rPr>
                <w:rFonts w:ascii="Times New Roman" w:hAnsi="Times New Roman" w:eastAsia="宋体" w:cs="Times New Roman"/>
                <w:bCs/>
                <w:color w:val="7030A0"/>
                <w:kern w:val="2"/>
                <w:sz w:val="21"/>
                <w:szCs w:val="21"/>
                <w:highlight w:val="none"/>
                <w:lang w:val="en-US" w:eastAsia="zh-CN" w:bidi="ar-SA"/>
              </w:rPr>
              <w:sym w:font="Wingdings 3" w:char="F07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就业</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提高地方就业率</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苍溪县</w:t>
            </w: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2"/>
            </w:r>
            <w:r>
              <w:rPr>
                <w:rFonts w:ascii="Times New Roman" w:hAnsi="Times New Roman" w:eastAsia="宋体" w:cs="Times New Roman"/>
                <w:bCs/>
                <w:color w:val="7030A0"/>
                <w:kern w:val="2"/>
                <w:sz w:val="21"/>
                <w:szCs w:val="21"/>
                <w:highlight w:val="none"/>
                <w:lang w:val="en-US" w:eastAsia="zh-CN" w:bidi="ar-SA"/>
              </w:rPr>
              <w:sym w:font="Wingdings 3" w:char="F07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环境风险</w:t>
            </w: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地表水</w:t>
            </w:r>
          </w:p>
        </w:tc>
        <w:tc>
          <w:tcPr>
            <w:tcW w:w="1408"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火灾、爆炸、腐蚀、泄漏等事故导致环境风险</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区域评价河段</w:t>
            </w:r>
          </w:p>
        </w:tc>
        <w:tc>
          <w:tcPr>
            <w:tcW w:w="613"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规划期及其后较长时间</w:t>
            </w:r>
          </w:p>
        </w:tc>
        <w:tc>
          <w:tcPr>
            <w:tcW w:w="733"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大气</w:t>
            </w:r>
          </w:p>
        </w:tc>
        <w:tc>
          <w:tcPr>
            <w:tcW w:w="1408"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工业企业周围5km范围</w:t>
            </w: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人群聚居区</w:t>
            </w:r>
          </w:p>
        </w:tc>
        <w:tc>
          <w:tcPr>
            <w:tcW w:w="1408"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规划区及周边环境敏感目标</w:t>
            </w: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bookmarkStart w:id="33" w:name="_Toc55340233"/>
            <w:bookmarkStart w:id="34" w:name="_Toc67265280"/>
            <w:bookmarkStart w:id="35" w:name="_Toc70498012"/>
            <w:bookmarkStart w:id="36" w:name="_Toc66877624"/>
            <w:bookmarkStart w:id="37" w:name="_Toc185"/>
            <w:bookmarkStart w:id="38" w:name="_Toc66891850"/>
            <w:bookmarkStart w:id="39" w:name="_Toc69242230"/>
            <w:bookmarkStart w:id="40" w:name="_Toc66726140"/>
            <w:bookmarkStart w:id="41" w:name="_Toc62144990"/>
            <w:bookmarkStart w:id="42" w:name="_Toc59998714"/>
            <w:bookmarkStart w:id="43" w:name="_Toc66883823"/>
            <w:bookmarkStart w:id="44" w:name="_Toc66059166"/>
            <w:bookmarkStart w:id="45" w:name="_Toc61249595"/>
            <w:r>
              <w:rPr>
                <w:rFonts w:ascii="Times New Roman" w:hAnsi="Times New Roman" w:eastAsia="宋体" w:cs="Times New Roman"/>
                <w:bCs/>
                <w:color w:val="7030A0"/>
                <w:kern w:val="2"/>
                <w:sz w:val="21"/>
                <w:szCs w:val="21"/>
                <w:highlight w:val="none"/>
                <w:lang w:val="en-US" w:eastAsia="zh-CN" w:bidi="ar-SA"/>
              </w:rPr>
              <w:t>施工期</w:t>
            </w:r>
            <w:bookmarkEnd w:id="33"/>
            <w:bookmarkEnd w:id="34"/>
            <w:bookmarkEnd w:id="35"/>
            <w:bookmarkEnd w:id="36"/>
            <w:bookmarkEnd w:id="37"/>
            <w:bookmarkEnd w:id="38"/>
            <w:bookmarkEnd w:id="39"/>
            <w:bookmarkEnd w:id="40"/>
            <w:bookmarkEnd w:id="41"/>
            <w:bookmarkEnd w:id="42"/>
            <w:bookmarkEnd w:id="43"/>
            <w:bookmarkEnd w:id="44"/>
            <w:bookmarkEnd w:id="45"/>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水土流失</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地表覆盖物改变导致水土流失，自然景观部分被工业建筑（景观）替代，原景观破碎。</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w:t>
            </w:r>
          </w:p>
        </w:tc>
        <w:tc>
          <w:tcPr>
            <w:tcW w:w="613"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建设施工期</w:t>
            </w: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占地</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临时占用土地</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w:t>
            </w: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交通</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交通堵塞/事故/增加出行时间</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规划区及周边区域</w:t>
            </w: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取土</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地坪垫高需要大量的土方</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w:t>
            </w: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噪声与振动</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对施工工人或邻近居民产生一定影响</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规划区及及就近居民区</w:t>
            </w: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施工废水</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施工废水排放可能增加区域地表水污染负荷</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嘉陵江</w:t>
            </w:r>
            <w:r>
              <w:rPr>
                <w:rFonts w:ascii="Times New Roman" w:hAnsi="Times New Roman" w:eastAsia="宋体" w:cs="Times New Roman"/>
                <w:bCs/>
                <w:color w:val="7030A0"/>
                <w:kern w:val="2"/>
                <w:sz w:val="21"/>
                <w:szCs w:val="21"/>
                <w:highlight w:val="none"/>
                <w:lang w:val="en-US" w:eastAsia="zh-CN" w:bidi="ar-SA"/>
              </w:rPr>
              <w:t>就近地表水体</w:t>
            </w: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扬尘与废气</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扬尘和施工机械尾气排放</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规划区及周边区域</w:t>
            </w: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461"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81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固体废物</w:t>
            </w:r>
          </w:p>
        </w:tc>
        <w:tc>
          <w:tcPr>
            <w:tcW w:w="1408"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弃土、建筑垃圾及生活垃圾处置/影响</w:t>
            </w:r>
          </w:p>
        </w:tc>
        <w:tc>
          <w:tcPr>
            <w:tcW w:w="969"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规划区</w:t>
            </w:r>
          </w:p>
        </w:tc>
        <w:tc>
          <w:tcPr>
            <w:tcW w:w="613"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733"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sym w:font="Wingdings 3" w:char="F070"/>
            </w:r>
            <w:r>
              <w:rPr>
                <w:rFonts w:ascii="Times New Roman" w:hAnsi="Times New Roman" w:eastAsia="宋体" w:cs="Times New Roman"/>
                <w:bCs/>
                <w:color w:val="7030A0"/>
                <w:kern w:val="2"/>
                <w:sz w:val="21"/>
                <w:szCs w:val="21"/>
                <w:highlight w:val="none"/>
                <w:lang w:val="en-US" w:eastAsia="zh-CN" w:bidi="ar-SA"/>
              </w:rPr>
              <w:sym w:font="Wingdings 3" w:char="F070"/>
            </w:r>
          </w:p>
        </w:tc>
      </w:tr>
    </w:tbl>
    <w:p>
      <w:pPr>
        <w:widowControl w:val="0"/>
        <w:adjustRightInd w:val="0"/>
        <w:snapToGrid w:val="0"/>
        <w:spacing w:line="240" w:lineRule="auto"/>
        <w:ind w:firstLine="480" w:firstLineChars="0"/>
        <w:jc w:val="both"/>
        <w:rPr>
          <w:rFonts w:ascii="Times New Roman" w:hAnsi="Times New Roman" w:eastAsia="宋体" w:cs="Times New Roman"/>
          <w:bCs/>
          <w:color w:val="7030A0"/>
          <w:kern w:val="2"/>
          <w:sz w:val="18"/>
          <w:szCs w:val="18"/>
          <w:highlight w:val="none"/>
          <w:lang w:val="en-US" w:eastAsia="zh-CN" w:bidi="ar-SA"/>
        </w:rPr>
      </w:pPr>
      <w:r>
        <w:rPr>
          <w:rFonts w:hint="eastAsia" w:ascii="Times New Roman" w:hAnsi="Times New Roman" w:eastAsia="宋体" w:cs="Times New Roman"/>
          <w:bCs/>
          <w:color w:val="7030A0"/>
          <w:kern w:val="2"/>
          <w:sz w:val="18"/>
          <w:szCs w:val="18"/>
          <w:highlight w:val="none"/>
          <w:lang w:val="en-US" w:eastAsia="zh-CN" w:bidi="ar-SA"/>
        </w:rPr>
        <w:t>注：</w:t>
      </w:r>
      <w:r>
        <w:rPr>
          <w:rFonts w:ascii="Times New Roman" w:hAnsi="Times New Roman" w:eastAsia="宋体" w:cs="Times New Roman"/>
          <w:bCs/>
          <w:color w:val="7030A0"/>
          <w:kern w:val="2"/>
          <w:sz w:val="18"/>
          <w:szCs w:val="18"/>
          <w:highlight w:val="none"/>
          <w:lang w:val="en-US" w:eastAsia="zh-CN" w:bidi="ar-SA"/>
        </w:rPr>
        <w:sym w:font="Wingdings 3" w:char="F072"/>
      </w:r>
      <w:r>
        <w:rPr>
          <w:rFonts w:hint="eastAsia" w:ascii="Times New Roman" w:hAnsi="Times New Roman" w:eastAsia="宋体" w:cs="Times New Roman"/>
          <w:bCs/>
          <w:color w:val="7030A0"/>
          <w:kern w:val="2"/>
          <w:sz w:val="18"/>
          <w:szCs w:val="18"/>
          <w:highlight w:val="none"/>
          <w:lang w:val="en-US" w:eastAsia="zh-CN" w:bidi="ar-SA"/>
        </w:rPr>
        <w:t>表示弱正影响，</w:t>
      </w:r>
      <w:r>
        <w:rPr>
          <w:rFonts w:ascii="Times New Roman" w:hAnsi="Times New Roman" w:eastAsia="宋体" w:cs="Times New Roman"/>
          <w:bCs/>
          <w:color w:val="7030A0"/>
          <w:kern w:val="2"/>
          <w:sz w:val="18"/>
          <w:szCs w:val="18"/>
          <w:highlight w:val="none"/>
          <w:lang w:val="en-US" w:eastAsia="zh-CN" w:bidi="ar-SA"/>
        </w:rPr>
        <w:sym w:font="Wingdings 3" w:char="F072"/>
      </w:r>
      <w:r>
        <w:rPr>
          <w:rFonts w:ascii="Times New Roman" w:hAnsi="Times New Roman" w:eastAsia="宋体" w:cs="Times New Roman"/>
          <w:bCs/>
          <w:color w:val="7030A0"/>
          <w:kern w:val="2"/>
          <w:sz w:val="18"/>
          <w:szCs w:val="18"/>
          <w:highlight w:val="none"/>
          <w:lang w:val="en-US" w:eastAsia="zh-CN" w:bidi="ar-SA"/>
        </w:rPr>
        <w:sym w:font="Wingdings 3" w:char="F072"/>
      </w:r>
      <w:r>
        <w:rPr>
          <w:rFonts w:hint="eastAsia" w:ascii="Times New Roman" w:hAnsi="Times New Roman" w:eastAsia="宋体" w:cs="Times New Roman"/>
          <w:bCs/>
          <w:color w:val="7030A0"/>
          <w:kern w:val="2"/>
          <w:sz w:val="18"/>
          <w:szCs w:val="18"/>
          <w:highlight w:val="none"/>
          <w:lang w:val="en-US" w:eastAsia="zh-CN" w:bidi="ar-SA"/>
        </w:rPr>
        <w:t>表示一般正影响，</w:t>
      </w:r>
      <w:r>
        <w:rPr>
          <w:rFonts w:ascii="Times New Roman" w:hAnsi="Times New Roman" w:eastAsia="宋体" w:cs="Times New Roman"/>
          <w:bCs/>
          <w:color w:val="7030A0"/>
          <w:kern w:val="2"/>
          <w:sz w:val="18"/>
          <w:szCs w:val="18"/>
          <w:highlight w:val="none"/>
          <w:lang w:val="en-US" w:eastAsia="zh-CN" w:bidi="ar-SA"/>
        </w:rPr>
        <w:sym w:font="Wingdings 3" w:char="F072"/>
      </w:r>
      <w:r>
        <w:rPr>
          <w:rFonts w:ascii="Times New Roman" w:hAnsi="Times New Roman" w:eastAsia="宋体" w:cs="Times New Roman"/>
          <w:bCs/>
          <w:color w:val="7030A0"/>
          <w:kern w:val="2"/>
          <w:sz w:val="18"/>
          <w:szCs w:val="18"/>
          <w:highlight w:val="none"/>
          <w:lang w:val="en-US" w:eastAsia="zh-CN" w:bidi="ar-SA"/>
        </w:rPr>
        <w:sym w:font="Wingdings 3" w:char="F072"/>
      </w:r>
      <w:r>
        <w:rPr>
          <w:rFonts w:ascii="Times New Roman" w:hAnsi="Times New Roman" w:eastAsia="宋体" w:cs="Times New Roman"/>
          <w:bCs/>
          <w:color w:val="7030A0"/>
          <w:kern w:val="2"/>
          <w:sz w:val="18"/>
          <w:szCs w:val="18"/>
          <w:highlight w:val="none"/>
          <w:lang w:val="en-US" w:eastAsia="zh-CN" w:bidi="ar-SA"/>
        </w:rPr>
        <w:sym w:font="Wingdings 3" w:char="F072"/>
      </w:r>
      <w:r>
        <w:rPr>
          <w:rFonts w:hint="eastAsia" w:ascii="Times New Roman" w:hAnsi="Times New Roman" w:eastAsia="宋体" w:cs="Times New Roman"/>
          <w:bCs/>
          <w:color w:val="7030A0"/>
          <w:kern w:val="2"/>
          <w:sz w:val="18"/>
          <w:szCs w:val="18"/>
          <w:highlight w:val="none"/>
          <w:lang w:val="en-US" w:eastAsia="zh-CN" w:bidi="ar-SA"/>
        </w:rPr>
        <w:t>表示强正影响；</w:t>
      </w:r>
      <w:r>
        <w:rPr>
          <w:rFonts w:ascii="Times New Roman" w:hAnsi="Times New Roman" w:eastAsia="宋体" w:cs="Times New Roman"/>
          <w:bCs/>
          <w:color w:val="7030A0"/>
          <w:kern w:val="2"/>
          <w:sz w:val="18"/>
          <w:szCs w:val="18"/>
          <w:highlight w:val="none"/>
          <w:lang w:val="en-US" w:eastAsia="zh-CN" w:bidi="ar-SA"/>
        </w:rPr>
        <w:sym w:font="Wingdings 3" w:char="F070"/>
      </w:r>
      <w:r>
        <w:rPr>
          <w:rFonts w:hint="eastAsia" w:ascii="Times New Roman" w:hAnsi="Times New Roman" w:eastAsia="宋体" w:cs="Times New Roman"/>
          <w:bCs/>
          <w:color w:val="7030A0"/>
          <w:kern w:val="2"/>
          <w:sz w:val="18"/>
          <w:szCs w:val="18"/>
          <w:highlight w:val="none"/>
          <w:lang w:val="en-US" w:eastAsia="zh-CN" w:bidi="ar-SA"/>
        </w:rPr>
        <w:t>表示弱负影响，</w:t>
      </w:r>
      <w:r>
        <w:rPr>
          <w:rFonts w:ascii="Times New Roman" w:hAnsi="Times New Roman" w:eastAsia="宋体" w:cs="Times New Roman"/>
          <w:bCs/>
          <w:color w:val="7030A0"/>
          <w:kern w:val="2"/>
          <w:sz w:val="18"/>
          <w:szCs w:val="18"/>
          <w:highlight w:val="none"/>
          <w:lang w:val="en-US" w:eastAsia="zh-CN" w:bidi="ar-SA"/>
        </w:rPr>
        <w:sym w:font="Wingdings 3" w:char="F070"/>
      </w:r>
      <w:r>
        <w:rPr>
          <w:rFonts w:ascii="Times New Roman" w:hAnsi="Times New Roman" w:eastAsia="宋体" w:cs="Times New Roman"/>
          <w:bCs/>
          <w:color w:val="7030A0"/>
          <w:kern w:val="2"/>
          <w:sz w:val="18"/>
          <w:szCs w:val="18"/>
          <w:highlight w:val="none"/>
          <w:lang w:val="en-US" w:eastAsia="zh-CN" w:bidi="ar-SA"/>
        </w:rPr>
        <w:sym w:font="Wingdings 3" w:char="F070"/>
      </w:r>
      <w:r>
        <w:rPr>
          <w:rFonts w:hint="eastAsia" w:ascii="Times New Roman" w:hAnsi="Times New Roman" w:eastAsia="宋体" w:cs="Times New Roman"/>
          <w:bCs/>
          <w:color w:val="7030A0"/>
          <w:kern w:val="2"/>
          <w:sz w:val="18"/>
          <w:szCs w:val="18"/>
          <w:highlight w:val="none"/>
          <w:lang w:val="en-US" w:eastAsia="zh-CN" w:bidi="ar-SA"/>
        </w:rPr>
        <w:t>表示一般负影响，</w:t>
      </w:r>
      <w:r>
        <w:rPr>
          <w:rFonts w:ascii="Times New Roman" w:hAnsi="Times New Roman" w:eastAsia="宋体" w:cs="Times New Roman"/>
          <w:bCs/>
          <w:color w:val="7030A0"/>
          <w:kern w:val="2"/>
          <w:sz w:val="18"/>
          <w:szCs w:val="18"/>
          <w:highlight w:val="none"/>
          <w:lang w:val="en-US" w:eastAsia="zh-CN" w:bidi="ar-SA"/>
        </w:rPr>
        <w:sym w:font="Wingdings 3" w:char="F070"/>
      </w:r>
      <w:r>
        <w:rPr>
          <w:rFonts w:ascii="Times New Roman" w:hAnsi="Times New Roman" w:eastAsia="宋体" w:cs="Times New Roman"/>
          <w:bCs/>
          <w:color w:val="7030A0"/>
          <w:kern w:val="2"/>
          <w:sz w:val="18"/>
          <w:szCs w:val="18"/>
          <w:highlight w:val="none"/>
          <w:lang w:val="en-US" w:eastAsia="zh-CN" w:bidi="ar-SA"/>
        </w:rPr>
        <w:sym w:font="Wingdings 3" w:char="F070"/>
      </w:r>
      <w:r>
        <w:rPr>
          <w:rFonts w:ascii="Times New Roman" w:hAnsi="Times New Roman" w:eastAsia="宋体" w:cs="Times New Roman"/>
          <w:bCs/>
          <w:color w:val="7030A0"/>
          <w:kern w:val="2"/>
          <w:sz w:val="18"/>
          <w:szCs w:val="18"/>
          <w:highlight w:val="none"/>
          <w:lang w:val="en-US" w:eastAsia="zh-CN" w:bidi="ar-SA"/>
        </w:rPr>
        <w:sym w:font="Wingdings 3" w:char="F070"/>
      </w:r>
      <w:r>
        <w:rPr>
          <w:rFonts w:hint="eastAsia" w:ascii="Times New Roman" w:hAnsi="Times New Roman" w:eastAsia="宋体" w:cs="Times New Roman"/>
          <w:bCs/>
          <w:color w:val="7030A0"/>
          <w:kern w:val="2"/>
          <w:sz w:val="18"/>
          <w:szCs w:val="18"/>
          <w:highlight w:val="none"/>
          <w:lang w:val="en-US" w:eastAsia="zh-CN" w:bidi="ar-SA"/>
        </w:rPr>
        <w:t>表示强负影响。</w:t>
      </w:r>
    </w:p>
    <w:p>
      <w:pPr>
        <w:ind w:firstLine="480"/>
        <w:rPr>
          <w:rFonts w:eastAsia="宋体" w:cs="Times New Roman"/>
          <w:color w:val="7030A0"/>
          <w:highlight w:val="none"/>
        </w:rPr>
      </w:pPr>
      <w:r>
        <w:rPr>
          <w:rFonts w:hint="eastAsia" w:eastAsia="宋体" w:cs="Times New Roman"/>
          <w:color w:val="7030A0"/>
          <w:highlight w:val="none"/>
        </w:rPr>
        <w:t>环境影响识别表明，本次规划的环境影响主要表现在几个方面：</w:t>
      </w:r>
    </w:p>
    <w:p>
      <w:pPr>
        <w:ind w:firstLine="480"/>
        <w:rPr>
          <w:rFonts w:eastAsia="宋体" w:cs="Times New Roman"/>
          <w:color w:val="7030A0"/>
          <w:highlight w:val="none"/>
        </w:rPr>
      </w:pPr>
      <w:r>
        <w:rPr>
          <w:rFonts w:hint="eastAsia" w:eastAsia="宋体" w:cs="Times New Roman"/>
          <w:color w:val="7030A0"/>
          <w:highlight w:val="none"/>
        </w:rPr>
        <w:t>（1）</w:t>
      </w:r>
      <w:r>
        <w:rPr>
          <w:rFonts w:hint="eastAsia" w:eastAsia="宋体" w:cs="Times New Roman"/>
          <w:color w:val="7030A0"/>
          <w:highlight w:val="none"/>
        </w:rPr>
        <w:tab/>
      </w:r>
      <w:r>
        <w:rPr>
          <w:rFonts w:hint="eastAsia" w:eastAsia="宋体" w:cs="Times New Roman"/>
          <w:color w:val="7030A0"/>
          <w:highlight w:val="none"/>
        </w:rPr>
        <w:t>工业废水、生活污水中COD、NH</w:t>
      </w:r>
      <w:r>
        <w:rPr>
          <w:rFonts w:hint="eastAsia" w:eastAsia="宋体" w:cs="Times New Roman"/>
          <w:color w:val="7030A0"/>
          <w:highlight w:val="none"/>
          <w:vertAlign w:val="subscript"/>
        </w:rPr>
        <w:t>3</w:t>
      </w:r>
      <w:r>
        <w:rPr>
          <w:rFonts w:hint="eastAsia" w:eastAsia="宋体" w:cs="Times New Roman"/>
          <w:color w:val="7030A0"/>
          <w:highlight w:val="none"/>
        </w:rPr>
        <w:t>-N、TP等污染物排放对地表水质及水环境容量的影响；</w:t>
      </w:r>
    </w:p>
    <w:p>
      <w:pPr>
        <w:ind w:firstLine="480"/>
        <w:rPr>
          <w:rFonts w:eastAsia="宋体" w:cs="Times New Roman"/>
          <w:color w:val="7030A0"/>
          <w:highlight w:val="none"/>
        </w:rPr>
      </w:pPr>
      <w:r>
        <w:rPr>
          <w:rFonts w:hint="eastAsia" w:eastAsia="宋体" w:cs="Times New Roman"/>
          <w:color w:val="7030A0"/>
          <w:highlight w:val="none"/>
        </w:rPr>
        <w:t>（2）</w:t>
      </w:r>
      <w:r>
        <w:rPr>
          <w:rFonts w:hint="eastAsia" w:eastAsia="宋体" w:cs="Times New Roman"/>
          <w:color w:val="7030A0"/>
          <w:highlight w:val="none"/>
        </w:rPr>
        <w:tab/>
      </w:r>
      <w:r>
        <w:rPr>
          <w:rFonts w:hint="eastAsia" w:eastAsia="宋体" w:cs="Times New Roman"/>
          <w:color w:val="7030A0"/>
          <w:highlight w:val="none"/>
        </w:rPr>
        <w:t>地表径流、地下污染中污染物对区域地下水环境质量的影响；</w:t>
      </w:r>
    </w:p>
    <w:p>
      <w:pPr>
        <w:ind w:firstLine="480"/>
        <w:rPr>
          <w:rFonts w:eastAsia="宋体" w:cs="Times New Roman"/>
          <w:color w:val="7030A0"/>
          <w:highlight w:val="none"/>
        </w:rPr>
      </w:pPr>
      <w:r>
        <w:rPr>
          <w:rFonts w:hint="eastAsia" w:eastAsia="宋体" w:cs="Times New Roman"/>
          <w:color w:val="7030A0"/>
          <w:highlight w:val="none"/>
        </w:rPr>
        <w:t>（3）</w:t>
      </w:r>
      <w:r>
        <w:rPr>
          <w:rFonts w:hint="eastAsia" w:eastAsia="宋体" w:cs="Times New Roman"/>
          <w:color w:val="7030A0"/>
          <w:highlight w:val="none"/>
        </w:rPr>
        <w:tab/>
      </w:r>
      <w:r>
        <w:rPr>
          <w:rFonts w:hint="eastAsia" w:eastAsia="宋体" w:cs="Times New Roman"/>
          <w:color w:val="7030A0"/>
          <w:highlight w:val="none"/>
        </w:rPr>
        <w:t>工业废气中污染物的排放，特别是氟化物的排放，对区域大气环境质量、及保护目标的影响；</w:t>
      </w:r>
    </w:p>
    <w:p>
      <w:pPr>
        <w:ind w:firstLine="480"/>
        <w:rPr>
          <w:rFonts w:eastAsia="宋体" w:cs="Times New Roman"/>
          <w:color w:val="7030A0"/>
          <w:highlight w:val="none"/>
        </w:rPr>
      </w:pPr>
      <w:r>
        <w:rPr>
          <w:rFonts w:hint="eastAsia" w:eastAsia="宋体" w:cs="Times New Roman"/>
          <w:color w:val="7030A0"/>
          <w:highlight w:val="none"/>
        </w:rPr>
        <w:t>（4）</w:t>
      </w:r>
      <w:r>
        <w:rPr>
          <w:rFonts w:hint="eastAsia" w:eastAsia="宋体" w:cs="Times New Roman"/>
          <w:color w:val="7030A0"/>
          <w:highlight w:val="none"/>
        </w:rPr>
        <w:tab/>
      </w:r>
      <w:r>
        <w:rPr>
          <w:rFonts w:hint="eastAsia" w:eastAsia="宋体" w:cs="Times New Roman"/>
          <w:color w:val="7030A0"/>
          <w:highlight w:val="none"/>
        </w:rPr>
        <w:t>规划区征地拆迁对移民安置、区域土地利用的影响；</w:t>
      </w:r>
    </w:p>
    <w:p>
      <w:pPr>
        <w:ind w:firstLine="480"/>
        <w:rPr>
          <w:rFonts w:eastAsia="宋体" w:cs="Times New Roman"/>
          <w:color w:val="7030A0"/>
          <w:highlight w:val="none"/>
        </w:rPr>
      </w:pPr>
      <w:r>
        <w:rPr>
          <w:rFonts w:hint="eastAsia" w:eastAsia="宋体" w:cs="Times New Roman"/>
          <w:color w:val="7030A0"/>
          <w:highlight w:val="none"/>
        </w:rPr>
        <w:t>（5）</w:t>
      </w:r>
      <w:r>
        <w:rPr>
          <w:rFonts w:hint="eastAsia" w:eastAsia="宋体" w:cs="Times New Roman"/>
          <w:color w:val="7030A0"/>
          <w:highlight w:val="none"/>
        </w:rPr>
        <w:tab/>
      </w:r>
      <w:r>
        <w:rPr>
          <w:rFonts w:hint="eastAsia" w:eastAsia="宋体" w:cs="Times New Roman"/>
          <w:color w:val="7030A0"/>
          <w:highlight w:val="none"/>
        </w:rPr>
        <w:t>规划区基础设施建设及项目施工对区域地表植被、景观、水土流失影响；</w:t>
      </w:r>
    </w:p>
    <w:p>
      <w:pPr>
        <w:ind w:firstLine="480"/>
        <w:rPr>
          <w:rFonts w:eastAsia="宋体" w:cs="Times New Roman"/>
          <w:color w:val="7030A0"/>
          <w:highlight w:val="none"/>
        </w:rPr>
      </w:pPr>
      <w:r>
        <w:rPr>
          <w:rFonts w:hint="eastAsia" w:eastAsia="宋体" w:cs="Times New Roman"/>
          <w:color w:val="7030A0"/>
          <w:highlight w:val="none"/>
        </w:rPr>
        <w:t>（6）</w:t>
      </w:r>
      <w:r>
        <w:rPr>
          <w:rFonts w:hint="eastAsia" w:eastAsia="宋体" w:cs="Times New Roman"/>
          <w:color w:val="7030A0"/>
          <w:highlight w:val="none"/>
        </w:rPr>
        <w:tab/>
      </w:r>
      <w:r>
        <w:rPr>
          <w:rFonts w:hint="eastAsia" w:eastAsia="宋体" w:cs="Times New Roman"/>
          <w:color w:val="7030A0"/>
          <w:highlight w:val="none"/>
        </w:rPr>
        <w:t>规划活动对土地资源、水资源、能源消耗的影响；</w:t>
      </w:r>
    </w:p>
    <w:p>
      <w:pPr>
        <w:ind w:firstLine="480"/>
        <w:rPr>
          <w:rFonts w:eastAsia="宋体" w:cs="Times New Roman"/>
          <w:color w:val="7030A0"/>
          <w:highlight w:val="none"/>
        </w:rPr>
      </w:pPr>
      <w:r>
        <w:rPr>
          <w:rFonts w:hint="eastAsia" w:eastAsia="宋体" w:cs="Times New Roman"/>
          <w:color w:val="7030A0"/>
          <w:highlight w:val="none"/>
        </w:rPr>
        <w:t>（7）</w:t>
      </w:r>
      <w:r>
        <w:rPr>
          <w:rFonts w:hint="eastAsia" w:eastAsia="宋体" w:cs="Times New Roman"/>
          <w:color w:val="7030A0"/>
          <w:highlight w:val="none"/>
        </w:rPr>
        <w:tab/>
      </w:r>
      <w:r>
        <w:rPr>
          <w:rFonts w:hint="eastAsia" w:eastAsia="宋体" w:cs="Times New Roman"/>
          <w:color w:val="7030A0"/>
          <w:highlight w:val="none"/>
        </w:rPr>
        <w:t>对增加地方财政收入、调整区域产业结构、发展地方工业经济的正影响；</w:t>
      </w:r>
    </w:p>
    <w:p>
      <w:pPr>
        <w:ind w:firstLine="480"/>
        <w:rPr>
          <w:rFonts w:eastAsia="宋体" w:cs="Times New Roman"/>
          <w:color w:val="7030A0"/>
          <w:highlight w:val="none"/>
        </w:rPr>
      </w:pPr>
      <w:r>
        <w:rPr>
          <w:rFonts w:hint="eastAsia" w:eastAsia="宋体" w:cs="Times New Roman"/>
          <w:color w:val="7030A0"/>
          <w:highlight w:val="none"/>
        </w:rPr>
        <w:t>（8）</w:t>
      </w:r>
      <w:r>
        <w:rPr>
          <w:rFonts w:hint="eastAsia" w:eastAsia="宋体" w:cs="Times New Roman"/>
          <w:color w:val="7030A0"/>
          <w:highlight w:val="none"/>
        </w:rPr>
        <w:tab/>
      </w:r>
      <w:r>
        <w:rPr>
          <w:rFonts w:hint="eastAsia" w:eastAsia="宋体" w:cs="Times New Roman"/>
          <w:color w:val="7030A0"/>
          <w:highlight w:val="none"/>
        </w:rPr>
        <w:t>对提高人民生活质量，增加收入和就业机会的正影响。</w:t>
      </w:r>
    </w:p>
    <w:p>
      <w:pPr>
        <w:keepNext/>
        <w:keepLines/>
        <w:widowControl w:val="0"/>
        <w:numPr>
          <w:ilvl w:val="1"/>
          <w:numId w:val="9"/>
        </w:numPr>
        <w:spacing w:line="480" w:lineRule="auto"/>
        <w:ind w:left="576" w:hanging="576" w:firstLineChars="0"/>
        <w:jc w:val="both"/>
        <w:outlineLvl w:val="1"/>
        <w:rPr>
          <w:rFonts w:ascii="Times New Roman" w:hAnsi="Times New Roman" w:eastAsia="黑体" w:cs="Times New Roman"/>
          <w:bCs/>
          <w:color w:val="7030A0"/>
          <w:kern w:val="2"/>
          <w:sz w:val="32"/>
          <w:szCs w:val="32"/>
          <w:highlight w:val="none"/>
          <w:lang w:val="en-US" w:eastAsia="zh-CN" w:bidi="ar-SA"/>
        </w:rPr>
      </w:pPr>
      <w:r>
        <w:rPr>
          <w:rFonts w:hint="eastAsia" w:ascii="Times New Roman" w:hAnsi="Times New Roman" w:eastAsia="黑体" w:cs="Times New Roman"/>
          <w:bCs/>
          <w:color w:val="7030A0"/>
          <w:kern w:val="2"/>
          <w:sz w:val="32"/>
          <w:szCs w:val="32"/>
          <w:highlight w:val="none"/>
          <w:lang w:val="en-US" w:eastAsia="zh-CN" w:bidi="ar-SA"/>
        </w:rPr>
        <w:t>评价指标体系</w:t>
      </w:r>
    </w:p>
    <w:p>
      <w:pPr>
        <w:ind w:firstLine="480"/>
        <w:rPr>
          <w:rFonts w:eastAsia="宋体" w:cs="Times New Roman"/>
          <w:color w:val="7030A0"/>
          <w:highlight w:val="none"/>
        </w:rPr>
      </w:pPr>
      <w:r>
        <w:rPr>
          <w:rFonts w:hint="eastAsia" w:eastAsia="宋体" w:cs="Times New Roman"/>
          <w:color w:val="7030A0"/>
          <w:highlight w:val="none"/>
        </w:rPr>
        <w:t>本次评价以环境影响识别为基础，结合近年来国家、四川省、广元市、苍溪县环境保护与管理相关政策文件要求，为实现区域环境目标可达，制定评价指标体系，环境保护评价指标体系及目标值见下表。</w:t>
      </w:r>
    </w:p>
    <w:p>
      <w:pPr>
        <w:widowControl w:val="0"/>
        <w:spacing w:after="163" w:afterLines="50" w:line="360" w:lineRule="auto"/>
        <w:ind w:firstLine="480" w:firstLineChars="200"/>
        <w:jc w:val="left"/>
        <w:rPr>
          <w:rFonts w:hint="eastAsia" w:ascii="Times New Roman" w:hAnsi="Times New Roman" w:eastAsia="宋体" w:cs="Times New Roman"/>
          <w:kern w:val="2"/>
          <w:sz w:val="24"/>
          <w:szCs w:val="22"/>
          <w:highlight w:val="none"/>
          <w:lang w:val="en-US" w:eastAsia="zh-CN" w:bidi="ar-SA"/>
        </w:rPr>
      </w:pPr>
    </w:p>
    <w:p>
      <w:pPr>
        <w:widowControl w:val="0"/>
        <w:spacing w:after="163" w:afterLines="50" w:line="360" w:lineRule="auto"/>
        <w:ind w:firstLine="0" w:firstLineChars="0"/>
        <w:jc w:val="left"/>
        <w:rPr>
          <w:rFonts w:ascii="Times New Roman" w:hAnsi="Times New Roman" w:eastAsia="宋体" w:cs="Times New Roman"/>
          <w:kern w:val="2"/>
          <w:sz w:val="24"/>
          <w:szCs w:val="22"/>
          <w:highlight w:val="none"/>
          <w:lang w:val="en-US" w:eastAsia="zh-CN" w:bidi="ar-SA"/>
        </w:rPr>
      </w:pPr>
    </w:p>
    <w:p>
      <w:pPr>
        <w:spacing w:after="163" w:line="360" w:lineRule="auto"/>
        <w:jc w:val="left"/>
        <w:rPr>
          <w:rFonts w:eastAsia="宋体"/>
          <w:sz w:val="24"/>
          <w:highlight w:val="none"/>
        </w:rPr>
        <w:sectPr>
          <w:pgSz w:w="11906" w:h="16838"/>
          <w:pgMar w:top="1440" w:right="1080" w:bottom="1440" w:left="1080" w:header="851" w:footer="992" w:gutter="0"/>
          <w:cols w:space="720" w:num="1"/>
          <w:docGrid w:type="lines" w:linePitch="326" w:charSpace="0"/>
        </w:sectPr>
      </w:pPr>
    </w:p>
    <w:p>
      <w:pPr>
        <w:widowControl w:val="0"/>
        <w:spacing w:line="360" w:lineRule="auto"/>
        <w:ind w:firstLine="0" w:firstLineChars="0"/>
        <w:jc w:val="center"/>
        <w:rPr>
          <w:rFonts w:ascii="黑体" w:hAnsi="黑体" w:eastAsia="黑体" w:cs="Times New Roman"/>
          <w:color w:val="7030A0"/>
          <w:kern w:val="2"/>
          <w:sz w:val="21"/>
          <w:szCs w:val="20"/>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表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5.1</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表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2</w:t>
      </w:r>
      <w:r>
        <w:rPr>
          <w:rFonts w:ascii="Times New Roman" w:hAnsi="Times New Roman" w:eastAsia="黑体" w:cs="Times New Roman"/>
          <w:color w:val="7030A0"/>
          <w:kern w:val="2"/>
          <w:sz w:val="21"/>
          <w:szCs w:val="20"/>
          <w:highlight w:val="none"/>
          <w:lang w:val="en-US" w:eastAsia="zh-CN" w:bidi="ar-SA"/>
        </w:rPr>
        <w:fldChar w:fldCharType="end"/>
      </w:r>
      <w:r>
        <w:rPr>
          <w:rFonts w:hint="eastAsia" w:ascii="黑体" w:hAnsi="黑体" w:eastAsia="黑体" w:cs="Times New Roman"/>
          <w:color w:val="7030A0"/>
          <w:kern w:val="2"/>
          <w:sz w:val="21"/>
          <w:szCs w:val="20"/>
          <w:highlight w:val="none"/>
          <w:lang w:val="en-US" w:eastAsia="zh-CN" w:bidi="ar-SA"/>
        </w:rPr>
        <w:t>本次规划环境保护评价指标体系构建依据情况汇总表</w:t>
      </w:r>
    </w:p>
    <w:tbl>
      <w:tblPr>
        <w:tblStyle w:val="39"/>
        <w:tblW w:w="5000" w:type="pct"/>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3"/>
        <w:gridCol w:w="524"/>
        <w:gridCol w:w="729"/>
        <w:gridCol w:w="549"/>
        <w:gridCol w:w="2559"/>
        <w:gridCol w:w="992"/>
        <w:gridCol w:w="1135"/>
        <w:gridCol w:w="4251"/>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blHeader/>
        </w:trPr>
        <w:tc>
          <w:tcPr>
            <w:tcW w:w="169" w:type="pct"/>
            <w:noWrap w:val="0"/>
            <w:vAlign w:val="center"/>
          </w:tcPr>
          <w:p>
            <w:pPr>
              <w:adjustRightInd w:val="0"/>
              <w:spacing w:line="240" w:lineRule="auto"/>
              <w:ind w:firstLine="0" w:firstLineChars="0"/>
              <w:jc w:val="center"/>
              <w:rPr>
                <w:rFonts w:eastAsia="宋体" w:cs="Times New Roman"/>
                <w:b/>
                <w:bCs/>
                <w:color w:val="7030A0"/>
                <w:sz w:val="21"/>
                <w:szCs w:val="21"/>
                <w:highlight w:val="none"/>
                <w:lang w:eastAsia="en-US"/>
              </w:rPr>
            </w:pPr>
            <w:r>
              <w:rPr>
                <w:rFonts w:eastAsia="宋体" w:cs="Times New Roman"/>
                <w:b/>
                <w:bCs/>
                <w:color w:val="7030A0"/>
                <w:sz w:val="21"/>
                <w:szCs w:val="21"/>
                <w:highlight w:val="none"/>
                <w:lang w:eastAsia="en-US"/>
              </w:rPr>
              <w:t>分类</w:t>
            </w:r>
          </w:p>
        </w:tc>
        <w:tc>
          <w:tcPr>
            <w:tcW w:w="187" w:type="pct"/>
            <w:noWrap w:val="0"/>
            <w:vAlign w:val="center"/>
          </w:tcPr>
          <w:p>
            <w:pPr>
              <w:adjustRightInd w:val="0"/>
              <w:spacing w:line="240" w:lineRule="auto"/>
              <w:ind w:firstLine="0" w:firstLineChars="0"/>
              <w:jc w:val="center"/>
              <w:rPr>
                <w:rFonts w:eastAsia="宋体" w:cs="Times New Roman"/>
                <w:b/>
                <w:bCs/>
                <w:color w:val="7030A0"/>
                <w:sz w:val="21"/>
                <w:szCs w:val="21"/>
                <w:highlight w:val="none"/>
                <w:lang w:eastAsia="en-US"/>
              </w:rPr>
            </w:pPr>
            <w:r>
              <w:rPr>
                <w:rFonts w:eastAsia="宋体" w:cs="Times New Roman"/>
                <w:b/>
                <w:bCs/>
                <w:color w:val="7030A0"/>
                <w:sz w:val="21"/>
                <w:szCs w:val="21"/>
                <w:highlight w:val="none"/>
                <w:lang w:eastAsia="en-US"/>
              </w:rPr>
              <w:t>序号</w:t>
            </w:r>
          </w:p>
        </w:tc>
        <w:tc>
          <w:tcPr>
            <w:tcW w:w="456" w:type="pct"/>
            <w:gridSpan w:val="2"/>
            <w:noWrap w:val="0"/>
            <w:vAlign w:val="center"/>
          </w:tcPr>
          <w:p>
            <w:pPr>
              <w:adjustRightInd w:val="0"/>
              <w:spacing w:line="240" w:lineRule="auto"/>
              <w:ind w:firstLine="0" w:firstLineChars="0"/>
              <w:jc w:val="center"/>
              <w:rPr>
                <w:rFonts w:eastAsia="宋体" w:cs="Times New Roman"/>
                <w:b/>
                <w:bCs/>
                <w:color w:val="7030A0"/>
                <w:sz w:val="21"/>
                <w:szCs w:val="21"/>
                <w:highlight w:val="none"/>
                <w:lang w:eastAsia="en-US"/>
              </w:rPr>
            </w:pPr>
            <w:r>
              <w:rPr>
                <w:rFonts w:eastAsia="宋体" w:cs="Times New Roman"/>
                <w:b/>
                <w:bCs/>
                <w:color w:val="7030A0"/>
                <w:sz w:val="21"/>
                <w:szCs w:val="21"/>
                <w:highlight w:val="none"/>
                <w:lang w:eastAsia="en-US"/>
              </w:rPr>
              <w:t>环境目标</w:t>
            </w:r>
          </w:p>
        </w:tc>
        <w:tc>
          <w:tcPr>
            <w:tcW w:w="913" w:type="pct"/>
            <w:noWrap w:val="0"/>
            <w:vAlign w:val="center"/>
          </w:tcPr>
          <w:p>
            <w:pPr>
              <w:adjustRightInd w:val="0"/>
              <w:spacing w:line="240" w:lineRule="auto"/>
              <w:ind w:firstLine="0" w:firstLineChars="0"/>
              <w:jc w:val="center"/>
              <w:rPr>
                <w:rFonts w:eastAsia="宋体" w:cs="Times New Roman"/>
                <w:b/>
                <w:bCs/>
                <w:color w:val="7030A0"/>
                <w:sz w:val="21"/>
                <w:szCs w:val="21"/>
                <w:highlight w:val="none"/>
                <w:lang w:eastAsia="en-US"/>
              </w:rPr>
            </w:pPr>
            <w:r>
              <w:rPr>
                <w:rFonts w:eastAsia="宋体" w:cs="Times New Roman"/>
                <w:b/>
                <w:bCs/>
                <w:color w:val="7030A0"/>
                <w:sz w:val="21"/>
                <w:szCs w:val="21"/>
                <w:highlight w:val="none"/>
                <w:lang w:eastAsia="en-US"/>
              </w:rPr>
              <w:t>评价指标</w:t>
            </w:r>
          </w:p>
        </w:tc>
        <w:tc>
          <w:tcPr>
            <w:tcW w:w="354" w:type="pct"/>
            <w:noWrap w:val="0"/>
            <w:vAlign w:val="center"/>
          </w:tcPr>
          <w:p>
            <w:pPr>
              <w:adjustRightInd w:val="0"/>
              <w:spacing w:line="240" w:lineRule="auto"/>
              <w:ind w:firstLine="0" w:firstLineChars="0"/>
              <w:jc w:val="center"/>
              <w:rPr>
                <w:rFonts w:eastAsia="宋体" w:cs="Times New Roman"/>
                <w:b/>
                <w:bCs/>
                <w:color w:val="7030A0"/>
                <w:sz w:val="21"/>
                <w:szCs w:val="21"/>
                <w:highlight w:val="none"/>
                <w:lang w:eastAsia="en-US"/>
              </w:rPr>
            </w:pPr>
            <w:r>
              <w:rPr>
                <w:rFonts w:eastAsia="宋体" w:cs="Times New Roman"/>
                <w:b/>
                <w:bCs/>
                <w:color w:val="7030A0"/>
                <w:sz w:val="21"/>
                <w:szCs w:val="21"/>
                <w:highlight w:val="none"/>
                <w:lang w:eastAsia="en-US"/>
              </w:rPr>
              <w:t>单位</w:t>
            </w:r>
          </w:p>
        </w:tc>
        <w:tc>
          <w:tcPr>
            <w:tcW w:w="405" w:type="pct"/>
            <w:noWrap w:val="0"/>
            <w:vAlign w:val="center"/>
          </w:tcPr>
          <w:p>
            <w:pPr>
              <w:adjustRightInd w:val="0"/>
              <w:spacing w:line="240" w:lineRule="auto"/>
              <w:ind w:firstLine="0" w:firstLineChars="0"/>
              <w:jc w:val="center"/>
              <w:rPr>
                <w:rFonts w:eastAsia="宋体" w:cs="Times New Roman"/>
                <w:b/>
                <w:bCs/>
                <w:color w:val="7030A0"/>
                <w:sz w:val="21"/>
                <w:szCs w:val="21"/>
                <w:highlight w:val="none"/>
                <w:lang w:eastAsia="en-US"/>
              </w:rPr>
            </w:pPr>
            <w:r>
              <w:rPr>
                <w:rFonts w:eastAsia="宋体" w:cs="Times New Roman"/>
                <w:b/>
                <w:bCs/>
                <w:color w:val="7030A0"/>
                <w:sz w:val="21"/>
                <w:szCs w:val="21"/>
                <w:highlight w:val="none"/>
                <w:lang w:eastAsia="en-US"/>
              </w:rPr>
              <w:t>目标年</w:t>
            </w:r>
          </w:p>
        </w:tc>
        <w:tc>
          <w:tcPr>
            <w:tcW w:w="1517" w:type="pct"/>
            <w:noWrap w:val="0"/>
            <w:vAlign w:val="center"/>
          </w:tcPr>
          <w:p>
            <w:pPr>
              <w:adjustRightInd w:val="0"/>
              <w:spacing w:line="240" w:lineRule="auto"/>
              <w:ind w:firstLine="0" w:firstLineChars="0"/>
              <w:jc w:val="center"/>
              <w:rPr>
                <w:rFonts w:eastAsia="宋体" w:cs="Times New Roman"/>
                <w:b/>
                <w:bCs/>
                <w:color w:val="7030A0"/>
                <w:sz w:val="21"/>
                <w:szCs w:val="21"/>
                <w:highlight w:val="none"/>
                <w:lang w:eastAsia="en-US"/>
              </w:rPr>
            </w:pPr>
            <w:r>
              <w:rPr>
                <w:rFonts w:eastAsia="宋体" w:cs="Times New Roman"/>
                <w:b/>
                <w:bCs/>
                <w:color w:val="7030A0"/>
                <w:sz w:val="21"/>
                <w:szCs w:val="21"/>
                <w:highlight w:val="none"/>
                <w:lang w:eastAsia="en-US"/>
              </w:rPr>
              <w:t>管控要求</w:t>
            </w:r>
          </w:p>
        </w:tc>
        <w:tc>
          <w:tcPr>
            <w:tcW w:w="999" w:type="pct"/>
            <w:noWrap w:val="0"/>
            <w:vAlign w:val="center"/>
          </w:tcPr>
          <w:p>
            <w:pPr>
              <w:adjustRightInd w:val="0"/>
              <w:spacing w:line="240" w:lineRule="auto"/>
              <w:ind w:firstLine="0" w:firstLineChars="0"/>
              <w:jc w:val="center"/>
              <w:rPr>
                <w:rFonts w:eastAsia="宋体" w:cs="Times New Roman"/>
                <w:b/>
                <w:bCs/>
                <w:color w:val="7030A0"/>
                <w:sz w:val="21"/>
                <w:szCs w:val="21"/>
                <w:highlight w:val="none"/>
                <w:lang w:eastAsia="en-US"/>
              </w:rPr>
            </w:pPr>
            <w:r>
              <w:rPr>
                <w:rFonts w:eastAsia="宋体" w:cs="Times New Roman"/>
                <w:b/>
                <w:bCs/>
                <w:color w:val="7030A0"/>
                <w:sz w:val="21"/>
                <w:szCs w:val="21"/>
                <w:highlight w:val="none"/>
                <w:lang w:eastAsia="en-US"/>
              </w:rPr>
              <w:t>设定依据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sz w:val="21"/>
                <w:szCs w:val="21"/>
                <w:highlight w:val="none"/>
                <w:lang w:eastAsia="en-US"/>
              </w:rPr>
              <w:t>资源效率评价</w:t>
            </w:r>
          </w:p>
        </w:tc>
        <w:tc>
          <w:tcPr>
            <w:tcW w:w="187"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w w:val="101"/>
                <w:sz w:val="21"/>
                <w:szCs w:val="21"/>
                <w:highlight w:val="none"/>
                <w:lang w:eastAsia="en-US"/>
              </w:rPr>
              <w:t>1</w:t>
            </w:r>
          </w:p>
        </w:tc>
        <w:tc>
          <w:tcPr>
            <w:tcW w:w="260"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sz w:val="21"/>
                <w:szCs w:val="21"/>
                <w:highlight w:val="none"/>
                <w:lang w:eastAsia="en-US"/>
              </w:rPr>
              <w:t>满足能效和能耗指标</w:t>
            </w:r>
          </w:p>
        </w:tc>
        <w:tc>
          <w:tcPr>
            <w:tcW w:w="196"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eastAsia="宋体" w:cs="Times New Roman"/>
                <w:bCs/>
                <w:color w:val="7030A0"/>
                <w:sz w:val="21"/>
                <w:szCs w:val="21"/>
                <w:highlight w:val="none"/>
                <w:lang w:eastAsia="en-US"/>
              </w:rPr>
              <w:t>能耗</w:t>
            </w:r>
          </w:p>
        </w:tc>
        <w:tc>
          <w:tcPr>
            <w:tcW w:w="913"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hint="eastAsia" w:eastAsia="宋体" w:cs="Times New Roman"/>
                <w:bCs/>
                <w:color w:val="7030A0"/>
                <w:sz w:val="21"/>
                <w:szCs w:val="21"/>
                <w:highlight w:val="none"/>
                <w:lang w:eastAsia="en-US"/>
              </w:rPr>
              <w:t>单位GDP能耗</w:t>
            </w:r>
          </w:p>
        </w:tc>
        <w:tc>
          <w:tcPr>
            <w:tcW w:w="354"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hint="eastAsia" w:eastAsia="宋体" w:cs="Times New Roman"/>
                <w:bCs/>
                <w:color w:val="7030A0"/>
                <w:sz w:val="21"/>
                <w:szCs w:val="21"/>
                <w:highlight w:val="none"/>
              </w:rPr>
              <w:t>%</w:t>
            </w:r>
          </w:p>
        </w:tc>
        <w:tc>
          <w:tcPr>
            <w:tcW w:w="405"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2025年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13</w:t>
            </w:r>
          </w:p>
        </w:tc>
        <w:tc>
          <w:tcPr>
            <w:tcW w:w="999" w:type="pct"/>
            <w:vMerge w:val="restar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生态环境分区管控成果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eastAsia="宋体" w:cs="Times New Roman"/>
                <w:bCs/>
                <w:color w:val="7030A0"/>
                <w:w w:val="101"/>
                <w:sz w:val="21"/>
                <w:szCs w:val="21"/>
                <w:highlight w:val="none"/>
              </w:rPr>
            </w:pPr>
          </w:p>
        </w:tc>
        <w:tc>
          <w:tcPr>
            <w:tcW w:w="260"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96"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碳排放</w:t>
            </w:r>
          </w:p>
        </w:tc>
        <w:tc>
          <w:tcPr>
            <w:tcW w:w="913"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单位工业增加值碳排放量</w:t>
            </w:r>
          </w:p>
        </w:tc>
        <w:tc>
          <w:tcPr>
            <w:tcW w:w="354"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tCO</w:t>
            </w:r>
            <w:r>
              <w:rPr>
                <w:rFonts w:hint="eastAsia" w:eastAsia="宋体" w:cs="Times New Roman"/>
                <w:bCs/>
                <w:color w:val="7030A0"/>
                <w:sz w:val="21"/>
                <w:szCs w:val="21"/>
                <w:highlight w:val="none"/>
                <w:vertAlign w:val="subscript"/>
              </w:rPr>
              <w:t>2</w:t>
            </w:r>
            <w:r>
              <w:rPr>
                <w:rFonts w:hint="eastAsia" w:eastAsia="宋体" w:cs="Times New Roman"/>
                <w:bCs/>
                <w:color w:val="7030A0"/>
                <w:sz w:val="21"/>
                <w:szCs w:val="21"/>
                <w:highlight w:val="none"/>
              </w:rPr>
              <w:t>/万元</w:t>
            </w:r>
          </w:p>
        </w:tc>
        <w:tc>
          <w:tcPr>
            <w:tcW w:w="405"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2025年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≤0.44</w:t>
            </w:r>
          </w:p>
        </w:tc>
        <w:tc>
          <w:tcPr>
            <w:tcW w:w="999" w:type="pct"/>
            <w:vMerge w:val="continue"/>
            <w:noWrap w:val="0"/>
            <w:vAlign w:val="center"/>
          </w:tcPr>
          <w:p>
            <w:pPr>
              <w:adjustRightInd w:val="0"/>
              <w:spacing w:line="240" w:lineRule="auto"/>
              <w:ind w:firstLine="0" w:firstLineChars="0"/>
              <w:jc w:val="center"/>
              <w:rPr>
                <w:rFonts w:eastAsia="宋体" w:cs="Times New Roman"/>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eastAsia="宋体" w:cs="Times New Roman"/>
                <w:bCs/>
                <w:color w:val="7030A0"/>
                <w:w w:val="101"/>
                <w:sz w:val="21"/>
                <w:szCs w:val="21"/>
                <w:highlight w:val="none"/>
              </w:rPr>
            </w:pPr>
          </w:p>
        </w:tc>
        <w:tc>
          <w:tcPr>
            <w:tcW w:w="260"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96" w:type="pct"/>
            <w:vMerge w:val="continue"/>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p>
        </w:tc>
        <w:tc>
          <w:tcPr>
            <w:tcW w:w="913" w:type="pct"/>
            <w:vMerge w:val="continue"/>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p>
        </w:tc>
        <w:tc>
          <w:tcPr>
            <w:tcW w:w="354"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tCO</w:t>
            </w:r>
            <w:r>
              <w:rPr>
                <w:rFonts w:hint="eastAsia" w:eastAsia="宋体" w:cs="Times New Roman"/>
                <w:bCs/>
                <w:color w:val="7030A0"/>
                <w:sz w:val="21"/>
                <w:szCs w:val="21"/>
                <w:highlight w:val="none"/>
                <w:vertAlign w:val="subscript"/>
              </w:rPr>
              <w:t>2</w:t>
            </w:r>
            <w:r>
              <w:rPr>
                <w:rFonts w:hint="eastAsia" w:eastAsia="宋体" w:cs="Times New Roman"/>
                <w:bCs/>
                <w:color w:val="7030A0"/>
                <w:sz w:val="21"/>
                <w:szCs w:val="21"/>
                <w:highlight w:val="none"/>
              </w:rPr>
              <w:t>/万元</w:t>
            </w:r>
          </w:p>
        </w:tc>
        <w:tc>
          <w:tcPr>
            <w:tcW w:w="405"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等线" w:cs="Times New Roman"/>
                <w:bCs/>
                <w:color w:val="7030A0"/>
                <w:sz w:val="21"/>
                <w:szCs w:val="21"/>
                <w:highlight w:val="none"/>
              </w:rPr>
              <w:t>2035年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≤0.35</w:t>
            </w:r>
          </w:p>
        </w:tc>
        <w:tc>
          <w:tcPr>
            <w:tcW w:w="999" w:type="pct"/>
            <w:vMerge w:val="continue"/>
            <w:noWrap w:val="0"/>
            <w:vAlign w:val="center"/>
          </w:tcPr>
          <w:p>
            <w:pPr>
              <w:adjustRightInd w:val="0"/>
              <w:spacing w:line="240" w:lineRule="auto"/>
              <w:ind w:firstLine="0" w:firstLineChars="0"/>
              <w:jc w:val="center"/>
              <w:rPr>
                <w:rFonts w:eastAsia="宋体" w:cs="Times New Roman"/>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260"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96" w:type="pct"/>
            <w:vMerge w:val="restart"/>
            <w:noWrap w:val="0"/>
            <w:vAlign w:val="center"/>
          </w:tcPr>
          <w:p>
            <w:pPr>
              <w:adjustRightInd w:val="0"/>
              <w:spacing w:line="240" w:lineRule="auto"/>
              <w:ind w:firstLine="0" w:firstLineChars="0"/>
              <w:rPr>
                <w:rFonts w:hint="eastAsia" w:eastAsia="宋体" w:cs="Times New Roman"/>
                <w:bCs/>
                <w:color w:val="7030A0"/>
                <w:sz w:val="21"/>
                <w:szCs w:val="21"/>
                <w:highlight w:val="none"/>
              </w:rPr>
            </w:pPr>
            <w:r>
              <w:rPr>
                <w:rFonts w:hint="eastAsia" w:eastAsia="宋体" w:cs="Times New Roman"/>
                <w:bCs/>
                <w:color w:val="7030A0"/>
                <w:sz w:val="21"/>
                <w:szCs w:val="21"/>
                <w:highlight w:val="none"/>
              </w:rPr>
              <w:t>满足用地指标</w:t>
            </w:r>
          </w:p>
        </w:tc>
        <w:tc>
          <w:tcPr>
            <w:tcW w:w="913"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用地</w:t>
            </w:r>
          </w:p>
        </w:tc>
        <w:tc>
          <w:tcPr>
            <w:tcW w:w="354"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亿元/平方公里</w:t>
            </w:r>
          </w:p>
        </w:tc>
        <w:tc>
          <w:tcPr>
            <w:tcW w:w="405" w:type="pct"/>
            <w:noWrap w:val="0"/>
            <w:vAlign w:val="center"/>
          </w:tcPr>
          <w:p>
            <w:pPr>
              <w:adjustRightInd w:val="0"/>
              <w:spacing w:line="240" w:lineRule="auto"/>
              <w:ind w:firstLine="0" w:firstLineChars="0"/>
              <w:jc w:val="center"/>
              <w:rPr>
                <w:rFonts w:eastAsia="宋体" w:cs="Times New Roman"/>
                <w:bCs/>
                <w:sz w:val="21"/>
                <w:szCs w:val="21"/>
                <w:highlight w:val="none"/>
                <w:lang w:eastAsia="en-US"/>
              </w:rPr>
            </w:pPr>
            <w:r>
              <w:rPr>
                <w:rFonts w:hint="eastAsia" w:eastAsia="宋体" w:cs="Times New Roman"/>
                <w:bCs/>
                <w:color w:val="7030A0"/>
                <w:sz w:val="21"/>
                <w:szCs w:val="21"/>
                <w:highlight w:val="none"/>
              </w:rPr>
              <w:t>2025年</w:t>
            </w:r>
          </w:p>
        </w:tc>
        <w:tc>
          <w:tcPr>
            <w:tcW w:w="1517" w:type="pct"/>
            <w:noWrap w:val="0"/>
            <w:vAlign w:val="center"/>
          </w:tcPr>
          <w:p>
            <w:pPr>
              <w:adjustRightInd w:val="0"/>
              <w:spacing w:line="240" w:lineRule="auto"/>
              <w:ind w:firstLine="0" w:firstLineChars="0"/>
              <w:jc w:val="center"/>
              <w:rPr>
                <w:rFonts w:eastAsia="Times New Roman" w:cs="Times New Roman"/>
                <w:bCs/>
                <w:color w:val="7030A0"/>
                <w:sz w:val="21"/>
                <w:szCs w:val="21"/>
                <w:highlight w:val="none"/>
                <w:lang w:eastAsia="en-US"/>
              </w:rPr>
            </w:pPr>
            <w:r>
              <w:rPr>
                <w:rFonts w:eastAsia="等线" w:cs="Times New Roman"/>
                <w:bCs/>
                <w:color w:val="7030A0"/>
                <w:sz w:val="21"/>
                <w:szCs w:val="21"/>
                <w:highlight w:val="none"/>
              </w:rPr>
              <w:t>≥9</w:t>
            </w:r>
          </w:p>
        </w:tc>
        <w:tc>
          <w:tcPr>
            <w:tcW w:w="999" w:type="pct"/>
            <w:vMerge w:val="continue"/>
            <w:noWrap w:val="0"/>
            <w:vAlign w:val="center"/>
          </w:tcPr>
          <w:p>
            <w:pPr>
              <w:adjustRightInd w:val="0"/>
              <w:spacing w:line="240" w:lineRule="auto"/>
              <w:ind w:firstLine="0" w:firstLineChars="0"/>
              <w:jc w:val="center"/>
              <w:rPr>
                <w:rFonts w:hint="eastAsia" w:eastAsia="宋体" w:cs="Times New Roman"/>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260"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96"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p>
        </w:tc>
        <w:tc>
          <w:tcPr>
            <w:tcW w:w="913"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354"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hint="eastAsia" w:eastAsia="宋体" w:cs="Times New Roman"/>
                <w:bCs/>
                <w:color w:val="7030A0"/>
                <w:sz w:val="21"/>
                <w:szCs w:val="21"/>
                <w:highlight w:val="none"/>
              </w:rPr>
              <w:t>亿元/平方公里</w:t>
            </w:r>
          </w:p>
        </w:tc>
        <w:tc>
          <w:tcPr>
            <w:tcW w:w="405" w:type="pct"/>
            <w:noWrap w:val="0"/>
            <w:vAlign w:val="center"/>
          </w:tcPr>
          <w:p>
            <w:pPr>
              <w:adjustRightInd w:val="0"/>
              <w:spacing w:line="240" w:lineRule="auto"/>
              <w:ind w:firstLine="0" w:firstLineChars="0"/>
              <w:jc w:val="center"/>
              <w:rPr>
                <w:rFonts w:eastAsia="宋体" w:cs="Times New Roman"/>
                <w:bCs/>
                <w:sz w:val="21"/>
                <w:szCs w:val="21"/>
                <w:highlight w:val="none"/>
                <w:lang w:eastAsia="en-US"/>
              </w:rPr>
            </w:pPr>
            <w:r>
              <w:rPr>
                <w:rFonts w:hint="eastAsia" w:eastAsia="等线" w:cs="Times New Roman"/>
                <w:bCs/>
                <w:color w:val="7030A0"/>
                <w:sz w:val="21"/>
                <w:szCs w:val="21"/>
                <w:highlight w:val="none"/>
              </w:rPr>
              <w:t>2035年</w:t>
            </w:r>
          </w:p>
        </w:tc>
        <w:tc>
          <w:tcPr>
            <w:tcW w:w="1517" w:type="pct"/>
            <w:noWrap w:val="0"/>
            <w:vAlign w:val="center"/>
          </w:tcPr>
          <w:p>
            <w:pPr>
              <w:adjustRightInd w:val="0"/>
              <w:spacing w:line="240" w:lineRule="auto"/>
              <w:ind w:firstLine="0" w:firstLineChars="0"/>
              <w:jc w:val="center"/>
              <w:rPr>
                <w:rFonts w:eastAsia="Times New Roman" w:cs="Times New Roman"/>
                <w:bCs/>
                <w:color w:val="7030A0"/>
                <w:sz w:val="21"/>
                <w:szCs w:val="21"/>
                <w:highlight w:val="none"/>
                <w:lang w:eastAsia="en-US"/>
              </w:rPr>
            </w:pPr>
            <w:r>
              <w:rPr>
                <w:rFonts w:eastAsia="等线" w:cs="Times New Roman"/>
                <w:bCs/>
                <w:color w:val="7030A0"/>
                <w:sz w:val="21"/>
                <w:szCs w:val="21"/>
                <w:highlight w:val="none"/>
              </w:rPr>
              <w:t>≥9</w:t>
            </w:r>
          </w:p>
        </w:tc>
        <w:tc>
          <w:tcPr>
            <w:tcW w:w="999" w:type="pct"/>
            <w:vMerge w:val="continue"/>
            <w:noWrap w:val="0"/>
            <w:vAlign w:val="center"/>
          </w:tcPr>
          <w:p>
            <w:pPr>
              <w:adjustRightInd w:val="0"/>
              <w:spacing w:line="240" w:lineRule="auto"/>
              <w:ind w:firstLine="0" w:firstLineChars="0"/>
              <w:jc w:val="center"/>
              <w:rPr>
                <w:rFonts w:eastAsia="宋体" w:cs="Times New Roman"/>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w w:val="101"/>
                <w:sz w:val="21"/>
                <w:szCs w:val="21"/>
                <w:highlight w:val="none"/>
                <w:lang w:eastAsia="en-US"/>
              </w:rPr>
              <w:t>2</w:t>
            </w:r>
          </w:p>
        </w:tc>
        <w:tc>
          <w:tcPr>
            <w:tcW w:w="260"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sz w:val="21"/>
                <w:szCs w:val="21"/>
                <w:highlight w:val="none"/>
                <w:lang w:eastAsia="en-US"/>
              </w:rPr>
              <w:t>满足用水效率指标</w:t>
            </w:r>
          </w:p>
        </w:tc>
        <w:tc>
          <w:tcPr>
            <w:tcW w:w="196"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sz w:val="21"/>
                <w:szCs w:val="21"/>
                <w:highlight w:val="none"/>
                <w:lang w:eastAsia="en-US"/>
              </w:rPr>
              <w:t>用水效率</w:t>
            </w:r>
          </w:p>
        </w:tc>
        <w:tc>
          <w:tcPr>
            <w:tcW w:w="913"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sz w:val="21"/>
                <w:szCs w:val="21"/>
                <w:highlight w:val="none"/>
              </w:rPr>
              <w:t>万元</w:t>
            </w:r>
            <w:r>
              <w:rPr>
                <w:rFonts w:hint="eastAsia" w:eastAsia="宋体" w:cs="Times New Roman"/>
                <w:bCs/>
                <w:color w:val="7030A0"/>
                <w:sz w:val="21"/>
                <w:szCs w:val="21"/>
                <w:highlight w:val="none"/>
              </w:rPr>
              <w:t>工业增加值新增水耗</w:t>
            </w:r>
          </w:p>
        </w:tc>
        <w:tc>
          <w:tcPr>
            <w:tcW w:w="354"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宋体" w:cs="Times New Roman"/>
                <w:bCs/>
                <w:color w:val="7030A0"/>
                <w:position w:val="-7"/>
                <w:sz w:val="21"/>
                <w:szCs w:val="21"/>
                <w:highlight w:val="none"/>
                <w:lang w:eastAsia="en-US"/>
              </w:rPr>
              <w:t>m</w:t>
            </w:r>
            <w:r>
              <w:rPr>
                <w:rFonts w:eastAsia="宋体" w:cs="Times New Roman"/>
                <w:bCs/>
                <w:color w:val="7030A0"/>
                <w:sz w:val="21"/>
                <w:szCs w:val="21"/>
                <w:highlight w:val="none"/>
                <w:lang w:eastAsia="en-US"/>
              </w:rPr>
              <w:t>3</w:t>
            </w:r>
          </w:p>
        </w:tc>
        <w:tc>
          <w:tcPr>
            <w:tcW w:w="405"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hint="eastAsia" w:eastAsia="宋体" w:cs="Times New Roman"/>
                <w:bCs/>
                <w:color w:val="7030A0"/>
                <w:sz w:val="21"/>
                <w:szCs w:val="21"/>
                <w:highlight w:val="none"/>
              </w:rPr>
              <w:t>2025年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12</w:t>
            </w:r>
          </w:p>
        </w:tc>
        <w:tc>
          <w:tcPr>
            <w:tcW w:w="999"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生态环境分区管控成果</w:t>
            </w:r>
          </w:p>
          <w:p>
            <w:pPr>
              <w:adjustRightInd w:val="0"/>
              <w:spacing w:line="240" w:lineRule="auto"/>
              <w:ind w:firstLine="0" w:firstLineChars="0"/>
              <w:jc w:val="center"/>
              <w:rPr>
                <w:rFonts w:hint="eastAsia" w:eastAsia="宋体" w:cs="Times New Roman"/>
                <w:bCs/>
                <w:sz w:val="21"/>
                <w:szCs w:val="21"/>
                <w:highlight w:val="none"/>
              </w:rPr>
            </w:pPr>
            <w:r>
              <w:rPr>
                <w:rFonts w:hint="eastAsia" w:eastAsia="宋体" w:cs="Times New Roman"/>
                <w:bCs/>
                <w:color w:val="7030A0"/>
                <w:sz w:val="21"/>
                <w:szCs w:val="21"/>
                <w:highlight w:val="none"/>
              </w:rPr>
              <w:t>《四川省综合类生态工业园区建设指标》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260"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96"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913"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工业用水重复利用率</w:t>
            </w:r>
          </w:p>
        </w:tc>
        <w:tc>
          <w:tcPr>
            <w:tcW w:w="354"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w w:val="101"/>
                <w:sz w:val="21"/>
                <w:szCs w:val="21"/>
                <w:highlight w:val="none"/>
                <w:lang w:eastAsia="en-US"/>
              </w:rPr>
              <w:t>%</w:t>
            </w:r>
          </w:p>
        </w:tc>
        <w:tc>
          <w:tcPr>
            <w:tcW w:w="405"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Times New Roman" w:cs="Times New Roman"/>
                <w:bCs/>
                <w:color w:val="7030A0"/>
                <w:sz w:val="21"/>
                <w:szCs w:val="21"/>
                <w:highlight w:val="none"/>
                <w:lang w:eastAsia="en-US"/>
              </w:rPr>
              <w:t>2</w:t>
            </w:r>
            <w:r>
              <w:rPr>
                <w:rFonts w:hint="eastAsia" w:eastAsia="等线" w:cs="Times New Roman"/>
                <w:bCs/>
                <w:color w:val="7030A0"/>
                <w:sz w:val="21"/>
                <w:szCs w:val="21"/>
                <w:highlight w:val="none"/>
              </w:rPr>
              <w:t>025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不低于75%</w:t>
            </w:r>
          </w:p>
        </w:tc>
        <w:tc>
          <w:tcPr>
            <w:tcW w:w="999" w:type="pct"/>
            <w:vMerge w:val="continue"/>
            <w:noWrap w:val="0"/>
            <w:vAlign w:val="center"/>
          </w:tcPr>
          <w:p>
            <w:pPr>
              <w:adjustRightInd w:val="0"/>
              <w:spacing w:line="240" w:lineRule="auto"/>
              <w:ind w:firstLine="0" w:firstLineChars="0"/>
              <w:jc w:val="center"/>
              <w:rPr>
                <w:rFonts w:hint="eastAsia" w:eastAsia="宋体" w:cs="Times New Roman"/>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restar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eastAsia="宋体" w:cs="Times New Roman"/>
                <w:bCs/>
                <w:color w:val="7030A0"/>
                <w:sz w:val="21"/>
                <w:szCs w:val="21"/>
                <w:highlight w:val="none"/>
                <w:lang w:eastAsia="en-US"/>
              </w:rPr>
              <w:t>环境质量</w:t>
            </w:r>
          </w:p>
        </w:tc>
        <w:tc>
          <w:tcPr>
            <w:tcW w:w="187"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w w:val="101"/>
                <w:sz w:val="21"/>
                <w:szCs w:val="21"/>
                <w:highlight w:val="none"/>
              </w:rPr>
              <w:t>4</w:t>
            </w:r>
          </w:p>
        </w:tc>
        <w:tc>
          <w:tcPr>
            <w:tcW w:w="456" w:type="pct"/>
            <w:gridSpan w:val="2"/>
            <w:vMerge w:val="restar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eastAsia="宋体" w:cs="Times New Roman"/>
                <w:bCs/>
                <w:color w:val="7030A0"/>
                <w:sz w:val="21"/>
                <w:szCs w:val="21"/>
                <w:highlight w:val="none"/>
              </w:rPr>
              <w:t>环境空气质量总体改善</w:t>
            </w:r>
          </w:p>
        </w:tc>
        <w:tc>
          <w:tcPr>
            <w:tcW w:w="913" w:type="pct"/>
            <w:vMerge w:val="restar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PM</w:t>
            </w:r>
            <w:r>
              <w:rPr>
                <w:rFonts w:hint="eastAsia" w:eastAsia="宋体" w:cs="Times New Roman"/>
                <w:bCs/>
                <w:color w:val="7030A0"/>
                <w:sz w:val="21"/>
                <w:szCs w:val="21"/>
                <w:highlight w:val="none"/>
                <w:vertAlign w:val="subscript"/>
              </w:rPr>
              <w:t>2.5</w:t>
            </w:r>
            <w:r>
              <w:rPr>
                <w:rFonts w:hint="eastAsia" w:eastAsia="宋体" w:cs="Times New Roman"/>
                <w:bCs/>
                <w:color w:val="7030A0"/>
                <w:sz w:val="21"/>
                <w:szCs w:val="21"/>
                <w:highlight w:val="none"/>
              </w:rPr>
              <w:t>年均浓度</w:t>
            </w:r>
          </w:p>
        </w:tc>
        <w:tc>
          <w:tcPr>
            <w:tcW w:w="354" w:type="pct"/>
            <w:vMerge w:val="restar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w:t>
            </w:r>
          </w:p>
        </w:tc>
        <w:tc>
          <w:tcPr>
            <w:tcW w:w="405"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2025年</w:t>
            </w:r>
          </w:p>
        </w:tc>
        <w:tc>
          <w:tcPr>
            <w:tcW w:w="1517" w:type="pct"/>
            <w:vMerge w:val="restart"/>
            <w:noWrap w:val="0"/>
            <w:vAlign w:val="center"/>
          </w:tcPr>
          <w:p>
            <w:pPr>
              <w:widowControl w:val="0"/>
              <w:spacing w:before="0" w:beforeLines="0" w:line="240" w:lineRule="auto"/>
              <w:ind w:firstLine="0" w:firstLineChars="0"/>
              <w:jc w:val="both"/>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环境空气保护目标达到环境功能区划要求，且规划实施不影响区域达到生态环境分区管控成果对区域环境空气质量目标的改善要求</w:t>
            </w:r>
          </w:p>
        </w:tc>
        <w:tc>
          <w:tcPr>
            <w:tcW w:w="999" w:type="pct"/>
            <w:vMerge w:val="restar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生态环境分区管控成果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456" w:type="pct"/>
            <w:gridSpan w:val="2"/>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913"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354" w:type="pct"/>
            <w:vMerge w:val="continue"/>
            <w:noWrap w:val="0"/>
            <w:vAlign w:val="center"/>
          </w:tcPr>
          <w:p>
            <w:pPr>
              <w:adjustRightInd w:val="0"/>
              <w:spacing w:line="240" w:lineRule="auto"/>
              <w:ind w:firstLine="0" w:firstLineChars="0"/>
              <w:jc w:val="center"/>
              <w:rPr>
                <w:rFonts w:eastAsia="宋体" w:cs="Times New Roman"/>
                <w:bCs/>
                <w:color w:val="7030A0"/>
                <w:w w:val="101"/>
                <w:sz w:val="21"/>
                <w:szCs w:val="21"/>
                <w:highlight w:val="none"/>
              </w:rPr>
            </w:pPr>
          </w:p>
        </w:tc>
        <w:tc>
          <w:tcPr>
            <w:tcW w:w="405" w:type="pct"/>
            <w:noWrap w:val="0"/>
            <w:vAlign w:val="center"/>
          </w:tcPr>
          <w:p>
            <w:pPr>
              <w:adjustRightInd w:val="0"/>
              <w:spacing w:line="240" w:lineRule="auto"/>
              <w:ind w:firstLine="0" w:firstLineChars="0"/>
              <w:jc w:val="center"/>
              <w:rPr>
                <w:rFonts w:hint="eastAsia" w:eastAsia="等线" w:cs="Times New Roman"/>
                <w:bCs/>
                <w:color w:val="7030A0"/>
                <w:sz w:val="21"/>
                <w:szCs w:val="21"/>
                <w:highlight w:val="none"/>
              </w:rPr>
            </w:pPr>
            <w:r>
              <w:rPr>
                <w:rFonts w:hint="eastAsia" w:eastAsia="等线" w:cs="Times New Roman"/>
                <w:bCs/>
                <w:color w:val="7030A0"/>
                <w:sz w:val="21"/>
                <w:szCs w:val="21"/>
                <w:highlight w:val="none"/>
              </w:rPr>
              <w:t>2035年</w:t>
            </w:r>
          </w:p>
        </w:tc>
        <w:tc>
          <w:tcPr>
            <w:tcW w:w="1517"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p>
        </w:tc>
        <w:tc>
          <w:tcPr>
            <w:tcW w:w="99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w w:val="101"/>
                <w:sz w:val="21"/>
                <w:szCs w:val="21"/>
                <w:highlight w:val="none"/>
              </w:rPr>
              <w:t>5</w:t>
            </w:r>
          </w:p>
        </w:tc>
        <w:tc>
          <w:tcPr>
            <w:tcW w:w="456" w:type="pct"/>
            <w:gridSpan w:val="2"/>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宋体" w:cs="Times New Roman"/>
                <w:bCs/>
                <w:color w:val="7030A0"/>
                <w:sz w:val="21"/>
                <w:szCs w:val="21"/>
                <w:highlight w:val="none"/>
                <w:lang w:eastAsia="en-US"/>
              </w:rPr>
              <w:t>水环境质量总体改善</w:t>
            </w:r>
          </w:p>
        </w:tc>
        <w:tc>
          <w:tcPr>
            <w:tcW w:w="913"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考核监测断面</w:t>
            </w:r>
          </w:p>
        </w:tc>
        <w:tc>
          <w:tcPr>
            <w:tcW w:w="354"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w:t>
            </w:r>
          </w:p>
        </w:tc>
        <w:tc>
          <w:tcPr>
            <w:tcW w:w="405"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Times New Roman" w:cs="Times New Roman"/>
                <w:bCs/>
                <w:color w:val="7030A0"/>
                <w:sz w:val="21"/>
                <w:szCs w:val="21"/>
                <w:highlight w:val="none"/>
                <w:lang w:eastAsia="en-US"/>
              </w:rPr>
              <w:t>20</w:t>
            </w:r>
            <w:r>
              <w:rPr>
                <w:rFonts w:hint="eastAsia" w:eastAsia="宋体" w:cs="Times New Roman"/>
                <w:bCs/>
                <w:color w:val="7030A0"/>
                <w:sz w:val="21"/>
                <w:szCs w:val="21"/>
                <w:highlight w:val="none"/>
              </w:rPr>
              <w:t>25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嘉陵江沙溪断面：Ⅱ类</w:t>
            </w:r>
          </w:p>
        </w:tc>
        <w:tc>
          <w:tcPr>
            <w:tcW w:w="999"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生态环境分区管控成果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456" w:type="pct"/>
            <w:gridSpan w:val="2"/>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913"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354"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w:t>
            </w:r>
          </w:p>
        </w:tc>
        <w:tc>
          <w:tcPr>
            <w:tcW w:w="405"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Times New Roman" w:cs="Times New Roman"/>
                <w:bCs/>
                <w:color w:val="7030A0"/>
                <w:sz w:val="21"/>
                <w:szCs w:val="21"/>
                <w:highlight w:val="none"/>
                <w:lang w:eastAsia="en-US"/>
              </w:rPr>
              <w:t>20</w:t>
            </w:r>
            <w:r>
              <w:rPr>
                <w:rFonts w:hint="eastAsia" w:eastAsia="等线" w:cs="Times New Roman"/>
                <w:bCs/>
                <w:color w:val="7030A0"/>
                <w:sz w:val="21"/>
                <w:szCs w:val="21"/>
                <w:highlight w:val="none"/>
              </w:rPr>
              <w:t>35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嘉陵江沙溪断面：Ⅱ类</w:t>
            </w:r>
          </w:p>
        </w:tc>
        <w:tc>
          <w:tcPr>
            <w:tcW w:w="999"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生态环境分区管控成果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宋体" w:cs="Times New Roman"/>
                <w:bCs/>
                <w:color w:val="7030A0"/>
                <w:sz w:val="21"/>
                <w:szCs w:val="21"/>
                <w:highlight w:val="none"/>
                <w:lang w:eastAsia="en-US"/>
              </w:rPr>
              <w:t>污染物控制</w:t>
            </w:r>
          </w:p>
        </w:tc>
        <w:tc>
          <w:tcPr>
            <w:tcW w:w="187"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w w:val="101"/>
                <w:sz w:val="21"/>
                <w:szCs w:val="21"/>
                <w:highlight w:val="none"/>
              </w:rPr>
              <w:t>7</w:t>
            </w:r>
          </w:p>
        </w:tc>
        <w:tc>
          <w:tcPr>
            <w:tcW w:w="456" w:type="pct"/>
            <w:gridSpan w:val="2"/>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宋体" w:cs="Times New Roman"/>
                <w:bCs/>
                <w:color w:val="7030A0"/>
                <w:sz w:val="21"/>
                <w:szCs w:val="21"/>
                <w:highlight w:val="none"/>
                <w:lang w:eastAsia="en-US"/>
              </w:rPr>
              <w:t>水污染控制</w:t>
            </w:r>
          </w:p>
        </w:tc>
        <w:tc>
          <w:tcPr>
            <w:tcW w:w="913"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宋体" w:cs="Times New Roman"/>
                <w:bCs/>
                <w:color w:val="7030A0"/>
                <w:sz w:val="21"/>
                <w:szCs w:val="21"/>
                <w:highlight w:val="none"/>
                <w:lang w:eastAsia="en-US"/>
              </w:rPr>
              <w:t>污水集中处理率</w:t>
            </w:r>
          </w:p>
        </w:tc>
        <w:tc>
          <w:tcPr>
            <w:tcW w:w="354"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宋体" w:cs="Times New Roman"/>
                <w:bCs/>
                <w:color w:val="7030A0"/>
                <w:w w:val="101"/>
                <w:sz w:val="21"/>
                <w:szCs w:val="21"/>
                <w:highlight w:val="none"/>
                <w:lang w:eastAsia="en-US"/>
              </w:rPr>
              <w:t>%</w:t>
            </w:r>
          </w:p>
        </w:tc>
        <w:tc>
          <w:tcPr>
            <w:tcW w:w="405"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Times New Roman" w:cs="Times New Roman"/>
                <w:bCs/>
                <w:color w:val="7030A0"/>
                <w:sz w:val="21"/>
                <w:szCs w:val="21"/>
                <w:highlight w:val="none"/>
                <w:lang w:eastAsia="en-US"/>
              </w:rPr>
              <w:t>202</w:t>
            </w:r>
            <w:r>
              <w:rPr>
                <w:rFonts w:hint="eastAsia" w:eastAsia="宋体" w:cs="Times New Roman"/>
                <w:bCs/>
                <w:color w:val="7030A0"/>
                <w:sz w:val="21"/>
                <w:szCs w:val="21"/>
                <w:highlight w:val="none"/>
              </w:rPr>
              <w:t>5</w:t>
            </w:r>
            <w:r>
              <w:rPr>
                <w:rFonts w:eastAsia="宋体" w:cs="Times New Roman"/>
                <w:bCs/>
                <w:color w:val="7030A0"/>
                <w:sz w:val="21"/>
                <w:szCs w:val="21"/>
                <w:highlight w:val="none"/>
                <w:lang w:eastAsia="en-US"/>
              </w:rPr>
              <w:t>年</w:t>
            </w:r>
          </w:p>
        </w:tc>
        <w:tc>
          <w:tcPr>
            <w:tcW w:w="1517" w:type="pct"/>
            <w:noWrap w:val="0"/>
            <w:vAlign w:val="center"/>
          </w:tcPr>
          <w:p>
            <w:pPr>
              <w:widowControl w:val="0"/>
              <w:spacing w:before="0" w:beforeLines="0"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加快工业污水处理厂建设，确保园区已开发区域废水收集率</w:t>
            </w:r>
            <w:r>
              <w:rPr>
                <w:rFonts w:ascii="Times New Roman" w:hAnsi="Times New Roman" w:eastAsia="宋体" w:cs="Times New Roman"/>
                <w:color w:val="7030A0"/>
                <w:kern w:val="2"/>
                <w:sz w:val="21"/>
                <w:szCs w:val="21"/>
                <w:highlight w:val="none"/>
                <w:lang w:val="en-US" w:eastAsia="zh-CN" w:bidi="ar-SA"/>
              </w:rPr>
              <w:t>100%</w:t>
            </w:r>
            <w:r>
              <w:rPr>
                <w:rFonts w:hint="eastAsia" w:ascii="Times New Roman" w:hAnsi="Times New Roman" w:eastAsia="宋体" w:cs="Times New Roman"/>
                <w:color w:val="7030A0"/>
                <w:kern w:val="2"/>
                <w:sz w:val="21"/>
                <w:szCs w:val="21"/>
                <w:highlight w:val="none"/>
                <w:lang w:val="en-US" w:eastAsia="zh-CN" w:bidi="ar-SA"/>
              </w:rPr>
              <w:t>，处理率</w:t>
            </w:r>
            <w:r>
              <w:rPr>
                <w:rFonts w:ascii="Times New Roman" w:hAnsi="Times New Roman" w:eastAsia="宋体" w:cs="Times New Roman"/>
                <w:color w:val="7030A0"/>
                <w:kern w:val="2"/>
                <w:sz w:val="21"/>
                <w:szCs w:val="21"/>
                <w:highlight w:val="none"/>
                <w:lang w:val="en-US" w:eastAsia="zh-CN" w:bidi="ar-SA"/>
              </w:rPr>
              <w:t>100%</w:t>
            </w:r>
          </w:p>
        </w:tc>
        <w:tc>
          <w:tcPr>
            <w:tcW w:w="999"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生态环境分区管控成果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8</w:t>
            </w:r>
          </w:p>
        </w:tc>
        <w:tc>
          <w:tcPr>
            <w:tcW w:w="456" w:type="pct"/>
            <w:gridSpan w:val="2"/>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宋体" w:cs="Times New Roman"/>
                <w:bCs/>
                <w:color w:val="7030A0"/>
                <w:sz w:val="21"/>
                <w:szCs w:val="21"/>
                <w:highlight w:val="none"/>
                <w:lang w:eastAsia="en-US"/>
              </w:rPr>
              <w:t>大气污染控制</w:t>
            </w:r>
          </w:p>
        </w:tc>
        <w:tc>
          <w:tcPr>
            <w:tcW w:w="913" w:type="pct"/>
            <w:vMerge w:val="restar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SO2</w:t>
            </w:r>
          </w:p>
        </w:tc>
        <w:tc>
          <w:tcPr>
            <w:tcW w:w="354"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t/a</w:t>
            </w:r>
          </w:p>
        </w:tc>
        <w:tc>
          <w:tcPr>
            <w:tcW w:w="405" w:type="pct"/>
            <w:noWrap w:val="0"/>
            <w:vAlign w:val="center"/>
          </w:tcPr>
          <w:p>
            <w:pPr>
              <w:adjustRightInd w:val="0"/>
              <w:spacing w:line="240" w:lineRule="auto"/>
              <w:ind w:firstLine="0" w:firstLineChars="0"/>
              <w:jc w:val="center"/>
              <w:rPr>
                <w:rFonts w:eastAsia="宋体" w:cs="Times New Roman"/>
                <w:bCs/>
                <w:sz w:val="21"/>
                <w:szCs w:val="21"/>
                <w:highlight w:val="none"/>
                <w:lang w:eastAsia="en-US"/>
              </w:rPr>
            </w:pPr>
            <w:r>
              <w:rPr>
                <w:rFonts w:eastAsia="Times New Roman" w:cs="Times New Roman"/>
                <w:bCs/>
                <w:color w:val="7030A0"/>
                <w:sz w:val="21"/>
                <w:szCs w:val="21"/>
                <w:highlight w:val="none"/>
                <w:lang w:eastAsia="en-US"/>
              </w:rPr>
              <w:t>20</w:t>
            </w:r>
            <w:r>
              <w:rPr>
                <w:rFonts w:hint="eastAsia" w:eastAsia="宋体" w:cs="Times New Roman"/>
                <w:bCs/>
                <w:color w:val="7030A0"/>
                <w:sz w:val="21"/>
                <w:szCs w:val="21"/>
                <w:highlight w:val="none"/>
              </w:rPr>
              <w:t>25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472</w:t>
            </w:r>
          </w:p>
        </w:tc>
        <w:tc>
          <w:tcPr>
            <w:tcW w:w="999"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生态环境分区管控成果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p>
        </w:tc>
        <w:tc>
          <w:tcPr>
            <w:tcW w:w="456" w:type="pct"/>
            <w:gridSpan w:val="2"/>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913" w:type="pct"/>
            <w:vMerge w:val="continue"/>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p>
        </w:tc>
        <w:tc>
          <w:tcPr>
            <w:tcW w:w="354" w:type="pct"/>
            <w:noWrap w:val="0"/>
            <w:vAlign w:val="center"/>
          </w:tcPr>
          <w:p>
            <w:pPr>
              <w:adjustRightInd w:val="0"/>
              <w:spacing w:line="240" w:lineRule="auto"/>
              <w:ind w:firstLine="0" w:firstLineChars="0"/>
              <w:jc w:val="center"/>
              <w:rPr>
                <w:rFonts w:eastAsia="宋体" w:cs="Times New Roman"/>
                <w:bCs/>
                <w:color w:val="7030A0"/>
                <w:w w:val="101"/>
                <w:sz w:val="21"/>
                <w:szCs w:val="21"/>
                <w:highlight w:val="none"/>
                <w:lang w:eastAsia="en-US"/>
              </w:rPr>
            </w:pPr>
            <w:r>
              <w:rPr>
                <w:rFonts w:hint="eastAsia" w:eastAsia="宋体" w:cs="Times New Roman"/>
                <w:bCs/>
                <w:color w:val="7030A0"/>
                <w:sz w:val="21"/>
                <w:szCs w:val="21"/>
                <w:highlight w:val="none"/>
              </w:rPr>
              <w:t>t/a</w:t>
            </w:r>
          </w:p>
        </w:tc>
        <w:tc>
          <w:tcPr>
            <w:tcW w:w="405" w:type="pct"/>
            <w:noWrap w:val="0"/>
            <w:vAlign w:val="center"/>
          </w:tcPr>
          <w:p>
            <w:pPr>
              <w:adjustRightInd w:val="0"/>
              <w:spacing w:line="240" w:lineRule="auto"/>
              <w:ind w:firstLine="0" w:firstLineChars="0"/>
              <w:jc w:val="center"/>
              <w:rPr>
                <w:rFonts w:eastAsia="Times New Roman" w:cs="Times New Roman"/>
                <w:bCs/>
                <w:sz w:val="21"/>
                <w:szCs w:val="21"/>
                <w:highlight w:val="none"/>
                <w:lang w:eastAsia="en-US"/>
              </w:rPr>
            </w:pPr>
            <w:r>
              <w:rPr>
                <w:rFonts w:eastAsia="Times New Roman" w:cs="Times New Roman"/>
                <w:bCs/>
                <w:color w:val="7030A0"/>
                <w:sz w:val="21"/>
                <w:szCs w:val="21"/>
                <w:highlight w:val="none"/>
                <w:lang w:eastAsia="en-US"/>
              </w:rPr>
              <w:t>20</w:t>
            </w:r>
            <w:r>
              <w:rPr>
                <w:rFonts w:hint="eastAsia" w:eastAsia="等线" w:cs="Times New Roman"/>
                <w:bCs/>
                <w:color w:val="7030A0"/>
                <w:sz w:val="21"/>
                <w:szCs w:val="21"/>
                <w:highlight w:val="none"/>
              </w:rPr>
              <w:t>35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440</w:t>
            </w:r>
          </w:p>
        </w:tc>
        <w:tc>
          <w:tcPr>
            <w:tcW w:w="999" w:type="pct"/>
            <w:vMerge w:val="continue"/>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p>
        </w:tc>
        <w:tc>
          <w:tcPr>
            <w:tcW w:w="456" w:type="pct"/>
            <w:gridSpan w:val="2"/>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p>
        </w:tc>
        <w:tc>
          <w:tcPr>
            <w:tcW w:w="913" w:type="pct"/>
            <w:vMerge w:val="restar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NOx</w:t>
            </w:r>
          </w:p>
        </w:tc>
        <w:tc>
          <w:tcPr>
            <w:tcW w:w="354" w:type="pct"/>
            <w:noWrap w:val="0"/>
            <w:vAlign w:val="center"/>
          </w:tcPr>
          <w:p>
            <w:pPr>
              <w:adjustRightInd w:val="0"/>
              <w:spacing w:line="240" w:lineRule="auto"/>
              <w:ind w:firstLine="0" w:firstLineChars="0"/>
              <w:jc w:val="center"/>
              <w:rPr>
                <w:rFonts w:eastAsia="宋体" w:cs="Times New Roman"/>
                <w:bCs/>
                <w:color w:val="7030A0"/>
                <w:w w:val="101"/>
                <w:sz w:val="21"/>
                <w:szCs w:val="21"/>
                <w:highlight w:val="none"/>
                <w:lang w:eastAsia="en-US"/>
              </w:rPr>
            </w:pPr>
            <w:r>
              <w:rPr>
                <w:rFonts w:hint="eastAsia" w:eastAsia="宋体" w:cs="Times New Roman"/>
                <w:bCs/>
                <w:color w:val="7030A0"/>
                <w:sz w:val="21"/>
                <w:szCs w:val="21"/>
                <w:highlight w:val="none"/>
              </w:rPr>
              <w:t>t/a</w:t>
            </w:r>
          </w:p>
        </w:tc>
        <w:tc>
          <w:tcPr>
            <w:tcW w:w="405" w:type="pct"/>
            <w:noWrap w:val="0"/>
            <w:vAlign w:val="center"/>
          </w:tcPr>
          <w:p>
            <w:pPr>
              <w:adjustRightInd w:val="0"/>
              <w:spacing w:line="240" w:lineRule="auto"/>
              <w:ind w:firstLine="0" w:firstLineChars="0"/>
              <w:jc w:val="center"/>
              <w:rPr>
                <w:rFonts w:eastAsia="Times New Roman" w:cs="Times New Roman"/>
                <w:bCs/>
                <w:sz w:val="21"/>
                <w:szCs w:val="21"/>
                <w:highlight w:val="none"/>
                <w:lang w:eastAsia="en-US"/>
              </w:rPr>
            </w:pPr>
            <w:r>
              <w:rPr>
                <w:rFonts w:eastAsia="Times New Roman" w:cs="Times New Roman"/>
                <w:bCs/>
                <w:color w:val="7030A0"/>
                <w:sz w:val="21"/>
                <w:szCs w:val="21"/>
                <w:highlight w:val="none"/>
                <w:lang w:eastAsia="en-US"/>
              </w:rPr>
              <w:t>20</w:t>
            </w:r>
            <w:r>
              <w:rPr>
                <w:rFonts w:hint="eastAsia" w:eastAsia="宋体" w:cs="Times New Roman"/>
                <w:bCs/>
                <w:color w:val="7030A0"/>
                <w:sz w:val="21"/>
                <w:szCs w:val="21"/>
                <w:highlight w:val="none"/>
              </w:rPr>
              <w:t>25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913</w:t>
            </w:r>
          </w:p>
        </w:tc>
        <w:tc>
          <w:tcPr>
            <w:tcW w:w="999" w:type="pct"/>
            <w:vMerge w:val="continue"/>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p>
        </w:tc>
        <w:tc>
          <w:tcPr>
            <w:tcW w:w="456" w:type="pct"/>
            <w:gridSpan w:val="2"/>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p>
        </w:tc>
        <w:tc>
          <w:tcPr>
            <w:tcW w:w="913" w:type="pct"/>
            <w:vMerge w:val="continue"/>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p>
        </w:tc>
        <w:tc>
          <w:tcPr>
            <w:tcW w:w="354" w:type="pct"/>
            <w:noWrap w:val="0"/>
            <w:vAlign w:val="center"/>
          </w:tcPr>
          <w:p>
            <w:pPr>
              <w:adjustRightInd w:val="0"/>
              <w:spacing w:line="240" w:lineRule="auto"/>
              <w:ind w:firstLine="0" w:firstLineChars="0"/>
              <w:jc w:val="center"/>
              <w:rPr>
                <w:rFonts w:eastAsia="宋体" w:cs="Times New Roman"/>
                <w:bCs/>
                <w:color w:val="7030A0"/>
                <w:w w:val="101"/>
                <w:sz w:val="21"/>
                <w:szCs w:val="21"/>
                <w:highlight w:val="none"/>
                <w:lang w:eastAsia="en-US"/>
              </w:rPr>
            </w:pPr>
            <w:r>
              <w:rPr>
                <w:rFonts w:hint="eastAsia" w:eastAsia="宋体" w:cs="Times New Roman"/>
                <w:bCs/>
                <w:color w:val="7030A0"/>
                <w:sz w:val="21"/>
                <w:szCs w:val="21"/>
                <w:highlight w:val="none"/>
              </w:rPr>
              <w:t>t/a</w:t>
            </w:r>
          </w:p>
        </w:tc>
        <w:tc>
          <w:tcPr>
            <w:tcW w:w="405" w:type="pct"/>
            <w:noWrap w:val="0"/>
            <w:vAlign w:val="center"/>
          </w:tcPr>
          <w:p>
            <w:pPr>
              <w:adjustRightInd w:val="0"/>
              <w:spacing w:line="240" w:lineRule="auto"/>
              <w:ind w:firstLine="0" w:firstLineChars="0"/>
              <w:jc w:val="center"/>
              <w:rPr>
                <w:rFonts w:eastAsia="Times New Roman" w:cs="Times New Roman"/>
                <w:bCs/>
                <w:sz w:val="21"/>
                <w:szCs w:val="21"/>
                <w:highlight w:val="none"/>
                <w:lang w:eastAsia="en-US"/>
              </w:rPr>
            </w:pPr>
            <w:r>
              <w:rPr>
                <w:rFonts w:eastAsia="Times New Roman" w:cs="Times New Roman"/>
                <w:bCs/>
                <w:color w:val="7030A0"/>
                <w:sz w:val="21"/>
                <w:szCs w:val="21"/>
                <w:highlight w:val="none"/>
                <w:lang w:eastAsia="en-US"/>
              </w:rPr>
              <w:t>20</w:t>
            </w:r>
            <w:r>
              <w:rPr>
                <w:rFonts w:hint="eastAsia" w:eastAsia="等线" w:cs="Times New Roman"/>
                <w:bCs/>
                <w:color w:val="7030A0"/>
                <w:sz w:val="21"/>
                <w:szCs w:val="21"/>
                <w:highlight w:val="none"/>
              </w:rPr>
              <w:t>35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846</w:t>
            </w:r>
          </w:p>
        </w:tc>
        <w:tc>
          <w:tcPr>
            <w:tcW w:w="999" w:type="pct"/>
            <w:vMerge w:val="continue"/>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456" w:type="pct"/>
            <w:gridSpan w:val="2"/>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p>
        </w:tc>
        <w:tc>
          <w:tcPr>
            <w:tcW w:w="913"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VOCs</w:t>
            </w:r>
          </w:p>
        </w:tc>
        <w:tc>
          <w:tcPr>
            <w:tcW w:w="354"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hint="eastAsia" w:eastAsia="宋体" w:cs="Times New Roman"/>
                <w:bCs/>
                <w:color w:val="7030A0"/>
                <w:sz w:val="21"/>
                <w:szCs w:val="21"/>
                <w:highlight w:val="none"/>
              </w:rPr>
              <w:t>t/a</w:t>
            </w:r>
          </w:p>
        </w:tc>
        <w:tc>
          <w:tcPr>
            <w:tcW w:w="405" w:type="pct"/>
            <w:noWrap w:val="0"/>
            <w:vAlign w:val="center"/>
          </w:tcPr>
          <w:p>
            <w:pPr>
              <w:adjustRightInd w:val="0"/>
              <w:spacing w:line="240" w:lineRule="auto"/>
              <w:ind w:firstLine="0" w:firstLineChars="0"/>
              <w:jc w:val="center"/>
              <w:rPr>
                <w:rFonts w:eastAsia="宋体" w:cs="Times New Roman"/>
                <w:bCs/>
                <w:sz w:val="21"/>
                <w:szCs w:val="21"/>
                <w:highlight w:val="none"/>
                <w:lang w:eastAsia="en-US"/>
              </w:rPr>
            </w:pPr>
            <w:r>
              <w:rPr>
                <w:rFonts w:eastAsia="Times New Roman" w:cs="Times New Roman"/>
                <w:bCs/>
                <w:color w:val="7030A0"/>
                <w:sz w:val="21"/>
                <w:szCs w:val="21"/>
                <w:highlight w:val="none"/>
                <w:lang w:eastAsia="en-US"/>
              </w:rPr>
              <w:t>20</w:t>
            </w:r>
            <w:r>
              <w:rPr>
                <w:rFonts w:hint="eastAsia" w:eastAsia="宋体" w:cs="Times New Roman"/>
                <w:bCs/>
                <w:color w:val="7030A0"/>
                <w:sz w:val="21"/>
                <w:szCs w:val="21"/>
                <w:highlight w:val="none"/>
              </w:rPr>
              <w:t>25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872</w:t>
            </w:r>
          </w:p>
        </w:tc>
        <w:tc>
          <w:tcPr>
            <w:tcW w:w="99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456" w:type="pct"/>
            <w:gridSpan w:val="2"/>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p>
        </w:tc>
        <w:tc>
          <w:tcPr>
            <w:tcW w:w="913"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354" w:type="pct"/>
            <w:noWrap w:val="0"/>
            <w:vAlign w:val="center"/>
          </w:tcPr>
          <w:p>
            <w:pPr>
              <w:adjustRightInd w:val="0"/>
              <w:spacing w:line="240" w:lineRule="auto"/>
              <w:ind w:firstLine="0" w:firstLineChars="0"/>
              <w:jc w:val="center"/>
              <w:rPr>
                <w:rFonts w:eastAsia="宋体" w:cs="Times New Roman"/>
                <w:bCs/>
                <w:color w:val="7030A0"/>
                <w:w w:val="101"/>
                <w:sz w:val="21"/>
                <w:szCs w:val="21"/>
                <w:highlight w:val="none"/>
                <w:lang w:eastAsia="en-US"/>
              </w:rPr>
            </w:pPr>
            <w:r>
              <w:rPr>
                <w:rFonts w:hint="eastAsia" w:eastAsia="宋体" w:cs="Times New Roman"/>
                <w:bCs/>
                <w:color w:val="7030A0"/>
                <w:sz w:val="21"/>
                <w:szCs w:val="21"/>
                <w:highlight w:val="none"/>
              </w:rPr>
              <w:t>t/a</w:t>
            </w:r>
          </w:p>
        </w:tc>
        <w:tc>
          <w:tcPr>
            <w:tcW w:w="405" w:type="pct"/>
            <w:noWrap w:val="0"/>
            <w:vAlign w:val="center"/>
          </w:tcPr>
          <w:p>
            <w:pPr>
              <w:adjustRightInd w:val="0"/>
              <w:spacing w:line="240" w:lineRule="auto"/>
              <w:ind w:firstLine="0" w:firstLineChars="0"/>
              <w:jc w:val="center"/>
              <w:rPr>
                <w:rFonts w:eastAsia="宋体" w:cs="Times New Roman"/>
                <w:bCs/>
                <w:w w:val="101"/>
                <w:sz w:val="21"/>
                <w:szCs w:val="21"/>
                <w:highlight w:val="none"/>
                <w:lang w:eastAsia="en-US"/>
              </w:rPr>
            </w:pPr>
            <w:r>
              <w:rPr>
                <w:rFonts w:eastAsia="Times New Roman" w:cs="Times New Roman"/>
                <w:bCs/>
                <w:color w:val="7030A0"/>
                <w:sz w:val="21"/>
                <w:szCs w:val="21"/>
                <w:highlight w:val="none"/>
                <w:lang w:eastAsia="en-US"/>
              </w:rPr>
              <w:t>20</w:t>
            </w:r>
            <w:r>
              <w:rPr>
                <w:rFonts w:hint="eastAsia" w:eastAsia="等线" w:cs="Times New Roman"/>
                <w:bCs/>
                <w:color w:val="7030A0"/>
                <w:sz w:val="21"/>
                <w:szCs w:val="21"/>
                <w:highlight w:val="none"/>
              </w:rPr>
              <w:t>35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812</w:t>
            </w:r>
          </w:p>
        </w:tc>
        <w:tc>
          <w:tcPr>
            <w:tcW w:w="99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hint="eastAsia" w:eastAsia="宋体" w:cs="Times New Roman"/>
                <w:bCs/>
                <w:color w:val="7030A0"/>
                <w:sz w:val="21"/>
                <w:szCs w:val="21"/>
                <w:highlight w:val="none"/>
              </w:rPr>
              <w:t>9</w:t>
            </w:r>
          </w:p>
        </w:tc>
        <w:tc>
          <w:tcPr>
            <w:tcW w:w="456" w:type="pct"/>
            <w:gridSpan w:val="2"/>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hint="eastAsia" w:eastAsia="宋体" w:cs="Times New Roman"/>
                <w:bCs/>
                <w:color w:val="7030A0"/>
                <w:sz w:val="21"/>
                <w:szCs w:val="21"/>
                <w:highlight w:val="none"/>
              </w:rPr>
              <w:t>水</w:t>
            </w:r>
            <w:r>
              <w:rPr>
                <w:rFonts w:eastAsia="宋体" w:cs="Times New Roman"/>
                <w:bCs/>
                <w:color w:val="7030A0"/>
                <w:sz w:val="21"/>
                <w:szCs w:val="21"/>
                <w:highlight w:val="none"/>
                <w:lang w:eastAsia="en-US"/>
              </w:rPr>
              <w:t>污染控制</w:t>
            </w:r>
          </w:p>
        </w:tc>
        <w:tc>
          <w:tcPr>
            <w:tcW w:w="913"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sz w:val="21"/>
                <w:szCs w:val="21"/>
                <w:highlight w:val="none"/>
              </w:rPr>
              <w:t>化学需氧量</w:t>
            </w:r>
          </w:p>
        </w:tc>
        <w:tc>
          <w:tcPr>
            <w:tcW w:w="354"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hint="eastAsia" w:eastAsia="宋体" w:cs="Times New Roman"/>
                <w:bCs/>
                <w:color w:val="7030A0"/>
                <w:sz w:val="21"/>
                <w:szCs w:val="21"/>
                <w:highlight w:val="none"/>
              </w:rPr>
              <w:t>t/a</w:t>
            </w:r>
          </w:p>
        </w:tc>
        <w:tc>
          <w:tcPr>
            <w:tcW w:w="405" w:type="pct"/>
            <w:noWrap w:val="0"/>
            <w:vAlign w:val="center"/>
          </w:tcPr>
          <w:p>
            <w:pPr>
              <w:adjustRightInd w:val="0"/>
              <w:spacing w:line="240" w:lineRule="auto"/>
              <w:ind w:firstLine="0" w:firstLineChars="0"/>
              <w:jc w:val="center"/>
              <w:rPr>
                <w:rFonts w:eastAsia="宋体" w:cs="Times New Roman"/>
                <w:bCs/>
                <w:sz w:val="21"/>
                <w:szCs w:val="21"/>
                <w:highlight w:val="none"/>
                <w:lang w:eastAsia="en-US"/>
              </w:rPr>
            </w:pPr>
            <w:r>
              <w:rPr>
                <w:rFonts w:eastAsia="Times New Roman" w:cs="Times New Roman"/>
                <w:bCs/>
                <w:color w:val="7030A0"/>
                <w:sz w:val="21"/>
                <w:szCs w:val="21"/>
                <w:highlight w:val="none"/>
                <w:lang w:eastAsia="en-US"/>
              </w:rPr>
              <w:t>20</w:t>
            </w:r>
            <w:r>
              <w:rPr>
                <w:rFonts w:hint="eastAsia" w:eastAsia="宋体" w:cs="Times New Roman"/>
                <w:bCs/>
                <w:color w:val="7030A0"/>
                <w:sz w:val="21"/>
                <w:szCs w:val="21"/>
                <w:highlight w:val="none"/>
              </w:rPr>
              <w:t>25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384.6</w:t>
            </w:r>
          </w:p>
        </w:tc>
        <w:tc>
          <w:tcPr>
            <w:tcW w:w="99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456" w:type="pct"/>
            <w:gridSpan w:val="2"/>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913"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宋体" w:cs="Times New Roman"/>
                <w:bCs/>
                <w:color w:val="7030A0"/>
                <w:sz w:val="21"/>
                <w:szCs w:val="21"/>
                <w:highlight w:val="none"/>
                <w:lang w:eastAsia="en-US"/>
              </w:rPr>
              <w:t>氨氮</w:t>
            </w:r>
          </w:p>
        </w:tc>
        <w:tc>
          <w:tcPr>
            <w:tcW w:w="354" w:type="pct"/>
            <w:noWrap w:val="0"/>
            <w:vAlign w:val="center"/>
          </w:tcPr>
          <w:p>
            <w:pPr>
              <w:adjustRightInd w:val="0"/>
              <w:spacing w:line="240" w:lineRule="auto"/>
              <w:ind w:firstLine="0" w:firstLineChars="0"/>
              <w:jc w:val="center"/>
              <w:rPr>
                <w:rFonts w:eastAsia="宋体" w:cs="Times New Roman"/>
                <w:bCs/>
                <w:color w:val="7030A0"/>
                <w:w w:val="101"/>
                <w:sz w:val="21"/>
                <w:szCs w:val="21"/>
                <w:highlight w:val="none"/>
                <w:lang w:eastAsia="en-US"/>
              </w:rPr>
            </w:pPr>
            <w:r>
              <w:rPr>
                <w:rFonts w:hint="eastAsia" w:eastAsia="宋体" w:cs="Times New Roman"/>
                <w:bCs/>
                <w:color w:val="7030A0"/>
                <w:sz w:val="21"/>
                <w:szCs w:val="21"/>
                <w:highlight w:val="none"/>
              </w:rPr>
              <w:t>t/a</w:t>
            </w:r>
          </w:p>
        </w:tc>
        <w:tc>
          <w:tcPr>
            <w:tcW w:w="405" w:type="pct"/>
            <w:noWrap w:val="0"/>
            <w:vAlign w:val="center"/>
          </w:tcPr>
          <w:p>
            <w:pPr>
              <w:adjustRightInd w:val="0"/>
              <w:spacing w:line="240" w:lineRule="auto"/>
              <w:ind w:firstLine="0" w:firstLineChars="0"/>
              <w:jc w:val="center"/>
              <w:rPr>
                <w:rFonts w:eastAsia="宋体" w:cs="Times New Roman"/>
                <w:bCs/>
                <w:w w:val="101"/>
                <w:sz w:val="21"/>
                <w:szCs w:val="21"/>
                <w:highlight w:val="none"/>
                <w:lang w:eastAsia="en-US"/>
              </w:rPr>
            </w:pPr>
            <w:r>
              <w:rPr>
                <w:rFonts w:eastAsia="Times New Roman" w:cs="Times New Roman"/>
                <w:bCs/>
                <w:color w:val="7030A0"/>
                <w:sz w:val="21"/>
                <w:szCs w:val="21"/>
                <w:highlight w:val="none"/>
                <w:lang w:eastAsia="en-US"/>
              </w:rPr>
              <w:t>20</w:t>
            </w:r>
            <w:r>
              <w:rPr>
                <w:rFonts w:hint="eastAsia" w:eastAsia="宋体" w:cs="Times New Roman"/>
                <w:bCs/>
                <w:color w:val="7030A0"/>
                <w:sz w:val="21"/>
                <w:szCs w:val="21"/>
                <w:highlight w:val="none"/>
              </w:rPr>
              <w:t>25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34.7</w:t>
            </w:r>
          </w:p>
        </w:tc>
        <w:tc>
          <w:tcPr>
            <w:tcW w:w="99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sz w:val="21"/>
                <w:szCs w:val="21"/>
                <w:highlight w:val="none"/>
                <w:lang w:eastAsia="en-US"/>
              </w:rPr>
              <w:t>1</w:t>
            </w:r>
            <w:r>
              <w:rPr>
                <w:rFonts w:hint="eastAsia" w:eastAsia="宋体" w:cs="Times New Roman"/>
                <w:bCs/>
                <w:color w:val="7030A0"/>
                <w:sz w:val="21"/>
                <w:szCs w:val="21"/>
                <w:highlight w:val="none"/>
              </w:rPr>
              <w:t>0</w:t>
            </w:r>
          </w:p>
        </w:tc>
        <w:tc>
          <w:tcPr>
            <w:tcW w:w="456" w:type="pct"/>
            <w:gridSpan w:val="2"/>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sz w:val="21"/>
                <w:szCs w:val="21"/>
                <w:highlight w:val="none"/>
              </w:rPr>
              <w:t>确保固废合理处置和利用</w:t>
            </w:r>
          </w:p>
        </w:tc>
        <w:tc>
          <w:tcPr>
            <w:tcW w:w="913"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sz w:val="21"/>
                <w:szCs w:val="21"/>
                <w:highlight w:val="none"/>
              </w:rPr>
              <w:t>工业废物综合利用率</w:t>
            </w:r>
          </w:p>
        </w:tc>
        <w:tc>
          <w:tcPr>
            <w:tcW w:w="354" w:type="pct"/>
            <w:noWrap w:val="0"/>
            <w:vAlign w:val="center"/>
          </w:tcPr>
          <w:p>
            <w:pPr>
              <w:adjustRightInd w:val="0"/>
              <w:spacing w:line="240" w:lineRule="auto"/>
              <w:ind w:firstLine="0" w:firstLineChars="0"/>
              <w:jc w:val="center"/>
              <w:rPr>
                <w:rFonts w:eastAsia="宋体" w:cs="Times New Roman"/>
                <w:bCs/>
                <w:color w:val="7030A0"/>
                <w:w w:val="101"/>
                <w:sz w:val="21"/>
                <w:szCs w:val="21"/>
                <w:highlight w:val="none"/>
                <w:lang w:eastAsia="en-US"/>
              </w:rPr>
            </w:pPr>
            <w:r>
              <w:rPr>
                <w:rFonts w:eastAsia="宋体" w:cs="Times New Roman"/>
                <w:bCs/>
                <w:color w:val="7030A0"/>
                <w:w w:val="101"/>
                <w:sz w:val="21"/>
                <w:szCs w:val="21"/>
                <w:highlight w:val="none"/>
                <w:lang w:eastAsia="en-US"/>
              </w:rPr>
              <w:t>%</w:t>
            </w:r>
          </w:p>
        </w:tc>
        <w:tc>
          <w:tcPr>
            <w:tcW w:w="405" w:type="pct"/>
            <w:noWrap w:val="0"/>
            <w:vAlign w:val="center"/>
          </w:tcPr>
          <w:p>
            <w:pPr>
              <w:adjustRightInd w:val="0"/>
              <w:spacing w:line="240" w:lineRule="auto"/>
              <w:ind w:firstLine="0" w:firstLineChars="0"/>
              <w:jc w:val="center"/>
              <w:rPr>
                <w:rFonts w:eastAsia="宋体" w:cs="Times New Roman"/>
                <w:bCs/>
                <w:color w:val="7030A0"/>
                <w:w w:val="101"/>
                <w:sz w:val="21"/>
                <w:szCs w:val="21"/>
                <w:highlight w:val="none"/>
                <w:lang w:eastAsia="en-US"/>
              </w:rPr>
            </w:pPr>
            <w:r>
              <w:rPr>
                <w:rFonts w:eastAsia="Times New Roman" w:cs="Times New Roman"/>
                <w:bCs/>
                <w:color w:val="7030A0"/>
                <w:sz w:val="21"/>
                <w:szCs w:val="21"/>
                <w:highlight w:val="none"/>
                <w:lang w:eastAsia="en-US"/>
              </w:rPr>
              <w:t>20</w:t>
            </w:r>
            <w:r>
              <w:rPr>
                <w:rFonts w:eastAsia="宋体" w:cs="Times New Roman"/>
                <w:bCs/>
                <w:color w:val="7030A0"/>
                <w:sz w:val="21"/>
                <w:szCs w:val="21"/>
                <w:highlight w:val="none"/>
              </w:rPr>
              <w:t>2</w:t>
            </w:r>
            <w:r>
              <w:rPr>
                <w:rFonts w:hint="eastAsia" w:eastAsia="宋体" w:cs="Times New Roman"/>
                <w:bCs/>
                <w:color w:val="7030A0"/>
                <w:sz w:val="21"/>
                <w:szCs w:val="21"/>
                <w:highlight w:val="none"/>
              </w:rPr>
              <w:t>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eastAsia="Times New Roman" w:cs="Times New Roman"/>
                <w:bCs/>
                <w:color w:val="7030A0"/>
                <w:sz w:val="21"/>
                <w:szCs w:val="21"/>
                <w:highlight w:val="none"/>
                <w:lang w:eastAsia="en-US"/>
              </w:rPr>
              <w:t>100%</w:t>
            </w:r>
          </w:p>
        </w:tc>
        <w:tc>
          <w:tcPr>
            <w:tcW w:w="999" w:type="pct"/>
            <w:vMerge w:val="restart"/>
            <w:noWrap w:val="0"/>
            <w:vAlign w:val="center"/>
          </w:tcPr>
          <w:p>
            <w:pPr>
              <w:adjustRightInd w:val="0"/>
              <w:spacing w:line="240" w:lineRule="auto"/>
              <w:ind w:firstLine="0" w:firstLineChars="0"/>
              <w:jc w:val="center"/>
              <w:rPr>
                <w:rFonts w:hint="eastAsia" w:eastAsia="宋体" w:cs="Times New Roman"/>
                <w:bCs/>
                <w:color w:val="7030A0"/>
                <w:sz w:val="21"/>
                <w:szCs w:val="21"/>
                <w:highlight w:val="none"/>
              </w:rPr>
            </w:pPr>
            <w:r>
              <w:rPr>
                <w:rFonts w:hint="eastAsia" w:eastAsia="宋体" w:cs="Times New Roman"/>
                <w:bCs/>
                <w:color w:val="7030A0"/>
                <w:sz w:val="21"/>
                <w:szCs w:val="21"/>
                <w:highlight w:val="none"/>
              </w:rPr>
              <w:t>国家生态工业示范园区标准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456" w:type="pct"/>
            <w:gridSpan w:val="2"/>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913"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宋体" w:cs="Times New Roman"/>
                <w:bCs/>
                <w:color w:val="7030A0"/>
                <w:sz w:val="21"/>
                <w:szCs w:val="21"/>
                <w:highlight w:val="none"/>
                <w:lang w:eastAsia="en-US"/>
              </w:rPr>
              <w:t>危险废物安全处置率</w:t>
            </w:r>
          </w:p>
        </w:tc>
        <w:tc>
          <w:tcPr>
            <w:tcW w:w="354" w:type="pct"/>
            <w:noWrap w:val="0"/>
            <w:vAlign w:val="center"/>
          </w:tcPr>
          <w:p>
            <w:pPr>
              <w:adjustRightInd w:val="0"/>
              <w:spacing w:line="240" w:lineRule="auto"/>
              <w:ind w:firstLine="0" w:firstLineChars="0"/>
              <w:jc w:val="center"/>
              <w:rPr>
                <w:rFonts w:eastAsia="宋体" w:cs="Times New Roman"/>
                <w:bCs/>
                <w:color w:val="7030A0"/>
                <w:w w:val="101"/>
                <w:sz w:val="21"/>
                <w:szCs w:val="21"/>
                <w:highlight w:val="none"/>
                <w:lang w:eastAsia="en-US"/>
              </w:rPr>
            </w:pPr>
            <w:r>
              <w:rPr>
                <w:rFonts w:eastAsia="宋体" w:cs="Times New Roman"/>
                <w:bCs/>
                <w:color w:val="7030A0"/>
                <w:w w:val="101"/>
                <w:sz w:val="21"/>
                <w:szCs w:val="21"/>
                <w:highlight w:val="none"/>
                <w:lang w:eastAsia="en-US"/>
              </w:rPr>
              <w:t>%</w:t>
            </w:r>
          </w:p>
        </w:tc>
        <w:tc>
          <w:tcPr>
            <w:tcW w:w="405" w:type="pct"/>
            <w:noWrap w:val="0"/>
            <w:vAlign w:val="center"/>
          </w:tcPr>
          <w:p>
            <w:pPr>
              <w:adjustRightInd w:val="0"/>
              <w:spacing w:line="240" w:lineRule="auto"/>
              <w:ind w:firstLine="0" w:firstLineChars="0"/>
              <w:jc w:val="center"/>
              <w:rPr>
                <w:rFonts w:eastAsia="宋体" w:cs="Times New Roman"/>
                <w:bCs/>
                <w:color w:val="7030A0"/>
                <w:w w:val="101"/>
                <w:sz w:val="21"/>
                <w:szCs w:val="21"/>
                <w:highlight w:val="none"/>
                <w:lang w:eastAsia="en-US"/>
              </w:rPr>
            </w:pPr>
            <w:r>
              <w:rPr>
                <w:rFonts w:eastAsia="Times New Roman" w:cs="Times New Roman"/>
                <w:bCs/>
                <w:color w:val="7030A0"/>
                <w:sz w:val="21"/>
                <w:szCs w:val="21"/>
                <w:highlight w:val="none"/>
                <w:lang w:eastAsia="en-US"/>
              </w:rPr>
              <w:t>20</w:t>
            </w:r>
            <w:r>
              <w:rPr>
                <w:rFonts w:eastAsia="宋体" w:cs="Times New Roman"/>
                <w:bCs/>
                <w:color w:val="7030A0"/>
                <w:sz w:val="21"/>
                <w:szCs w:val="21"/>
                <w:highlight w:val="none"/>
              </w:rPr>
              <w:t>2</w:t>
            </w:r>
            <w:r>
              <w:rPr>
                <w:rFonts w:hint="eastAsia" w:eastAsia="宋体" w:cs="Times New Roman"/>
                <w:bCs/>
                <w:color w:val="7030A0"/>
                <w:sz w:val="21"/>
                <w:szCs w:val="21"/>
                <w:highlight w:val="none"/>
              </w:rPr>
              <w:t>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宋体" w:cs="Times New Roman"/>
                <w:bCs/>
                <w:color w:val="7030A0"/>
                <w:sz w:val="21"/>
                <w:szCs w:val="21"/>
                <w:highlight w:val="none"/>
                <w:lang w:eastAsia="en-US"/>
              </w:rPr>
              <w:t>100</w:t>
            </w:r>
          </w:p>
        </w:tc>
        <w:tc>
          <w:tcPr>
            <w:tcW w:w="99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p>
        </w:tc>
        <w:tc>
          <w:tcPr>
            <w:tcW w:w="456" w:type="pct"/>
            <w:gridSpan w:val="2"/>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p>
        </w:tc>
        <w:tc>
          <w:tcPr>
            <w:tcW w:w="913" w:type="pc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sz w:val="21"/>
                <w:szCs w:val="21"/>
                <w:highlight w:val="none"/>
              </w:rPr>
              <w:t>生活垃圾无害化处理率</w:t>
            </w:r>
          </w:p>
        </w:tc>
        <w:tc>
          <w:tcPr>
            <w:tcW w:w="354" w:type="pct"/>
            <w:noWrap w:val="0"/>
            <w:vAlign w:val="center"/>
          </w:tcPr>
          <w:p>
            <w:pPr>
              <w:adjustRightInd w:val="0"/>
              <w:spacing w:line="240" w:lineRule="auto"/>
              <w:ind w:firstLine="0" w:firstLineChars="0"/>
              <w:jc w:val="center"/>
              <w:rPr>
                <w:rFonts w:eastAsia="宋体" w:cs="Times New Roman"/>
                <w:bCs/>
                <w:color w:val="7030A0"/>
                <w:w w:val="101"/>
                <w:sz w:val="21"/>
                <w:szCs w:val="21"/>
                <w:highlight w:val="none"/>
                <w:lang w:eastAsia="en-US"/>
              </w:rPr>
            </w:pPr>
            <w:r>
              <w:rPr>
                <w:rFonts w:eastAsia="宋体" w:cs="Times New Roman"/>
                <w:bCs/>
                <w:color w:val="7030A0"/>
                <w:w w:val="101"/>
                <w:sz w:val="21"/>
                <w:szCs w:val="21"/>
                <w:highlight w:val="none"/>
                <w:lang w:eastAsia="en-US"/>
              </w:rPr>
              <w:t>%</w:t>
            </w:r>
          </w:p>
        </w:tc>
        <w:tc>
          <w:tcPr>
            <w:tcW w:w="405" w:type="pct"/>
            <w:noWrap w:val="0"/>
            <w:vAlign w:val="center"/>
          </w:tcPr>
          <w:p>
            <w:pPr>
              <w:adjustRightInd w:val="0"/>
              <w:spacing w:line="240" w:lineRule="auto"/>
              <w:ind w:firstLine="0" w:firstLineChars="0"/>
              <w:jc w:val="center"/>
              <w:rPr>
                <w:rFonts w:eastAsia="宋体" w:cs="Times New Roman"/>
                <w:bCs/>
                <w:color w:val="7030A0"/>
                <w:w w:val="101"/>
                <w:sz w:val="21"/>
                <w:szCs w:val="21"/>
                <w:highlight w:val="none"/>
                <w:lang w:eastAsia="en-US"/>
              </w:rPr>
            </w:pPr>
            <w:r>
              <w:rPr>
                <w:rFonts w:eastAsia="Times New Roman" w:cs="Times New Roman"/>
                <w:bCs/>
                <w:color w:val="7030A0"/>
                <w:sz w:val="21"/>
                <w:szCs w:val="21"/>
                <w:highlight w:val="none"/>
                <w:lang w:eastAsia="en-US"/>
              </w:rPr>
              <w:t>20</w:t>
            </w:r>
            <w:r>
              <w:rPr>
                <w:rFonts w:eastAsia="宋体" w:cs="Times New Roman"/>
                <w:bCs/>
                <w:color w:val="7030A0"/>
                <w:sz w:val="21"/>
                <w:szCs w:val="21"/>
                <w:highlight w:val="none"/>
              </w:rPr>
              <w:t>2</w:t>
            </w:r>
            <w:r>
              <w:rPr>
                <w:rFonts w:hint="eastAsia" w:eastAsia="宋体" w:cs="Times New Roman"/>
                <w:bCs/>
                <w:color w:val="7030A0"/>
                <w:sz w:val="21"/>
                <w:szCs w:val="21"/>
                <w:highlight w:val="none"/>
              </w:rPr>
              <w:t>5</w:t>
            </w:r>
            <w:r>
              <w:rPr>
                <w:rFonts w:eastAsia="宋体" w:cs="Times New Roman"/>
                <w:bCs/>
                <w:color w:val="7030A0"/>
                <w:sz w:val="21"/>
                <w:szCs w:val="21"/>
                <w:highlight w:val="none"/>
                <w:lang w:eastAsia="en-US"/>
              </w:rPr>
              <w:t>年</w:t>
            </w:r>
          </w:p>
        </w:tc>
        <w:tc>
          <w:tcPr>
            <w:tcW w:w="1517" w:type="pct"/>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r>
              <w:rPr>
                <w:rFonts w:eastAsia="宋体" w:cs="Times New Roman"/>
                <w:bCs/>
                <w:color w:val="7030A0"/>
                <w:sz w:val="21"/>
                <w:szCs w:val="21"/>
                <w:highlight w:val="none"/>
                <w:lang w:eastAsia="en-US"/>
              </w:rPr>
              <w:t>100</w:t>
            </w:r>
          </w:p>
        </w:tc>
        <w:tc>
          <w:tcPr>
            <w:tcW w:w="99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sz w:val="21"/>
                <w:szCs w:val="21"/>
                <w:highlight w:val="none"/>
                <w:lang w:eastAsia="en-US"/>
              </w:rPr>
              <w:t>1</w:t>
            </w:r>
            <w:r>
              <w:rPr>
                <w:rFonts w:hint="eastAsia" w:eastAsia="宋体" w:cs="Times New Roman"/>
                <w:bCs/>
                <w:color w:val="7030A0"/>
                <w:sz w:val="21"/>
                <w:szCs w:val="21"/>
                <w:highlight w:val="none"/>
              </w:rPr>
              <w:t>1</w:t>
            </w:r>
          </w:p>
        </w:tc>
        <w:tc>
          <w:tcPr>
            <w:tcW w:w="456" w:type="pct"/>
            <w:gridSpan w:val="2"/>
            <w:vMerge w:val="restart"/>
            <w:noWrap w:val="0"/>
            <w:vAlign w:val="center"/>
          </w:tcPr>
          <w:p>
            <w:pPr>
              <w:adjustRightInd w:val="0"/>
              <w:spacing w:line="240" w:lineRule="auto"/>
              <w:ind w:firstLine="0" w:firstLineChars="0"/>
              <w:jc w:val="center"/>
              <w:rPr>
                <w:rFonts w:eastAsia="宋体" w:cs="Times New Roman"/>
                <w:bCs/>
                <w:color w:val="7030A0"/>
                <w:sz w:val="21"/>
                <w:szCs w:val="21"/>
                <w:highlight w:val="none"/>
              </w:rPr>
            </w:pPr>
            <w:r>
              <w:rPr>
                <w:rFonts w:eastAsia="宋体" w:cs="Times New Roman"/>
                <w:bCs/>
                <w:color w:val="7030A0"/>
                <w:sz w:val="21"/>
                <w:szCs w:val="21"/>
                <w:highlight w:val="none"/>
              </w:rPr>
              <w:t>满足大气污染物排放总量控制要求</w:t>
            </w:r>
          </w:p>
        </w:tc>
        <w:tc>
          <w:tcPr>
            <w:tcW w:w="913" w:type="pct"/>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能源结构规划要求</w:t>
            </w:r>
            <w:r>
              <w:rPr>
                <w:rFonts w:ascii="Times New Roman" w:hAnsi="Times New Roman" w:eastAsia="宋体" w:cs="Times New Roman"/>
                <w:color w:val="7030A0"/>
                <w:kern w:val="2"/>
                <w:sz w:val="21"/>
                <w:szCs w:val="21"/>
                <w:highlight w:val="none"/>
                <w:lang w:val="en-US" w:eastAsia="zh-CN" w:bidi="ar-SA"/>
              </w:rPr>
              <w:t xml:space="preserve"> </w:t>
            </w:r>
          </w:p>
        </w:tc>
        <w:tc>
          <w:tcPr>
            <w:tcW w:w="354" w:type="pct"/>
            <w:noWrap w:val="0"/>
            <w:vAlign w:val="center"/>
          </w:tcPr>
          <w:p>
            <w:pPr>
              <w:adjustRightInd w:val="0"/>
              <w:spacing w:line="240" w:lineRule="auto"/>
              <w:ind w:firstLine="0" w:firstLineChars="0"/>
              <w:jc w:val="center"/>
              <w:rPr>
                <w:rFonts w:hint="eastAsia" w:eastAsia="宋体" w:cs="Times New Roman"/>
                <w:bCs/>
                <w:sz w:val="21"/>
                <w:szCs w:val="21"/>
                <w:highlight w:val="none"/>
              </w:rPr>
            </w:pPr>
            <w:r>
              <w:rPr>
                <w:rFonts w:hint="eastAsia" w:eastAsia="宋体" w:cs="Times New Roman"/>
                <w:bCs/>
                <w:w w:val="101"/>
                <w:sz w:val="21"/>
                <w:szCs w:val="21"/>
                <w:highlight w:val="none"/>
              </w:rPr>
              <w:t>/</w:t>
            </w:r>
          </w:p>
        </w:tc>
        <w:tc>
          <w:tcPr>
            <w:tcW w:w="405" w:type="pct"/>
            <w:noWrap w:val="0"/>
            <w:vAlign w:val="center"/>
          </w:tcPr>
          <w:p>
            <w:pPr>
              <w:adjustRightInd w:val="0"/>
              <w:spacing w:line="240" w:lineRule="auto"/>
              <w:ind w:firstLine="0" w:firstLineChars="0"/>
              <w:jc w:val="center"/>
              <w:rPr>
                <w:rFonts w:eastAsia="宋体" w:cs="Times New Roman"/>
                <w:bCs/>
                <w:sz w:val="21"/>
                <w:szCs w:val="21"/>
                <w:highlight w:val="none"/>
                <w:lang w:eastAsia="en-US"/>
              </w:rPr>
            </w:pPr>
            <w:r>
              <w:rPr>
                <w:rFonts w:eastAsia="Times New Roman" w:cs="Times New Roman"/>
                <w:bCs/>
                <w:color w:val="7030A0"/>
                <w:sz w:val="21"/>
                <w:szCs w:val="21"/>
                <w:highlight w:val="none"/>
                <w:lang w:eastAsia="en-US"/>
              </w:rPr>
              <w:t>20</w:t>
            </w:r>
            <w:r>
              <w:rPr>
                <w:rFonts w:eastAsia="宋体" w:cs="Times New Roman"/>
                <w:bCs/>
                <w:color w:val="7030A0"/>
                <w:sz w:val="21"/>
                <w:szCs w:val="21"/>
                <w:highlight w:val="none"/>
              </w:rPr>
              <w:t>2</w:t>
            </w:r>
            <w:r>
              <w:rPr>
                <w:rFonts w:hint="eastAsia" w:eastAsia="宋体" w:cs="Times New Roman"/>
                <w:bCs/>
                <w:color w:val="7030A0"/>
                <w:sz w:val="21"/>
                <w:szCs w:val="21"/>
                <w:highlight w:val="none"/>
              </w:rPr>
              <w:t>5</w:t>
            </w:r>
            <w:r>
              <w:rPr>
                <w:rFonts w:eastAsia="宋体" w:cs="Times New Roman"/>
                <w:bCs/>
                <w:color w:val="7030A0"/>
                <w:sz w:val="21"/>
                <w:szCs w:val="21"/>
                <w:highlight w:val="none"/>
                <w:lang w:eastAsia="en-US"/>
              </w:rPr>
              <w:t>年</w:t>
            </w:r>
          </w:p>
        </w:tc>
        <w:tc>
          <w:tcPr>
            <w:tcW w:w="1517" w:type="pct"/>
            <w:noWrap w:val="0"/>
            <w:vAlign w:val="center"/>
          </w:tcPr>
          <w:p>
            <w:pPr>
              <w:widowControl w:val="0"/>
              <w:spacing w:line="240" w:lineRule="auto"/>
              <w:ind w:firstLine="0" w:firstLineChars="0"/>
              <w:jc w:val="both"/>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积极实施煤改电、有序推进煤改气。鼓励工业窑炉煤改电、煤改气或集中供热。</w:t>
            </w:r>
          </w:p>
        </w:tc>
        <w:tc>
          <w:tcPr>
            <w:tcW w:w="999" w:type="pct"/>
            <w:vMerge w:val="restart"/>
            <w:noWrap w:val="0"/>
            <w:vAlign w:val="center"/>
          </w:tcPr>
          <w:p>
            <w:pPr>
              <w:adjustRightInd w:val="0"/>
              <w:spacing w:line="240" w:lineRule="auto"/>
              <w:ind w:firstLine="420"/>
              <w:jc w:val="center"/>
              <w:rPr>
                <w:rFonts w:eastAsia="宋体" w:cs="Times New Roman"/>
                <w:bCs/>
                <w:color w:val="7030A0"/>
                <w:sz w:val="21"/>
                <w:szCs w:val="21"/>
                <w:highlight w:val="none"/>
              </w:rPr>
            </w:pPr>
            <w:r>
              <w:rPr>
                <w:rFonts w:hint="eastAsia" w:eastAsia="宋体" w:cs="Times New Roman"/>
                <w:bCs/>
                <w:color w:val="7030A0"/>
                <w:sz w:val="21"/>
                <w:szCs w:val="21"/>
                <w:highlight w:val="none"/>
              </w:rPr>
              <w:t>生态环境分区管控成果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69"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187" w:type="pct"/>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456" w:type="pct"/>
            <w:gridSpan w:val="2"/>
            <w:vMerge w:val="continue"/>
            <w:noWrap w:val="0"/>
            <w:vAlign w:val="center"/>
          </w:tcPr>
          <w:p>
            <w:pPr>
              <w:adjustRightInd w:val="0"/>
              <w:spacing w:line="240" w:lineRule="auto"/>
              <w:ind w:firstLine="0" w:firstLineChars="0"/>
              <w:jc w:val="center"/>
              <w:rPr>
                <w:rFonts w:eastAsia="宋体" w:cs="Times New Roman"/>
                <w:bCs/>
                <w:color w:val="7030A0"/>
                <w:sz w:val="21"/>
                <w:szCs w:val="21"/>
                <w:highlight w:val="none"/>
              </w:rPr>
            </w:pPr>
          </w:p>
        </w:tc>
        <w:tc>
          <w:tcPr>
            <w:tcW w:w="913" w:type="pct"/>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燃煤锅炉控制</w:t>
            </w:r>
            <w:r>
              <w:rPr>
                <w:rFonts w:ascii="Times New Roman" w:hAnsi="Times New Roman" w:eastAsia="宋体" w:cs="Times New Roman"/>
                <w:color w:val="7030A0"/>
                <w:kern w:val="2"/>
                <w:sz w:val="21"/>
                <w:szCs w:val="21"/>
                <w:highlight w:val="none"/>
                <w:lang w:val="en-US" w:eastAsia="zh-CN" w:bidi="ar-SA"/>
              </w:rPr>
              <w:t xml:space="preserve"> </w:t>
            </w:r>
          </w:p>
        </w:tc>
        <w:tc>
          <w:tcPr>
            <w:tcW w:w="354" w:type="pct"/>
            <w:noWrap w:val="0"/>
            <w:vAlign w:val="center"/>
          </w:tcPr>
          <w:p>
            <w:pPr>
              <w:adjustRightInd w:val="0"/>
              <w:spacing w:line="240" w:lineRule="auto"/>
              <w:ind w:firstLine="0" w:firstLineChars="0"/>
              <w:jc w:val="center"/>
              <w:rPr>
                <w:rFonts w:eastAsia="宋体" w:cs="Times New Roman"/>
                <w:bCs/>
                <w:w w:val="101"/>
                <w:sz w:val="21"/>
                <w:szCs w:val="21"/>
                <w:highlight w:val="none"/>
                <w:lang w:eastAsia="en-US"/>
              </w:rPr>
            </w:pPr>
            <w:r>
              <w:rPr>
                <w:rFonts w:eastAsia="Times New Roman" w:cs="Times New Roman"/>
                <w:bCs/>
                <w:color w:val="7030A0"/>
                <w:sz w:val="21"/>
                <w:szCs w:val="21"/>
                <w:highlight w:val="none"/>
                <w:lang w:eastAsia="en-US"/>
              </w:rPr>
              <w:t>20</w:t>
            </w:r>
            <w:r>
              <w:rPr>
                <w:rFonts w:eastAsia="宋体" w:cs="Times New Roman"/>
                <w:bCs/>
                <w:color w:val="7030A0"/>
                <w:sz w:val="21"/>
                <w:szCs w:val="21"/>
                <w:highlight w:val="none"/>
              </w:rPr>
              <w:t>2</w:t>
            </w:r>
            <w:r>
              <w:rPr>
                <w:rFonts w:hint="eastAsia" w:eastAsia="宋体" w:cs="Times New Roman"/>
                <w:bCs/>
                <w:color w:val="7030A0"/>
                <w:sz w:val="21"/>
                <w:szCs w:val="21"/>
                <w:highlight w:val="none"/>
              </w:rPr>
              <w:t>5</w:t>
            </w:r>
            <w:r>
              <w:rPr>
                <w:rFonts w:eastAsia="宋体" w:cs="Times New Roman"/>
                <w:bCs/>
                <w:color w:val="7030A0"/>
                <w:sz w:val="21"/>
                <w:szCs w:val="21"/>
                <w:highlight w:val="none"/>
                <w:lang w:eastAsia="en-US"/>
              </w:rPr>
              <w:t>年</w:t>
            </w:r>
          </w:p>
        </w:tc>
        <w:tc>
          <w:tcPr>
            <w:tcW w:w="405" w:type="pct"/>
            <w:noWrap w:val="0"/>
            <w:vAlign w:val="center"/>
          </w:tcPr>
          <w:p>
            <w:pPr>
              <w:adjustRightInd w:val="0"/>
              <w:spacing w:line="240" w:lineRule="auto"/>
              <w:ind w:firstLine="0" w:firstLineChars="0"/>
              <w:jc w:val="center"/>
              <w:rPr>
                <w:rFonts w:eastAsia="宋体" w:cs="Times New Roman"/>
                <w:bCs/>
                <w:w w:val="101"/>
                <w:sz w:val="21"/>
                <w:szCs w:val="21"/>
                <w:highlight w:val="none"/>
                <w:lang w:eastAsia="en-US"/>
              </w:rPr>
            </w:pPr>
            <w:r>
              <w:rPr>
                <w:rFonts w:eastAsia="Times New Roman" w:cs="Times New Roman"/>
                <w:bCs/>
                <w:color w:val="7030A0"/>
                <w:sz w:val="21"/>
                <w:szCs w:val="21"/>
                <w:highlight w:val="none"/>
                <w:lang w:eastAsia="en-US"/>
              </w:rPr>
              <w:t>20</w:t>
            </w:r>
            <w:r>
              <w:rPr>
                <w:rFonts w:eastAsia="宋体" w:cs="Times New Roman"/>
                <w:bCs/>
                <w:color w:val="7030A0"/>
                <w:sz w:val="21"/>
                <w:szCs w:val="21"/>
                <w:highlight w:val="none"/>
              </w:rPr>
              <w:t>2</w:t>
            </w:r>
            <w:r>
              <w:rPr>
                <w:rFonts w:hint="eastAsia" w:eastAsia="宋体" w:cs="Times New Roman"/>
                <w:bCs/>
                <w:color w:val="7030A0"/>
                <w:sz w:val="21"/>
                <w:szCs w:val="21"/>
                <w:highlight w:val="none"/>
              </w:rPr>
              <w:t>5</w:t>
            </w:r>
            <w:r>
              <w:rPr>
                <w:rFonts w:eastAsia="宋体" w:cs="Times New Roman"/>
                <w:bCs/>
                <w:color w:val="7030A0"/>
                <w:sz w:val="21"/>
                <w:szCs w:val="21"/>
                <w:highlight w:val="none"/>
                <w:lang w:eastAsia="en-US"/>
              </w:rPr>
              <w:t>年</w:t>
            </w:r>
          </w:p>
        </w:tc>
        <w:tc>
          <w:tcPr>
            <w:tcW w:w="1517" w:type="pct"/>
            <w:noWrap w:val="0"/>
            <w:vAlign w:val="center"/>
          </w:tcPr>
          <w:p>
            <w:pPr>
              <w:widowControl w:val="0"/>
              <w:spacing w:line="240" w:lineRule="auto"/>
              <w:ind w:firstLine="0" w:firstLineChars="0"/>
              <w:jc w:val="both"/>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工业重点管控单元：原则上不再新建每小时</w:t>
            </w:r>
            <w:r>
              <w:rPr>
                <w:rFonts w:ascii="Times New Roman" w:hAnsi="Times New Roman" w:eastAsia="宋体" w:cs="Times New Roman"/>
                <w:color w:val="7030A0"/>
                <w:kern w:val="2"/>
                <w:sz w:val="21"/>
                <w:szCs w:val="21"/>
                <w:highlight w:val="none"/>
                <w:lang w:val="en-US" w:eastAsia="zh-CN" w:bidi="ar-SA"/>
              </w:rPr>
              <w:t>35</w:t>
            </w:r>
            <w:r>
              <w:rPr>
                <w:rFonts w:hint="eastAsia" w:ascii="Times New Roman" w:hAnsi="Times New Roman" w:eastAsia="宋体" w:cs="Times New Roman"/>
                <w:color w:val="7030A0"/>
                <w:kern w:val="2"/>
                <w:sz w:val="21"/>
                <w:szCs w:val="21"/>
                <w:highlight w:val="none"/>
                <w:lang w:val="en-US" w:eastAsia="zh-CN" w:bidi="ar-SA"/>
              </w:rPr>
              <w:t>蒸吨以下的燃煤锅炉；</w:t>
            </w:r>
          </w:p>
          <w:p>
            <w:pPr>
              <w:widowControl w:val="0"/>
              <w:spacing w:line="240" w:lineRule="auto"/>
              <w:ind w:firstLine="0" w:firstLineChars="0"/>
              <w:jc w:val="both"/>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要素重点管控单元、一般管控单元禁燃区：不再新建每小时</w:t>
            </w:r>
            <w:r>
              <w:rPr>
                <w:rFonts w:ascii="Times New Roman" w:hAnsi="Times New Roman" w:eastAsia="宋体" w:cs="Times New Roman"/>
                <w:color w:val="7030A0"/>
                <w:kern w:val="2"/>
                <w:sz w:val="21"/>
                <w:szCs w:val="21"/>
                <w:highlight w:val="none"/>
                <w:lang w:val="en-US" w:eastAsia="zh-CN" w:bidi="ar-SA"/>
              </w:rPr>
              <w:t>10</w:t>
            </w:r>
            <w:r>
              <w:rPr>
                <w:rFonts w:hint="eastAsia" w:ascii="Times New Roman" w:hAnsi="Times New Roman" w:eastAsia="宋体" w:cs="Times New Roman"/>
                <w:color w:val="7030A0"/>
                <w:kern w:val="2"/>
                <w:sz w:val="21"/>
                <w:szCs w:val="21"/>
                <w:highlight w:val="none"/>
                <w:lang w:val="en-US" w:eastAsia="zh-CN" w:bidi="ar-SA"/>
              </w:rPr>
              <w:t>蒸吨以下的燃煤锅炉；</w:t>
            </w:r>
          </w:p>
        </w:tc>
        <w:tc>
          <w:tcPr>
            <w:tcW w:w="999" w:type="pct"/>
            <w:vMerge w:val="continue"/>
            <w:noWrap w:val="0"/>
            <w:vAlign w:val="center"/>
          </w:tcPr>
          <w:p>
            <w:pPr>
              <w:adjustRightInd w:val="0"/>
              <w:spacing w:line="240" w:lineRule="auto"/>
              <w:ind w:firstLine="0" w:firstLineChars="0"/>
              <w:jc w:val="center"/>
              <w:rPr>
                <w:rFonts w:eastAsia="宋体" w:cs="Times New Roman"/>
                <w:bCs/>
                <w:sz w:val="21"/>
                <w:szCs w:val="21"/>
                <w:highlight w:val="none"/>
              </w:rPr>
            </w:pPr>
          </w:p>
        </w:tc>
      </w:tr>
    </w:tbl>
    <w:p>
      <w:pPr>
        <w:spacing w:after="163" w:line="360" w:lineRule="auto"/>
        <w:jc w:val="left"/>
        <w:rPr>
          <w:highlight w:val="none"/>
        </w:rPr>
        <w:sectPr>
          <w:pgSz w:w="16838" w:h="11906" w:orient="landscape"/>
          <w:pgMar w:top="1418" w:right="1418" w:bottom="1418" w:left="1418" w:header="851" w:footer="992" w:gutter="0"/>
          <w:cols w:space="720" w:num="1"/>
          <w:docGrid w:type="lines" w:linePitch="326" w:charSpace="0"/>
        </w:sectPr>
      </w:pPr>
    </w:p>
    <w:p>
      <w:pPr>
        <w:keepNext/>
        <w:keepLines/>
        <w:widowControl w:val="0"/>
        <w:numPr>
          <w:ilvl w:val="0"/>
          <w:numId w:val="9"/>
        </w:numPr>
        <w:spacing w:before="163" w:beforeLines="0" w:after="163" w:afterLines="0" w:line="578" w:lineRule="auto"/>
        <w:ind w:left="440" w:hanging="440" w:firstLineChars="0"/>
        <w:jc w:val="both"/>
        <w:outlineLvl w:val="0"/>
        <w:rPr>
          <w:rFonts w:ascii="Times New Roman" w:hAnsi="Times New Roman" w:eastAsia="黑体" w:cs="Times New Roman"/>
          <w:bCs/>
          <w:color w:val="7030A0"/>
          <w:kern w:val="44"/>
          <w:sz w:val="44"/>
          <w:szCs w:val="44"/>
          <w:highlight w:val="none"/>
          <w:lang w:val="en-US" w:eastAsia="zh-CN" w:bidi="ar-SA"/>
        </w:rPr>
      </w:pPr>
      <w:bookmarkStart w:id="46" w:name="_Toc162353655"/>
      <w:r>
        <w:rPr>
          <w:rFonts w:hint="eastAsia" w:ascii="Times New Roman" w:hAnsi="Times New Roman" w:eastAsia="黑体" w:cs="Times New Roman"/>
          <w:bCs/>
          <w:color w:val="7030A0"/>
          <w:kern w:val="44"/>
          <w:sz w:val="44"/>
          <w:szCs w:val="44"/>
          <w:highlight w:val="none"/>
          <w:lang w:val="en-US" w:eastAsia="zh-CN" w:bidi="ar-SA"/>
        </w:rPr>
        <w:t>环境影响分析与评价</w:t>
      </w:r>
      <w:bookmarkEnd w:id="46"/>
    </w:p>
    <w:p>
      <w:pPr>
        <w:keepNext/>
        <w:keepLines/>
        <w:widowControl w:val="0"/>
        <w:numPr>
          <w:ilvl w:val="1"/>
          <w:numId w:val="9"/>
        </w:numPr>
        <w:spacing w:line="480" w:lineRule="auto"/>
        <w:ind w:left="576" w:hanging="576" w:firstLineChars="0"/>
        <w:jc w:val="both"/>
        <w:outlineLvl w:val="1"/>
        <w:rPr>
          <w:rFonts w:ascii="Times New Roman" w:hAnsi="Times New Roman" w:eastAsia="黑体" w:cs="Times New Roman"/>
          <w:bCs/>
          <w:color w:val="7030A0"/>
          <w:kern w:val="2"/>
          <w:sz w:val="32"/>
          <w:szCs w:val="32"/>
          <w:highlight w:val="none"/>
          <w:lang w:val="en-US" w:eastAsia="zh-CN" w:bidi="ar-SA"/>
        </w:rPr>
      </w:pPr>
      <w:bookmarkStart w:id="47" w:name="_Toc162353656"/>
      <w:r>
        <w:rPr>
          <w:rFonts w:hint="eastAsia" w:ascii="Times New Roman" w:hAnsi="Times New Roman" w:eastAsia="黑体" w:cs="Times New Roman"/>
          <w:bCs/>
          <w:color w:val="7030A0"/>
          <w:kern w:val="2"/>
          <w:sz w:val="32"/>
          <w:szCs w:val="32"/>
          <w:highlight w:val="none"/>
          <w:lang w:val="en-US" w:eastAsia="zh-CN" w:bidi="ar-SA"/>
        </w:rPr>
        <w:t>规划实施生态环境压力分析</w:t>
      </w:r>
      <w:bookmarkEnd w:id="47"/>
    </w:p>
    <w:p>
      <w:pPr>
        <w:widowControl w:val="0"/>
        <w:adjustRightInd w:val="0"/>
        <w:snapToGrid/>
        <w:spacing w:line="360" w:lineRule="auto"/>
        <w:ind w:firstLine="480" w:firstLineChars="200"/>
        <w:jc w:val="both"/>
        <w:rPr>
          <w:rFonts w:ascii="Times New Roman" w:hAnsi="Times New Roman" w:eastAsia="宋体" w:cs="Times New Roman"/>
          <w:bCs/>
          <w:color w:val="7030A0"/>
          <w:kern w:val="2"/>
          <w:sz w:val="24"/>
          <w:szCs w:val="21"/>
          <w:highlight w:val="none"/>
          <w:lang w:val="en-US" w:eastAsia="zh-CN" w:bidi="ar-SA"/>
        </w:rPr>
      </w:pPr>
      <w:r>
        <w:rPr>
          <w:rFonts w:hint="eastAsia" w:ascii="Times New Roman" w:hAnsi="Times New Roman" w:eastAsia="宋体" w:cs="Times New Roman"/>
          <w:bCs/>
          <w:color w:val="7030A0"/>
          <w:kern w:val="2"/>
          <w:sz w:val="24"/>
          <w:szCs w:val="21"/>
          <w:highlight w:val="none"/>
          <w:lang w:val="en-US" w:eastAsia="zh-CN" w:bidi="ar-SA"/>
        </w:rPr>
        <w:t>结合主要污染物排放强度及污染控制水平、碳排放特征、产业园区污染集中处理、资源能源集约利用水平，设置不同情景方案，评估产业园区水资源、土地资源、能源等需求量、主要污染物排放量及碳排放水平。</w:t>
      </w:r>
    </w:p>
    <w:p>
      <w:pPr>
        <w:widowControl w:val="0"/>
        <w:adjustRightInd w:val="0"/>
        <w:snapToGrid/>
        <w:spacing w:line="360" w:lineRule="auto"/>
        <w:ind w:firstLine="480" w:firstLineChars="200"/>
        <w:jc w:val="both"/>
        <w:rPr>
          <w:rFonts w:ascii="Times New Roman" w:hAnsi="Times New Roman" w:eastAsia="宋体" w:cs="Times New Roman"/>
          <w:bCs/>
          <w:color w:val="7030A0"/>
          <w:kern w:val="2"/>
          <w:sz w:val="24"/>
          <w:szCs w:val="21"/>
          <w:highlight w:val="none"/>
          <w:lang w:val="en-US" w:eastAsia="zh-CN" w:bidi="ar-SA"/>
        </w:rPr>
      </w:pPr>
      <w:r>
        <w:rPr>
          <w:rFonts w:hint="eastAsia" w:ascii="Times New Roman" w:hAnsi="Times New Roman" w:eastAsia="宋体" w:cs="Times New Roman"/>
          <w:bCs/>
          <w:color w:val="7030A0"/>
          <w:kern w:val="2"/>
          <w:sz w:val="24"/>
          <w:szCs w:val="21"/>
          <w:highlight w:val="none"/>
          <w:lang w:val="en-US" w:eastAsia="zh-CN" w:bidi="ar-SA"/>
        </w:rPr>
        <w:t>重点关注有潜在显著环境影响或风险的特征污染物、新污染物和持久性污染物等管控的物质排放特征，分析主要污染源空间分布、排放方式、排放强度、污染控制水平及排放量。</w:t>
      </w:r>
    </w:p>
    <w:p>
      <w:pPr>
        <w:keepNext/>
        <w:keepLines/>
        <w:widowControl w:val="0"/>
        <w:numPr>
          <w:ilvl w:val="1"/>
          <w:numId w:val="9"/>
        </w:numPr>
        <w:spacing w:line="480" w:lineRule="auto"/>
        <w:ind w:left="576" w:hanging="576" w:firstLineChars="0"/>
        <w:jc w:val="both"/>
        <w:outlineLvl w:val="1"/>
        <w:rPr>
          <w:rFonts w:ascii="Times New Roman" w:hAnsi="Times New Roman" w:eastAsia="黑体" w:cs="Times New Roman"/>
          <w:bCs/>
          <w:color w:val="7030A0"/>
          <w:kern w:val="2"/>
          <w:sz w:val="32"/>
          <w:szCs w:val="32"/>
          <w:highlight w:val="none"/>
          <w:lang w:val="en-US" w:eastAsia="zh-CN" w:bidi="ar-SA"/>
        </w:rPr>
      </w:pPr>
      <w:bookmarkStart w:id="48" w:name="_Toc162353657"/>
      <w:r>
        <w:rPr>
          <w:rFonts w:hint="eastAsia" w:ascii="Times New Roman" w:hAnsi="Times New Roman" w:eastAsia="黑体" w:cs="Times New Roman"/>
          <w:bCs/>
          <w:color w:val="7030A0"/>
          <w:kern w:val="2"/>
          <w:sz w:val="32"/>
          <w:szCs w:val="32"/>
          <w:highlight w:val="none"/>
          <w:lang w:val="en-US" w:eastAsia="zh-CN" w:bidi="ar-SA"/>
        </w:rPr>
        <w:t>施工期环境影响分析</w:t>
      </w:r>
    </w:p>
    <w:p>
      <w:pPr>
        <w:ind w:firstLine="480"/>
        <w:rPr>
          <w:rFonts w:eastAsia="宋体" w:cs="Times New Roman"/>
          <w:color w:val="7030A0"/>
          <w:highlight w:val="none"/>
        </w:rPr>
      </w:pPr>
      <w:r>
        <w:rPr>
          <w:rFonts w:hint="eastAsia" w:eastAsia="宋体" w:cs="Times New Roman"/>
          <w:color w:val="7030A0"/>
          <w:highlight w:val="none"/>
        </w:rPr>
        <w:t>规划区域建设是一个滚动发展的过程，一般先进行局部地区的基础设施建设，然后招商引资，逐步滚动扩大，直到最后建成全区。按照规划，规划建设期较长，区内项目逐年引进，各引进项目分散，影响范围随时间和地点变化，且较局限，故施工期对环境的影响主要体现在规划区基础设施建设和各引进企业施工时对环境的影响。</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30"/>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施工期社会环境影响分析</w:t>
      </w:r>
    </w:p>
    <w:p>
      <w:pPr>
        <w:ind w:firstLine="480"/>
        <w:rPr>
          <w:rFonts w:eastAsia="宋体" w:cs="Times New Roman"/>
          <w:color w:val="7030A0"/>
          <w:highlight w:val="none"/>
        </w:rPr>
      </w:pPr>
      <w:r>
        <w:rPr>
          <w:rFonts w:hint="eastAsia" w:eastAsia="宋体" w:cs="Times New Roman"/>
          <w:color w:val="7030A0"/>
          <w:highlight w:val="none"/>
        </w:rPr>
        <w:t>对社会环境的影响主要表现为：施工噪声和扬尘，施工会使施工现场的周围局部地区短时的大气环境质量、声环境下降，施工会影响居民的出行和生活的有序；施工也有可能影响居民通讯、用水、用电的短时中断等。但这些影响是短时和局部的，随着施工的结束也就自然消失。</w:t>
      </w:r>
    </w:p>
    <w:p>
      <w:pPr>
        <w:ind w:firstLine="480"/>
        <w:rPr>
          <w:rFonts w:eastAsia="宋体" w:cs="Times New Roman"/>
          <w:color w:val="7030A0"/>
          <w:highlight w:val="none"/>
        </w:rPr>
      </w:pPr>
      <w:r>
        <w:rPr>
          <w:rFonts w:hint="eastAsia" w:eastAsia="宋体" w:cs="Times New Roman"/>
          <w:color w:val="7030A0"/>
          <w:highlight w:val="none"/>
        </w:rPr>
        <w:t>因此，加强施工期环境保护，尽量减少施工对环境的影响是十分必要的，本报告提出如下的建议和要求：</w:t>
      </w:r>
    </w:p>
    <w:p>
      <w:pPr>
        <w:ind w:firstLine="480"/>
        <w:rPr>
          <w:rFonts w:eastAsia="宋体" w:cs="Times New Roman"/>
          <w:color w:val="7030A0"/>
          <w:highlight w:val="none"/>
        </w:rPr>
      </w:pPr>
      <w:r>
        <w:rPr>
          <w:rFonts w:eastAsia="宋体" w:cs="Times New Roman"/>
          <w:color w:val="7030A0"/>
          <w:highlight w:val="none"/>
        </w:rPr>
        <w:t>1</w:t>
      </w:r>
      <w:r>
        <w:rPr>
          <w:rFonts w:hint="eastAsia" w:eastAsia="宋体" w:cs="Times New Roman"/>
          <w:color w:val="7030A0"/>
          <w:highlight w:val="none"/>
        </w:rPr>
        <w:t>、应当在道路施工中，采取有效的生态保护和水土保护措施，合理选线，尽量挖填方平衡，减少废弃土石方的产生。加强植树绿化，管线工程的挖、弃方及时回填、外运。由于选址的特殊性，施工时，需对场地内的边坡进行精心设计，合理施工，科学处理，以免造成边坡的失稳。施工过程中应加强对建设场地及周边软弱岩层的工程防护，设计时也应注意开挖坡比、衬砌工程及基础处理。</w:t>
      </w:r>
    </w:p>
    <w:p>
      <w:pPr>
        <w:ind w:firstLine="480"/>
        <w:rPr>
          <w:rFonts w:ascii="宋体" w:eastAsia="宋体" w:cs="宋体"/>
          <w:color w:val="7030A0"/>
          <w:szCs w:val="24"/>
          <w:highlight w:val="none"/>
        </w:rPr>
      </w:pPr>
      <w:r>
        <w:rPr>
          <w:rFonts w:eastAsia="宋体" w:cs="Times New Roman"/>
          <w:color w:val="7030A0"/>
          <w:szCs w:val="24"/>
          <w:highlight w:val="none"/>
        </w:rPr>
        <w:t>2</w:t>
      </w:r>
      <w:r>
        <w:rPr>
          <w:rFonts w:hint="eastAsia" w:eastAsia="宋体" w:cs="Times New Roman"/>
          <w:color w:val="7030A0"/>
          <w:szCs w:val="24"/>
          <w:highlight w:val="none"/>
        </w:rPr>
        <w:t>、同时在施工中应尽量避免夜间施工，特别是靠近敏感点区域，以防止施工噪声污染；施工中注意洒水，以防止扬尘等大气污染。施工场地用塑料纺织网沿界封隔，防止施工堆渣流失、扬尘危害和减轻对局部环境的暂时性影响。在施工区内建简单沉淀池，</w:t>
      </w:r>
      <w:r>
        <w:rPr>
          <w:rFonts w:hint="eastAsia" w:ascii="宋体" w:eastAsia="宋体" w:cs="宋体"/>
          <w:color w:val="7030A0"/>
          <w:szCs w:val="24"/>
          <w:highlight w:val="none"/>
        </w:rPr>
        <w:t>生产废水经沉淀、隔油、除渣处理后达标排放。</w:t>
      </w:r>
    </w:p>
    <w:p>
      <w:pPr>
        <w:ind w:firstLine="480"/>
        <w:rPr>
          <w:rFonts w:eastAsia="宋体" w:cs="Times New Roman"/>
          <w:color w:val="7030A0"/>
          <w:szCs w:val="24"/>
          <w:highlight w:val="none"/>
        </w:rPr>
      </w:pPr>
      <w:r>
        <w:rPr>
          <w:rFonts w:eastAsia="宋体" w:cs="Times New Roman"/>
          <w:color w:val="7030A0"/>
          <w:szCs w:val="24"/>
          <w:highlight w:val="none"/>
        </w:rPr>
        <w:t>3</w:t>
      </w:r>
      <w:r>
        <w:rPr>
          <w:rFonts w:hint="eastAsia" w:eastAsia="宋体" w:cs="Times New Roman"/>
          <w:color w:val="7030A0"/>
          <w:szCs w:val="24"/>
          <w:highlight w:val="none"/>
        </w:rPr>
        <w:t>、施工结束后，施工单位及时撤出临时占用场地，拆除临时设施，恢复被破坏的植被等。若需停电、停水（应尽可能减少），应及早出</w:t>
      </w:r>
      <w:r>
        <w:rPr>
          <w:rFonts w:eastAsia="宋体" w:cs="Times New Roman"/>
          <w:color w:val="7030A0"/>
          <w:szCs w:val="24"/>
          <w:highlight w:val="none"/>
        </w:rPr>
        <w:t>“</w:t>
      </w:r>
      <w:r>
        <w:rPr>
          <w:rFonts w:hint="eastAsia" w:eastAsia="宋体" w:cs="Times New Roman"/>
          <w:color w:val="7030A0"/>
          <w:szCs w:val="24"/>
          <w:highlight w:val="none"/>
        </w:rPr>
        <w:t>安民告示</w:t>
      </w:r>
      <w:r>
        <w:rPr>
          <w:rFonts w:eastAsia="宋体" w:cs="Times New Roman"/>
          <w:color w:val="7030A0"/>
          <w:szCs w:val="24"/>
          <w:highlight w:val="none"/>
        </w:rPr>
        <w:t>”</w:t>
      </w:r>
      <w:r>
        <w:rPr>
          <w:rFonts w:hint="eastAsia" w:eastAsia="宋体" w:cs="Times New Roman"/>
          <w:color w:val="7030A0"/>
          <w:szCs w:val="24"/>
          <w:highlight w:val="none"/>
        </w:rPr>
        <w:t>，使居民早作准备而不影响正常生活。</w:t>
      </w:r>
    </w:p>
    <w:p>
      <w:pPr>
        <w:keepNext/>
        <w:keepLines/>
        <w:widowControl w:val="0"/>
        <w:numPr>
          <w:ilvl w:val="2"/>
          <w:numId w:val="9"/>
        </w:numPr>
        <w:spacing w:line="480" w:lineRule="auto"/>
        <w:ind w:left="720" w:hanging="720" w:firstLineChars="0"/>
        <w:jc w:val="both"/>
        <w:outlineLvl w:val="2"/>
        <w:rPr>
          <w:rFonts w:ascii="宋体" w:hAnsi="Times New Roman" w:eastAsia="黑体" w:cs="宋体"/>
          <w:bCs/>
          <w:color w:val="7030A0"/>
          <w:kern w:val="0"/>
          <w:sz w:val="28"/>
          <w:szCs w:val="28"/>
          <w:highlight w:val="none"/>
          <w:lang w:val="en-US" w:eastAsia="zh-CN" w:bidi="ar-SA"/>
        </w:rPr>
      </w:pPr>
      <w:r>
        <w:rPr>
          <w:rFonts w:hint="eastAsia" w:ascii="宋体" w:hAnsi="Times New Roman" w:eastAsia="黑体" w:cs="宋体"/>
          <w:bCs/>
          <w:color w:val="7030A0"/>
          <w:kern w:val="0"/>
          <w:sz w:val="28"/>
          <w:szCs w:val="28"/>
          <w:highlight w:val="none"/>
          <w:lang w:val="en-US" w:eastAsia="zh-CN" w:bidi="ar-SA"/>
        </w:rPr>
        <w:t>施工期扬尘影响分析</w:t>
      </w:r>
    </w:p>
    <w:p>
      <w:pPr>
        <w:ind w:firstLine="480"/>
        <w:rPr>
          <w:rFonts w:eastAsia="宋体" w:cs="Times New Roman"/>
          <w:color w:val="7030A0"/>
          <w:highlight w:val="none"/>
        </w:rPr>
      </w:pPr>
      <w:r>
        <w:rPr>
          <w:rFonts w:hint="eastAsia" w:eastAsia="宋体" w:cs="Times New Roman"/>
          <w:color w:val="7030A0"/>
          <w:highlight w:val="none"/>
        </w:rPr>
        <w:t>施工期扬尘主要来源于进出施工场地运输车辆、施工机械引（激溅）起。由于区域施工的不确定性，本报告对施工期扬尘不作定量计算和分析。评价要求施工单位注意文明施工，定期洒水，及时清扫地面尘土，并严格管理产生扬尘的机械设备，基础设施工程建设时应加安全网，将扬尘的影响减少到最低。总体而言，施工期施工主要为道路及</w:t>
      </w:r>
      <w:r>
        <w:rPr>
          <w:rFonts w:hint="eastAsia" w:ascii="宋体" w:eastAsia="宋体" w:cs="宋体"/>
          <w:color w:val="7030A0"/>
          <w:highlight w:val="none"/>
        </w:rPr>
        <w:t>配套管线的修建，只要加强管理，施工扬尘对环境影响相对较小。</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30"/>
          <w:szCs w:val="32"/>
          <w:highlight w:val="none"/>
          <w:lang w:val="en-US" w:eastAsia="zh-CN" w:bidi="ar-SA"/>
        </w:rPr>
      </w:pPr>
      <w:r>
        <w:rPr>
          <w:rFonts w:hint="eastAsia" w:ascii="Times New Roman" w:hAnsi="Times New Roman" w:eastAsia="黑体" w:cs="Times New Roman"/>
          <w:bCs/>
          <w:color w:val="7030A0"/>
          <w:kern w:val="2"/>
          <w:sz w:val="30"/>
          <w:szCs w:val="32"/>
          <w:highlight w:val="none"/>
          <w:lang w:val="en-US" w:eastAsia="zh-CN" w:bidi="ar-SA"/>
        </w:rPr>
        <w:t>施工期废水影响分析</w:t>
      </w:r>
    </w:p>
    <w:p>
      <w:pPr>
        <w:ind w:firstLine="480"/>
        <w:rPr>
          <w:rFonts w:hint="eastAsia" w:eastAsia="宋体" w:cs="Times New Roman"/>
          <w:color w:val="7030A0"/>
          <w:highlight w:val="none"/>
        </w:rPr>
      </w:pPr>
      <w:r>
        <w:rPr>
          <w:rFonts w:hint="eastAsia" w:eastAsia="宋体" w:cs="Times New Roman"/>
          <w:color w:val="7030A0"/>
          <w:highlight w:val="none"/>
        </w:rPr>
        <w:t>施工期废水主要来源于施工人员生活污水和施工过程中混凝土拌合系统砂石材料以及搅拌机械冲洗废水等。由于项目具有施工作业面分散的特点，故建议施工区建临时旱厕或利用施工区内的现有环保设施，收集运至污水处理厂处理达标排放。因此，只要加强管理，</w:t>
      </w:r>
      <w:r>
        <w:rPr>
          <w:rFonts w:hint="eastAsia" w:ascii="宋体" w:eastAsia="宋体" w:cs="宋体"/>
          <w:color w:val="7030A0"/>
          <w:highlight w:val="none"/>
        </w:rPr>
        <w:t>施工期废水对当地地表水环境影响甚微。</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30"/>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施工期噪声影响分析</w:t>
      </w:r>
    </w:p>
    <w:p>
      <w:pPr>
        <w:ind w:firstLine="480"/>
        <w:rPr>
          <w:rFonts w:hint="eastAsia" w:eastAsia="宋体" w:cs="Times New Roman"/>
          <w:color w:val="7030A0"/>
          <w:highlight w:val="none"/>
        </w:rPr>
      </w:pPr>
      <w:r>
        <w:rPr>
          <w:rFonts w:hint="eastAsia" w:eastAsia="宋体" w:cs="Times New Roman"/>
          <w:color w:val="7030A0"/>
          <w:highlight w:val="none"/>
        </w:rPr>
        <w:t>施工期主要为道路的修建以及其它配套基础设施工程修建，项目施工场地平整工程量不大，施工期噪声源主要来自施工机械，其中包括挖掘机、推土机、装载机、混凝土搅拌机等。施工期应杜绝夜间使用高噪设备施工，昼间施工应加强评价范围内敏感点的噪声防治措施，如关闭门窗、避开强噪设备同时使用等，以减轻扰民。</w:t>
      </w:r>
    </w:p>
    <w:p>
      <w:pPr>
        <w:ind w:firstLine="480"/>
        <w:rPr>
          <w:rFonts w:eastAsia="宋体" w:cs="Times New Roman"/>
          <w:color w:val="7030A0"/>
          <w:sz w:val="30"/>
          <w:highlight w:val="none"/>
        </w:rPr>
      </w:pPr>
      <w:r>
        <w:rPr>
          <w:rFonts w:hint="eastAsia" w:eastAsia="宋体" w:cs="Times New Roman"/>
          <w:color w:val="7030A0"/>
          <w:highlight w:val="none"/>
        </w:rPr>
        <w:t>总体而言，施工期噪声影响是暂时的，并随着施工期的结束而消失，由于施工期大</w:t>
      </w:r>
      <w:r>
        <w:rPr>
          <w:rFonts w:hint="eastAsia" w:ascii="宋体" w:eastAsia="宋体" w:cs="宋体"/>
          <w:color w:val="7030A0"/>
          <w:kern w:val="0"/>
          <w:highlight w:val="none"/>
        </w:rPr>
        <w:t>部分区域尚为农村，故施工期不会对评价范围内敏感点产生明显的不利影响。</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施工期固废影响分析</w:t>
      </w:r>
    </w:p>
    <w:p>
      <w:pPr>
        <w:ind w:firstLine="480"/>
        <w:rPr>
          <w:rFonts w:ascii="宋体" w:eastAsia="宋体" w:cs="宋体"/>
          <w:color w:val="7030A0"/>
          <w:highlight w:val="none"/>
        </w:rPr>
      </w:pPr>
      <w:r>
        <w:rPr>
          <w:rFonts w:hint="eastAsia" w:eastAsia="宋体" w:cs="Times New Roman"/>
          <w:color w:val="7030A0"/>
          <w:highlight w:val="none"/>
        </w:rPr>
        <w:t>施工期间固废主要为土建施工产生的弃土、建筑弃渣、施工人员生活垃圾等。弃土在堆放和运输工程中，若不妥善处置，则会阻碍交通，污染环境；开挖弃土如果无组织堆放、倒弃，如遇暴雨冲刷，则会造成水土流失，堵塞排水沟，泥浆水直接排入河，增加河水的含沙量，造成河床沉积，同时泥浆水还夹带施工场地上的水泥、油污等污染物进入水体，造成水体污染。同时，在弃土场下</w:t>
      </w:r>
      <w:r>
        <w:rPr>
          <w:rFonts w:hint="eastAsia" w:ascii="宋体" w:eastAsia="宋体" w:cs="宋体"/>
          <w:color w:val="7030A0"/>
          <w:highlight w:val="none"/>
        </w:rPr>
        <w:t>游区的农田或河流也将会受到水土流失的严重影响。</w:t>
      </w:r>
    </w:p>
    <w:p>
      <w:pPr>
        <w:ind w:firstLine="480"/>
        <w:rPr>
          <w:rFonts w:ascii="宋体" w:eastAsia="宋体" w:cs="宋体"/>
          <w:color w:val="7030A0"/>
          <w:kern w:val="0"/>
          <w:highlight w:val="none"/>
        </w:rPr>
      </w:pPr>
      <w:r>
        <w:rPr>
          <w:rFonts w:hint="eastAsia" w:ascii="宋体" w:eastAsia="宋体" w:cs="宋体"/>
          <w:color w:val="7030A0"/>
          <w:kern w:val="0"/>
          <w:highlight w:val="none"/>
        </w:rPr>
        <w:t>鉴于规划区地处丘陵地区，土建施工中有一定的挖填方量。因此，应合理规划施工方案，安排施工计划，能做到挖填方量平衡，减少弃土弃渣产生量。同时，建议利用规划区内的沟谷、坡地，合理规划建筑弃土弃渣堆放场，对规划区建设过程中产生的弃土弃渣定点堆放。规划的弃土弃渣堆放场应修建挡土墙和完善的排水设施，避免垮塌和水土流失。</w:t>
      </w:r>
    </w:p>
    <w:p>
      <w:pPr>
        <w:ind w:firstLine="480"/>
        <w:rPr>
          <w:rFonts w:eastAsia="宋体" w:cs="Times New Roman"/>
          <w:color w:val="7030A0"/>
          <w:highlight w:val="none"/>
        </w:rPr>
      </w:pPr>
      <w:r>
        <w:rPr>
          <w:rFonts w:hint="eastAsia" w:ascii="宋体" w:eastAsia="宋体" w:cs="宋体"/>
          <w:color w:val="7030A0"/>
          <w:kern w:val="0"/>
          <w:highlight w:val="none"/>
        </w:rPr>
        <w:t>各施工场地设置生活垃圾收集设施，施工人员的生活垃圾经收集后，定期送</w:t>
      </w:r>
      <w:r>
        <w:rPr>
          <w:rFonts w:hint="eastAsia" w:eastAsia="宋体" w:cs="Times New Roman"/>
          <w:color w:val="7030A0"/>
          <w:highlight w:val="none"/>
        </w:rPr>
        <w:t>南部县生活垃圾焚烧发电厂处理。</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30"/>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施工期</w:t>
      </w:r>
      <w:r>
        <w:rPr>
          <w:rFonts w:hint="eastAsia" w:ascii="宋体" w:hAnsi="Times New Roman" w:eastAsia="黑体" w:cs="宋体"/>
          <w:bCs/>
          <w:color w:val="7030A0"/>
          <w:kern w:val="0"/>
          <w:sz w:val="28"/>
          <w:szCs w:val="28"/>
          <w:highlight w:val="none"/>
          <w:lang w:val="en-US" w:eastAsia="zh-CN" w:bidi="ar-SA"/>
        </w:rPr>
        <w:t>生态及水土流失影响分析</w:t>
      </w:r>
    </w:p>
    <w:p>
      <w:pPr>
        <w:ind w:firstLine="480"/>
        <w:rPr>
          <w:rFonts w:eastAsia="宋体" w:cs="Times New Roman"/>
          <w:color w:val="7030A0"/>
          <w:highlight w:val="none"/>
        </w:rPr>
      </w:pPr>
      <w:r>
        <w:rPr>
          <w:rFonts w:hint="eastAsia" w:eastAsia="宋体" w:cs="Times New Roman"/>
          <w:color w:val="7030A0"/>
          <w:highlight w:val="none"/>
        </w:rPr>
        <w:t>施工期间生态影响主要为对区域场地平整等过程对植被的破坏，主要表现为场地开挖而破坏地表植被、土壤结构改变和土石方工程等产生的水土流失。施工开挖土方对土壤环境产生一定的影响，主要是改变土壤结构、降低土壤的紧实度、造成土壤养分流失。与此同时，防腐材料和施工废弃物也对土壤的理化性质产生影响。</w:t>
      </w:r>
      <w:r>
        <w:rPr>
          <w:rFonts w:eastAsia="宋体" w:cs="Times New Roman"/>
          <w:color w:val="7030A0"/>
          <w:highlight w:val="none"/>
        </w:rPr>
        <w:t xml:space="preserve"> </w:t>
      </w:r>
    </w:p>
    <w:p>
      <w:pPr>
        <w:ind w:firstLine="480"/>
        <w:rPr>
          <w:rFonts w:hint="eastAsia" w:eastAsia="宋体" w:cs="Times New Roman"/>
          <w:highlight w:val="none"/>
        </w:rPr>
      </w:pPr>
      <w:r>
        <w:rPr>
          <w:rFonts w:hint="eastAsia" w:eastAsia="宋体" w:cs="Times New Roman"/>
          <w:color w:val="7030A0"/>
          <w:highlight w:val="none"/>
        </w:rPr>
        <w:t>鉴于规划区地处丘陵地区，土建施工中有一定的挖填方量。因此，应合理规划施工方案，安排施工计划，能做到挖填方量平衡，减少弃土弃渣产生量。同时，建议利用规划区内的沟谷、坡地，合理规划建筑弃土弃渣堆放场，对规划区建设过程中产生的弃土弃渣定点堆放。规划的弃土弃渣堆放场应修建挡土墙和完善的排水设施，避免垮塌和水土流失。</w:t>
      </w:r>
    </w:p>
    <w:p>
      <w:pPr>
        <w:keepNext/>
        <w:keepLines/>
        <w:widowControl w:val="0"/>
        <w:numPr>
          <w:ilvl w:val="1"/>
          <w:numId w:val="9"/>
        </w:numPr>
        <w:spacing w:line="480" w:lineRule="auto"/>
        <w:ind w:left="576" w:hanging="576" w:firstLineChars="0"/>
        <w:jc w:val="both"/>
        <w:outlineLvl w:val="1"/>
        <w:rPr>
          <w:rFonts w:ascii="Times New Roman" w:hAnsi="Times New Roman" w:eastAsia="黑体" w:cs="Times New Roman"/>
          <w:bCs/>
          <w:color w:val="7030A0"/>
          <w:kern w:val="2"/>
          <w:sz w:val="32"/>
          <w:szCs w:val="32"/>
          <w:highlight w:val="none"/>
          <w:lang w:val="en-US" w:eastAsia="zh-CN" w:bidi="ar-SA"/>
        </w:rPr>
      </w:pPr>
      <w:r>
        <w:rPr>
          <w:rFonts w:ascii="Times New Roman" w:hAnsi="Times New Roman" w:eastAsia="黑体" w:cs="Times New Roman"/>
          <w:bCs/>
          <w:color w:val="7030A0"/>
          <w:kern w:val="2"/>
          <w:sz w:val="32"/>
          <w:szCs w:val="32"/>
          <w:highlight w:val="none"/>
          <w:lang w:val="en-US" w:eastAsia="zh-CN" w:bidi="ar-SA"/>
        </w:rPr>
        <w:t>环境要素影响预测与评价</w:t>
      </w:r>
      <w:bookmarkEnd w:id="48"/>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30"/>
          <w:szCs w:val="32"/>
          <w:highlight w:val="none"/>
          <w:lang w:val="en-US" w:eastAsia="zh-CN" w:bidi="ar-SA"/>
        </w:rPr>
      </w:pPr>
      <w:r>
        <w:rPr>
          <w:rFonts w:hint="eastAsia" w:ascii="Times New Roman" w:hAnsi="Times New Roman" w:eastAsia="黑体" w:cs="Times New Roman"/>
          <w:bCs/>
          <w:color w:val="7030A0"/>
          <w:kern w:val="2"/>
          <w:sz w:val="30"/>
          <w:szCs w:val="32"/>
          <w:highlight w:val="none"/>
          <w:lang w:val="en-US" w:eastAsia="zh-CN" w:bidi="ar-SA"/>
        </w:rPr>
        <w:t>大气环境影响</w:t>
      </w:r>
      <w:r>
        <w:rPr>
          <w:rFonts w:ascii="Times New Roman" w:hAnsi="Times New Roman" w:eastAsia="黑体" w:cs="Times New Roman"/>
          <w:bCs/>
          <w:color w:val="7030A0"/>
          <w:kern w:val="2"/>
          <w:sz w:val="30"/>
          <w:szCs w:val="32"/>
          <w:highlight w:val="none"/>
          <w:lang w:val="en-US" w:eastAsia="zh-CN" w:bidi="ar-SA"/>
        </w:rPr>
        <w:t>预测与评价</w:t>
      </w:r>
    </w:p>
    <w:p>
      <w:pPr>
        <w:ind w:firstLine="482"/>
        <w:rPr>
          <w:rFonts w:eastAsia="宋体" w:cs="Times New Roman"/>
          <w:b/>
          <w:bCs/>
          <w:color w:val="7030A0"/>
          <w:highlight w:val="none"/>
        </w:rPr>
      </w:pPr>
      <w:r>
        <w:rPr>
          <w:rFonts w:hint="eastAsia" w:eastAsia="宋体" w:cs="Times New Roman"/>
          <w:b/>
          <w:bCs/>
          <w:color w:val="7030A0"/>
          <w:highlight w:val="none"/>
        </w:rPr>
        <w:t>1、废气排污核算</w:t>
      </w:r>
    </w:p>
    <w:p>
      <w:pPr>
        <w:ind w:firstLine="480"/>
        <w:rPr>
          <w:rFonts w:eastAsia="宋体" w:cs="Times New Roman"/>
          <w:color w:val="7030A0"/>
          <w:highlight w:val="none"/>
        </w:rPr>
      </w:pPr>
      <w:r>
        <w:rPr>
          <w:rFonts w:hint="eastAsia" w:eastAsia="宋体" w:cs="Times New Roman"/>
          <w:color w:val="7030A0"/>
          <w:highlight w:val="none"/>
        </w:rPr>
        <w:t>（1）规划项目废气排污核算</w:t>
      </w:r>
    </w:p>
    <w:p>
      <w:pPr>
        <w:ind w:firstLine="480"/>
        <w:rPr>
          <w:rFonts w:hint="eastAsia" w:eastAsia="宋体" w:cs="Times New Roman"/>
          <w:color w:val="7030A0"/>
          <w:highlight w:val="none"/>
        </w:rPr>
      </w:pPr>
      <w:r>
        <w:rPr>
          <w:rFonts w:hint="eastAsia" w:eastAsia="宋体" w:cs="Times New Roman"/>
          <w:color w:val="7030A0"/>
          <w:highlight w:val="none"/>
        </w:rPr>
        <w:t>本次规划产业以光伏玻璃、光伏组件和电子级玻璃纤维布为主的新型产业，本规划环评采用类比法核算污染物排放量。</w:t>
      </w:r>
    </w:p>
    <w:p>
      <w:pPr>
        <w:widowControl w:val="0"/>
        <w:spacing w:before="163" w:beforeLines="50" w:line="240" w:lineRule="auto"/>
        <w:ind w:firstLine="0" w:firstLineChars="0"/>
        <w:jc w:val="center"/>
        <w:rPr>
          <w:rFonts w:hint="eastAsia" w:ascii="Times New Roman" w:hAnsi="Times New Roman" w:eastAsia="黑体" w:cs="Times New Roman"/>
          <w:kern w:val="2"/>
          <w:sz w:val="21"/>
          <w:szCs w:val="22"/>
          <w:highlight w:val="none"/>
          <w:lang w:val="en-US" w:eastAsia="zh-CN" w:bidi="ar-SA"/>
        </w:rPr>
      </w:pPr>
      <w:r>
        <w:rPr>
          <w:rFonts w:hint="eastAsia" w:ascii="Times New Roman" w:hAnsi="Times New Roman" w:eastAsia="黑体" w:cs="Times New Roman"/>
          <w:kern w:val="2"/>
          <w:sz w:val="21"/>
          <w:szCs w:val="22"/>
          <w:highlight w:val="none"/>
          <w:lang w:val="en-US" w:eastAsia="zh-CN" w:bidi="ar-SA"/>
        </w:rPr>
        <w:t xml:space="preserve">表 </w:t>
      </w:r>
      <w:r>
        <w:rPr>
          <w:rFonts w:ascii="Times New Roman" w:hAnsi="Times New Roman" w:eastAsia="黑体" w:cs="Times New Roman"/>
          <w:kern w:val="2"/>
          <w:sz w:val="21"/>
          <w:szCs w:val="22"/>
          <w:highlight w:val="none"/>
          <w:lang w:val="en-US" w:eastAsia="zh-CN" w:bidi="ar-SA"/>
        </w:rPr>
        <w:fldChar w:fldCharType="begin"/>
      </w:r>
      <w:r>
        <w:rPr>
          <w:rFonts w:ascii="Times New Roman" w:hAnsi="Times New Roman" w:eastAsia="黑体" w:cs="Times New Roman"/>
          <w:kern w:val="2"/>
          <w:sz w:val="21"/>
          <w:szCs w:val="22"/>
          <w:highlight w:val="none"/>
          <w:lang w:val="en-US" w:eastAsia="zh-CN" w:bidi="ar-SA"/>
        </w:rPr>
        <w:instrText xml:space="preserve"> </w:instrText>
      </w:r>
      <w:r>
        <w:rPr>
          <w:rFonts w:hint="eastAsia" w:ascii="Times New Roman" w:hAnsi="Times New Roman" w:eastAsia="黑体" w:cs="Times New Roman"/>
          <w:kern w:val="2"/>
          <w:sz w:val="21"/>
          <w:szCs w:val="22"/>
          <w:highlight w:val="none"/>
          <w:lang w:val="en-US" w:eastAsia="zh-CN" w:bidi="ar-SA"/>
        </w:rPr>
        <w:instrText xml:space="preserve">STYLEREF 2 \s</w:instrText>
      </w:r>
      <w:r>
        <w:rPr>
          <w:rFonts w:ascii="Times New Roman" w:hAnsi="Times New Roman" w:eastAsia="黑体" w:cs="Times New Roman"/>
          <w:kern w:val="2"/>
          <w:sz w:val="21"/>
          <w:szCs w:val="22"/>
          <w:highlight w:val="none"/>
          <w:lang w:val="en-US" w:eastAsia="zh-CN" w:bidi="ar-SA"/>
        </w:rPr>
        <w:instrText xml:space="preserve"> </w:instrText>
      </w:r>
      <w:r>
        <w:rPr>
          <w:rFonts w:ascii="Times New Roman" w:hAnsi="Times New Roman" w:eastAsia="黑体" w:cs="Times New Roman"/>
          <w:kern w:val="2"/>
          <w:sz w:val="21"/>
          <w:szCs w:val="22"/>
          <w:highlight w:val="none"/>
          <w:lang w:val="en-US" w:eastAsia="zh-CN" w:bidi="ar-SA"/>
        </w:rPr>
        <w:fldChar w:fldCharType="separate"/>
      </w:r>
      <w:r>
        <w:rPr>
          <w:rFonts w:ascii="Times New Roman" w:hAnsi="Times New Roman" w:eastAsia="黑体" w:cs="Times New Roman"/>
          <w:kern w:val="2"/>
          <w:sz w:val="21"/>
          <w:szCs w:val="22"/>
          <w:highlight w:val="none"/>
          <w:lang w:val="en-US" w:eastAsia="zh-CN" w:bidi="ar-SA"/>
        </w:rPr>
        <w:t>5.1</w:t>
      </w:r>
      <w:r>
        <w:rPr>
          <w:rFonts w:ascii="Times New Roman" w:hAnsi="Times New Roman" w:eastAsia="黑体" w:cs="Times New Roman"/>
          <w:kern w:val="2"/>
          <w:sz w:val="21"/>
          <w:szCs w:val="22"/>
          <w:highlight w:val="none"/>
          <w:lang w:val="en-US" w:eastAsia="zh-CN" w:bidi="ar-SA"/>
        </w:rPr>
        <w:fldChar w:fldCharType="end"/>
      </w:r>
      <w:r>
        <w:rPr>
          <w:rFonts w:ascii="Times New Roman" w:hAnsi="Times New Roman" w:eastAsia="黑体" w:cs="Times New Roman"/>
          <w:kern w:val="2"/>
          <w:sz w:val="21"/>
          <w:szCs w:val="22"/>
          <w:highlight w:val="none"/>
          <w:lang w:val="en-US" w:eastAsia="zh-CN" w:bidi="ar-SA"/>
        </w:rPr>
        <w:noBreakHyphen/>
      </w:r>
      <w:r>
        <w:rPr>
          <w:rFonts w:ascii="Times New Roman" w:hAnsi="Times New Roman" w:eastAsia="黑体" w:cs="Times New Roman"/>
          <w:kern w:val="2"/>
          <w:sz w:val="21"/>
          <w:szCs w:val="22"/>
          <w:highlight w:val="none"/>
          <w:lang w:val="en-US" w:eastAsia="zh-CN" w:bidi="ar-SA"/>
        </w:rPr>
        <w:fldChar w:fldCharType="begin"/>
      </w:r>
      <w:r>
        <w:rPr>
          <w:rFonts w:ascii="Times New Roman" w:hAnsi="Times New Roman" w:eastAsia="黑体" w:cs="Times New Roman"/>
          <w:kern w:val="2"/>
          <w:sz w:val="21"/>
          <w:szCs w:val="22"/>
          <w:highlight w:val="none"/>
          <w:lang w:val="en-US" w:eastAsia="zh-CN" w:bidi="ar-SA"/>
        </w:rPr>
        <w:instrText xml:space="preserve"> </w:instrText>
      </w:r>
      <w:r>
        <w:rPr>
          <w:rFonts w:hint="eastAsia" w:ascii="Times New Roman" w:hAnsi="Times New Roman" w:eastAsia="黑体" w:cs="Times New Roman"/>
          <w:kern w:val="2"/>
          <w:sz w:val="21"/>
          <w:szCs w:val="22"/>
          <w:highlight w:val="none"/>
          <w:lang w:val="en-US" w:eastAsia="zh-CN" w:bidi="ar-SA"/>
        </w:rPr>
        <w:instrText xml:space="preserve">SEQ 表 \* ARABIC \s 2</w:instrText>
      </w:r>
      <w:r>
        <w:rPr>
          <w:rFonts w:ascii="Times New Roman" w:hAnsi="Times New Roman" w:eastAsia="黑体" w:cs="Times New Roman"/>
          <w:kern w:val="2"/>
          <w:sz w:val="21"/>
          <w:szCs w:val="22"/>
          <w:highlight w:val="none"/>
          <w:lang w:val="en-US" w:eastAsia="zh-CN" w:bidi="ar-SA"/>
        </w:rPr>
        <w:instrText xml:space="preserve"> </w:instrText>
      </w:r>
      <w:r>
        <w:rPr>
          <w:rFonts w:ascii="Times New Roman" w:hAnsi="Times New Roman" w:eastAsia="黑体" w:cs="Times New Roman"/>
          <w:kern w:val="2"/>
          <w:sz w:val="21"/>
          <w:szCs w:val="22"/>
          <w:highlight w:val="none"/>
          <w:lang w:val="en-US" w:eastAsia="zh-CN" w:bidi="ar-SA"/>
        </w:rPr>
        <w:fldChar w:fldCharType="separate"/>
      </w:r>
      <w:r>
        <w:rPr>
          <w:rFonts w:ascii="Times New Roman" w:hAnsi="Times New Roman" w:eastAsia="黑体" w:cs="Times New Roman"/>
          <w:kern w:val="2"/>
          <w:sz w:val="21"/>
          <w:szCs w:val="22"/>
          <w:highlight w:val="none"/>
          <w:lang w:val="en-US" w:eastAsia="zh-CN" w:bidi="ar-SA"/>
        </w:rPr>
        <w:t>2</w:t>
      </w:r>
      <w:r>
        <w:rPr>
          <w:rFonts w:ascii="Times New Roman" w:hAnsi="Times New Roman" w:eastAsia="黑体" w:cs="Times New Roman"/>
          <w:kern w:val="2"/>
          <w:sz w:val="21"/>
          <w:szCs w:val="22"/>
          <w:highlight w:val="none"/>
          <w:lang w:val="en-US" w:eastAsia="zh-CN" w:bidi="ar-SA"/>
        </w:rPr>
        <w:fldChar w:fldCharType="end"/>
      </w:r>
      <w:r>
        <w:rPr>
          <w:rFonts w:hint="eastAsia" w:ascii="Times New Roman" w:hAnsi="Times New Roman" w:eastAsia="黑体" w:cs="Times New Roman"/>
          <w:kern w:val="2"/>
          <w:sz w:val="21"/>
          <w:szCs w:val="22"/>
          <w:highlight w:val="none"/>
          <w:lang w:val="en-US" w:eastAsia="zh-CN" w:bidi="ar-SA"/>
        </w:rPr>
        <w:t xml:space="preserve"> </w:t>
      </w:r>
      <w:r>
        <w:rPr>
          <w:rFonts w:hint="eastAsia" w:ascii="Times New Roman" w:hAnsi="Times New Roman" w:eastAsia="黑体" w:cs="Times New Roman"/>
          <w:color w:val="7030A0"/>
          <w:kern w:val="2"/>
          <w:sz w:val="21"/>
          <w:szCs w:val="22"/>
          <w:highlight w:val="none"/>
          <w:lang w:val="en-US" w:eastAsia="zh-CN" w:bidi="ar-SA"/>
        </w:rPr>
        <w:t>规划项目废气排污核算</w:t>
      </w:r>
    </w:p>
    <w:tbl>
      <w:tblPr>
        <w:tblStyle w:val="39"/>
        <w:tblW w:w="4925" w:type="pct"/>
        <w:tblInd w:w="11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22"/>
        <w:gridCol w:w="1135"/>
        <w:gridCol w:w="1134"/>
        <w:gridCol w:w="1107"/>
        <w:gridCol w:w="1022"/>
        <w:gridCol w:w="1022"/>
        <w:gridCol w:w="1040"/>
        <w:gridCol w:w="123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122" w:type="dxa"/>
            <w:shd w:val="clear" w:color="auto" w:fill="auto"/>
            <w:noWrap/>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项目　</w:t>
            </w:r>
          </w:p>
        </w:tc>
        <w:tc>
          <w:tcPr>
            <w:tcW w:w="1135"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面积（公顷）</w:t>
            </w:r>
          </w:p>
        </w:tc>
        <w:tc>
          <w:tcPr>
            <w:tcW w:w="1134"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产值（亿元）</w:t>
            </w:r>
          </w:p>
        </w:tc>
        <w:tc>
          <w:tcPr>
            <w:tcW w:w="1107"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SO2（t/a)</w:t>
            </w:r>
          </w:p>
        </w:tc>
        <w:tc>
          <w:tcPr>
            <w:tcW w:w="1022"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NOx（t/a)</w:t>
            </w:r>
          </w:p>
        </w:tc>
        <w:tc>
          <w:tcPr>
            <w:tcW w:w="1022"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颗粒物（t/a)</w:t>
            </w:r>
          </w:p>
        </w:tc>
        <w:tc>
          <w:tcPr>
            <w:tcW w:w="1040"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氟化物（t/a)</w:t>
            </w:r>
          </w:p>
        </w:tc>
        <w:tc>
          <w:tcPr>
            <w:tcW w:w="1231"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VOCs(t/a）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12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光伏玻璃</w:t>
            </w:r>
          </w:p>
        </w:tc>
        <w:tc>
          <w:tcPr>
            <w:tcW w:w="1135"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32.67</w:t>
            </w:r>
          </w:p>
        </w:tc>
        <w:tc>
          <w:tcPr>
            <w:tcW w:w="1134"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44</w:t>
            </w:r>
          </w:p>
        </w:tc>
        <w:tc>
          <w:tcPr>
            <w:tcW w:w="1107"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w:t>
            </w:r>
          </w:p>
        </w:tc>
        <w:tc>
          <w:tcPr>
            <w:tcW w:w="102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w:t>
            </w:r>
          </w:p>
        </w:tc>
        <w:tc>
          <w:tcPr>
            <w:tcW w:w="102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w:t>
            </w:r>
          </w:p>
        </w:tc>
        <w:tc>
          <w:tcPr>
            <w:tcW w:w="1040"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w:t>
            </w:r>
          </w:p>
        </w:tc>
        <w:tc>
          <w:tcPr>
            <w:tcW w:w="1231"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7.45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12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光伏组件</w:t>
            </w:r>
          </w:p>
        </w:tc>
        <w:tc>
          <w:tcPr>
            <w:tcW w:w="1135"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20.33</w:t>
            </w:r>
          </w:p>
        </w:tc>
        <w:tc>
          <w:tcPr>
            <w:tcW w:w="1134"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100</w:t>
            </w:r>
          </w:p>
        </w:tc>
        <w:tc>
          <w:tcPr>
            <w:tcW w:w="1107"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w:t>
            </w:r>
          </w:p>
        </w:tc>
        <w:tc>
          <w:tcPr>
            <w:tcW w:w="102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w:t>
            </w:r>
          </w:p>
        </w:tc>
        <w:tc>
          <w:tcPr>
            <w:tcW w:w="102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w:t>
            </w:r>
          </w:p>
        </w:tc>
        <w:tc>
          <w:tcPr>
            <w:tcW w:w="1040"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w:t>
            </w:r>
          </w:p>
        </w:tc>
        <w:tc>
          <w:tcPr>
            <w:tcW w:w="1231"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9.34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12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电子级玻璃纤维布</w:t>
            </w:r>
          </w:p>
        </w:tc>
        <w:tc>
          <w:tcPr>
            <w:tcW w:w="1135"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26.67</w:t>
            </w:r>
          </w:p>
        </w:tc>
        <w:tc>
          <w:tcPr>
            <w:tcW w:w="1134"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20</w:t>
            </w:r>
          </w:p>
        </w:tc>
        <w:tc>
          <w:tcPr>
            <w:tcW w:w="1107"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10.64</w:t>
            </w:r>
          </w:p>
        </w:tc>
        <w:tc>
          <w:tcPr>
            <w:tcW w:w="102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3.93</w:t>
            </w:r>
          </w:p>
        </w:tc>
        <w:tc>
          <w:tcPr>
            <w:tcW w:w="102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44.33</w:t>
            </w:r>
          </w:p>
        </w:tc>
        <w:tc>
          <w:tcPr>
            <w:tcW w:w="1040"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0.56</w:t>
            </w:r>
          </w:p>
        </w:tc>
        <w:tc>
          <w:tcPr>
            <w:tcW w:w="1231"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6.86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12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合计</w:t>
            </w:r>
          </w:p>
        </w:tc>
        <w:tc>
          <w:tcPr>
            <w:tcW w:w="1135" w:type="dxa"/>
            <w:shd w:val="clear" w:color="auto" w:fill="auto"/>
            <w:noWrap/>
            <w:vAlign w:val="bottom"/>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79.66</w:t>
            </w:r>
          </w:p>
        </w:tc>
        <w:tc>
          <w:tcPr>
            <w:tcW w:w="1134" w:type="dxa"/>
            <w:shd w:val="clear" w:color="auto" w:fill="auto"/>
            <w:noWrap/>
            <w:vAlign w:val="bottom"/>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164</w:t>
            </w:r>
          </w:p>
        </w:tc>
        <w:tc>
          <w:tcPr>
            <w:tcW w:w="1107"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10.64</w:t>
            </w:r>
          </w:p>
        </w:tc>
        <w:tc>
          <w:tcPr>
            <w:tcW w:w="102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3.93</w:t>
            </w:r>
          </w:p>
        </w:tc>
        <w:tc>
          <w:tcPr>
            <w:tcW w:w="102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44.33</w:t>
            </w:r>
          </w:p>
        </w:tc>
        <w:tc>
          <w:tcPr>
            <w:tcW w:w="1040"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0.56</w:t>
            </w:r>
          </w:p>
        </w:tc>
        <w:tc>
          <w:tcPr>
            <w:tcW w:w="1231"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23.64</w:t>
            </w:r>
          </w:p>
        </w:tc>
      </w:tr>
    </w:tbl>
    <w:p>
      <w:pPr>
        <w:ind w:firstLine="480"/>
        <w:rPr>
          <w:rFonts w:eastAsia="宋体" w:cs="Times New Roman"/>
          <w:color w:val="7030A0"/>
          <w:highlight w:val="none"/>
        </w:rPr>
      </w:pPr>
      <w:r>
        <w:rPr>
          <w:rFonts w:hint="eastAsia" w:eastAsia="宋体" w:cs="Times New Roman"/>
          <w:color w:val="7030A0"/>
          <w:highlight w:val="none"/>
        </w:rPr>
        <w:t>（2）能源产排污核算</w:t>
      </w:r>
    </w:p>
    <w:p>
      <w:pPr>
        <w:ind w:firstLine="480"/>
        <w:rPr>
          <w:rFonts w:eastAsia="宋体" w:cs="Times New Roman"/>
          <w:color w:val="7030A0"/>
          <w:highlight w:val="none"/>
        </w:rPr>
      </w:pPr>
      <w:r>
        <w:rPr>
          <w:rFonts w:hint="eastAsia" w:eastAsia="宋体" w:cs="Times New Roman"/>
          <w:color w:val="7030A0"/>
          <w:highlight w:val="none"/>
        </w:rPr>
        <w:t>本规划区内的燃气按用户类型分为：居民生活用气、商业用气和工业生产用气。根据规划提供，规划远期燃料天然气用气量为2.08万m</w:t>
      </w:r>
      <w:r>
        <w:rPr>
          <w:rFonts w:hint="eastAsia" w:eastAsia="宋体" w:cs="Times New Roman"/>
          <w:color w:val="7030A0"/>
          <w:highlight w:val="none"/>
          <w:vertAlign w:val="superscript"/>
        </w:rPr>
        <w:t>3</w:t>
      </w:r>
      <w:r>
        <w:rPr>
          <w:rFonts w:hint="eastAsia" w:eastAsia="宋体" w:cs="Times New Roman"/>
          <w:color w:val="7030A0"/>
          <w:highlight w:val="none"/>
        </w:rPr>
        <w:t>/d，天然气废气污染物排放量核算如下。</w:t>
      </w:r>
    </w:p>
    <w:p>
      <w:pPr>
        <w:widowControl w:val="0"/>
        <w:spacing w:line="360" w:lineRule="auto"/>
        <w:ind w:firstLine="0" w:firstLineChars="0"/>
        <w:jc w:val="center"/>
        <w:rPr>
          <w:rFonts w:hint="eastAsia" w:ascii="Times New Roman" w:hAnsi="Times New Roman" w:eastAsia="黑体" w:cs="Times New Roman"/>
          <w:color w:val="7030A0"/>
          <w:kern w:val="2"/>
          <w:sz w:val="21"/>
          <w:szCs w:val="20"/>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表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5.1</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表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2</w:t>
      </w:r>
      <w:r>
        <w:rPr>
          <w:rFonts w:ascii="Times New Roman" w:hAnsi="Times New Roman" w:eastAsia="黑体" w:cs="Times New Roman"/>
          <w:color w:val="7030A0"/>
          <w:kern w:val="2"/>
          <w:sz w:val="21"/>
          <w:szCs w:val="20"/>
          <w:highlight w:val="none"/>
          <w:lang w:val="en-US" w:eastAsia="zh-CN" w:bidi="ar-SA"/>
        </w:rPr>
        <w:fldChar w:fldCharType="end"/>
      </w:r>
      <w:r>
        <w:rPr>
          <w:rFonts w:hint="eastAsia" w:ascii="Times New Roman" w:hAnsi="Times New Roman" w:eastAsia="黑体" w:cs="Times New Roman"/>
          <w:color w:val="7030A0"/>
          <w:kern w:val="2"/>
          <w:sz w:val="21"/>
          <w:szCs w:val="20"/>
          <w:highlight w:val="none"/>
          <w:lang w:val="en-US" w:eastAsia="zh-CN" w:bidi="ar-SA"/>
        </w:rPr>
        <w:t xml:space="preserve"> 燃料废气污染源核算</w:t>
      </w:r>
    </w:p>
    <w:tbl>
      <w:tblPr>
        <w:tblStyle w:val="39"/>
        <w:tblW w:w="9800" w:type="dxa"/>
        <w:tblInd w:w="11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50"/>
        <w:gridCol w:w="1417"/>
        <w:gridCol w:w="1276"/>
        <w:gridCol w:w="1843"/>
        <w:gridCol w:w="992"/>
        <w:gridCol w:w="27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550" w:type="dxa"/>
            <w:shd w:val="clear" w:color="auto" w:fill="auto"/>
            <w:noWrap/>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产污节点</w:t>
            </w:r>
          </w:p>
        </w:tc>
        <w:tc>
          <w:tcPr>
            <w:tcW w:w="1417"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总用气量</w:t>
            </w:r>
          </w:p>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（万m</w:t>
            </w:r>
            <w:r>
              <w:rPr>
                <w:rFonts w:hint="eastAsia" w:ascii="Times New Roman" w:hAnsi="Times New Roman" w:eastAsia="宋体" w:cs="Times New Roman"/>
                <w:color w:val="7030A0"/>
                <w:kern w:val="2"/>
                <w:sz w:val="21"/>
                <w:szCs w:val="21"/>
                <w:highlight w:val="none"/>
                <w:vertAlign w:val="superscript"/>
                <w:lang w:val="en-US" w:eastAsia="zh-CN" w:bidi="ar-SA"/>
              </w:rPr>
              <w:t>3</w:t>
            </w:r>
            <w:r>
              <w:rPr>
                <w:rFonts w:hint="eastAsia" w:ascii="Times New Roman" w:hAnsi="Times New Roman" w:eastAsia="宋体" w:cs="Times New Roman"/>
                <w:color w:val="7030A0"/>
                <w:kern w:val="2"/>
                <w:sz w:val="21"/>
                <w:szCs w:val="21"/>
                <w:highlight w:val="none"/>
                <w:lang w:val="en-US" w:eastAsia="zh-CN" w:bidi="ar-SA"/>
              </w:rPr>
              <w:t>/d)</w:t>
            </w:r>
          </w:p>
        </w:tc>
        <w:tc>
          <w:tcPr>
            <w:tcW w:w="1276"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污染因子</w:t>
            </w:r>
          </w:p>
        </w:tc>
        <w:tc>
          <w:tcPr>
            <w:tcW w:w="1843"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排污系数</w:t>
            </w:r>
          </w:p>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（kg/万m</w:t>
            </w:r>
            <w:r>
              <w:rPr>
                <w:rFonts w:hint="eastAsia" w:ascii="Times New Roman" w:hAnsi="Times New Roman" w:eastAsia="宋体" w:cs="Times New Roman"/>
                <w:color w:val="7030A0"/>
                <w:kern w:val="2"/>
                <w:sz w:val="21"/>
                <w:szCs w:val="21"/>
                <w:highlight w:val="none"/>
                <w:vertAlign w:val="superscript"/>
                <w:lang w:val="en-US" w:eastAsia="zh-CN" w:bidi="ar-SA"/>
              </w:rPr>
              <w:t>3</w:t>
            </w:r>
            <w:r>
              <w:rPr>
                <w:rFonts w:hint="eastAsia" w:ascii="Times New Roman" w:hAnsi="Times New Roman" w:eastAsia="宋体" w:cs="Times New Roman"/>
                <w:color w:val="7030A0"/>
                <w:kern w:val="2"/>
                <w:sz w:val="21"/>
                <w:szCs w:val="21"/>
                <w:highlight w:val="none"/>
                <w:lang w:val="en-US" w:eastAsia="zh-CN" w:bidi="ar-SA"/>
              </w:rPr>
              <w:t>-燃料）</w:t>
            </w:r>
          </w:p>
        </w:tc>
        <w:tc>
          <w:tcPr>
            <w:tcW w:w="99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排污量（t/a)</w:t>
            </w:r>
          </w:p>
        </w:tc>
        <w:tc>
          <w:tcPr>
            <w:tcW w:w="2722" w:type="dxa"/>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50" w:type="dxa"/>
            <w:vMerge w:val="restart"/>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蒸汽锅炉等设备天然气燃烧</w:t>
            </w:r>
          </w:p>
        </w:tc>
        <w:tc>
          <w:tcPr>
            <w:tcW w:w="1417" w:type="dxa"/>
            <w:vMerge w:val="restart"/>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2.08</w:t>
            </w:r>
          </w:p>
        </w:tc>
        <w:tc>
          <w:tcPr>
            <w:tcW w:w="1276"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SO</w:t>
            </w:r>
            <w:r>
              <w:rPr>
                <w:rFonts w:hint="eastAsia" w:ascii="Times New Roman" w:hAnsi="Times New Roman" w:eastAsia="宋体" w:cs="Times New Roman"/>
                <w:color w:val="7030A0"/>
                <w:kern w:val="2"/>
                <w:sz w:val="21"/>
                <w:szCs w:val="21"/>
                <w:highlight w:val="none"/>
                <w:vertAlign w:val="subscript"/>
                <w:lang w:val="en-US" w:eastAsia="zh-CN" w:bidi="ar-SA"/>
              </w:rPr>
              <w:t>2</w:t>
            </w:r>
          </w:p>
        </w:tc>
        <w:tc>
          <w:tcPr>
            <w:tcW w:w="1843"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2</w:t>
            </w:r>
          </w:p>
        </w:tc>
        <w:tc>
          <w:tcPr>
            <w:tcW w:w="99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1.52</w:t>
            </w:r>
          </w:p>
        </w:tc>
        <w:tc>
          <w:tcPr>
            <w:tcW w:w="2722" w:type="dxa"/>
            <w:vMerge w:val="restart"/>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《排污许可证申请与核发技术规范—锅炉》（HJ953-2018）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50" w:type="dxa"/>
            <w:vMerge w:val="continue"/>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p>
        </w:tc>
        <w:tc>
          <w:tcPr>
            <w:tcW w:w="1417" w:type="dxa"/>
            <w:vMerge w:val="continue"/>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p>
        </w:tc>
        <w:tc>
          <w:tcPr>
            <w:tcW w:w="1276"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颗粒物</w:t>
            </w:r>
          </w:p>
        </w:tc>
        <w:tc>
          <w:tcPr>
            <w:tcW w:w="1843"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2.86</w:t>
            </w:r>
          </w:p>
        </w:tc>
        <w:tc>
          <w:tcPr>
            <w:tcW w:w="99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2.17</w:t>
            </w:r>
          </w:p>
        </w:tc>
        <w:tc>
          <w:tcPr>
            <w:tcW w:w="2722" w:type="dxa"/>
            <w:vMerge w:val="continue"/>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50" w:type="dxa"/>
            <w:vMerge w:val="continue"/>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p>
        </w:tc>
        <w:tc>
          <w:tcPr>
            <w:tcW w:w="1417" w:type="dxa"/>
            <w:vMerge w:val="continue"/>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p>
        </w:tc>
        <w:tc>
          <w:tcPr>
            <w:tcW w:w="1276"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NOx</w:t>
            </w:r>
          </w:p>
        </w:tc>
        <w:tc>
          <w:tcPr>
            <w:tcW w:w="1843"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9.36</w:t>
            </w:r>
          </w:p>
        </w:tc>
        <w:tc>
          <w:tcPr>
            <w:tcW w:w="992" w:type="dxa"/>
            <w:shd w:val="clear" w:color="auto" w:fill="auto"/>
            <w:noWrap/>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7.11</w:t>
            </w:r>
          </w:p>
        </w:tc>
        <w:tc>
          <w:tcPr>
            <w:tcW w:w="2722" w:type="dxa"/>
            <w:vMerge w:val="continue"/>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p>
        </w:tc>
      </w:tr>
    </w:tbl>
    <w:p>
      <w:pPr>
        <w:ind w:firstLine="480"/>
        <w:rPr>
          <w:rFonts w:eastAsia="宋体" w:cs="Times New Roman"/>
          <w:color w:val="7030A0"/>
          <w:highlight w:val="none"/>
        </w:rPr>
      </w:pPr>
      <w:r>
        <w:rPr>
          <w:rFonts w:hint="eastAsia" w:eastAsia="宋体" w:cs="Times New Roman"/>
          <w:color w:val="7030A0"/>
          <w:highlight w:val="none"/>
        </w:rPr>
        <w:t>（3）小计</w:t>
      </w:r>
    </w:p>
    <w:p>
      <w:pPr>
        <w:ind w:firstLine="480"/>
        <w:rPr>
          <w:rFonts w:hint="eastAsia" w:eastAsia="宋体" w:cs="Times New Roman"/>
          <w:color w:val="7030A0"/>
          <w:highlight w:val="none"/>
        </w:rPr>
      </w:pPr>
      <w:r>
        <w:rPr>
          <w:rFonts w:hint="eastAsia" w:eastAsia="宋体" w:cs="Times New Roman"/>
          <w:color w:val="7030A0"/>
          <w:highlight w:val="none"/>
        </w:rPr>
        <w:t>综上，规划区废气污染物汇总如下：</w:t>
      </w:r>
    </w:p>
    <w:p>
      <w:pPr>
        <w:widowControl w:val="0"/>
        <w:spacing w:line="360" w:lineRule="auto"/>
        <w:ind w:firstLine="0" w:firstLineChars="0"/>
        <w:jc w:val="center"/>
        <w:rPr>
          <w:rFonts w:ascii="Times New Roman" w:hAnsi="Times New Roman" w:eastAsia="黑体" w:cs="Times New Roman"/>
          <w:color w:val="7030A0"/>
          <w:kern w:val="2"/>
          <w:sz w:val="21"/>
          <w:szCs w:val="20"/>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表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5.1</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表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2</w:t>
      </w:r>
      <w:r>
        <w:rPr>
          <w:rFonts w:ascii="Times New Roman" w:hAnsi="Times New Roman" w:eastAsia="黑体" w:cs="Times New Roman"/>
          <w:color w:val="7030A0"/>
          <w:kern w:val="2"/>
          <w:sz w:val="21"/>
          <w:szCs w:val="20"/>
          <w:highlight w:val="none"/>
          <w:lang w:val="en-US" w:eastAsia="zh-CN" w:bidi="ar-SA"/>
        </w:rPr>
        <w:fldChar w:fldCharType="end"/>
      </w:r>
      <w:r>
        <w:rPr>
          <w:rFonts w:hint="eastAsia" w:ascii="Times New Roman" w:hAnsi="Times New Roman" w:eastAsia="黑体" w:cs="Times New Roman"/>
          <w:color w:val="7030A0"/>
          <w:kern w:val="2"/>
          <w:sz w:val="21"/>
          <w:szCs w:val="20"/>
          <w:highlight w:val="none"/>
          <w:lang w:val="en-US" w:eastAsia="zh-CN" w:bidi="ar-SA"/>
        </w:rPr>
        <w:t xml:space="preserve"> 规划区废气污染物排放量</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60"/>
        <w:gridCol w:w="1660"/>
        <w:gridCol w:w="1660"/>
        <w:gridCol w:w="1661"/>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shd w:val="clear" w:color="auto" w:fill="auto"/>
            <w:noWrap w:val="0"/>
            <w:vAlign w:val="top"/>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污染物</w:t>
            </w:r>
          </w:p>
        </w:tc>
        <w:tc>
          <w:tcPr>
            <w:tcW w:w="1660"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SO2（t/a)</w:t>
            </w:r>
          </w:p>
        </w:tc>
        <w:tc>
          <w:tcPr>
            <w:tcW w:w="1660"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NOx（t/a)</w:t>
            </w:r>
          </w:p>
        </w:tc>
        <w:tc>
          <w:tcPr>
            <w:tcW w:w="1660"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颗粒物（t/a)</w:t>
            </w:r>
          </w:p>
        </w:tc>
        <w:tc>
          <w:tcPr>
            <w:tcW w:w="1661"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氟化物（t/a)</w:t>
            </w:r>
          </w:p>
        </w:tc>
        <w:tc>
          <w:tcPr>
            <w:tcW w:w="1661"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VOCs(t/a）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shd w:val="clear" w:color="auto" w:fill="auto"/>
            <w:noWrap w:val="0"/>
            <w:vAlign w:val="top"/>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排放量</w:t>
            </w:r>
          </w:p>
        </w:tc>
        <w:tc>
          <w:tcPr>
            <w:tcW w:w="1660" w:type="dxa"/>
            <w:shd w:val="clear" w:color="auto" w:fill="auto"/>
            <w:noWrap w:val="0"/>
            <w:vAlign w:val="top"/>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12.16</w:t>
            </w:r>
          </w:p>
        </w:tc>
        <w:tc>
          <w:tcPr>
            <w:tcW w:w="1660" w:type="dxa"/>
            <w:shd w:val="clear" w:color="auto" w:fill="auto"/>
            <w:noWrap w:val="0"/>
            <w:vAlign w:val="top"/>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11.04</w:t>
            </w:r>
          </w:p>
        </w:tc>
        <w:tc>
          <w:tcPr>
            <w:tcW w:w="1660" w:type="dxa"/>
            <w:shd w:val="clear" w:color="auto" w:fill="auto"/>
            <w:noWrap w:val="0"/>
            <w:vAlign w:val="top"/>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46.5</w:t>
            </w:r>
          </w:p>
        </w:tc>
        <w:tc>
          <w:tcPr>
            <w:tcW w:w="1661" w:type="dxa"/>
            <w:shd w:val="clear" w:color="auto" w:fill="auto"/>
            <w:noWrap w:val="0"/>
            <w:vAlign w:val="top"/>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0.56</w:t>
            </w:r>
          </w:p>
        </w:tc>
        <w:tc>
          <w:tcPr>
            <w:tcW w:w="1661" w:type="dxa"/>
            <w:shd w:val="clear" w:color="auto" w:fill="auto"/>
            <w:noWrap w:val="0"/>
            <w:vAlign w:val="top"/>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23.64</w:t>
            </w:r>
          </w:p>
        </w:tc>
      </w:tr>
    </w:tbl>
    <w:p>
      <w:pPr>
        <w:ind w:firstLine="482"/>
        <w:rPr>
          <w:rFonts w:eastAsia="宋体" w:cs="Times New Roman"/>
          <w:b/>
          <w:bCs/>
          <w:color w:val="7030A0"/>
          <w:highlight w:val="none"/>
        </w:rPr>
      </w:pPr>
      <w:r>
        <w:rPr>
          <w:rFonts w:hint="eastAsia" w:eastAsia="宋体" w:cs="Times New Roman"/>
          <w:b/>
          <w:bCs/>
          <w:color w:val="7030A0"/>
          <w:highlight w:val="none"/>
        </w:rPr>
        <w:t>2、大气污染物排放量预测</w:t>
      </w:r>
    </w:p>
    <w:p>
      <w:pPr>
        <w:ind w:firstLine="480"/>
        <w:rPr>
          <w:rFonts w:eastAsia="宋体" w:cs="Times New Roman"/>
          <w:color w:val="7030A0"/>
          <w:highlight w:val="none"/>
        </w:rPr>
      </w:pPr>
      <w:r>
        <w:rPr>
          <w:rFonts w:hint="eastAsia" w:eastAsia="宋体" w:cs="Times New Roman"/>
          <w:color w:val="7030A0"/>
          <w:highlight w:val="none"/>
        </w:rPr>
        <w:t>（1）预测范围</w:t>
      </w:r>
    </w:p>
    <w:p>
      <w:pPr>
        <w:ind w:firstLine="480"/>
        <w:rPr>
          <w:rFonts w:eastAsia="宋体" w:cs="Times New Roman"/>
          <w:color w:val="7030A0"/>
          <w:highlight w:val="none"/>
        </w:rPr>
      </w:pPr>
      <w:r>
        <w:rPr>
          <w:rFonts w:hint="eastAsia" w:eastAsia="宋体" w:cs="Times New Roman"/>
          <w:color w:val="7030A0"/>
          <w:highlight w:val="none"/>
        </w:rPr>
        <w:t>根据《环境影响评价技术导则</w:t>
      </w:r>
      <w:r>
        <w:rPr>
          <w:rFonts w:eastAsia="宋体" w:cs="Times New Roman"/>
          <w:color w:val="7030A0"/>
          <w:highlight w:val="none"/>
        </w:rPr>
        <w:t xml:space="preserve"> </w:t>
      </w:r>
      <w:r>
        <w:rPr>
          <w:rFonts w:hint="eastAsia" w:eastAsia="宋体" w:cs="Times New Roman"/>
          <w:color w:val="7030A0"/>
          <w:highlight w:val="none"/>
        </w:rPr>
        <w:t>大气环境》（</w:t>
      </w:r>
      <w:r>
        <w:rPr>
          <w:rFonts w:eastAsia="宋体" w:cs="Times New Roman"/>
          <w:color w:val="7030A0"/>
          <w:highlight w:val="none"/>
        </w:rPr>
        <w:t>HJ2.2-2018</w:t>
      </w:r>
      <w:r>
        <w:rPr>
          <w:rFonts w:hint="eastAsia" w:eastAsia="宋体" w:cs="Times New Roman"/>
          <w:color w:val="7030A0"/>
          <w:highlight w:val="none"/>
        </w:rPr>
        <w:t>）相关规定和估算模式结果，考虑规划周边大气环境保护目标分布情况，自规划区边界外延2km的区域作为本规划的大气环境影响评价范围。大气环境影响预测范围结合大气保护目标的分布适当扩大，最终预测范围为</w:t>
      </w:r>
      <w:r>
        <w:rPr>
          <w:rFonts w:eastAsia="宋体" w:cs="Times New Roman"/>
          <w:color w:val="7030A0"/>
          <w:highlight w:val="none"/>
        </w:rPr>
        <w:t>10km×</w:t>
      </w:r>
      <w:r>
        <w:rPr>
          <w:rFonts w:hint="eastAsia" w:eastAsia="宋体" w:cs="Times New Roman"/>
          <w:color w:val="7030A0"/>
          <w:highlight w:val="none"/>
        </w:rPr>
        <w:t>10</w:t>
      </w:r>
      <w:r>
        <w:rPr>
          <w:rFonts w:eastAsia="宋体" w:cs="Times New Roman"/>
          <w:color w:val="7030A0"/>
          <w:highlight w:val="none"/>
        </w:rPr>
        <w:t>km</w:t>
      </w:r>
      <w:r>
        <w:rPr>
          <w:rFonts w:hint="eastAsia" w:eastAsia="宋体" w:cs="Times New Roman"/>
          <w:color w:val="7030A0"/>
          <w:highlight w:val="none"/>
        </w:rPr>
        <w:t>的矩形区域。</w:t>
      </w:r>
    </w:p>
    <w:p>
      <w:pPr>
        <w:ind w:firstLine="480"/>
        <w:rPr>
          <w:rFonts w:eastAsia="宋体" w:cs="Times New Roman"/>
          <w:color w:val="7030A0"/>
          <w:highlight w:val="none"/>
        </w:rPr>
      </w:pPr>
      <w:r>
        <w:rPr>
          <w:rFonts w:hint="eastAsia" w:eastAsia="宋体" w:cs="Times New Roman"/>
          <w:color w:val="7030A0"/>
          <w:highlight w:val="none"/>
        </w:rPr>
        <w:t>（2）预测模型选取</w:t>
      </w:r>
    </w:p>
    <w:p>
      <w:pPr>
        <w:ind w:firstLine="480"/>
        <w:rPr>
          <w:rFonts w:eastAsia="宋体" w:cs="Times New Roman"/>
          <w:color w:val="7030A0"/>
          <w:highlight w:val="none"/>
        </w:rPr>
      </w:pPr>
      <w:r>
        <w:rPr>
          <w:rFonts w:hint="eastAsia" w:eastAsia="宋体" w:cs="Times New Roman"/>
          <w:color w:val="7030A0"/>
          <w:highlight w:val="none"/>
        </w:rPr>
        <w:t>根据《环境影响评价技术导则——大气环境》</w:t>
      </w:r>
      <w:r>
        <w:rPr>
          <w:rFonts w:hint="eastAsia" w:eastAsia="宋体" w:cs="Times New Roman"/>
          <w:i/>
          <w:color w:val="7030A0"/>
          <w:sz w:val="22"/>
          <w:highlight w:val="none"/>
        </w:rPr>
        <w:t>（HJ2.2-2018）</w:t>
      </w:r>
      <w:r>
        <w:rPr>
          <w:rFonts w:hint="eastAsia" w:eastAsia="宋体" w:cs="Times New Roman"/>
          <w:color w:val="7030A0"/>
          <w:highlight w:val="none"/>
        </w:rPr>
        <w:t>，本次预测采用导则推荐的进一步预测模式中的AERMOD模式。</w:t>
      </w:r>
    </w:p>
    <w:p>
      <w:pPr>
        <w:ind w:firstLine="480"/>
        <w:rPr>
          <w:rFonts w:eastAsia="宋体" w:cs="Times New Roman"/>
          <w:color w:val="7030A0"/>
          <w:highlight w:val="none"/>
        </w:rPr>
      </w:pPr>
      <w:r>
        <w:rPr>
          <w:rFonts w:hint="eastAsia" w:eastAsia="宋体" w:cs="Times New Roman"/>
          <w:color w:val="7030A0"/>
          <w:highlight w:val="none"/>
        </w:rPr>
        <w:t>AERMOD是一个稳态烟羽扩散模式，可基于大气边界层数据特征模拟点源、面源和体源等排放出的污染物在短期</w:t>
      </w:r>
      <w:r>
        <w:rPr>
          <w:rFonts w:hint="eastAsia" w:eastAsia="宋体" w:cs="Times New Roman"/>
          <w:i/>
          <w:color w:val="7030A0"/>
          <w:sz w:val="22"/>
          <w:highlight w:val="none"/>
        </w:rPr>
        <w:t>（小时平均、日平均）</w:t>
      </w:r>
      <w:r>
        <w:rPr>
          <w:rFonts w:hint="eastAsia" w:eastAsia="宋体" w:cs="Times New Roman"/>
          <w:color w:val="7030A0"/>
          <w:highlight w:val="none"/>
        </w:rPr>
        <w:t>、长期</w:t>
      </w:r>
      <w:r>
        <w:rPr>
          <w:rFonts w:hint="eastAsia" w:eastAsia="宋体" w:cs="Times New Roman"/>
          <w:i/>
          <w:color w:val="7030A0"/>
          <w:sz w:val="22"/>
          <w:highlight w:val="none"/>
        </w:rPr>
        <w:t>（年平均）</w:t>
      </w:r>
      <w:r>
        <w:rPr>
          <w:rFonts w:hint="eastAsia" w:eastAsia="宋体" w:cs="Times New Roman"/>
          <w:color w:val="7030A0"/>
          <w:highlight w:val="none"/>
        </w:rPr>
        <w:t>的浓度分布，适用于农村或城市地区、简单或复杂地形。AERMOD考虑了建筑物尾流的影响，即烟羽下洗。模式使用每小时连续预处理气象数据模拟大于等于1小时平均时间的浓度分布。AERMOD包括两个预处理模式，即AERMET气象预处理和AERMAP地形预处理模式。AERMOD适用于点源、面源、线源、体源，连续源、间断源，预测范围小于50km。</w:t>
      </w:r>
    </w:p>
    <w:p>
      <w:pPr>
        <w:ind w:firstLine="480"/>
        <w:rPr>
          <w:rFonts w:eastAsia="宋体" w:cs="Times New Roman"/>
          <w:color w:val="7030A0"/>
          <w:highlight w:val="none"/>
        </w:rPr>
      </w:pPr>
      <w:r>
        <w:rPr>
          <w:rFonts w:hint="eastAsia" w:eastAsia="宋体" w:cs="Times New Roman"/>
          <w:color w:val="7030A0"/>
          <w:highlight w:val="none"/>
        </w:rPr>
        <w:t>基于上述特点并结合预测模型的性能，将本规划大气污染扩散评价模型选定为AERMOD模型。</w:t>
      </w:r>
    </w:p>
    <w:p>
      <w:pPr>
        <w:ind w:firstLine="480"/>
        <w:rPr>
          <w:rFonts w:eastAsia="宋体" w:cs="Times New Roman"/>
          <w:color w:val="7030A0"/>
          <w:highlight w:val="none"/>
        </w:rPr>
      </w:pPr>
      <w:r>
        <w:rPr>
          <w:rFonts w:hint="eastAsia" w:eastAsia="宋体" w:cs="Times New Roman"/>
          <w:color w:val="7030A0"/>
          <w:highlight w:val="none"/>
        </w:rPr>
        <w:t>（3）预测参数</w:t>
      </w:r>
    </w:p>
    <w:p>
      <w:pPr>
        <w:ind w:firstLine="480"/>
        <w:rPr>
          <w:rFonts w:hint="eastAsia" w:eastAsia="宋体" w:cs="Times New Roman"/>
          <w:color w:val="7030A0"/>
          <w:highlight w:val="none"/>
        </w:rPr>
      </w:pPr>
      <w:r>
        <w:rPr>
          <w:rFonts w:hint="eastAsia" w:eastAsia="宋体" w:cs="Times New Roman"/>
          <w:color w:val="7030A0"/>
          <w:highlight w:val="none"/>
        </w:rPr>
        <w:t>本次预测选取了苍溪站（站点号</w:t>
      </w:r>
      <w:r>
        <w:rPr>
          <w:rFonts w:eastAsia="宋体" w:cs="Times New Roman"/>
          <w:color w:val="7030A0"/>
          <w:highlight w:val="none"/>
        </w:rPr>
        <w:t>57303</w:t>
      </w:r>
      <w:r>
        <w:rPr>
          <w:rFonts w:hint="eastAsia" w:eastAsia="宋体" w:cs="Times New Roman"/>
          <w:color w:val="7030A0"/>
          <w:highlight w:val="none"/>
        </w:rPr>
        <w:t>）气象站点</w:t>
      </w:r>
      <w:r>
        <w:rPr>
          <w:rFonts w:eastAsia="宋体" w:cs="Times New Roman"/>
          <w:color w:val="7030A0"/>
          <w:highlight w:val="none"/>
        </w:rPr>
        <w:t>2022</w:t>
      </w:r>
      <w:r>
        <w:rPr>
          <w:rFonts w:hint="eastAsia" w:eastAsia="宋体" w:cs="Times New Roman"/>
          <w:color w:val="7030A0"/>
          <w:highlight w:val="none"/>
        </w:rPr>
        <w:t>年全年逐日逐次的地面观测资料。地面气象资料包括时间（年、月、日、时）、风向（以</w:t>
      </w:r>
      <w:r>
        <w:rPr>
          <w:rFonts w:eastAsia="宋体" w:cs="Times New Roman"/>
          <w:color w:val="7030A0"/>
          <w:highlight w:val="none"/>
        </w:rPr>
        <w:t>16</w:t>
      </w:r>
      <w:r>
        <w:rPr>
          <w:rFonts w:hint="eastAsia" w:eastAsia="宋体" w:cs="Times New Roman"/>
          <w:color w:val="7030A0"/>
          <w:highlight w:val="none"/>
        </w:rPr>
        <w:t>个方位表示）、风速、干球温度、低云量、总云量共</w:t>
      </w:r>
      <w:r>
        <w:rPr>
          <w:rFonts w:eastAsia="宋体" w:cs="Times New Roman"/>
          <w:color w:val="7030A0"/>
          <w:highlight w:val="none"/>
        </w:rPr>
        <w:t>6</w:t>
      </w:r>
      <w:r>
        <w:rPr>
          <w:rFonts w:hint="eastAsia" w:eastAsia="宋体" w:cs="Times New Roman"/>
          <w:color w:val="7030A0"/>
          <w:highlight w:val="none"/>
        </w:rPr>
        <w:t>项。同时，按</w:t>
      </w:r>
      <w:r>
        <w:rPr>
          <w:rFonts w:eastAsia="宋体" w:cs="Times New Roman"/>
          <w:color w:val="7030A0"/>
          <w:highlight w:val="none"/>
        </w:rPr>
        <w:t>AERMET</w:t>
      </w:r>
      <w:r>
        <w:rPr>
          <w:rFonts w:hint="eastAsia" w:eastAsia="宋体" w:cs="Times New Roman"/>
          <w:color w:val="7030A0"/>
          <w:highlight w:val="none"/>
        </w:rPr>
        <w:t>（气象预处理程序）参数输入格式采用线性插值生成近地面逐日逐时气象输入文件。</w:t>
      </w:r>
    </w:p>
    <w:p>
      <w:pPr>
        <w:widowControl w:val="0"/>
        <w:spacing w:line="360" w:lineRule="auto"/>
        <w:ind w:firstLine="0" w:firstLineChars="0"/>
        <w:jc w:val="center"/>
        <w:rPr>
          <w:rFonts w:hint="eastAsia" w:ascii="黑体" w:hAnsi="黑体" w:eastAsia="黑体" w:cs="Times New Roman"/>
          <w:color w:val="7030A0"/>
          <w:kern w:val="2"/>
          <w:sz w:val="21"/>
          <w:szCs w:val="24"/>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表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6.2</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表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4</w:t>
      </w:r>
      <w:r>
        <w:rPr>
          <w:rFonts w:ascii="Times New Roman" w:hAnsi="Times New Roman" w:eastAsia="黑体" w:cs="Times New Roman"/>
          <w:color w:val="7030A0"/>
          <w:kern w:val="2"/>
          <w:sz w:val="21"/>
          <w:szCs w:val="20"/>
          <w:highlight w:val="none"/>
          <w:lang w:val="en-US" w:eastAsia="zh-CN" w:bidi="ar-SA"/>
        </w:rPr>
        <w:fldChar w:fldCharType="end"/>
      </w:r>
      <w:r>
        <w:rPr>
          <w:rFonts w:ascii="黑体" w:hAnsi="黑体" w:eastAsia="黑体" w:cs="Times New Roman"/>
          <w:color w:val="7030A0"/>
          <w:kern w:val="2"/>
          <w:sz w:val="21"/>
          <w:szCs w:val="24"/>
          <w:highlight w:val="none"/>
          <w:lang w:val="en-US" w:eastAsia="zh-CN" w:bidi="ar-SA"/>
        </w:rPr>
        <w:t>气象站资料</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074"/>
        <w:gridCol w:w="917"/>
        <w:gridCol w:w="1070"/>
        <w:gridCol w:w="1020"/>
        <w:gridCol w:w="1191"/>
        <w:gridCol w:w="1020"/>
        <w:gridCol w:w="849"/>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12"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气象站</w:t>
            </w:r>
          </w:p>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名称</w:t>
            </w:r>
          </w:p>
        </w:tc>
        <w:tc>
          <w:tcPr>
            <w:tcW w:w="539"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气象站</w:t>
            </w:r>
          </w:p>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编号</w:t>
            </w:r>
          </w:p>
        </w:tc>
        <w:tc>
          <w:tcPr>
            <w:tcW w:w="460"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气象站</w:t>
            </w:r>
          </w:p>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等级</w:t>
            </w:r>
          </w:p>
        </w:tc>
        <w:tc>
          <w:tcPr>
            <w:tcW w:w="1049" w:type="pct"/>
            <w:gridSpan w:val="2"/>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气象站</w:t>
            </w:r>
            <w:r>
              <w:rPr>
                <w:rFonts w:ascii="Times New Roman" w:hAnsi="Times New Roman" w:eastAsia="宋体" w:cs="Times New Roman"/>
                <w:bCs/>
                <w:color w:val="7030A0"/>
                <w:kern w:val="2"/>
                <w:sz w:val="21"/>
                <w:szCs w:val="21"/>
                <w:highlight w:val="none"/>
                <w:lang w:val="en-US" w:eastAsia="zh-CN" w:bidi="ar-SA"/>
              </w:rPr>
              <w:t>坐标</w:t>
            </w:r>
            <w:r>
              <w:rPr>
                <w:rFonts w:hint="eastAsia" w:ascii="Times New Roman" w:hAnsi="Times New Roman" w:eastAsia="宋体" w:cs="Times New Roman"/>
                <w:bCs/>
                <w:color w:val="7030A0"/>
                <w:kern w:val="2"/>
                <w:sz w:val="21"/>
                <w:szCs w:val="21"/>
                <w:highlight w:val="none"/>
                <w:lang w:val="en-US" w:eastAsia="zh-CN" w:bidi="ar-SA"/>
              </w:rPr>
              <w:t>/°</w:t>
            </w:r>
          </w:p>
        </w:tc>
        <w:tc>
          <w:tcPr>
            <w:tcW w:w="598"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相对</w:t>
            </w:r>
          </w:p>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距离</w:t>
            </w:r>
            <w:r>
              <w:rPr>
                <w:rFonts w:hint="eastAsia" w:ascii="Times New Roman" w:hAnsi="Times New Roman" w:eastAsia="宋体" w:cs="Times New Roman"/>
                <w:bCs/>
                <w:color w:val="7030A0"/>
                <w:kern w:val="2"/>
                <w:sz w:val="21"/>
                <w:szCs w:val="21"/>
                <w:highlight w:val="none"/>
                <w:lang w:val="en-US" w:eastAsia="zh-CN" w:bidi="ar-SA"/>
              </w:rPr>
              <w:t>/km</w:t>
            </w:r>
          </w:p>
        </w:tc>
        <w:tc>
          <w:tcPr>
            <w:tcW w:w="512"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海拔</w:t>
            </w:r>
          </w:p>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高度</w:t>
            </w:r>
            <w:r>
              <w:rPr>
                <w:rFonts w:hint="eastAsia" w:ascii="Times New Roman" w:hAnsi="Times New Roman" w:eastAsia="宋体" w:cs="Times New Roman"/>
                <w:bCs/>
                <w:color w:val="7030A0"/>
                <w:kern w:val="2"/>
                <w:sz w:val="21"/>
                <w:szCs w:val="21"/>
                <w:highlight w:val="none"/>
                <w:lang w:val="en-US" w:eastAsia="zh-CN" w:bidi="ar-SA"/>
              </w:rPr>
              <w:t>/m</w:t>
            </w:r>
          </w:p>
        </w:tc>
        <w:tc>
          <w:tcPr>
            <w:tcW w:w="426"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数据</w:t>
            </w:r>
          </w:p>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年份</w:t>
            </w:r>
          </w:p>
        </w:tc>
        <w:tc>
          <w:tcPr>
            <w:tcW w:w="904" w:type="pct"/>
            <w:vMerge w:val="restar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气象要素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12"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539"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460"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537"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N</w:t>
            </w:r>
          </w:p>
        </w:tc>
        <w:tc>
          <w:tcPr>
            <w:tcW w:w="512"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E</w:t>
            </w:r>
          </w:p>
        </w:tc>
        <w:tc>
          <w:tcPr>
            <w:tcW w:w="598"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512"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426"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c>
          <w:tcPr>
            <w:tcW w:w="904" w:type="pct"/>
            <w:vMerge w:val="continue"/>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12"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苍溪</w:t>
            </w:r>
          </w:p>
        </w:tc>
        <w:tc>
          <w:tcPr>
            <w:tcW w:w="539" w:type="pct"/>
            <w:noWrap w:val="0"/>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57303</w:t>
            </w:r>
          </w:p>
        </w:tc>
        <w:tc>
          <w:tcPr>
            <w:tcW w:w="460"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一般站</w:t>
            </w:r>
          </w:p>
        </w:tc>
        <w:tc>
          <w:tcPr>
            <w:tcW w:w="537" w:type="pct"/>
            <w:noWrap w:val="0"/>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105.917</w:t>
            </w:r>
          </w:p>
        </w:tc>
        <w:tc>
          <w:tcPr>
            <w:tcW w:w="512" w:type="pct"/>
            <w:noWrap w:val="0"/>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31.733</w:t>
            </w:r>
          </w:p>
        </w:tc>
        <w:tc>
          <w:tcPr>
            <w:tcW w:w="598" w:type="pct"/>
            <w:noWrap w:val="0"/>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3.26</w:t>
            </w:r>
          </w:p>
        </w:tc>
        <w:tc>
          <w:tcPr>
            <w:tcW w:w="512" w:type="pct"/>
            <w:noWrap w:val="0"/>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159.90</w:t>
            </w:r>
          </w:p>
        </w:tc>
        <w:tc>
          <w:tcPr>
            <w:tcW w:w="426"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ascii="Times New Roman" w:hAnsi="Times New Roman" w:eastAsia="宋体" w:cs="Times New Roman"/>
                <w:bCs/>
                <w:color w:val="7030A0"/>
                <w:kern w:val="2"/>
                <w:sz w:val="21"/>
                <w:szCs w:val="21"/>
                <w:highlight w:val="none"/>
                <w:lang w:val="en-US" w:eastAsia="zh-CN" w:bidi="ar-SA"/>
              </w:rPr>
              <w:t>2022</w:t>
            </w:r>
          </w:p>
        </w:tc>
        <w:tc>
          <w:tcPr>
            <w:tcW w:w="904" w:type="pct"/>
            <w:noWrap w:val="0"/>
            <w:vAlign w:val="center"/>
          </w:tcPr>
          <w:p>
            <w:pPr>
              <w:widowControl w:val="0"/>
              <w:adjustRightInd w:val="0"/>
              <w:snapToGrid w:val="0"/>
              <w:spacing w:line="240" w:lineRule="auto"/>
              <w:ind w:firstLine="0" w:firstLineChars="0"/>
              <w:jc w:val="center"/>
              <w:rPr>
                <w:rFonts w:ascii="Times New Roman" w:hAnsi="Times New Roman" w:eastAsia="宋体" w:cs="Times New Roman"/>
                <w:bCs/>
                <w:color w:val="7030A0"/>
                <w:kern w:val="2"/>
                <w:sz w:val="21"/>
                <w:szCs w:val="21"/>
                <w:highlight w:val="none"/>
                <w:lang w:val="en-US" w:eastAsia="zh-CN" w:bidi="ar-SA"/>
              </w:rPr>
            </w:pPr>
            <w:r>
              <w:rPr>
                <w:rFonts w:hint="eastAsia" w:ascii="Times New Roman" w:hAnsi="Times New Roman" w:eastAsia="宋体" w:cs="Times New Roman"/>
                <w:bCs/>
                <w:color w:val="7030A0"/>
                <w:kern w:val="2"/>
                <w:sz w:val="21"/>
                <w:szCs w:val="21"/>
                <w:highlight w:val="none"/>
                <w:lang w:val="en-US" w:eastAsia="zh-CN" w:bidi="ar-SA"/>
              </w:rPr>
              <w:t>风速、风向、总云量、低云量、</w:t>
            </w:r>
            <w:r>
              <w:rPr>
                <w:rFonts w:ascii="Times New Roman" w:hAnsi="Times New Roman" w:eastAsia="宋体" w:cs="Times New Roman"/>
                <w:bCs/>
                <w:color w:val="7030A0"/>
                <w:kern w:val="2"/>
                <w:sz w:val="21"/>
                <w:szCs w:val="21"/>
                <w:highlight w:val="none"/>
                <w:lang w:val="en-US" w:eastAsia="zh-CN" w:bidi="ar-SA"/>
              </w:rPr>
              <w:t>相对湿度</w:t>
            </w:r>
            <w:r>
              <w:rPr>
                <w:rFonts w:hint="eastAsia" w:ascii="Times New Roman" w:hAnsi="Times New Roman" w:eastAsia="宋体" w:cs="Times New Roman"/>
                <w:bCs/>
                <w:color w:val="7030A0"/>
                <w:kern w:val="2"/>
                <w:sz w:val="21"/>
                <w:szCs w:val="21"/>
                <w:highlight w:val="none"/>
                <w:lang w:val="en-US" w:eastAsia="zh-CN" w:bidi="ar-SA"/>
              </w:rPr>
              <w:t>和干球温度</w:t>
            </w:r>
          </w:p>
        </w:tc>
      </w:tr>
    </w:tbl>
    <w:p>
      <w:pPr>
        <w:ind w:firstLine="480"/>
        <w:rPr>
          <w:rFonts w:eastAsia="宋体" w:cs="Times New Roman"/>
          <w:color w:val="7030A0"/>
          <w:highlight w:val="none"/>
        </w:rPr>
      </w:pPr>
      <w:r>
        <w:rPr>
          <w:rFonts w:hint="eastAsia" w:eastAsia="宋体" w:cs="Times New Roman"/>
          <w:color w:val="7030A0"/>
          <w:highlight w:val="none"/>
        </w:rPr>
        <w:t>根据</w:t>
      </w:r>
      <w:r>
        <w:rPr>
          <w:rFonts w:eastAsia="宋体" w:cs="Times New Roman"/>
          <w:color w:val="7030A0"/>
          <w:highlight w:val="none"/>
        </w:rPr>
        <w:t>2022</w:t>
      </w:r>
      <w:r>
        <w:rPr>
          <w:rFonts w:hint="eastAsia" w:eastAsia="宋体" w:cs="Times New Roman"/>
          <w:color w:val="7030A0"/>
          <w:highlight w:val="none"/>
        </w:rPr>
        <w:t>年地面气象资料中每月平均温度的年变化情况表和年平均温度变化曲线图可知：苍溪站</w:t>
      </w:r>
      <w:r>
        <w:rPr>
          <w:rFonts w:eastAsia="宋体" w:cs="Times New Roman"/>
          <w:color w:val="7030A0"/>
          <w:highlight w:val="none"/>
        </w:rPr>
        <w:t>2022</w:t>
      </w:r>
      <w:r>
        <w:rPr>
          <w:rFonts w:hint="eastAsia" w:eastAsia="宋体" w:cs="Times New Roman"/>
          <w:color w:val="7030A0"/>
          <w:highlight w:val="none"/>
        </w:rPr>
        <w:t>年平均温度为</w:t>
      </w:r>
      <w:r>
        <w:rPr>
          <w:rFonts w:eastAsia="宋体" w:cs="Times New Roman"/>
          <w:color w:val="7030A0"/>
          <w:highlight w:val="none"/>
        </w:rPr>
        <w:t>18.0℃</w:t>
      </w:r>
      <w:r>
        <w:rPr>
          <w:rFonts w:hint="eastAsia" w:eastAsia="宋体" w:cs="Times New Roman"/>
          <w:color w:val="7030A0"/>
          <w:highlight w:val="none"/>
        </w:rPr>
        <w:t>；</w:t>
      </w:r>
      <w:r>
        <w:rPr>
          <w:rFonts w:eastAsia="宋体" w:cs="Times New Roman"/>
          <w:color w:val="7030A0"/>
          <w:highlight w:val="none"/>
        </w:rPr>
        <w:t>5-9</w:t>
      </w:r>
      <w:r>
        <w:rPr>
          <w:rFonts w:hint="eastAsia" w:eastAsia="宋体" w:cs="Times New Roman"/>
          <w:color w:val="7030A0"/>
          <w:highlight w:val="none"/>
        </w:rPr>
        <w:t>月平均温度高于年平均温度，其余月份平均温度低于年平均温度；全年月平均气温最高值出现在</w:t>
      </w:r>
      <w:r>
        <w:rPr>
          <w:rFonts w:eastAsia="宋体" w:cs="Times New Roman"/>
          <w:color w:val="7030A0"/>
          <w:highlight w:val="none"/>
        </w:rPr>
        <w:t>8</w:t>
      </w:r>
      <w:r>
        <w:rPr>
          <w:rFonts w:hint="eastAsia" w:eastAsia="宋体" w:cs="Times New Roman"/>
          <w:color w:val="7030A0"/>
          <w:highlight w:val="none"/>
        </w:rPr>
        <w:t>月，为</w:t>
      </w:r>
      <w:r>
        <w:rPr>
          <w:rFonts w:eastAsia="宋体" w:cs="Times New Roman"/>
          <w:color w:val="7030A0"/>
          <w:highlight w:val="none"/>
        </w:rPr>
        <w:t>31.1℃</w:t>
      </w:r>
      <w:r>
        <w:rPr>
          <w:rFonts w:hint="eastAsia" w:eastAsia="宋体" w:cs="Times New Roman"/>
          <w:color w:val="7030A0"/>
          <w:highlight w:val="none"/>
        </w:rPr>
        <w:t>；区域全年月平均气温最低值出现在</w:t>
      </w:r>
      <w:r>
        <w:rPr>
          <w:rFonts w:eastAsia="宋体" w:cs="Times New Roman"/>
          <w:color w:val="7030A0"/>
          <w:highlight w:val="none"/>
        </w:rPr>
        <w:t>12</w:t>
      </w:r>
      <w:r>
        <w:rPr>
          <w:rFonts w:hint="eastAsia" w:eastAsia="宋体" w:cs="Times New Roman"/>
          <w:color w:val="7030A0"/>
          <w:highlight w:val="none"/>
        </w:rPr>
        <w:t>月，为</w:t>
      </w:r>
      <w:r>
        <w:rPr>
          <w:rFonts w:eastAsia="宋体" w:cs="Times New Roman"/>
          <w:color w:val="7030A0"/>
          <w:highlight w:val="none"/>
        </w:rPr>
        <w:t>6.8℃</w:t>
      </w:r>
      <w:r>
        <w:rPr>
          <w:rFonts w:hint="eastAsia" w:eastAsia="宋体" w:cs="Times New Roman"/>
          <w:color w:val="7030A0"/>
          <w:highlight w:val="none"/>
        </w:rPr>
        <w:t>。</w:t>
      </w:r>
    </w:p>
    <w:p>
      <w:pPr>
        <w:ind w:firstLine="0" w:firstLineChars="0"/>
        <w:jc w:val="center"/>
        <w:rPr>
          <w:rFonts w:eastAsia="宋体" w:cs="Times New Roman"/>
          <w:color w:val="7030A0"/>
          <w:highlight w:val="none"/>
        </w:rPr>
      </w:pPr>
      <w:r>
        <w:rPr>
          <w:rFonts w:eastAsia="宋体" w:cs="Times New Roman"/>
          <w:color w:val="7030A0"/>
          <w:highlight w:val="none"/>
        </w:rPr>
        <w:drawing>
          <wp:inline distT="0" distB="0" distL="114300" distR="114300">
            <wp:extent cx="4771390" cy="2713990"/>
            <wp:effectExtent l="0" t="0" r="10160" b="1016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8"/>
                    <a:stretch>
                      <a:fillRect/>
                    </a:stretch>
                  </pic:blipFill>
                  <pic:spPr>
                    <a:xfrm>
                      <a:off x="0" y="0"/>
                      <a:ext cx="4771390" cy="2713990"/>
                    </a:xfrm>
                    <a:prstGeom prst="rect">
                      <a:avLst/>
                    </a:prstGeom>
                    <a:noFill/>
                    <a:ln>
                      <a:noFill/>
                    </a:ln>
                  </pic:spPr>
                </pic:pic>
              </a:graphicData>
            </a:graphic>
          </wp:inline>
        </w:drawing>
      </w:r>
    </w:p>
    <w:p>
      <w:pPr>
        <w:widowControl w:val="0"/>
        <w:spacing w:after="163" w:afterLines="50" w:line="240" w:lineRule="auto"/>
        <w:ind w:firstLine="0" w:firstLineChars="0"/>
        <w:jc w:val="center"/>
        <w:rPr>
          <w:rFonts w:ascii="Times New Roman" w:hAnsi="Times New Roman" w:eastAsia="黑体" w:cs="Times New Roman"/>
          <w:color w:val="7030A0"/>
          <w:kern w:val="2"/>
          <w:sz w:val="21"/>
          <w:szCs w:val="22"/>
          <w:highlight w:val="none"/>
          <w:lang w:val="en-US" w:eastAsia="zh-CN" w:bidi="ar-SA"/>
        </w:rPr>
      </w:pPr>
      <w:r>
        <w:rPr>
          <w:rFonts w:hint="eastAsia" w:ascii="Times New Roman" w:hAnsi="Times New Roman" w:eastAsia="黑体" w:cs="Times New Roman"/>
          <w:color w:val="7030A0"/>
          <w:kern w:val="2"/>
          <w:sz w:val="21"/>
          <w:szCs w:val="22"/>
          <w:highlight w:val="none"/>
          <w:lang w:val="en-US" w:eastAsia="zh-CN" w:bidi="ar-SA"/>
        </w:rPr>
        <w:t xml:space="preserve">图 </w:t>
      </w:r>
      <w:r>
        <w:rPr>
          <w:rFonts w:ascii="Times New Roman" w:hAnsi="Times New Roman" w:eastAsia="黑体" w:cs="Times New Roman"/>
          <w:color w:val="7030A0"/>
          <w:kern w:val="2"/>
          <w:sz w:val="21"/>
          <w:szCs w:val="22"/>
          <w:highlight w:val="none"/>
          <w:lang w:val="en-US" w:eastAsia="zh-CN" w:bidi="ar-SA"/>
        </w:rPr>
        <w:fldChar w:fldCharType="begin"/>
      </w:r>
      <w:r>
        <w:rPr>
          <w:rFonts w:ascii="Times New Roman" w:hAnsi="Times New Roman" w:eastAsia="黑体" w:cs="Times New Roman"/>
          <w:color w:val="7030A0"/>
          <w:kern w:val="2"/>
          <w:sz w:val="21"/>
          <w:szCs w:val="22"/>
          <w:highlight w:val="none"/>
          <w:lang w:val="en-US" w:eastAsia="zh-CN" w:bidi="ar-SA"/>
        </w:rPr>
        <w:instrText xml:space="preserve"> </w:instrText>
      </w:r>
      <w:r>
        <w:rPr>
          <w:rFonts w:hint="eastAsia" w:ascii="Times New Roman" w:hAnsi="Times New Roman" w:eastAsia="黑体" w:cs="Times New Roman"/>
          <w:color w:val="7030A0"/>
          <w:kern w:val="2"/>
          <w:sz w:val="21"/>
          <w:szCs w:val="22"/>
          <w:highlight w:val="none"/>
          <w:lang w:val="en-US" w:eastAsia="zh-CN" w:bidi="ar-SA"/>
        </w:rPr>
        <w:instrText xml:space="preserve">STYLEREF 2 \s</w:instrText>
      </w:r>
      <w:r>
        <w:rPr>
          <w:rFonts w:ascii="Times New Roman" w:hAnsi="Times New Roman" w:eastAsia="黑体" w:cs="Times New Roman"/>
          <w:color w:val="7030A0"/>
          <w:kern w:val="2"/>
          <w:sz w:val="21"/>
          <w:szCs w:val="22"/>
          <w:highlight w:val="none"/>
          <w:lang w:val="en-US" w:eastAsia="zh-CN" w:bidi="ar-SA"/>
        </w:rPr>
        <w:instrText xml:space="preserve"> </w:instrText>
      </w:r>
      <w:r>
        <w:rPr>
          <w:rFonts w:ascii="Times New Roman" w:hAnsi="Times New Roman" w:eastAsia="黑体" w:cs="Times New Roman"/>
          <w:color w:val="7030A0"/>
          <w:kern w:val="2"/>
          <w:sz w:val="21"/>
          <w:szCs w:val="22"/>
          <w:highlight w:val="none"/>
          <w:lang w:val="en-US" w:eastAsia="zh-CN" w:bidi="ar-SA"/>
        </w:rPr>
        <w:fldChar w:fldCharType="separate"/>
      </w:r>
      <w:r>
        <w:rPr>
          <w:rFonts w:ascii="Times New Roman" w:hAnsi="Times New Roman" w:eastAsia="黑体" w:cs="Times New Roman"/>
          <w:color w:val="7030A0"/>
          <w:kern w:val="2"/>
          <w:sz w:val="21"/>
          <w:szCs w:val="22"/>
          <w:highlight w:val="none"/>
          <w:lang w:val="en-US" w:eastAsia="zh-CN" w:bidi="ar-SA"/>
        </w:rPr>
        <w:t>6.3</w:t>
      </w:r>
      <w:r>
        <w:rPr>
          <w:rFonts w:ascii="Times New Roman" w:hAnsi="Times New Roman" w:eastAsia="黑体" w:cs="Times New Roman"/>
          <w:color w:val="7030A0"/>
          <w:kern w:val="2"/>
          <w:sz w:val="21"/>
          <w:szCs w:val="22"/>
          <w:highlight w:val="none"/>
          <w:lang w:val="en-US" w:eastAsia="zh-CN" w:bidi="ar-SA"/>
        </w:rPr>
        <w:fldChar w:fldCharType="end"/>
      </w:r>
      <w:r>
        <w:rPr>
          <w:rFonts w:ascii="Times New Roman" w:hAnsi="Times New Roman" w:eastAsia="黑体" w:cs="Times New Roman"/>
          <w:color w:val="7030A0"/>
          <w:kern w:val="2"/>
          <w:sz w:val="21"/>
          <w:szCs w:val="22"/>
          <w:highlight w:val="none"/>
          <w:lang w:val="en-US" w:eastAsia="zh-CN" w:bidi="ar-SA"/>
        </w:rPr>
        <w:noBreakHyphen/>
      </w:r>
      <w:r>
        <w:rPr>
          <w:rFonts w:ascii="Times New Roman" w:hAnsi="Times New Roman" w:eastAsia="黑体" w:cs="Times New Roman"/>
          <w:color w:val="7030A0"/>
          <w:kern w:val="2"/>
          <w:sz w:val="21"/>
          <w:szCs w:val="22"/>
          <w:highlight w:val="none"/>
          <w:lang w:val="en-US" w:eastAsia="zh-CN" w:bidi="ar-SA"/>
        </w:rPr>
        <w:fldChar w:fldCharType="begin"/>
      </w:r>
      <w:r>
        <w:rPr>
          <w:rFonts w:ascii="Times New Roman" w:hAnsi="Times New Roman" w:eastAsia="黑体" w:cs="Times New Roman"/>
          <w:color w:val="7030A0"/>
          <w:kern w:val="2"/>
          <w:sz w:val="21"/>
          <w:szCs w:val="22"/>
          <w:highlight w:val="none"/>
          <w:lang w:val="en-US" w:eastAsia="zh-CN" w:bidi="ar-SA"/>
        </w:rPr>
        <w:instrText xml:space="preserve"> </w:instrText>
      </w:r>
      <w:r>
        <w:rPr>
          <w:rFonts w:hint="eastAsia" w:ascii="Times New Roman" w:hAnsi="Times New Roman" w:eastAsia="黑体" w:cs="Times New Roman"/>
          <w:color w:val="7030A0"/>
          <w:kern w:val="2"/>
          <w:sz w:val="21"/>
          <w:szCs w:val="22"/>
          <w:highlight w:val="none"/>
          <w:lang w:val="en-US" w:eastAsia="zh-CN" w:bidi="ar-SA"/>
        </w:rPr>
        <w:instrText xml:space="preserve">SEQ 图 \* ARABIC \s 2</w:instrText>
      </w:r>
      <w:r>
        <w:rPr>
          <w:rFonts w:ascii="Times New Roman" w:hAnsi="Times New Roman" w:eastAsia="黑体" w:cs="Times New Roman"/>
          <w:color w:val="7030A0"/>
          <w:kern w:val="2"/>
          <w:sz w:val="21"/>
          <w:szCs w:val="22"/>
          <w:highlight w:val="none"/>
          <w:lang w:val="en-US" w:eastAsia="zh-CN" w:bidi="ar-SA"/>
        </w:rPr>
        <w:instrText xml:space="preserve"> </w:instrText>
      </w:r>
      <w:r>
        <w:rPr>
          <w:rFonts w:ascii="Times New Roman" w:hAnsi="Times New Roman" w:eastAsia="黑体" w:cs="Times New Roman"/>
          <w:color w:val="7030A0"/>
          <w:kern w:val="2"/>
          <w:sz w:val="21"/>
          <w:szCs w:val="22"/>
          <w:highlight w:val="none"/>
          <w:lang w:val="en-US" w:eastAsia="zh-CN" w:bidi="ar-SA"/>
        </w:rPr>
        <w:fldChar w:fldCharType="separate"/>
      </w:r>
      <w:r>
        <w:rPr>
          <w:rFonts w:ascii="Times New Roman" w:hAnsi="Times New Roman" w:eastAsia="黑体" w:cs="Times New Roman"/>
          <w:color w:val="7030A0"/>
          <w:kern w:val="2"/>
          <w:sz w:val="21"/>
          <w:szCs w:val="22"/>
          <w:highlight w:val="none"/>
          <w:lang w:val="en-US" w:eastAsia="zh-CN" w:bidi="ar-SA"/>
        </w:rPr>
        <w:t>1</w:t>
      </w:r>
      <w:r>
        <w:rPr>
          <w:rFonts w:ascii="Times New Roman" w:hAnsi="Times New Roman" w:eastAsia="黑体" w:cs="Times New Roman"/>
          <w:color w:val="7030A0"/>
          <w:kern w:val="2"/>
          <w:sz w:val="21"/>
          <w:szCs w:val="22"/>
          <w:highlight w:val="none"/>
          <w:lang w:val="en-US" w:eastAsia="zh-CN" w:bidi="ar-SA"/>
        </w:rPr>
        <w:fldChar w:fldCharType="end"/>
      </w:r>
      <w:r>
        <w:rPr>
          <w:rFonts w:hint="eastAsia" w:ascii="Times New Roman" w:hAnsi="Times New Roman" w:eastAsia="黑体" w:cs="Times New Roman"/>
          <w:color w:val="7030A0"/>
          <w:kern w:val="2"/>
          <w:sz w:val="21"/>
          <w:szCs w:val="22"/>
          <w:highlight w:val="none"/>
          <w:lang w:val="en-US" w:eastAsia="zh-CN" w:bidi="ar-SA"/>
        </w:rPr>
        <w:t>苍溪站2022年平均温度月变化曲线图</w:t>
      </w:r>
    </w:p>
    <w:p>
      <w:pPr>
        <w:ind w:firstLine="480"/>
        <w:rPr>
          <w:rFonts w:eastAsia="宋体" w:cs="Times New Roman"/>
          <w:color w:val="7030A0"/>
          <w:highlight w:val="none"/>
        </w:rPr>
      </w:pPr>
      <w:r>
        <w:rPr>
          <w:rFonts w:hint="eastAsia" w:eastAsia="宋体" w:cs="Times New Roman"/>
          <w:color w:val="7030A0"/>
          <w:highlight w:val="none"/>
        </w:rPr>
        <w:t>从</w:t>
      </w:r>
      <w:r>
        <w:rPr>
          <w:rFonts w:eastAsia="宋体" w:cs="Times New Roman"/>
          <w:color w:val="7030A0"/>
          <w:highlight w:val="none"/>
        </w:rPr>
        <w:t>2022</w:t>
      </w:r>
      <w:r>
        <w:rPr>
          <w:rFonts w:hint="eastAsia" w:eastAsia="宋体" w:cs="Times New Roman"/>
          <w:color w:val="7030A0"/>
          <w:highlight w:val="none"/>
        </w:rPr>
        <w:t>年的月平均风速年变化表和月平均风速变化曲线图可以看出：苍溪站</w:t>
      </w:r>
      <w:r>
        <w:rPr>
          <w:rFonts w:eastAsia="宋体" w:cs="Times New Roman"/>
          <w:color w:val="7030A0"/>
          <w:highlight w:val="none"/>
        </w:rPr>
        <w:t>2022</w:t>
      </w:r>
      <w:r>
        <w:rPr>
          <w:rFonts w:hint="eastAsia" w:eastAsia="宋体" w:cs="Times New Roman"/>
          <w:color w:val="7030A0"/>
          <w:highlight w:val="none"/>
        </w:rPr>
        <w:t>年</w:t>
      </w:r>
      <w:r>
        <w:rPr>
          <w:rFonts w:eastAsia="宋体" w:cs="Times New Roman"/>
          <w:color w:val="7030A0"/>
          <w:highlight w:val="none"/>
        </w:rPr>
        <w:t>8</w:t>
      </w:r>
      <w:r>
        <w:rPr>
          <w:rFonts w:hint="eastAsia" w:eastAsia="宋体" w:cs="Times New Roman"/>
          <w:color w:val="7030A0"/>
          <w:highlight w:val="none"/>
        </w:rPr>
        <w:t>月平均风速最大（</w:t>
      </w:r>
      <w:r>
        <w:rPr>
          <w:rFonts w:eastAsia="宋体" w:cs="Times New Roman"/>
          <w:color w:val="7030A0"/>
          <w:highlight w:val="none"/>
        </w:rPr>
        <w:t>1.9</w:t>
      </w:r>
      <w:r>
        <w:rPr>
          <w:rFonts w:hint="eastAsia" w:eastAsia="宋体" w:cs="Times New Roman"/>
          <w:color w:val="7030A0"/>
          <w:highlight w:val="none"/>
        </w:rPr>
        <w:t>米</w:t>
      </w:r>
      <w:r>
        <w:rPr>
          <w:rFonts w:eastAsia="宋体" w:cs="Times New Roman"/>
          <w:color w:val="7030A0"/>
          <w:highlight w:val="none"/>
        </w:rPr>
        <w:t>/</w:t>
      </w:r>
      <w:r>
        <w:rPr>
          <w:rFonts w:hint="eastAsia" w:eastAsia="宋体" w:cs="Times New Roman"/>
          <w:color w:val="7030A0"/>
          <w:highlight w:val="none"/>
        </w:rPr>
        <w:t>秒），</w:t>
      </w:r>
      <w:r>
        <w:rPr>
          <w:rFonts w:eastAsia="宋体" w:cs="Times New Roman"/>
          <w:color w:val="7030A0"/>
          <w:highlight w:val="none"/>
        </w:rPr>
        <w:t>1</w:t>
      </w:r>
      <w:r>
        <w:rPr>
          <w:rFonts w:hint="eastAsia" w:eastAsia="宋体" w:cs="Times New Roman"/>
          <w:color w:val="7030A0"/>
          <w:highlight w:val="none"/>
        </w:rPr>
        <w:t>、</w:t>
      </w:r>
      <w:r>
        <w:rPr>
          <w:rFonts w:eastAsia="宋体" w:cs="Times New Roman"/>
          <w:color w:val="7030A0"/>
          <w:highlight w:val="none"/>
        </w:rPr>
        <w:t>12</w:t>
      </w:r>
      <w:r>
        <w:rPr>
          <w:rFonts w:hint="eastAsia" w:eastAsia="宋体" w:cs="Times New Roman"/>
          <w:color w:val="7030A0"/>
          <w:highlight w:val="none"/>
        </w:rPr>
        <w:t>月风速最小（</w:t>
      </w:r>
      <w:r>
        <w:rPr>
          <w:rFonts w:eastAsia="宋体" w:cs="Times New Roman"/>
          <w:color w:val="7030A0"/>
          <w:highlight w:val="none"/>
        </w:rPr>
        <w:t>1.1</w:t>
      </w:r>
      <w:r>
        <w:rPr>
          <w:rFonts w:hint="eastAsia" w:eastAsia="宋体" w:cs="Times New Roman"/>
          <w:color w:val="7030A0"/>
          <w:highlight w:val="none"/>
        </w:rPr>
        <w:t>米</w:t>
      </w:r>
      <w:r>
        <w:rPr>
          <w:rFonts w:eastAsia="宋体" w:cs="Times New Roman"/>
          <w:color w:val="7030A0"/>
          <w:highlight w:val="none"/>
        </w:rPr>
        <w:t>/</w:t>
      </w:r>
      <w:r>
        <w:rPr>
          <w:rFonts w:hint="eastAsia" w:eastAsia="宋体" w:cs="Times New Roman"/>
          <w:color w:val="7030A0"/>
          <w:highlight w:val="none"/>
        </w:rPr>
        <w:t>秒）。</w:t>
      </w:r>
    </w:p>
    <w:p>
      <w:pPr>
        <w:ind w:firstLine="0" w:firstLineChars="0"/>
        <w:jc w:val="center"/>
        <w:rPr>
          <w:rFonts w:eastAsia="宋体" w:cs="Times New Roman"/>
          <w:color w:val="7030A0"/>
          <w:highlight w:val="none"/>
        </w:rPr>
      </w:pPr>
      <w:r>
        <w:rPr>
          <w:rFonts w:eastAsia="宋体" w:cs="Times New Roman"/>
          <w:color w:val="7030A0"/>
          <w:highlight w:val="none"/>
        </w:rPr>
        <w:drawing>
          <wp:inline distT="0" distB="0" distL="114300" distR="114300">
            <wp:extent cx="5171440" cy="3075940"/>
            <wp:effectExtent l="0" t="0" r="10160" b="1016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9"/>
                    <a:stretch>
                      <a:fillRect/>
                    </a:stretch>
                  </pic:blipFill>
                  <pic:spPr>
                    <a:xfrm>
                      <a:off x="0" y="0"/>
                      <a:ext cx="5171440" cy="3075940"/>
                    </a:xfrm>
                    <a:prstGeom prst="rect">
                      <a:avLst/>
                    </a:prstGeom>
                    <a:noFill/>
                    <a:ln>
                      <a:noFill/>
                    </a:ln>
                  </pic:spPr>
                </pic:pic>
              </a:graphicData>
            </a:graphic>
          </wp:inline>
        </w:drawing>
      </w:r>
    </w:p>
    <w:p>
      <w:pPr>
        <w:widowControl w:val="0"/>
        <w:spacing w:after="163" w:afterLines="50" w:line="240" w:lineRule="auto"/>
        <w:ind w:firstLine="0" w:firstLineChars="0"/>
        <w:jc w:val="center"/>
        <w:rPr>
          <w:rFonts w:ascii="Times New Roman" w:hAnsi="Times New Roman" w:eastAsia="黑体" w:cs="Times New Roman"/>
          <w:color w:val="7030A0"/>
          <w:kern w:val="2"/>
          <w:sz w:val="21"/>
          <w:szCs w:val="22"/>
          <w:highlight w:val="none"/>
          <w:lang w:val="en-US" w:eastAsia="zh-CN" w:bidi="ar-SA"/>
        </w:rPr>
      </w:pPr>
      <w:r>
        <w:rPr>
          <w:rFonts w:hint="eastAsia" w:ascii="Times New Roman" w:hAnsi="Times New Roman" w:eastAsia="黑体" w:cs="Times New Roman"/>
          <w:color w:val="7030A0"/>
          <w:kern w:val="2"/>
          <w:sz w:val="21"/>
          <w:szCs w:val="22"/>
          <w:highlight w:val="none"/>
          <w:lang w:val="en-US" w:eastAsia="zh-CN" w:bidi="ar-SA"/>
        </w:rPr>
        <w:t xml:space="preserve">图 </w:t>
      </w:r>
      <w:r>
        <w:rPr>
          <w:rFonts w:ascii="Times New Roman" w:hAnsi="Times New Roman" w:eastAsia="黑体" w:cs="Times New Roman"/>
          <w:color w:val="7030A0"/>
          <w:kern w:val="2"/>
          <w:sz w:val="21"/>
          <w:szCs w:val="22"/>
          <w:highlight w:val="none"/>
          <w:lang w:val="en-US" w:eastAsia="zh-CN" w:bidi="ar-SA"/>
        </w:rPr>
        <w:fldChar w:fldCharType="begin"/>
      </w:r>
      <w:r>
        <w:rPr>
          <w:rFonts w:ascii="Times New Roman" w:hAnsi="Times New Roman" w:eastAsia="黑体" w:cs="Times New Roman"/>
          <w:color w:val="7030A0"/>
          <w:kern w:val="2"/>
          <w:sz w:val="21"/>
          <w:szCs w:val="22"/>
          <w:highlight w:val="none"/>
          <w:lang w:val="en-US" w:eastAsia="zh-CN" w:bidi="ar-SA"/>
        </w:rPr>
        <w:instrText xml:space="preserve"> </w:instrText>
      </w:r>
      <w:r>
        <w:rPr>
          <w:rFonts w:hint="eastAsia" w:ascii="Times New Roman" w:hAnsi="Times New Roman" w:eastAsia="黑体" w:cs="Times New Roman"/>
          <w:color w:val="7030A0"/>
          <w:kern w:val="2"/>
          <w:sz w:val="21"/>
          <w:szCs w:val="22"/>
          <w:highlight w:val="none"/>
          <w:lang w:val="en-US" w:eastAsia="zh-CN" w:bidi="ar-SA"/>
        </w:rPr>
        <w:instrText xml:space="preserve">STYLEREF 2 \s</w:instrText>
      </w:r>
      <w:r>
        <w:rPr>
          <w:rFonts w:ascii="Times New Roman" w:hAnsi="Times New Roman" w:eastAsia="黑体" w:cs="Times New Roman"/>
          <w:color w:val="7030A0"/>
          <w:kern w:val="2"/>
          <w:sz w:val="21"/>
          <w:szCs w:val="22"/>
          <w:highlight w:val="none"/>
          <w:lang w:val="en-US" w:eastAsia="zh-CN" w:bidi="ar-SA"/>
        </w:rPr>
        <w:instrText xml:space="preserve"> </w:instrText>
      </w:r>
      <w:r>
        <w:rPr>
          <w:rFonts w:ascii="Times New Roman" w:hAnsi="Times New Roman" w:eastAsia="黑体" w:cs="Times New Roman"/>
          <w:color w:val="7030A0"/>
          <w:kern w:val="2"/>
          <w:sz w:val="21"/>
          <w:szCs w:val="22"/>
          <w:highlight w:val="none"/>
          <w:lang w:val="en-US" w:eastAsia="zh-CN" w:bidi="ar-SA"/>
        </w:rPr>
        <w:fldChar w:fldCharType="separate"/>
      </w:r>
      <w:r>
        <w:rPr>
          <w:rFonts w:ascii="Times New Roman" w:hAnsi="Times New Roman" w:eastAsia="黑体" w:cs="Times New Roman"/>
          <w:color w:val="7030A0"/>
          <w:kern w:val="2"/>
          <w:sz w:val="21"/>
          <w:szCs w:val="22"/>
          <w:highlight w:val="none"/>
          <w:lang w:val="en-US" w:eastAsia="zh-CN" w:bidi="ar-SA"/>
        </w:rPr>
        <w:t>6.3</w:t>
      </w:r>
      <w:r>
        <w:rPr>
          <w:rFonts w:ascii="Times New Roman" w:hAnsi="Times New Roman" w:eastAsia="黑体" w:cs="Times New Roman"/>
          <w:color w:val="7030A0"/>
          <w:kern w:val="2"/>
          <w:sz w:val="21"/>
          <w:szCs w:val="22"/>
          <w:highlight w:val="none"/>
          <w:lang w:val="en-US" w:eastAsia="zh-CN" w:bidi="ar-SA"/>
        </w:rPr>
        <w:fldChar w:fldCharType="end"/>
      </w:r>
      <w:r>
        <w:rPr>
          <w:rFonts w:ascii="Times New Roman" w:hAnsi="Times New Roman" w:eastAsia="黑体" w:cs="Times New Roman"/>
          <w:color w:val="7030A0"/>
          <w:kern w:val="2"/>
          <w:sz w:val="21"/>
          <w:szCs w:val="22"/>
          <w:highlight w:val="none"/>
          <w:lang w:val="en-US" w:eastAsia="zh-CN" w:bidi="ar-SA"/>
        </w:rPr>
        <w:noBreakHyphen/>
      </w:r>
      <w:r>
        <w:rPr>
          <w:rFonts w:ascii="Times New Roman" w:hAnsi="Times New Roman" w:eastAsia="黑体" w:cs="Times New Roman"/>
          <w:color w:val="7030A0"/>
          <w:kern w:val="2"/>
          <w:sz w:val="21"/>
          <w:szCs w:val="22"/>
          <w:highlight w:val="none"/>
          <w:lang w:val="en-US" w:eastAsia="zh-CN" w:bidi="ar-SA"/>
        </w:rPr>
        <w:fldChar w:fldCharType="begin"/>
      </w:r>
      <w:r>
        <w:rPr>
          <w:rFonts w:ascii="Times New Roman" w:hAnsi="Times New Roman" w:eastAsia="黑体" w:cs="Times New Roman"/>
          <w:color w:val="7030A0"/>
          <w:kern w:val="2"/>
          <w:sz w:val="21"/>
          <w:szCs w:val="22"/>
          <w:highlight w:val="none"/>
          <w:lang w:val="en-US" w:eastAsia="zh-CN" w:bidi="ar-SA"/>
        </w:rPr>
        <w:instrText xml:space="preserve"> </w:instrText>
      </w:r>
      <w:r>
        <w:rPr>
          <w:rFonts w:hint="eastAsia" w:ascii="Times New Roman" w:hAnsi="Times New Roman" w:eastAsia="黑体" w:cs="Times New Roman"/>
          <w:color w:val="7030A0"/>
          <w:kern w:val="2"/>
          <w:sz w:val="21"/>
          <w:szCs w:val="22"/>
          <w:highlight w:val="none"/>
          <w:lang w:val="en-US" w:eastAsia="zh-CN" w:bidi="ar-SA"/>
        </w:rPr>
        <w:instrText xml:space="preserve">SEQ 图 \* ARABIC \s 2</w:instrText>
      </w:r>
      <w:r>
        <w:rPr>
          <w:rFonts w:ascii="Times New Roman" w:hAnsi="Times New Roman" w:eastAsia="黑体" w:cs="Times New Roman"/>
          <w:color w:val="7030A0"/>
          <w:kern w:val="2"/>
          <w:sz w:val="21"/>
          <w:szCs w:val="22"/>
          <w:highlight w:val="none"/>
          <w:lang w:val="en-US" w:eastAsia="zh-CN" w:bidi="ar-SA"/>
        </w:rPr>
        <w:instrText xml:space="preserve"> </w:instrText>
      </w:r>
      <w:r>
        <w:rPr>
          <w:rFonts w:ascii="Times New Roman" w:hAnsi="Times New Roman" w:eastAsia="黑体" w:cs="Times New Roman"/>
          <w:color w:val="7030A0"/>
          <w:kern w:val="2"/>
          <w:sz w:val="21"/>
          <w:szCs w:val="22"/>
          <w:highlight w:val="none"/>
          <w:lang w:val="en-US" w:eastAsia="zh-CN" w:bidi="ar-SA"/>
        </w:rPr>
        <w:fldChar w:fldCharType="separate"/>
      </w:r>
      <w:r>
        <w:rPr>
          <w:rFonts w:ascii="Times New Roman" w:hAnsi="Times New Roman" w:eastAsia="黑体" w:cs="Times New Roman"/>
          <w:color w:val="7030A0"/>
          <w:kern w:val="2"/>
          <w:sz w:val="21"/>
          <w:szCs w:val="22"/>
          <w:highlight w:val="none"/>
          <w:lang w:val="en-US" w:eastAsia="zh-CN" w:bidi="ar-SA"/>
        </w:rPr>
        <w:t>1</w:t>
      </w:r>
      <w:r>
        <w:rPr>
          <w:rFonts w:ascii="Times New Roman" w:hAnsi="Times New Roman" w:eastAsia="黑体" w:cs="Times New Roman"/>
          <w:color w:val="7030A0"/>
          <w:kern w:val="2"/>
          <w:sz w:val="21"/>
          <w:szCs w:val="22"/>
          <w:highlight w:val="none"/>
          <w:lang w:val="en-US" w:eastAsia="zh-CN" w:bidi="ar-SA"/>
        </w:rPr>
        <w:fldChar w:fldCharType="end"/>
      </w:r>
      <w:r>
        <w:rPr>
          <w:rFonts w:hint="eastAsia" w:ascii="Times New Roman" w:hAnsi="Times New Roman" w:eastAsia="黑体" w:cs="Times New Roman"/>
          <w:color w:val="7030A0"/>
          <w:kern w:val="2"/>
          <w:sz w:val="21"/>
          <w:szCs w:val="22"/>
          <w:highlight w:val="none"/>
          <w:lang w:val="en-US" w:eastAsia="zh-CN" w:bidi="ar-SA"/>
        </w:rPr>
        <w:t>苍溪站2022年平均风速的月变化图</w:t>
      </w:r>
    </w:p>
    <w:p>
      <w:pPr>
        <w:ind w:firstLine="480"/>
        <w:rPr>
          <w:rFonts w:eastAsia="宋体" w:cs="Times New Roman"/>
          <w:color w:val="7030A0"/>
          <w:highlight w:val="none"/>
        </w:rPr>
      </w:pPr>
      <w:r>
        <w:rPr>
          <w:rFonts w:hint="eastAsia" w:eastAsia="宋体" w:cs="Times New Roman"/>
          <w:color w:val="7030A0"/>
          <w:highlight w:val="none"/>
        </w:rPr>
        <w:t>从各季平均风速日变化统计表及图可以看出：苍溪站夏季平均风速较大，有利于大气污染物的输送，秋季及冬季风速相对较低，不利于污染物的扩散。</w:t>
      </w:r>
      <w:r>
        <w:rPr>
          <w:rFonts w:eastAsia="宋体" w:cs="Times New Roman"/>
          <w:color w:val="7030A0"/>
          <w:highlight w:val="none"/>
        </w:rPr>
        <w:t xml:space="preserve"> </w:t>
      </w:r>
    </w:p>
    <w:p>
      <w:pPr>
        <w:ind w:firstLine="480"/>
        <w:rPr>
          <w:rFonts w:eastAsia="宋体" w:cs="Times New Roman"/>
          <w:color w:val="7030A0"/>
          <w:highlight w:val="none"/>
        </w:rPr>
      </w:pPr>
      <w:r>
        <w:rPr>
          <w:rFonts w:hint="eastAsia" w:eastAsia="宋体" w:cs="Times New Roman"/>
          <w:color w:val="7030A0"/>
          <w:highlight w:val="none"/>
        </w:rPr>
        <w:t>从平均风速的日变化分布看，夜间至清晨风速较小，不利污染物扩散输送；白天风速较大，下午风速最大，有利于污染物输送。</w:t>
      </w:r>
    </w:p>
    <w:p>
      <w:pPr>
        <w:ind w:firstLine="0" w:firstLineChars="0"/>
        <w:jc w:val="center"/>
        <w:rPr>
          <w:rFonts w:eastAsia="宋体" w:cs="Times New Roman"/>
          <w:color w:val="7030A0"/>
          <w:highlight w:val="none"/>
        </w:rPr>
      </w:pPr>
      <w:r>
        <w:rPr>
          <w:rFonts w:eastAsia="宋体" w:cs="Times New Roman"/>
          <w:color w:val="7030A0"/>
          <w:highlight w:val="none"/>
        </w:rPr>
        <w:drawing>
          <wp:inline distT="0" distB="0" distL="114300" distR="114300">
            <wp:extent cx="5161915" cy="3094990"/>
            <wp:effectExtent l="0" t="0" r="635" b="1016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60"/>
                    <a:stretch>
                      <a:fillRect/>
                    </a:stretch>
                  </pic:blipFill>
                  <pic:spPr>
                    <a:xfrm>
                      <a:off x="0" y="0"/>
                      <a:ext cx="5161915" cy="3094990"/>
                    </a:xfrm>
                    <a:prstGeom prst="rect">
                      <a:avLst/>
                    </a:prstGeom>
                    <a:noFill/>
                    <a:ln>
                      <a:noFill/>
                    </a:ln>
                  </pic:spPr>
                </pic:pic>
              </a:graphicData>
            </a:graphic>
          </wp:inline>
        </w:drawing>
      </w:r>
    </w:p>
    <w:p>
      <w:pPr>
        <w:widowControl w:val="0"/>
        <w:spacing w:after="163" w:afterLines="50" w:line="240" w:lineRule="auto"/>
        <w:ind w:firstLine="0" w:firstLineChars="0"/>
        <w:jc w:val="center"/>
        <w:rPr>
          <w:rFonts w:ascii="Times New Roman" w:hAnsi="Times New Roman" w:eastAsia="黑体" w:cs="Times New Roman"/>
          <w:color w:val="7030A0"/>
          <w:kern w:val="2"/>
          <w:sz w:val="21"/>
          <w:szCs w:val="22"/>
          <w:highlight w:val="none"/>
          <w:lang w:val="en-US" w:eastAsia="zh-CN" w:bidi="ar-SA"/>
        </w:rPr>
      </w:pPr>
      <w:r>
        <w:rPr>
          <w:rFonts w:hint="eastAsia" w:ascii="Times New Roman" w:hAnsi="Times New Roman" w:eastAsia="黑体" w:cs="Times New Roman"/>
          <w:color w:val="7030A0"/>
          <w:kern w:val="2"/>
          <w:sz w:val="21"/>
          <w:szCs w:val="22"/>
          <w:highlight w:val="none"/>
          <w:lang w:val="en-US" w:eastAsia="zh-CN" w:bidi="ar-SA"/>
        </w:rPr>
        <w:t xml:space="preserve">图 </w:t>
      </w:r>
      <w:r>
        <w:rPr>
          <w:rFonts w:ascii="Times New Roman" w:hAnsi="Times New Roman" w:eastAsia="黑体" w:cs="Times New Roman"/>
          <w:color w:val="7030A0"/>
          <w:kern w:val="2"/>
          <w:sz w:val="21"/>
          <w:szCs w:val="22"/>
          <w:highlight w:val="none"/>
          <w:lang w:val="en-US" w:eastAsia="zh-CN" w:bidi="ar-SA"/>
        </w:rPr>
        <w:fldChar w:fldCharType="begin"/>
      </w:r>
      <w:r>
        <w:rPr>
          <w:rFonts w:ascii="Times New Roman" w:hAnsi="Times New Roman" w:eastAsia="黑体" w:cs="Times New Roman"/>
          <w:color w:val="7030A0"/>
          <w:kern w:val="2"/>
          <w:sz w:val="21"/>
          <w:szCs w:val="22"/>
          <w:highlight w:val="none"/>
          <w:lang w:val="en-US" w:eastAsia="zh-CN" w:bidi="ar-SA"/>
        </w:rPr>
        <w:instrText xml:space="preserve"> </w:instrText>
      </w:r>
      <w:r>
        <w:rPr>
          <w:rFonts w:hint="eastAsia" w:ascii="Times New Roman" w:hAnsi="Times New Roman" w:eastAsia="黑体" w:cs="Times New Roman"/>
          <w:color w:val="7030A0"/>
          <w:kern w:val="2"/>
          <w:sz w:val="21"/>
          <w:szCs w:val="22"/>
          <w:highlight w:val="none"/>
          <w:lang w:val="en-US" w:eastAsia="zh-CN" w:bidi="ar-SA"/>
        </w:rPr>
        <w:instrText xml:space="preserve">STYLEREF 2 \s</w:instrText>
      </w:r>
      <w:r>
        <w:rPr>
          <w:rFonts w:ascii="Times New Roman" w:hAnsi="Times New Roman" w:eastAsia="黑体" w:cs="Times New Roman"/>
          <w:color w:val="7030A0"/>
          <w:kern w:val="2"/>
          <w:sz w:val="21"/>
          <w:szCs w:val="22"/>
          <w:highlight w:val="none"/>
          <w:lang w:val="en-US" w:eastAsia="zh-CN" w:bidi="ar-SA"/>
        </w:rPr>
        <w:instrText xml:space="preserve"> </w:instrText>
      </w:r>
      <w:r>
        <w:rPr>
          <w:rFonts w:ascii="Times New Roman" w:hAnsi="Times New Roman" w:eastAsia="黑体" w:cs="Times New Roman"/>
          <w:color w:val="7030A0"/>
          <w:kern w:val="2"/>
          <w:sz w:val="21"/>
          <w:szCs w:val="22"/>
          <w:highlight w:val="none"/>
          <w:lang w:val="en-US" w:eastAsia="zh-CN" w:bidi="ar-SA"/>
        </w:rPr>
        <w:fldChar w:fldCharType="separate"/>
      </w:r>
      <w:r>
        <w:rPr>
          <w:rFonts w:ascii="Times New Roman" w:hAnsi="Times New Roman" w:eastAsia="黑体" w:cs="Times New Roman"/>
          <w:color w:val="7030A0"/>
          <w:kern w:val="2"/>
          <w:sz w:val="21"/>
          <w:szCs w:val="22"/>
          <w:highlight w:val="none"/>
          <w:lang w:val="en-US" w:eastAsia="zh-CN" w:bidi="ar-SA"/>
        </w:rPr>
        <w:t>6.3</w:t>
      </w:r>
      <w:r>
        <w:rPr>
          <w:rFonts w:ascii="Times New Roman" w:hAnsi="Times New Roman" w:eastAsia="黑体" w:cs="Times New Roman"/>
          <w:color w:val="7030A0"/>
          <w:kern w:val="2"/>
          <w:sz w:val="21"/>
          <w:szCs w:val="22"/>
          <w:highlight w:val="none"/>
          <w:lang w:val="en-US" w:eastAsia="zh-CN" w:bidi="ar-SA"/>
        </w:rPr>
        <w:fldChar w:fldCharType="end"/>
      </w:r>
      <w:r>
        <w:rPr>
          <w:rFonts w:ascii="Times New Roman" w:hAnsi="Times New Roman" w:eastAsia="黑体" w:cs="Times New Roman"/>
          <w:color w:val="7030A0"/>
          <w:kern w:val="2"/>
          <w:sz w:val="21"/>
          <w:szCs w:val="22"/>
          <w:highlight w:val="none"/>
          <w:lang w:val="en-US" w:eastAsia="zh-CN" w:bidi="ar-SA"/>
        </w:rPr>
        <w:noBreakHyphen/>
      </w:r>
      <w:r>
        <w:rPr>
          <w:rFonts w:ascii="Times New Roman" w:hAnsi="Times New Roman" w:eastAsia="黑体" w:cs="Times New Roman"/>
          <w:color w:val="7030A0"/>
          <w:kern w:val="2"/>
          <w:sz w:val="21"/>
          <w:szCs w:val="22"/>
          <w:highlight w:val="none"/>
          <w:lang w:val="en-US" w:eastAsia="zh-CN" w:bidi="ar-SA"/>
        </w:rPr>
        <w:fldChar w:fldCharType="begin"/>
      </w:r>
      <w:r>
        <w:rPr>
          <w:rFonts w:ascii="Times New Roman" w:hAnsi="Times New Roman" w:eastAsia="黑体" w:cs="Times New Roman"/>
          <w:color w:val="7030A0"/>
          <w:kern w:val="2"/>
          <w:sz w:val="21"/>
          <w:szCs w:val="22"/>
          <w:highlight w:val="none"/>
          <w:lang w:val="en-US" w:eastAsia="zh-CN" w:bidi="ar-SA"/>
        </w:rPr>
        <w:instrText xml:space="preserve"> </w:instrText>
      </w:r>
      <w:r>
        <w:rPr>
          <w:rFonts w:hint="eastAsia" w:ascii="Times New Roman" w:hAnsi="Times New Roman" w:eastAsia="黑体" w:cs="Times New Roman"/>
          <w:color w:val="7030A0"/>
          <w:kern w:val="2"/>
          <w:sz w:val="21"/>
          <w:szCs w:val="22"/>
          <w:highlight w:val="none"/>
          <w:lang w:val="en-US" w:eastAsia="zh-CN" w:bidi="ar-SA"/>
        </w:rPr>
        <w:instrText xml:space="preserve">SEQ 图 \* ARABIC \s 2</w:instrText>
      </w:r>
      <w:r>
        <w:rPr>
          <w:rFonts w:ascii="Times New Roman" w:hAnsi="Times New Roman" w:eastAsia="黑体" w:cs="Times New Roman"/>
          <w:color w:val="7030A0"/>
          <w:kern w:val="2"/>
          <w:sz w:val="21"/>
          <w:szCs w:val="22"/>
          <w:highlight w:val="none"/>
          <w:lang w:val="en-US" w:eastAsia="zh-CN" w:bidi="ar-SA"/>
        </w:rPr>
        <w:instrText xml:space="preserve"> </w:instrText>
      </w:r>
      <w:r>
        <w:rPr>
          <w:rFonts w:ascii="Times New Roman" w:hAnsi="Times New Roman" w:eastAsia="黑体" w:cs="Times New Roman"/>
          <w:color w:val="7030A0"/>
          <w:kern w:val="2"/>
          <w:sz w:val="21"/>
          <w:szCs w:val="22"/>
          <w:highlight w:val="none"/>
          <w:lang w:val="en-US" w:eastAsia="zh-CN" w:bidi="ar-SA"/>
        </w:rPr>
        <w:fldChar w:fldCharType="separate"/>
      </w:r>
      <w:r>
        <w:rPr>
          <w:rFonts w:ascii="Times New Roman" w:hAnsi="Times New Roman" w:eastAsia="黑体" w:cs="Times New Roman"/>
          <w:color w:val="7030A0"/>
          <w:kern w:val="2"/>
          <w:sz w:val="21"/>
          <w:szCs w:val="22"/>
          <w:highlight w:val="none"/>
          <w:lang w:val="en-US" w:eastAsia="zh-CN" w:bidi="ar-SA"/>
        </w:rPr>
        <w:t>1</w:t>
      </w:r>
      <w:r>
        <w:rPr>
          <w:rFonts w:ascii="Times New Roman" w:hAnsi="Times New Roman" w:eastAsia="黑体" w:cs="Times New Roman"/>
          <w:color w:val="7030A0"/>
          <w:kern w:val="2"/>
          <w:sz w:val="21"/>
          <w:szCs w:val="22"/>
          <w:highlight w:val="none"/>
          <w:lang w:val="en-US" w:eastAsia="zh-CN" w:bidi="ar-SA"/>
        </w:rPr>
        <w:fldChar w:fldCharType="end"/>
      </w:r>
      <w:r>
        <w:rPr>
          <w:rFonts w:hint="eastAsia" w:ascii="Times New Roman" w:hAnsi="Times New Roman" w:eastAsia="黑体" w:cs="Times New Roman"/>
          <w:color w:val="7030A0"/>
          <w:kern w:val="2"/>
          <w:sz w:val="21"/>
          <w:szCs w:val="22"/>
          <w:highlight w:val="none"/>
          <w:lang w:val="en-US" w:eastAsia="zh-CN" w:bidi="ar-SA"/>
        </w:rPr>
        <w:t>苍溪站2022年四季平均风速的日变化图</w:t>
      </w:r>
    </w:p>
    <w:p>
      <w:pPr>
        <w:ind w:firstLine="480"/>
        <w:rPr>
          <w:rFonts w:eastAsia="宋体" w:cs="Times New Roman"/>
          <w:color w:val="7030A0"/>
          <w:highlight w:val="none"/>
        </w:rPr>
      </w:pPr>
      <w:r>
        <w:rPr>
          <w:rFonts w:hint="eastAsia" w:eastAsia="宋体" w:cs="Times New Roman"/>
          <w:color w:val="7030A0"/>
          <w:highlight w:val="none"/>
        </w:rPr>
        <w:t>从苍溪站</w:t>
      </w:r>
      <w:r>
        <w:rPr>
          <w:rFonts w:eastAsia="宋体" w:cs="Times New Roman"/>
          <w:color w:val="7030A0"/>
          <w:highlight w:val="none"/>
        </w:rPr>
        <w:t>2022</w:t>
      </w:r>
      <w:r>
        <w:rPr>
          <w:rFonts w:hint="eastAsia" w:eastAsia="宋体" w:cs="Times New Roman"/>
          <w:color w:val="7030A0"/>
          <w:highlight w:val="none"/>
        </w:rPr>
        <w:t>年年平均风频的变化情况可看出，年均风频最大的是</w:t>
      </w:r>
      <w:r>
        <w:rPr>
          <w:rFonts w:eastAsia="宋体" w:cs="Times New Roman"/>
          <w:color w:val="7030A0"/>
          <w:highlight w:val="none"/>
        </w:rPr>
        <w:t>NNW</w:t>
      </w:r>
      <w:r>
        <w:rPr>
          <w:rFonts w:hint="eastAsia" w:eastAsia="宋体" w:cs="Times New Roman"/>
          <w:color w:val="7030A0"/>
          <w:highlight w:val="none"/>
        </w:rPr>
        <w:t>（风频为</w:t>
      </w:r>
      <w:r>
        <w:rPr>
          <w:rFonts w:eastAsia="宋体" w:cs="Times New Roman"/>
          <w:color w:val="7030A0"/>
          <w:highlight w:val="none"/>
        </w:rPr>
        <w:t>23.9%</w:t>
      </w:r>
      <w:r>
        <w:rPr>
          <w:rFonts w:hint="eastAsia" w:eastAsia="宋体" w:cs="Times New Roman"/>
          <w:color w:val="7030A0"/>
          <w:highlight w:val="none"/>
        </w:rPr>
        <w:t>）。四季中，春季、夏季、秋季、冬季风频最大均是</w:t>
      </w:r>
      <w:r>
        <w:rPr>
          <w:rFonts w:eastAsia="宋体" w:cs="Times New Roman"/>
          <w:color w:val="7030A0"/>
          <w:highlight w:val="none"/>
        </w:rPr>
        <w:t>NNW</w:t>
      </w:r>
      <w:r>
        <w:rPr>
          <w:rFonts w:hint="eastAsia" w:eastAsia="宋体" w:cs="Times New Roman"/>
          <w:color w:val="7030A0"/>
          <w:highlight w:val="none"/>
        </w:rPr>
        <w:t>（风频分别为</w:t>
      </w:r>
      <w:r>
        <w:rPr>
          <w:rFonts w:eastAsia="宋体" w:cs="Times New Roman"/>
          <w:color w:val="7030A0"/>
          <w:highlight w:val="none"/>
        </w:rPr>
        <w:t>25.2%</w:t>
      </w:r>
      <w:r>
        <w:rPr>
          <w:rFonts w:hint="eastAsia" w:eastAsia="宋体" w:cs="Times New Roman"/>
          <w:color w:val="7030A0"/>
          <w:highlight w:val="none"/>
        </w:rPr>
        <w:t>、</w:t>
      </w:r>
      <w:r>
        <w:rPr>
          <w:rFonts w:eastAsia="宋体" w:cs="Times New Roman"/>
          <w:color w:val="7030A0"/>
          <w:highlight w:val="none"/>
        </w:rPr>
        <w:t>23.2%</w:t>
      </w:r>
      <w:r>
        <w:rPr>
          <w:rFonts w:hint="eastAsia" w:eastAsia="宋体" w:cs="Times New Roman"/>
          <w:color w:val="7030A0"/>
          <w:highlight w:val="none"/>
        </w:rPr>
        <w:t>、</w:t>
      </w:r>
      <w:r>
        <w:rPr>
          <w:rFonts w:eastAsia="宋体" w:cs="Times New Roman"/>
          <w:color w:val="7030A0"/>
          <w:highlight w:val="none"/>
        </w:rPr>
        <w:t>26.3%</w:t>
      </w:r>
      <w:r>
        <w:rPr>
          <w:rFonts w:hint="eastAsia" w:eastAsia="宋体" w:cs="Times New Roman"/>
          <w:color w:val="7030A0"/>
          <w:highlight w:val="none"/>
        </w:rPr>
        <w:t>、</w:t>
      </w:r>
      <w:r>
        <w:rPr>
          <w:rFonts w:eastAsia="宋体" w:cs="Times New Roman"/>
          <w:color w:val="7030A0"/>
          <w:highlight w:val="none"/>
        </w:rPr>
        <w:t>21.0%</w:t>
      </w:r>
      <w:r>
        <w:rPr>
          <w:rFonts w:hint="eastAsia" w:eastAsia="宋体" w:cs="Times New Roman"/>
          <w:color w:val="7030A0"/>
          <w:highlight w:val="none"/>
        </w:rPr>
        <w:t>）。</w:t>
      </w:r>
    </w:p>
    <w:p>
      <w:pPr>
        <w:ind w:firstLine="0" w:firstLineChars="0"/>
        <w:jc w:val="center"/>
        <w:rPr>
          <w:rFonts w:eastAsia="宋体" w:cs="Times New Roman"/>
          <w:color w:val="7030A0"/>
          <w:highlight w:val="none"/>
        </w:rPr>
      </w:pPr>
      <w:r>
        <w:rPr>
          <w:rFonts w:eastAsia="宋体" w:cs="Times New Roman"/>
          <w:color w:val="7030A0"/>
          <w:highlight w:val="none"/>
        </w:rPr>
        <w:drawing>
          <wp:inline distT="0" distB="0" distL="114300" distR="114300">
            <wp:extent cx="4628515" cy="6276340"/>
            <wp:effectExtent l="0" t="0" r="635" b="1016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61"/>
                    <a:stretch>
                      <a:fillRect/>
                    </a:stretch>
                  </pic:blipFill>
                  <pic:spPr>
                    <a:xfrm>
                      <a:off x="0" y="0"/>
                      <a:ext cx="4628515" cy="6276340"/>
                    </a:xfrm>
                    <a:prstGeom prst="rect">
                      <a:avLst/>
                    </a:prstGeom>
                    <a:noFill/>
                    <a:ln>
                      <a:noFill/>
                    </a:ln>
                  </pic:spPr>
                </pic:pic>
              </a:graphicData>
            </a:graphic>
          </wp:inline>
        </w:drawing>
      </w:r>
    </w:p>
    <w:p>
      <w:pPr>
        <w:widowControl w:val="0"/>
        <w:spacing w:after="163" w:afterLines="50" w:line="240" w:lineRule="auto"/>
        <w:ind w:firstLine="0" w:firstLineChars="0"/>
        <w:jc w:val="center"/>
        <w:rPr>
          <w:rFonts w:ascii="Times New Roman" w:hAnsi="Times New Roman" w:eastAsia="黑体" w:cs="Times New Roman"/>
          <w:color w:val="7030A0"/>
          <w:kern w:val="2"/>
          <w:sz w:val="21"/>
          <w:szCs w:val="22"/>
          <w:highlight w:val="none"/>
          <w:lang w:val="en-US" w:eastAsia="zh-CN" w:bidi="ar-SA"/>
        </w:rPr>
      </w:pPr>
      <w:r>
        <w:rPr>
          <w:rFonts w:hint="eastAsia" w:ascii="Times New Roman" w:hAnsi="Times New Roman" w:eastAsia="黑体" w:cs="Times New Roman"/>
          <w:color w:val="7030A0"/>
          <w:kern w:val="2"/>
          <w:sz w:val="21"/>
          <w:szCs w:val="22"/>
          <w:highlight w:val="none"/>
          <w:lang w:val="en-US" w:eastAsia="zh-CN" w:bidi="ar-SA"/>
        </w:rPr>
        <w:t xml:space="preserve">图 </w:t>
      </w:r>
      <w:r>
        <w:rPr>
          <w:rFonts w:ascii="Times New Roman" w:hAnsi="Times New Roman" w:eastAsia="黑体" w:cs="Times New Roman"/>
          <w:color w:val="7030A0"/>
          <w:kern w:val="2"/>
          <w:sz w:val="21"/>
          <w:szCs w:val="22"/>
          <w:highlight w:val="none"/>
          <w:lang w:val="en-US" w:eastAsia="zh-CN" w:bidi="ar-SA"/>
        </w:rPr>
        <w:fldChar w:fldCharType="begin"/>
      </w:r>
      <w:r>
        <w:rPr>
          <w:rFonts w:ascii="Times New Roman" w:hAnsi="Times New Roman" w:eastAsia="黑体" w:cs="Times New Roman"/>
          <w:color w:val="7030A0"/>
          <w:kern w:val="2"/>
          <w:sz w:val="21"/>
          <w:szCs w:val="22"/>
          <w:highlight w:val="none"/>
          <w:lang w:val="en-US" w:eastAsia="zh-CN" w:bidi="ar-SA"/>
        </w:rPr>
        <w:instrText xml:space="preserve"> </w:instrText>
      </w:r>
      <w:r>
        <w:rPr>
          <w:rFonts w:hint="eastAsia" w:ascii="Times New Roman" w:hAnsi="Times New Roman" w:eastAsia="黑体" w:cs="Times New Roman"/>
          <w:color w:val="7030A0"/>
          <w:kern w:val="2"/>
          <w:sz w:val="21"/>
          <w:szCs w:val="22"/>
          <w:highlight w:val="none"/>
          <w:lang w:val="en-US" w:eastAsia="zh-CN" w:bidi="ar-SA"/>
        </w:rPr>
        <w:instrText xml:space="preserve">STYLEREF 2 \s</w:instrText>
      </w:r>
      <w:r>
        <w:rPr>
          <w:rFonts w:ascii="Times New Roman" w:hAnsi="Times New Roman" w:eastAsia="黑体" w:cs="Times New Roman"/>
          <w:color w:val="7030A0"/>
          <w:kern w:val="2"/>
          <w:sz w:val="21"/>
          <w:szCs w:val="22"/>
          <w:highlight w:val="none"/>
          <w:lang w:val="en-US" w:eastAsia="zh-CN" w:bidi="ar-SA"/>
        </w:rPr>
        <w:instrText xml:space="preserve"> </w:instrText>
      </w:r>
      <w:r>
        <w:rPr>
          <w:rFonts w:ascii="Times New Roman" w:hAnsi="Times New Roman" w:eastAsia="黑体" w:cs="Times New Roman"/>
          <w:color w:val="7030A0"/>
          <w:kern w:val="2"/>
          <w:sz w:val="21"/>
          <w:szCs w:val="22"/>
          <w:highlight w:val="none"/>
          <w:lang w:val="en-US" w:eastAsia="zh-CN" w:bidi="ar-SA"/>
        </w:rPr>
        <w:fldChar w:fldCharType="separate"/>
      </w:r>
      <w:r>
        <w:rPr>
          <w:rFonts w:ascii="Times New Roman" w:hAnsi="Times New Roman" w:eastAsia="黑体" w:cs="Times New Roman"/>
          <w:color w:val="7030A0"/>
          <w:kern w:val="2"/>
          <w:sz w:val="21"/>
          <w:szCs w:val="22"/>
          <w:highlight w:val="none"/>
          <w:lang w:val="en-US" w:eastAsia="zh-CN" w:bidi="ar-SA"/>
        </w:rPr>
        <w:t>6.3</w:t>
      </w:r>
      <w:r>
        <w:rPr>
          <w:rFonts w:ascii="Times New Roman" w:hAnsi="Times New Roman" w:eastAsia="黑体" w:cs="Times New Roman"/>
          <w:color w:val="7030A0"/>
          <w:kern w:val="2"/>
          <w:sz w:val="21"/>
          <w:szCs w:val="22"/>
          <w:highlight w:val="none"/>
          <w:lang w:val="en-US" w:eastAsia="zh-CN" w:bidi="ar-SA"/>
        </w:rPr>
        <w:fldChar w:fldCharType="end"/>
      </w:r>
      <w:r>
        <w:rPr>
          <w:rFonts w:ascii="Times New Roman" w:hAnsi="Times New Roman" w:eastAsia="黑体" w:cs="Times New Roman"/>
          <w:color w:val="7030A0"/>
          <w:kern w:val="2"/>
          <w:sz w:val="21"/>
          <w:szCs w:val="22"/>
          <w:highlight w:val="none"/>
          <w:lang w:val="en-US" w:eastAsia="zh-CN" w:bidi="ar-SA"/>
        </w:rPr>
        <w:noBreakHyphen/>
      </w:r>
      <w:r>
        <w:rPr>
          <w:rFonts w:ascii="Times New Roman" w:hAnsi="Times New Roman" w:eastAsia="黑体" w:cs="Times New Roman"/>
          <w:color w:val="7030A0"/>
          <w:kern w:val="2"/>
          <w:sz w:val="21"/>
          <w:szCs w:val="22"/>
          <w:highlight w:val="none"/>
          <w:lang w:val="en-US" w:eastAsia="zh-CN" w:bidi="ar-SA"/>
        </w:rPr>
        <w:fldChar w:fldCharType="begin"/>
      </w:r>
      <w:r>
        <w:rPr>
          <w:rFonts w:ascii="Times New Roman" w:hAnsi="Times New Roman" w:eastAsia="黑体" w:cs="Times New Roman"/>
          <w:color w:val="7030A0"/>
          <w:kern w:val="2"/>
          <w:sz w:val="21"/>
          <w:szCs w:val="22"/>
          <w:highlight w:val="none"/>
          <w:lang w:val="en-US" w:eastAsia="zh-CN" w:bidi="ar-SA"/>
        </w:rPr>
        <w:instrText xml:space="preserve"> </w:instrText>
      </w:r>
      <w:r>
        <w:rPr>
          <w:rFonts w:hint="eastAsia" w:ascii="Times New Roman" w:hAnsi="Times New Roman" w:eastAsia="黑体" w:cs="Times New Roman"/>
          <w:color w:val="7030A0"/>
          <w:kern w:val="2"/>
          <w:sz w:val="21"/>
          <w:szCs w:val="22"/>
          <w:highlight w:val="none"/>
          <w:lang w:val="en-US" w:eastAsia="zh-CN" w:bidi="ar-SA"/>
        </w:rPr>
        <w:instrText xml:space="preserve">SEQ 图 \* ARABIC \s 2</w:instrText>
      </w:r>
      <w:r>
        <w:rPr>
          <w:rFonts w:ascii="Times New Roman" w:hAnsi="Times New Roman" w:eastAsia="黑体" w:cs="Times New Roman"/>
          <w:color w:val="7030A0"/>
          <w:kern w:val="2"/>
          <w:sz w:val="21"/>
          <w:szCs w:val="22"/>
          <w:highlight w:val="none"/>
          <w:lang w:val="en-US" w:eastAsia="zh-CN" w:bidi="ar-SA"/>
        </w:rPr>
        <w:instrText xml:space="preserve"> </w:instrText>
      </w:r>
      <w:r>
        <w:rPr>
          <w:rFonts w:ascii="Times New Roman" w:hAnsi="Times New Roman" w:eastAsia="黑体" w:cs="Times New Roman"/>
          <w:color w:val="7030A0"/>
          <w:kern w:val="2"/>
          <w:sz w:val="21"/>
          <w:szCs w:val="22"/>
          <w:highlight w:val="none"/>
          <w:lang w:val="en-US" w:eastAsia="zh-CN" w:bidi="ar-SA"/>
        </w:rPr>
        <w:fldChar w:fldCharType="separate"/>
      </w:r>
      <w:r>
        <w:rPr>
          <w:rFonts w:ascii="Times New Roman" w:hAnsi="Times New Roman" w:eastAsia="黑体" w:cs="Times New Roman"/>
          <w:color w:val="7030A0"/>
          <w:kern w:val="2"/>
          <w:sz w:val="21"/>
          <w:szCs w:val="22"/>
          <w:highlight w:val="none"/>
          <w:lang w:val="en-US" w:eastAsia="zh-CN" w:bidi="ar-SA"/>
        </w:rPr>
        <w:t>1</w:t>
      </w:r>
      <w:r>
        <w:rPr>
          <w:rFonts w:ascii="Times New Roman" w:hAnsi="Times New Roman" w:eastAsia="黑体" w:cs="Times New Roman"/>
          <w:color w:val="7030A0"/>
          <w:kern w:val="2"/>
          <w:sz w:val="21"/>
          <w:szCs w:val="22"/>
          <w:highlight w:val="none"/>
          <w:lang w:val="en-US" w:eastAsia="zh-CN" w:bidi="ar-SA"/>
        </w:rPr>
        <w:fldChar w:fldCharType="end"/>
      </w:r>
      <w:r>
        <w:rPr>
          <w:rFonts w:hint="eastAsia" w:ascii="Times New Roman" w:hAnsi="Times New Roman" w:eastAsia="黑体" w:cs="Times New Roman"/>
          <w:color w:val="7030A0"/>
          <w:kern w:val="2"/>
          <w:sz w:val="21"/>
          <w:szCs w:val="22"/>
          <w:highlight w:val="none"/>
          <w:lang w:val="en-US" w:eastAsia="zh-CN" w:bidi="ar-SA"/>
        </w:rPr>
        <w:t>苍溪站2022年各季及全年风频玫瑰图</w:t>
      </w:r>
    </w:p>
    <w:p>
      <w:pPr>
        <w:ind w:firstLine="482"/>
        <w:rPr>
          <w:rFonts w:eastAsia="宋体" w:cs="Times New Roman"/>
          <w:b/>
          <w:bCs/>
          <w:color w:val="7030A0"/>
          <w:highlight w:val="none"/>
        </w:rPr>
      </w:pPr>
      <w:r>
        <w:rPr>
          <w:rFonts w:hint="eastAsia" w:eastAsia="宋体" w:cs="Times New Roman"/>
          <w:b/>
          <w:bCs/>
          <w:color w:val="7030A0"/>
          <w:highlight w:val="none"/>
        </w:rPr>
        <w:t>（3）预测因子及背景值</w:t>
      </w:r>
    </w:p>
    <w:p>
      <w:pPr>
        <w:ind w:firstLine="480"/>
        <w:rPr>
          <w:rFonts w:eastAsia="宋体" w:cs="Times New Roman"/>
          <w:color w:val="7030A0"/>
          <w:highlight w:val="none"/>
        </w:rPr>
      </w:pPr>
      <w:r>
        <w:rPr>
          <w:rFonts w:hint="eastAsia" w:eastAsia="宋体" w:cs="Times New Roman"/>
          <w:color w:val="7030A0"/>
          <w:highlight w:val="none"/>
        </w:rPr>
        <w:t>根据《环境影响评价技术导则大气环境》（HJ2.2-2018），本次评价考虑规划产业、规划区域环境特征以及环境空气质量现状情况，</w:t>
      </w:r>
      <w:r>
        <w:rPr>
          <w:rFonts w:eastAsia="宋体" w:cs="Times New Roman"/>
          <w:color w:val="7030A0"/>
          <w:highlight w:val="none"/>
        </w:rPr>
        <w:t>结合区域主导产业发展，</w:t>
      </w:r>
      <w:r>
        <w:rPr>
          <w:rFonts w:hint="eastAsia" w:eastAsia="宋体" w:cs="Times New Roman"/>
          <w:color w:val="7030A0"/>
          <w:highlight w:val="none"/>
        </w:rPr>
        <w:t>评价规划区大气预测因子为：</w:t>
      </w:r>
      <w:r>
        <w:rPr>
          <w:rFonts w:eastAsia="宋体" w:cs="Times New Roman"/>
          <w:color w:val="7030A0"/>
          <w:sz w:val="23"/>
          <w:szCs w:val="23"/>
          <w:highlight w:val="none"/>
        </w:rPr>
        <w:t xml:space="preserve"> SO</w:t>
      </w:r>
      <w:r>
        <w:rPr>
          <w:rFonts w:eastAsia="宋体" w:cs="Times New Roman"/>
          <w:color w:val="7030A0"/>
          <w:sz w:val="16"/>
          <w:szCs w:val="16"/>
          <w:highlight w:val="none"/>
        </w:rPr>
        <w:t>2</w:t>
      </w:r>
      <w:r>
        <w:rPr>
          <w:rFonts w:hint="eastAsia" w:ascii="宋体" w:eastAsia="宋体" w:cs="宋体"/>
          <w:color w:val="7030A0"/>
          <w:sz w:val="23"/>
          <w:szCs w:val="23"/>
          <w:highlight w:val="none"/>
        </w:rPr>
        <w:t>、</w:t>
      </w:r>
      <w:r>
        <w:rPr>
          <w:rFonts w:eastAsia="宋体" w:cs="Times New Roman"/>
          <w:color w:val="7030A0"/>
          <w:sz w:val="23"/>
          <w:szCs w:val="23"/>
          <w:highlight w:val="none"/>
        </w:rPr>
        <w:t>NO</w:t>
      </w:r>
      <w:r>
        <w:rPr>
          <w:rFonts w:eastAsia="宋体" w:cs="Times New Roman"/>
          <w:color w:val="7030A0"/>
          <w:sz w:val="16"/>
          <w:szCs w:val="16"/>
          <w:highlight w:val="none"/>
        </w:rPr>
        <w:t>2</w:t>
      </w:r>
      <w:r>
        <w:rPr>
          <w:rFonts w:hint="eastAsia" w:ascii="宋体" w:eastAsia="宋体" w:cs="宋体"/>
          <w:color w:val="7030A0"/>
          <w:sz w:val="23"/>
          <w:szCs w:val="23"/>
          <w:highlight w:val="none"/>
        </w:rPr>
        <w:t>、</w:t>
      </w:r>
      <w:r>
        <w:rPr>
          <w:rFonts w:eastAsia="宋体" w:cs="Times New Roman"/>
          <w:color w:val="7030A0"/>
          <w:sz w:val="23"/>
          <w:szCs w:val="23"/>
          <w:highlight w:val="none"/>
        </w:rPr>
        <w:t>PM</w:t>
      </w:r>
      <w:r>
        <w:rPr>
          <w:rFonts w:eastAsia="宋体" w:cs="Times New Roman"/>
          <w:color w:val="7030A0"/>
          <w:sz w:val="16"/>
          <w:szCs w:val="16"/>
          <w:highlight w:val="none"/>
        </w:rPr>
        <w:t>10</w:t>
      </w:r>
      <w:r>
        <w:rPr>
          <w:rFonts w:hint="eastAsia" w:ascii="宋体" w:eastAsia="宋体" w:cs="宋体"/>
          <w:color w:val="7030A0"/>
          <w:sz w:val="23"/>
          <w:szCs w:val="23"/>
          <w:highlight w:val="none"/>
        </w:rPr>
        <w:t>、</w:t>
      </w:r>
      <w:r>
        <w:rPr>
          <w:rFonts w:eastAsia="宋体" w:cs="Times New Roman"/>
          <w:color w:val="7030A0"/>
          <w:sz w:val="23"/>
          <w:szCs w:val="23"/>
          <w:highlight w:val="none"/>
        </w:rPr>
        <w:t>PM</w:t>
      </w:r>
      <w:r>
        <w:rPr>
          <w:rFonts w:eastAsia="宋体" w:cs="Times New Roman"/>
          <w:color w:val="7030A0"/>
          <w:sz w:val="16"/>
          <w:szCs w:val="16"/>
          <w:highlight w:val="none"/>
        </w:rPr>
        <w:t>2.5</w:t>
      </w:r>
      <w:r>
        <w:rPr>
          <w:rFonts w:hint="eastAsia" w:ascii="宋体" w:eastAsia="宋体" w:cs="宋体"/>
          <w:color w:val="7030A0"/>
          <w:sz w:val="23"/>
          <w:szCs w:val="23"/>
          <w:highlight w:val="none"/>
        </w:rPr>
        <w:t>、</w:t>
      </w:r>
      <w:r>
        <w:rPr>
          <w:rFonts w:hint="eastAsia" w:eastAsia="宋体" w:cs="Times New Roman"/>
          <w:color w:val="7030A0"/>
          <w:highlight w:val="none"/>
        </w:rPr>
        <w:t>TVOC、氟化物。</w:t>
      </w:r>
    </w:p>
    <w:p>
      <w:pPr>
        <w:ind w:firstLine="460"/>
        <w:rPr>
          <w:rFonts w:eastAsia="宋体" w:cs="Times New Roman"/>
          <w:color w:val="7030A0"/>
          <w:sz w:val="23"/>
          <w:szCs w:val="23"/>
          <w:highlight w:val="none"/>
        </w:rPr>
      </w:pPr>
      <w:r>
        <w:rPr>
          <w:rFonts w:hint="eastAsia" w:eastAsia="宋体" w:cs="Times New Roman"/>
          <w:color w:val="7030A0"/>
          <w:sz w:val="23"/>
          <w:szCs w:val="23"/>
          <w:highlight w:val="none"/>
        </w:rPr>
        <w:t>本次大气评价范围内为二类环境空气质量功能区，本项目采用距离园区距离最近的苍溪县监测站点</w:t>
      </w:r>
      <w:r>
        <w:rPr>
          <w:rFonts w:eastAsia="宋体" w:cs="Times New Roman"/>
          <w:color w:val="7030A0"/>
          <w:sz w:val="23"/>
          <w:szCs w:val="23"/>
          <w:highlight w:val="none"/>
        </w:rPr>
        <w:t>2022</w:t>
      </w:r>
      <w:r>
        <w:rPr>
          <w:rFonts w:hint="eastAsia" w:eastAsia="宋体" w:cs="Times New Roman"/>
          <w:color w:val="7030A0"/>
          <w:sz w:val="23"/>
          <w:szCs w:val="23"/>
          <w:highlight w:val="none"/>
        </w:rPr>
        <w:t>年连续一年的逐日空气质量作为本项目基本污染物（</w:t>
      </w:r>
      <w:r>
        <w:rPr>
          <w:rFonts w:eastAsia="宋体" w:cs="Times New Roman"/>
          <w:color w:val="7030A0"/>
          <w:sz w:val="23"/>
          <w:szCs w:val="23"/>
          <w:highlight w:val="none"/>
        </w:rPr>
        <w:t>SO</w:t>
      </w:r>
      <w:r>
        <w:rPr>
          <w:rFonts w:eastAsia="宋体" w:cs="Times New Roman"/>
          <w:color w:val="7030A0"/>
          <w:sz w:val="16"/>
          <w:szCs w:val="16"/>
          <w:highlight w:val="none"/>
        </w:rPr>
        <w:t>2</w:t>
      </w:r>
      <w:r>
        <w:rPr>
          <w:rFonts w:hint="eastAsia" w:eastAsia="宋体" w:cs="Times New Roman"/>
          <w:color w:val="7030A0"/>
          <w:sz w:val="23"/>
          <w:szCs w:val="23"/>
          <w:highlight w:val="none"/>
        </w:rPr>
        <w:t>、</w:t>
      </w:r>
      <w:r>
        <w:rPr>
          <w:rFonts w:eastAsia="宋体" w:cs="Times New Roman"/>
          <w:color w:val="7030A0"/>
          <w:sz w:val="23"/>
          <w:szCs w:val="23"/>
          <w:highlight w:val="none"/>
        </w:rPr>
        <w:t>NO</w:t>
      </w:r>
      <w:r>
        <w:rPr>
          <w:rFonts w:eastAsia="宋体" w:cs="Times New Roman"/>
          <w:color w:val="7030A0"/>
          <w:sz w:val="16"/>
          <w:szCs w:val="16"/>
          <w:highlight w:val="none"/>
        </w:rPr>
        <w:t>2</w:t>
      </w:r>
      <w:r>
        <w:rPr>
          <w:rFonts w:hint="eastAsia" w:eastAsia="宋体" w:cs="Times New Roman"/>
          <w:color w:val="7030A0"/>
          <w:sz w:val="23"/>
          <w:szCs w:val="23"/>
          <w:highlight w:val="none"/>
        </w:rPr>
        <w:t>、</w:t>
      </w:r>
      <w:r>
        <w:rPr>
          <w:rFonts w:eastAsia="宋体" w:cs="Times New Roman"/>
          <w:color w:val="7030A0"/>
          <w:sz w:val="23"/>
          <w:szCs w:val="23"/>
          <w:highlight w:val="none"/>
        </w:rPr>
        <w:t>PM</w:t>
      </w:r>
      <w:r>
        <w:rPr>
          <w:rFonts w:eastAsia="宋体" w:cs="Times New Roman"/>
          <w:color w:val="7030A0"/>
          <w:sz w:val="16"/>
          <w:szCs w:val="16"/>
          <w:highlight w:val="none"/>
        </w:rPr>
        <w:t>2.5</w:t>
      </w:r>
      <w:r>
        <w:rPr>
          <w:rFonts w:hint="eastAsia" w:eastAsia="宋体" w:cs="Times New Roman"/>
          <w:color w:val="7030A0"/>
          <w:sz w:val="23"/>
          <w:szCs w:val="23"/>
          <w:highlight w:val="none"/>
        </w:rPr>
        <w:t>、</w:t>
      </w:r>
      <w:r>
        <w:rPr>
          <w:rFonts w:eastAsia="宋体" w:cs="Times New Roman"/>
          <w:color w:val="7030A0"/>
          <w:sz w:val="23"/>
          <w:szCs w:val="23"/>
          <w:highlight w:val="none"/>
        </w:rPr>
        <w:t>PM</w:t>
      </w:r>
      <w:r>
        <w:rPr>
          <w:rFonts w:eastAsia="宋体" w:cs="Times New Roman"/>
          <w:color w:val="7030A0"/>
          <w:sz w:val="16"/>
          <w:szCs w:val="16"/>
          <w:highlight w:val="none"/>
        </w:rPr>
        <w:t>10</w:t>
      </w:r>
      <w:r>
        <w:rPr>
          <w:rFonts w:hint="eastAsia" w:eastAsia="宋体" w:cs="Times New Roman"/>
          <w:color w:val="7030A0"/>
          <w:sz w:val="23"/>
          <w:szCs w:val="23"/>
          <w:highlight w:val="none"/>
        </w:rPr>
        <w:t>）环境现状数据的来源；对于其他大气污染物背景浓度采用补充监测数据。</w:t>
      </w:r>
    </w:p>
    <w:p>
      <w:pPr>
        <w:ind w:firstLine="462"/>
        <w:rPr>
          <w:rFonts w:eastAsia="宋体" w:cs="Times New Roman"/>
          <w:b/>
          <w:bCs/>
          <w:color w:val="7030A0"/>
          <w:sz w:val="23"/>
          <w:szCs w:val="23"/>
          <w:highlight w:val="none"/>
        </w:rPr>
      </w:pPr>
      <w:r>
        <w:rPr>
          <w:rFonts w:hint="eastAsia" w:eastAsia="宋体" w:cs="Times New Roman"/>
          <w:b/>
          <w:bCs/>
          <w:color w:val="7030A0"/>
          <w:sz w:val="23"/>
          <w:szCs w:val="23"/>
          <w:highlight w:val="none"/>
        </w:rPr>
        <w:t>（4）规划区污染源</w:t>
      </w:r>
    </w:p>
    <w:p>
      <w:pPr>
        <w:ind w:firstLine="480"/>
        <w:rPr>
          <w:rFonts w:eastAsia="宋体" w:cs="Times New Roman"/>
          <w:color w:val="7030A0"/>
          <w:highlight w:val="none"/>
        </w:rPr>
      </w:pPr>
      <w:r>
        <w:rPr>
          <w:rFonts w:hint="eastAsia" w:eastAsia="宋体" w:cs="Times New Roman"/>
          <w:color w:val="7030A0"/>
          <w:highlight w:val="none"/>
        </w:rPr>
        <w:t>规划区内新增污染源：结合规划区发展规划，规划区内拟新增污染源源强核算详见</w:t>
      </w:r>
      <w:r>
        <w:rPr>
          <w:rFonts w:eastAsia="宋体" w:cs="Times New Roman"/>
          <w:color w:val="7030A0"/>
          <w:highlight w:val="none"/>
        </w:rPr>
        <w:t>“</w:t>
      </w:r>
      <w:r>
        <w:rPr>
          <w:rFonts w:hint="eastAsia" w:eastAsia="宋体" w:cs="Times New Roman"/>
          <w:color w:val="7030A0"/>
          <w:highlight w:val="none"/>
        </w:rPr>
        <w:t>6</w:t>
      </w:r>
      <w:r>
        <w:rPr>
          <w:rFonts w:eastAsia="宋体" w:cs="Times New Roman"/>
          <w:color w:val="7030A0"/>
          <w:highlight w:val="none"/>
        </w:rPr>
        <w:t xml:space="preserve">.3.1 </w:t>
      </w:r>
      <w:r>
        <w:rPr>
          <w:rFonts w:hint="eastAsia" w:eastAsia="宋体" w:cs="Times New Roman"/>
          <w:color w:val="7030A0"/>
          <w:highlight w:val="none"/>
        </w:rPr>
        <w:t>预测参数设置</w:t>
      </w:r>
      <w:r>
        <w:rPr>
          <w:rFonts w:eastAsia="宋体" w:cs="Times New Roman"/>
          <w:color w:val="7030A0"/>
          <w:highlight w:val="none"/>
        </w:rPr>
        <w:t>”</w:t>
      </w:r>
      <w:r>
        <w:rPr>
          <w:rFonts w:hint="eastAsia" w:eastAsia="宋体" w:cs="Times New Roman"/>
          <w:color w:val="7030A0"/>
          <w:highlight w:val="none"/>
        </w:rPr>
        <w:t>章节。</w:t>
      </w:r>
    </w:p>
    <w:p>
      <w:pPr>
        <w:ind w:firstLine="480"/>
        <w:rPr>
          <w:rFonts w:eastAsia="宋体" w:cs="Times New Roman"/>
          <w:color w:val="7030A0"/>
          <w:highlight w:val="none"/>
        </w:rPr>
      </w:pPr>
      <w:r>
        <w:rPr>
          <w:rFonts w:hint="eastAsia" w:eastAsia="宋体" w:cs="Times New Roman"/>
          <w:color w:val="7030A0"/>
          <w:highlight w:val="none"/>
        </w:rPr>
        <w:t>其他在建拟建源：评价范围内在建拟建企业包括广元市灵峰新材料科技有限公司、苍溪县华禄泡沫塑料制品厂、四川苍溪经济开发区工业污水处理厂、苍溪吉茂再生资源回收有限责任公司、苍溪县捷达塑料袋厂、四川百川包装印刷有限公司。</w:t>
      </w:r>
    </w:p>
    <w:p>
      <w:pPr>
        <w:ind w:firstLine="482"/>
        <w:rPr>
          <w:rFonts w:eastAsia="宋体" w:cs="Times New Roman"/>
          <w:b/>
          <w:bCs/>
          <w:color w:val="7030A0"/>
          <w:highlight w:val="none"/>
        </w:rPr>
      </w:pPr>
      <w:r>
        <w:rPr>
          <w:rFonts w:hint="eastAsia" w:eastAsia="宋体" w:cs="Times New Roman"/>
          <w:b/>
          <w:bCs/>
          <w:color w:val="7030A0"/>
          <w:highlight w:val="none"/>
        </w:rPr>
        <w:t>（5）预测结果</w:t>
      </w:r>
    </w:p>
    <w:p>
      <w:pPr>
        <w:ind w:firstLine="480"/>
        <w:rPr>
          <w:rFonts w:eastAsia="宋体" w:cs="Times New Roman"/>
          <w:color w:val="7030A0"/>
          <w:highlight w:val="none"/>
        </w:rPr>
      </w:pPr>
      <w:r>
        <w:rPr>
          <w:rFonts w:hint="eastAsia" w:eastAsia="宋体" w:cs="Times New Roman"/>
          <w:color w:val="7030A0"/>
          <w:highlight w:val="none"/>
        </w:rPr>
        <w:t>所有预测因子进行了预测分析，预测结果如下。</w:t>
      </w:r>
    </w:p>
    <w:p>
      <w:pPr>
        <w:ind w:firstLine="480"/>
        <w:rPr>
          <w:rFonts w:eastAsia="宋体" w:cs="Times New Roman"/>
          <w:color w:val="7030A0"/>
          <w:highlight w:val="none"/>
        </w:rPr>
      </w:pPr>
      <w:r>
        <w:rPr>
          <w:rFonts w:hint="eastAsia" w:eastAsia="宋体" w:cs="Times New Roman"/>
          <w:color w:val="7030A0"/>
          <w:highlight w:val="none"/>
        </w:rPr>
        <w:t>①各污染物落地浓度预测结果汇总</w:t>
      </w:r>
    </w:p>
    <w:p>
      <w:pPr>
        <w:ind w:firstLine="480"/>
        <w:rPr>
          <w:rFonts w:eastAsia="宋体" w:cs="Times New Roman"/>
          <w:color w:val="7030A0"/>
          <w:highlight w:val="none"/>
        </w:rPr>
      </w:pPr>
      <w:r>
        <w:rPr>
          <w:rFonts w:hint="eastAsia" w:eastAsia="宋体" w:cs="Times New Roman"/>
          <w:color w:val="7030A0"/>
          <w:highlight w:val="none"/>
        </w:rPr>
        <w:t>在叠加预测范围内的其他在建污染源源强后，预测得到规划期各污染物落地浓度及占标率预测结果汇总见下表。</w:t>
      </w:r>
    </w:p>
    <w:p>
      <w:pPr>
        <w:ind w:firstLine="480"/>
        <w:rPr>
          <w:rFonts w:eastAsia="宋体" w:cs="Times New Roman"/>
          <w:color w:val="7030A0"/>
          <w:highlight w:val="none"/>
        </w:rPr>
      </w:pPr>
      <w:r>
        <w:rPr>
          <w:rFonts w:hint="eastAsia" w:eastAsia="宋体" w:cs="Times New Roman"/>
          <w:color w:val="7030A0"/>
          <w:highlight w:val="none"/>
        </w:rPr>
        <w:t>略</w:t>
      </w:r>
    </w:p>
    <w:p>
      <w:pPr>
        <w:ind w:firstLine="480"/>
        <w:rPr>
          <w:rFonts w:eastAsia="宋体" w:cs="Times New Roman"/>
          <w:color w:val="7030A0"/>
          <w:highlight w:val="none"/>
        </w:rPr>
      </w:pPr>
      <w:r>
        <w:rPr>
          <w:rFonts w:hint="eastAsia" w:eastAsia="宋体" w:cs="Times New Roman"/>
          <w:color w:val="7030A0"/>
          <w:highlight w:val="none"/>
        </w:rPr>
        <w:t>由预测结果可知，规划实施后，大气预测范围内</w:t>
      </w:r>
      <w:r>
        <w:rPr>
          <w:rFonts w:eastAsia="宋体" w:cs="Times New Roman"/>
          <w:color w:val="7030A0"/>
          <w:highlight w:val="none"/>
        </w:rPr>
        <w:t>SO</w:t>
      </w:r>
      <w:r>
        <w:rPr>
          <w:rFonts w:eastAsia="宋体" w:cs="Times New Roman"/>
          <w:color w:val="7030A0"/>
          <w:sz w:val="16"/>
          <w:szCs w:val="16"/>
          <w:highlight w:val="none"/>
        </w:rPr>
        <w:t>2</w:t>
      </w:r>
      <w:r>
        <w:rPr>
          <w:rFonts w:hint="eastAsia" w:eastAsia="宋体" w:cs="Times New Roman"/>
          <w:color w:val="7030A0"/>
          <w:highlight w:val="none"/>
        </w:rPr>
        <w:t>、</w:t>
      </w:r>
      <w:r>
        <w:rPr>
          <w:rFonts w:eastAsia="宋体" w:cs="Times New Roman"/>
          <w:color w:val="7030A0"/>
          <w:highlight w:val="none"/>
        </w:rPr>
        <w:t>NO</w:t>
      </w:r>
      <w:r>
        <w:rPr>
          <w:rFonts w:eastAsia="宋体" w:cs="Times New Roman"/>
          <w:color w:val="7030A0"/>
          <w:sz w:val="16"/>
          <w:szCs w:val="16"/>
          <w:highlight w:val="none"/>
        </w:rPr>
        <w:t>2</w:t>
      </w:r>
      <w:r>
        <w:rPr>
          <w:rFonts w:hint="eastAsia" w:eastAsia="宋体" w:cs="Times New Roman"/>
          <w:color w:val="7030A0"/>
          <w:highlight w:val="none"/>
        </w:rPr>
        <w:t>、</w:t>
      </w:r>
      <w:r>
        <w:rPr>
          <w:rFonts w:eastAsia="宋体" w:cs="Times New Roman"/>
          <w:color w:val="7030A0"/>
          <w:highlight w:val="none"/>
        </w:rPr>
        <w:t>TPM</w:t>
      </w:r>
      <w:r>
        <w:rPr>
          <w:rFonts w:eastAsia="宋体" w:cs="Times New Roman"/>
          <w:color w:val="7030A0"/>
          <w:sz w:val="16"/>
          <w:szCs w:val="16"/>
          <w:highlight w:val="none"/>
        </w:rPr>
        <w:t>10</w:t>
      </w:r>
      <w:r>
        <w:rPr>
          <w:rFonts w:hint="eastAsia" w:eastAsia="宋体" w:cs="Times New Roman"/>
          <w:color w:val="7030A0"/>
          <w:highlight w:val="none"/>
        </w:rPr>
        <w:t>、</w:t>
      </w:r>
      <w:r>
        <w:rPr>
          <w:rFonts w:eastAsia="宋体" w:cs="Times New Roman"/>
          <w:color w:val="7030A0"/>
          <w:highlight w:val="none"/>
        </w:rPr>
        <w:t>TPM</w:t>
      </w:r>
      <w:r>
        <w:rPr>
          <w:rFonts w:eastAsia="宋体" w:cs="Times New Roman"/>
          <w:color w:val="7030A0"/>
          <w:sz w:val="16"/>
          <w:szCs w:val="16"/>
          <w:highlight w:val="none"/>
        </w:rPr>
        <w:t>2.5</w:t>
      </w:r>
      <w:r>
        <w:rPr>
          <w:rFonts w:hint="eastAsia" w:eastAsia="宋体" w:cs="Times New Roman"/>
          <w:color w:val="7030A0"/>
          <w:highlight w:val="none"/>
        </w:rPr>
        <w:t>保证率日均值、年均值占标率均＜</w:t>
      </w:r>
      <w:r>
        <w:rPr>
          <w:rFonts w:eastAsia="宋体" w:cs="Times New Roman"/>
          <w:color w:val="7030A0"/>
          <w:highlight w:val="none"/>
        </w:rPr>
        <w:t>100%</w:t>
      </w:r>
      <w:r>
        <w:rPr>
          <w:rFonts w:hint="eastAsia" w:eastAsia="宋体" w:cs="Times New Roman"/>
          <w:color w:val="7030A0"/>
          <w:highlight w:val="none"/>
        </w:rPr>
        <w:t>，满足《环境空气质量标准》（</w:t>
      </w:r>
      <w:r>
        <w:rPr>
          <w:rFonts w:eastAsia="宋体" w:cs="Times New Roman"/>
          <w:color w:val="7030A0"/>
          <w:highlight w:val="none"/>
        </w:rPr>
        <w:t>GB3095-2012</w:t>
      </w:r>
      <w:r>
        <w:rPr>
          <w:rFonts w:hint="eastAsia" w:eastAsia="宋体" w:cs="Times New Roman"/>
          <w:color w:val="7030A0"/>
          <w:highlight w:val="none"/>
        </w:rPr>
        <w:t>）中二级标准限值。其他污染物氟化物短期浓度叠加背景浓度后占标率＜</w:t>
      </w:r>
      <w:r>
        <w:rPr>
          <w:rFonts w:eastAsia="宋体" w:cs="Times New Roman"/>
          <w:color w:val="7030A0"/>
          <w:highlight w:val="none"/>
        </w:rPr>
        <w:t>100%</w:t>
      </w:r>
      <w:r>
        <w:rPr>
          <w:rFonts w:hint="eastAsia" w:eastAsia="宋体" w:cs="Times New Roman"/>
          <w:color w:val="7030A0"/>
          <w:highlight w:val="none"/>
        </w:rPr>
        <w:t>，满足《环境空气质量标准》（</w:t>
      </w:r>
      <w:r>
        <w:rPr>
          <w:rFonts w:eastAsia="宋体" w:cs="Times New Roman"/>
          <w:color w:val="7030A0"/>
          <w:highlight w:val="none"/>
        </w:rPr>
        <w:t>GB3095-2012</w:t>
      </w:r>
      <w:r>
        <w:rPr>
          <w:rFonts w:hint="eastAsia" w:eastAsia="宋体" w:cs="Times New Roman"/>
          <w:color w:val="7030A0"/>
          <w:highlight w:val="none"/>
        </w:rPr>
        <w:t>）中二级标准限值。TVOC短期浓度叠加背景浓度后占标率＜</w:t>
      </w:r>
      <w:r>
        <w:rPr>
          <w:rFonts w:eastAsia="宋体" w:cs="Times New Roman"/>
          <w:color w:val="7030A0"/>
          <w:highlight w:val="none"/>
        </w:rPr>
        <w:t>100%</w:t>
      </w:r>
      <w:r>
        <w:rPr>
          <w:rFonts w:hint="eastAsia" w:eastAsia="宋体" w:cs="Times New Roman"/>
          <w:color w:val="7030A0"/>
          <w:highlight w:val="none"/>
        </w:rPr>
        <w:t>，满足《环境影响评价技术导则大气环境》（</w:t>
      </w:r>
      <w:r>
        <w:rPr>
          <w:rFonts w:eastAsia="宋体" w:cs="Times New Roman"/>
          <w:color w:val="7030A0"/>
          <w:highlight w:val="none"/>
        </w:rPr>
        <w:t>HJ 2.2-2018</w:t>
      </w:r>
      <w:r>
        <w:rPr>
          <w:rFonts w:hint="eastAsia" w:eastAsia="宋体" w:cs="Times New Roman"/>
          <w:color w:val="7030A0"/>
          <w:highlight w:val="none"/>
        </w:rPr>
        <w:t>）附录</w:t>
      </w:r>
      <w:r>
        <w:rPr>
          <w:rFonts w:eastAsia="宋体" w:cs="Times New Roman"/>
          <w:color w:val="7030A0"/>
          <w:highlight w:val="none"/>
        </w:rPr>
        <w:t>D</w:t>
      </w:r>
      <w:r>
        <w:rPr>
          <w:rFonts w:hint="eastAsia" w:eastAsia="宋体" w:cs="Times New Roman"/>
          <w:color w:val="7030A0"/>
          <w:highlight w:val="none"/>
        </w:rPr>
        <w:t>中标准限值。</w:t>
      </w:r>
    </w:p>
    <w:p>
      <w:pPr>
        <w:ind w:firstLine="480"/>
        <w:rPr>
          <w:rFonts w:eastAsia="宋体" w:cs="Times New Roman"/>
          <w:color w:val="7030A0"/>
          <w:highlight w:val="none"/>
        </w:rPr>
      </w:pPr>
      <w:r>
        <w:rPr>
          <w:rFonts w:hint="eastAsia" w:eastAsia="宋体" w:cs="Times New Roman"/>
          <w:color w:val="7030A0"/>
          <w:highlight w:val="none"/>
        </w:rPr>
        <w:t>②各关心点叠加影响分析</w:t>
      </w:r>
    </w:p>
    <w:p>
      <w:pPr>
        <w:ind w:firstLine="480"/>
        <w:rPr>
          <w:rFonts w:eastAsia="宋体" w:cs="Times New Roman"/>
          <w:highlight w:val="none"/>
        </w:rPr>
      </w:pPr>
      <w:r>
        <w:rPr>
          <w:rFonts w:hint="eastAsia" w:eastAsia="宋体" w:cs="Times New Roman"/>
          <w:color w:val="7030A0"/>
          <w:highlight w:val="none"/>
        </w:rPr>
        <w:t>略</w:t>
      </w:r>
    </w:p>
    <w:p>
      <w:pPr>
        <w:ind w:firstLine="482"/>
        <w:rPr>
          <w:rFonts w:eastAsia="宋体" w:cs="Times New Roman"/>
          <w:b/>
          <w:bCs/>
          <w:color w:val="7030A0"/>
          <w:highlight w:val="none"/>
        </w:rPr>
      </w:pPr>
      <w:r>
        <w:rPr>
          <w:rFonts w:hint="eastAsia" w:eastAsia="宋体" w:cs="Times New Roman"/>
          <w:b/>
          <w:bCs/>
          <w:color w:val="7030A0"/>
          <w:highlight w:val="none"/>
        </w:rPr>
        <w:t>3、预测结论</w:t>
      </w:r>
    </w:p>
    <w:p>
      <w:pPr>
        <w:ind w:firstLine="480"/>
        <w:rPr>
          <w:rFonts w:eastAsia="宋体" w:cs="Times New Roman"/>
          <w:color w:val="7030A0"/>
          <w:highlight w:val="none"/>
        </w:rPr>
      </w:pPr>
      <w:r>
        <w:rPr>
          <w:rFonts w:hint="eastAsia" w:eastAsia="宋体" w:cs="Times New Roman"/>
          <w:color w:val="7030A0"/>
          <w:highlight w:val="none"/>
        </w:rPr>
        <w:t>本规划区实施后，大气环境影响预测结论如下：</w:t>
      </w:r>
    </w:p>
    <w:p>
      <w:pPr>
        <w:ind w:firstLine="480"/>
        <w:rPr>
          <w:rFonts w:eastAsia="宋体" w:cs="Times New Roman"/>
          <w:color w:val="7030A0"/>
          <w:highlight w:val="none"/>
        </w:rPr>
      </w:pPr>
      <w:r>
        <w:rPr>
          <w:rFonts w:hint="eastAsia" w:eastAsia="宋体" w:cs="Times New Roman"/>
          <w:color w:val="7030A0"/>
          <w:highlight w:val="none"/>
        </w:rPr>
        <w:t>（</w:t>
      </w:r>
      <w:r>
        <w:rPr>
          <w:rFonts w:eastAsia="宋体" w:cs="Times New Roman"/>
          <w:color w:val="7030A0"/>
          <w:highlight w:val="none"/>
        </w:rPr>
        <w:t>1</w:t>
      </w:r>
      <w:r>
        <w:rPr>
          <w:rFonts w:hint="eastAsia" w:eastAsia="宋体" w:cs="Times New Roman"/>
          <w:color w:val="7030A0"/>
          <w:highlight w:val="none"/>
        </w:rPr>
        <w:t>）规划实施后，规划区大气影响评价范围内</w:t>
      </w:r>
      <w:r>
        <w:rPr>
          <w:rFonts w:eastAsia="宋体" w:cs="Times New Roman"/>
          <w:color w:val="7030A0"/>
          <w:highlight w:val="none"/>
        </w:rPr>
        <w:t>SO</w:t>
      </w:r>
      <w:r>
        <w:rPr>
          <w:rFonts w:eastAsia="宋体" w:cs="Times New Roman"/>
          <w:color w:val="7030A0"/>
          <w:sz w:val="16"/>
          <w:szCs w:val="16"/>
          <w:highlight w:val="none"/>
        </w:rPr>
        <w:t>2</w:t>
      </w:r>
      <w:r>
        <w:rPr>
          <w:rFonts w:hint="eastAsia" w:eastAsia="宋体" w:cs="Times New Roman"/>
          <w:color w:val="7030A0"/>
          <w:highlight w:val="none"/>
        </w:rPr>
        <w:t>、</w:t>
      </w:r>
      <w:r>
        <w:rPr>
          <w:rFonts w:eastAsia="宋体" w:cs="Times New Roman"/>
          <w:color w:val="7030A0"/>
          <w:highlight w:val="none"/>
        </w:rPr>
        <w:t>NO</w:t>
      </w:r>
      <w:r>
        <w:rPr>
          <w:rFonts w:eastAsia="宋体" w:cs="Times New Roman"/>
          <w:color w:val="7030A0"/>
          <w:sz w:val="16"/>
          <w:szCs w:val="16"/>
          <w:highlight w:val="none"/>
        </w:rPr>
        <w:t>2</w:t>
      </w:r>
      <w:r>
        <w:rPr>
          <w:rFonts w:hint="eastAsia" w:eastAsia="宋体" w:cs="Times New Roman"/>
          <w:color w:val="7030A0"/>
          <w:highlight w:val="none"/>
        </w:rPr>
        <w:t>、</w:t>
      </w:r>
      <w:r>
        <w:rPr>
          <w:rFonts w:eastAsia="宋体" w:cs="Times New Roman"/>
          <w:color w:val="7030A0"/>
          <w:highlight w:val="none"/>
        </w:rPr>
        <w:t>PM</w:t>
      </w:r>
      <w:r>
        <w:rPr>
          <w:rFonts w:eastAsia="宋体" w:cs="Times New Roman"/>
          <w:color w:val="7030A0"/>
          <w:sz w:val="16"/>
          <w:szCs w:val="16"/>
          <w:highlight w:val="none"/>
        </w:rPr>
        <w:t>10</w:t>
      </w:r>
      <w:r>
        <w:rPr>
          <w:rFonts w:hint="eastAsia" w:eastAsia="宋体" w:cs="Times New Roman"/>
          <w:color w:val="7030A0"/>
          <w:highlight w:val="none"/>
        </w:rPr>
        <w:t>、</w:t>
      </w:r>
      <w:r>
        <w:rPr>
          <w:rFonts w:eastAsia="宋体" w:cs="Times New Roman"/>
          <w:color w:val="7030A0"/>
          <w:highlight w:val="none"/>
        </w:rPr>
        <w:t>PM</w:t>
      </w:r>
      <w:r>
        <w:rPr>
          <w:rFonts w:eastAsia="宋体" w:cs="Times New Roman"/>
          <w:color w:val="7030A0"/>
          <w:sz w:val="16"/>
          <w:szCs w:val="16"/>
          <w:highlight w:val="none"/>
        </w:rPr>
        <w:t>2.5</w:t>
      </w:r>
      <w:r>
        <w:rPr>
          <w:rFonts w:hint="eastAsia" w:eastAsia="宋体" w:cs="Times New Roman"/>
          <w:color w:val="7030A0"/>
          <w:highlight w:val="none"/>
        </w:rPr>
        <w:t>在二类区网格点、关心点的保证率日均质量浓度和年平均质量浓度均符合《环境空气质量标准》（</w:t>
      </w:r>
      <w:r>
        <w:rPr>
          <w:rFonts w:eastAsia="宋体" w:cs="Times New Roman"/>
          <w:color w:val="7030A0"/>
          <w:highlight w:val="none"/>
        </w:rPr>
        <w:t>GB3095-2012</w:t>
      </w:r>
      <w:r>
        <w:rPr>
          <w:rFonts w:hint="eastAsia" w:eastAsia="宋体" w:cs="Times New Roman"/>
          <w:color w:val="7030A0"/>
          <w:highlight w:val="none"/>
        </w:rPr>
        <w:t>）二级标准值。</w:t>
      </w:r>
    </w:p>
    <w:p>
      <w:pPr>
        <w:ind w:firstLine="480"/>
        <w:rPr>
          <w:rFonts w:eastAsia="宋体" w:cs="Times New Roman"/>
          <w:color w:val="7030A0"/>
          <w:highlight w:val="none"/>
        </w:rPr>
      </w:pPr>
      <w:r>
        <w:rPr>
          <w:rFonts w:hint="eastAsia" w:eastAsia="宋体" w:cs="Times New Roman"/>
          <w:color w:val="7030A0"/>
          <w:highlight w:val="none"/>
        </w:rPr>
        <w:t>（</w:t>
      </w:r>
      <w:r>
        <w:rPr>
          <w:rFonts w:eastAsia="宋体" w:cs="Times New Roman"/>
          <w:color w:val="7030A0"/>
          <w:highlight w:val="none"/>
        </w:rPr>
        <w:t>2</w:t>
      </w:r>
      <w:r>
        <w:rPr>
          <w:rFonts w:hint="eastAsia" w:eastAsia="宋体" w:cs="Times New Roman"/>
          <w:color w:val="7030A0"/>
          <w:highlight w:val="none"/>
        </w:rPr>
        <w:t>）其他污染物氟化物短期浓度叠加背景浓度后的预测值满足《环境空气质量标准》（</w:t>
      </w:r>
      <w:r>
        <w:rPr>
          <w:rFonts w:eastAsia="宋体" w:cs="Times New Roman"/>
          <w:color w:val="7030A0"/>
          <w:highlight w:val="none"/>
        </w:rPr>
        <w:t>GB3095-2012</w:t>
      </w:r>
      <w:r>
        <w:rPr>
          <w:rFonts w:hint="eastAsia" w:eastAsia="宋体" w:cs="Times New Roman"/>
          <w:color w:val="7030A0"/>
          <w:highlight w:val="none"/>
        </w:rPr>
        <w:t>）二级标准值，T</w:t>
      </w:r>
      <w:r>
        <w:rPr>
          <w:rFonts w:eastAsia="宋体" w:cs="Times New Roman"/>
          <w:color w:val="7030A0"/>
          <w:highlight w:val="none"/>
        </w:rPr>
        <w:t>VOC</w:t>
      </w:r>
      <w:r>
        <w:rPr>
          <w:rFonts w:hint="eastAsia" w:eastAsia="宋体" w:cs="Times New Roman"/>
          <w:color w:val="7030A0"/>
          <w:highlight w:val="none"/>
        </w:rPr>
        <w:t>短期浓度叠加背景浓度后的预测值均满足《环境影响评价技术导则</w:t>
      </w:r>
      <w:r>
        <w:rPr>
          <w:rFonts w:eastAsia="宋体" w:cs="Times New Roman"/>
          <w:color w:val="7030A0"/>
          <w:highlight w:val="none"/>
        </w:rPr>
        <w:t>-</w:t>
      </w:r>
      <w:r>
        <w:rPr>
          <w:rFonts w:hint="eastAsia" w:eastAsia="宋体" w:cs="Times New Roman"/>
          <w:color w:val="7030A0"/>
          <w:highlight w:val="none"/>
        </w:rPr>
        <w:t>大气导则》（</w:t>
      </w:r>
      <w:r>
        <w:rPr>
          <w:rFonts w:eastAsia="宋体" w:cs="Times New Roman"/>
          <w:color w:val="7030A0"/>
          <w:highlight w:val="none"/>
        </w:rPr>
        <w:t>HJ2.2-2018</w:t>
      </w:r>
      <w:r>
        <w:rPr>
          <w:rFonts w:hint="eastAsia" w:eastAsia="宋体" w:cs="Times New Roman"/>
          <w:color w:val="7030A0"/>
          <w:highlight w:val="none"/>
        </w:rPr>
        <w:t>）附录</w:t>
      </w:r>
      <w:r>
        <w:rPr>
          <w:rFonts w:eastAsia="宋体" w:cs="Times New Roman"/>
          <w:color w:val="7030A0"/>
          <w:highlight w:val="none"/>
        </w:rPr>
        <w:t>D</w:t>
      </w:r>
      <w:r>
        <w:rPr>
          <w:rFonts w:hint="eastAsia" w:eastAsia="宋体" w:cs="Times New Roman"/>
          <w:color w:val="7030A0"/>
          <w:highlight w:val="none"/>
        </w:rPr>
        <w:t>中浓度限值要求。</w:t>
      </w:r>
    </w:p>
    <w:p>
      <w:pPr>
        <w:ind w:firstLine="480"/>
        <w:rPr>
          <w:rFonts w:eastAsia="宋体" w:cs="Times New Roman"/>
          <w:color w:val="7030A0"/>
          <w:highlight w:val="none"/>
        </w:rPr>
      </w:pPr>
      <w:r>
        <w:rPr>
          <w:rFonts w:hint="eastAsia" w:eastAsia="宋体" w:cs="Times New Roman"/>
          <w:color w:val="7030A0"/>
          <w:highlight w:val="none"/>
        </w:rPr>
        <w:t>综上，本规划区实施后，主要污染物的保证率日平均质量浓度和年平均质量浓度均符合环境质量标准，对于主要污染物仅有短期浓度限值的，叠加后的短期浓度符合环境质量标准。因此，本规划环境影响可以接受。</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30"/>
          <w:szCs w:val="32"/>
          <w:highlight w:val="none"/>
          <w:lang w:val="en-US" w:eastAsia="zh-CN" w:bidi="ar-SA"/>
        </w:rPr>
      </w:pPr>
      <w:r>
        <w:rPr>
          <w:rFonts w:hint="eastAsia" w:ascii="Times New Roman" w:hAnsi="Times New Roman" w:eastAsia="黑体" w:cs="Times New Roman"/>
          <w:bCs/>
          <w:color w:val="7030A0"/>
          <w:kern w:val="2"/>
          <w:sz w:val="30"/>
          <w:szCs w:val="32"/>
          <w:highlight w:val="none"/>
          <w:lang w:val="en-US" w:eastAsia="zh-CN" w:bidi="ar-SA"/>
        </w:rPr>
        <w:t>地表水环境影响</w:t>
      </w:r>
      <w:r>
        <w:rPr>
          <w:rFonts w:ascii="Times New Roman" w:hAnsi="Times New Roman" w:eastAsia="黑体" w:cs="Times New Roman"/>
          <w:bCs/>
          <w:color w:val="7030A0"/>
          <w:kern w:val="2"/>
          <w:sz w:val="30"/>
          <w:szCs w:val="32"/>
          <w:highlight w:val="none"/>
          <w:lang w:val="en-US" w:eastAsia="zh-CN" w:bidi="ar-SA"/>
        </w:rPr>
        <w:t>预测与评价</w:t>
      </w:r>
    </w:p>
    <w:p>
      <w:pPr>
        <w:ind w:firstLine="482"/>
        <w:rPr>
          <w:rFonts w:eastAsia="宋体" w:cs="Times New Roman"/>
          <w:b/>
          <w:bCs/>
          <w:color w:val="7030A0"/>
          <w:highlight w:val="none"/>
        </w:rPr>
      </w:pPr>
      <w:r>
        <w:rPr>
          <w:rFonts w:hint="eastAsia" w:eastAsia="宋体" w:cs="Times New Roman"/>
          <w:b/>
          <w:bCs/>
          <w:color w:val="7030A0"/>
          <w:highlight w:val="none"/>
        </w:rPr>
        <w:t>1、预测思路</w:t>
      </w:r>
    </w:p>
    <w:p>
      <w:pPr>
        <w:ind w:firstLine="480"/>
        <w:rPr>
          <w:rFonts w:eastAsia="宋体" w:cs="Times New Roman"/>
          <w:color w:val="7030A0"/>
          <w:szCs w:val="24"/>
          <w:highlight w:val="none"/>
        </w:rPr>
      </w:pPr>
      <w:r>
        <w:rPr>
          <w:rFonts w:eastAsia="宋体" w:cs="Times New Roman"/>
          <w:color w:val="7030A0"/>
          <w:szCs w:val="24"/>
          <w:highlight w:val="none"/>
        </w:rPr>
        <w:t>（</w:t>
      </w:r>
      <w:r>
        <w:rPr>
          <w:rFonts w:hint="eastAsia" w:eastAsia="宋体" w:cs="Times New Roman"/>
          <w:color w:val="7030A0"/>
          <w:szCs w:val="24"/>
          <w:highlight w:val="none"/>
        </w:rPr>
        <w:t>1</w:t>
      </w:r>
      <w:r>
        <w:rPr>
          <w:rFonts w:eastAsia="宋体" w:cs="Times New Roman"/>
          <w:color w:val="7030A0"/>
          <w:szCs w:val="24"/>
          <w:highlight w:val="none"/>
        </w:rPr>
        <w:t>）废水排放量</w:t>
      </w:r>
    </w:p>
    <w:p>
      <w:pPr>
        <w:ind w:firstLine="480"/>
        <w:rPr>
          <w:rFonts w:eastAsia="宋体" w:cs="Times New Roman"/>
          <w:color w:val="7030A0"/>
          <w:szCs w:val="24"/>
          <w:highlight w:val="none"/>
        </w:rPr>
      </w:pPr>
      <w:r>
        <w:rPr>
          <w:rFonts w:hint="eastAsia" w:eastAsia="宋体" w:cs="Times New Roman"/>
          <w:color w:val="7030A0"/>
          <w:highlight w:val="none"/>
        </w:rPr>
        <w:t>本次规划产业以光伏玻璃、光伏组件和电子级玻璃纤维布为主的新型产业，参考同类型企业工业废水排放量，本次评价取</w:t>
      </w:r>
      <w:r>
        <w:rPr>
          <w:rFonts w:hint="eastAsia" w:eastAsia="宋体" w:cs="Times New Roman"/>
          <w:color w:val="7030A0"/>
          <w:szCs w:val="24"/>
          <w:highlight w:val="none"/>
        </w:rPr>
        <w:t>1</w:t>
      </w:r>
      <w:r>
        <w:rPr>
          <w:rFonts w:eastAsia="宋体" w:cs="Times New Roman"/>
          <w:color w:val="7030A0"/>
          <w:szCs w:val="24"/>
          <w:highlight w:val="none"/>
        </w:rPr>
        <w:t>0</w:t>
      </w:r>
      <w:r>
        <w:rPr>
          <w:rFonts w:eastAsia="宋体" w:cs="Times New Roman"/>
          <w:color w:val="7030A0"/>
          <w:kern w:val="0"/>
          <w:szCs w:val="24"/>
          <w:highlight w:val="none"/>
        </w:rPr>
        <w:t>m</w:t>
      </w:r>
      <w:r>
        <w:rPr>
          <w:rFonts w:eastAsia="宋体" w:cs="Times New Roman"/>
          <w:color w:val="7030A0"/>
          <w:kern w:val="0"/>
          <w:szCs w:val="24"/>
          <w:highlight w:val="none"/>
          <w:vertAlign w:val="superscript"/>
        </w:rPr>
        <w:t>3</w:t>
      </w:r>
      <w:r>
        <w:rPr>
          <w:rFonts w:eastAsia="宋体" w:cs="Times New Roman"/>
          <w:color w:val="7030A0"/>
          <w:kern w:val="0"/>
          <w:szCs w:val="24"/>
          <w:highlight w:val="none"/>
        </w:rPr>
        <w:t>/（hm</w:t>
      </w:r>
      <w:r>
        <w:rPr>
          <w:rFonts w:eastAsia="宋体" w:cs="Times New Roman"/>
          <w:color w:val="7030A0"/>
          <w:kern w:val="0"/>
          <w:szCs w:val="24"/>
          <w:highlight w:val="none"/>
          <w:vertAlign w:val="superscript"/>
        </w:rPr>
        <w:t>2</w:t>
      </w:r>
      <w:r>
        <w:rPr>
          <w:rFonts w:eastAsia="宋体" w:cs="Times New Roman"/>
          <w:color w:val="7030A0"/>
          <w:kern w:val="0"/>
          <w:szCs w:val="24"/>
          <w:highlight w:val="none"/>
        </w:rPr>
        <w:t>•</w:t>
      </w:r>
      <w:r>
        <w:rPr>
          <w:rFonts w:hint="eastAsia" w:eastAsia="宋体" w:cs="Times New Roman"/>
          <w:color w:val="7030A0"/>
          <w:szCs w:val="24"/>
          <w:highlight w:val="none"/>
        </w:rPr>
        <w:t>d）。</w:t>
      </w:r>
      <w:r>
        <w:rPr>
          <w:rFonts w:hint="eastAsia" w:eastAsia="宋体" w:cs="Times New Roman"/>
          <w:color w:val="7030A0"/>
          <w:kern w:val="0"/>
          <w:szCs w:val="24"/>
          <w:highlight w:val="none"/>
          <w:lang w:bidi="ar"/>
        </w:rPr>
        <w:t>其余用地参考《城市给水工程规划规范》（</w:t>
      </w:r>
      <w:r>
        <w:rPr>
          <w:rFonts w:eastAsia="宋体" w:cs="Times New Roman"/>
          <w:color w:val="7030A0"/>
          <w:kern w:val="0"/>
          <w:szCs w:val="24"/>
          <w:highlight w:val="none"/>
          <w:lang w:bidi="ar"/>
        </w:rPr>
        <w:t>GB50282-2016</w:t>
      </w:r>
      <w:r>
        <w:rPr>
          <w:rFonts w:hint="eastAsia" w:eastAsia="宋体" w:cs="Times New Roman"/>
          <w:color w:val="7030A0"/>
          <w:kern w:val="0"/>
          <w:szCs w:val="24"/>
          <w:highlight w:val="none"/>
          <w:lang w:bidi="ar"/>
        </w:rPr>
        <w:t>）中不同类别用地用水量指标，测算后续规划废水排放量</w:t>
      </w:r>
      <w:r>
        <w:rPr>
          <w:rFonts w:hint="eastAsia" w:eastAsia="宋体" w:cs="Times New Roman"/>
          <w:color w:val="7030A0"/>
          <w:szCs w:val="24"/>
          <w:highlight w:val="none"/>
        </w:rPr>
        <w:t>，</w:t>
      </w:r>
      <w:r>
        <w:rPr>
          <w:rFonts w:eastAsia="宋体" w:cs="Times New Roman"/>
          <w:color w:val="7030A0"/>
          <w:szCs w:val="24"/>
          <w:highlight w:val="none"/>
        </w:rPr>
        <w:t>见下表。</w:t>
      </w:r>
    </w:p>
    <w:p>
      <w:pPr>
        <w:widowControl w:val="0"/>
        <w:spacing w:line="360" w:lineRule="auto"/>
        <w:ind w:firstLine="0" w:firstLineChars="0"/>
        <w:jc w:val="center"/>
        <w:rPr>
          <w:rFonts w:ascii="黑体" w:hAnsi="黑体" w:eastAsia="黑体" w:cs="Times New Roman"/>
          <w:color w:val="7030A0"/>
          <w:kern w:val="2"/>
          <w:sz w:val="21"/>
          <w:szCs w:val="24"/>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表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6.2</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表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11</w:t>
      </w:r>
      <w:r>
        <w:rPr>
          <w:rFonts w:ascii="Times New Roman" w:hAnsi="Times New Roman" w:eastAsia="黑体" w:cs="Times New Roman"/>
          <w:color w:val="7030A0"/>
          <w:kern w:val="2"/>
          <w:sz w:val="21"/>
          <w:szCs w:val="20"/>
          <w:highlight w:val="none"/>
          <w:lang w:val="en-US" w:eastAsia="zh-CN" w:bidi="ar-SA"/>
        </w:rPr>
        <w:fldChar w:fldCharType="end"/>
      </w:r>
      <w:r>
        <w:rPr>
          <w:rFonts w:hint="eastAsia" w:ascii="黑体" w:hAnsi="黑体" w:eastAsia="黑体" w:cs="Times New Roman"/>
          <w:color w:val="7030A0"/>
          <w:kern w:val="2"/>
          <w:sz w:val="21"/>
          <w:szCs w:val="24"/>
          <w:highlight w:val="none"/>
          <w:lang w:val="en-US" w:eastAsia="zh-CN" w:bidi="ar-SA"/>
        </w:rPr>
        <w:t>用地指标核算规划区</w:t>
      </w:r>
      <w:r>
        <w:rPr>
          <w:rFonts w:ascii="黑体" w:hAnsi="黑体" w:eastAsia="黑体" w:cs="Times New Roman"/>
          <w:color w:val="7030A0"/>
          <w:kern w:val="2"/>
          <w:sz w:val="21"/>
          <w:szCs w:val="24"/>
          <w:highlight w:val="none"/>
          <w:lang w:val="en-US" w:eastAsia="zh-CN" w:bidi="ar-SA"/>
        </w:rPr>
        <w:t>污水排放</w:t>
      </w:r>
    </w:p>
    <w:tbl>
      <w:tblPr>
        <w:tblStyle w:val="39"/>
        <w:tblW w:w="5000" w:type="pct"/>
        <w:tblInd w:w="118"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825"/>
        <w:gridCol w:w="1418"/>
        <w:gridCol w:w="2551"/>
        <w:gridCol w:w="1590"/>
        <w:gridCol w:w="157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825"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用地性质</w:t>
            </w:r>
          </w:p>
        </w:tc>
        <w:tc>
          <w:tcPr>
            <w:tcW w:w="1418"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面积（hm</w:t>
            </w:r>
            <w:r>
              <w:rPr>
                <w:rFonts w:ascii="Times New Roman" w:hAnsi="Times New Roman" w:eastAsia="宋体" w:cs="Times New Roman"/>
                <w:color w:val="7030A0"/>
                <w:kern w:val="2"/>
                <w:sz w:val="21"/>
                <w:szCs w:val="21"/>
                <w:highlight w:val="none"/>
                <w:vertAlign w:val="superscript"/>
                <w:lang w:val="en-US" w:eastAsia="zh-CN" w:bidi="ar-SA"/>
              </w:rPr>
              <w:t>2</w:t>
            </w:r>
            <w:r>
              <w:rPr>
                <w:rFonts w:ascii="Times New Roman" w:hAnsi="Times New Roman" w:eastAsia="宋体" w:cs="Times New Roman"/>
                <w:color w:val="7030A0"/>
                <w:kern w:val="2"/>
                <w:sz w:val="21"/>
                <w:szCs w:val="21"/>
                <w:highlight w:val="none"/>
                <w:lang w:val="en-US" w:eastAsia="zh-CN" w:bidi="ar-SA"/>
              </w:rPr>
              <w:t>）</w:t>
            </w:r>
          </w:p>
        </w:tc>
        <w:tc>
          <w:tcPr>
            <w:tcW w:w="2551" w:type="dxa"/>
            <w:shd w:val="clear" w:color="auto" w:fill="auto"/>
            <w:noWrap w:val="0"/>
            <w:vAlign w:val="bottom"/>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用水量指标m</w:t>
            </w:r>
            <w:r>
              <w:rPr>
                <w:rFonts w:ascii="Times New Roman" w:hAnsi="Times New Roman" w:eastAsia="宋体" w:cs="Times New Roman"/>
                <w:color w:val="7030A0"/>
                <w:kern w:val="2"/>
                <w:sz w:val="21"/>
                <w:szCs w:val="21"/>
                <w:highlight w:val="none"/>
                <w:vertAlign w:val="superscript"/>
                <w:lang w:val="en-US" w:eastAsia="zh-CN" w:bidi="ar-SA"/>
              </w:rPr>
              <w:t>3</w:t>
            </w:r>
            <w:r>
              <w:rPr>
                <w:rFonts w:ascii="Times New Roman" w:hAnsi="Times New Roman" w:eastAsia="宋体" w:cs="Times New Roman"/>
                <w:color w:val="7030A0"/>
                <w:kern w:val="2"/>
                <w:sz w:val="21"/>
                <w:szCs w:val="21"/>
                <w:highlight w:val="none"/>
                <w:lang w:val="en-US" w:eastAsia="zh-CN" w:bidi="ar-SA"/>
              </w:rPr>
              <w:t>/（hm</w:t>
            </w:r>
            <w:r>
              <w:rPr>
                <w:rFonts w:ascii="Times New Roman" w:hAnsi="Times New Roman" w:eastAsia="宋体" w:cs="Times New Roman"/>
                <w:color w:val="7030A0"/>
                <w:kern w:val="2"/>
                <w:sz w:val="21"/>
                <w:szCs w:val="21"/>
                <w:highlight w:val="none"/>
                <w:vertAlign w:val="superscript"/>
                <w:lang w:val="en-US" w:eastAsia="zh-CN" w:bidi="ar-SA"/>
              </w:rPr>
              <w:t>2</w:t>
            </w:r>
            <w:r>
              <w:rPr>
                <w:rFonts w:ascii="Times New Roman" w:hAnsi="Times New Roman" w:eastAsia="宋体" w:cs="Times New Roman"/>
                <w:color w:val="7030A0"/>
                <w:kern w:val="2"/>
                <w:sz w:val="21"/>
                <w:szCs w:val="21"/>
                <w:highlight w:val="none"/>
                <w:lang w:val="en-US" w:eastAsia="zh-CN" w:bidi="ar-SA"/>
              </w:rPr>
              <w:t>•d）</w:t>
            </w:r>
          </w:p>
        </w:tc>
        <w:tc>
          <w:tcPr>
            <w:tcW w:w="1590"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用水量（m</w:t>
            </w:r>
            <w:r>
              <w:rPr>
                <w:rFonts w:ascii="Times New Roman" w:hAnsi="Times New Roman" w:eastAsia="宋体" w:cs="Times New Roman"/>
                <w:color w:val="7030A0"/>
                <w:kern w:val="2"/>
                <w:sz w:val="21"/>
                <w:szCs w:val="21"/>
                <w:highlight w:val="none"/>
                <w:vertAlign w:val="superscript"/>
                <w:lang w:val="en-US" w:eastAsia="zh-CN" w:bidi="ar-SA"/>
              </w:rPr>
              <w:t>3</w:t>
            </w:r>
            <w:r>
              <w:rPr>
                <w:rFonts w:ascii="Times New Roman" w:hAnsi="Times New Roman" w:eastAsia="宋体" w:cs="Times New Roman"/>
                <w:color w:val="7030A0"/>
                <w:kern w:val="2"/>
                <w:sz w:val="21"/>
                <w:szCs w:val="21"/>
                <w:highlight w:val="none"/>
                <w:lang w:val="en-US" w:eastAsia="zh-CN" w:bidi="ar-SA"/>
              </w:rPr>
              <w:t>/d）</w:t>
            </w:r>
          </w:p>
        </w:tc>
        <w:tc>
          <w:tcPr>
            <w:tcW w:w="1578"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排水量（m</w:t>
            </w:r>
            <w:r>
              <w:rPr>
                <w:rFonts w:ascii="Times New Roman" w:hAnsi="Times New Roman" w:eastAsia="宋体" w:cs="Times New Roman"/>
                <w:color w:val="7030A0"/>
                <w:kern w:val="2"/>
                <w:sz w:val="21"/>
                <w:szCs w:val="21"/>
                <w:highlight w:val="none"/>
                <w:vertAlign w:val="superscript"/>
                <w:lang w:val="en-US" w:eastAsia="zh-CN" w:bidi="ar-SA"/>
              </w:rPr>
              <w:t>3</w:t>
            </w:r>
            <w:r>
              <w:rPr>
                <w:rFonts w:ascii="Times New Roman" w:hAnsi="Times New Roman" w:eastAsia="宋体" w:cs="Times New Roman"/>
                <w:color w:val="7030A0"/>
                <w:kern w:val="2"/>
                <w:sz w:val="21"/>
                <w:szCs w:val="21"/>
                <w:highlight w:val="none"/>
                <w:lang w:val="en-US" w:eastAsia="zh-CN" w:bidi="ar-SA"/>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825"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居住用地</w:t>
            </w:r>
          </w:p>
        </w:tc>
        <w:tc>
          <w:tcPr>
            <w:tcW w:w="141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6.66</w:t>
            </w:r>
          </w:p>
        </w:tc>
        <w:tc>
          <w:tcPr>
            <w:tcW w:w="2551"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100</w:t>
            </w:r>
          </w:p>
        </w:tc>
        <w:tc>
          <w:tcPr>
            <w:tcW w:w="1590"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666.00</w:t>
            </w:r>
          </w:p>
        </w:tc>
        <w:tc>
          <w:tcPr>
            <w:tcW w:w="157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566.10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825"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公共管理与公共服务用地</w:t>
            </w:r>
          </w:p>
        </w:tc>
        <w:tc>
          <w:tcPr>
            <w:tcW w:w="141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1.75</w:t>
            </w:r>
          </w:p>
        </w:tc>
        <w:tc>
          <w:tcPr>
            <w:tcW w:w="2551"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50</w:t>
            </w:r>
          </w:p>
        </w:tc>
        <w:tc>
          <w:tcPr>
            <w:tcW w:w="1590"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87.50</w:t>
            </w:r>
          </w:p>
        </w:tc>
        <w:tc>
          <w:tcPr>
            <w:tcW w:w="157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74.38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825"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商业用地</w:t>
            </w:r>
          </w:p>
        </w:tc>
        <w:tc>
          <w:tcPr>
            <w:tcW w:w="141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1.74</w:t>
            </w:r>
          </w:p>
        </w:tc>
        <w:tc>
          <w:tcPr>
            <w:tcW w:w="2551"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120</w:t>
            </w:r>
          </w:p>
        </w:tc>
        <w:tc>
          <w:tcPr>
            <w:tcW w:w="1590"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208.80</w:t>
            </w:r>
          </w:p>
        </w:tc>
        <w:tc>
          <w:tcPr>
            <w:tcW w:w="157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177.48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825"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工业用地*</w:t>
            </w:r>
          </w:p>
        </w:tc>
        <w:tc>
          <w:tcPr>
            <w:tcW w:w="141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79.66</w:t>
            </w:r>
          </w:p>
        </w:tc>
        <w:tc>
          <w:tcPr>
            <w:tcW w:w="2551"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10</w:t>
            </w:r>
          </w:p>
        </w:tc>
        <w:tc>
          <w:tcPr>
            <w:tcW w:w="1590"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796.60</w:t>
            </w:r>
          </w:p>
        </w:tc>
        <w:tc>
          <w:tcPr>
            <w:tcW w:w="157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677.11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825"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物流仓储用地</w:t>
            </w:r>
          </w:p>
        </w:tc>
        <w:tc>
          <w:tcPr>
            <w:tcW w:w="141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2.71</w:t>
            </w:r>
          </w:p>
        </w:tc>
        <w:tc>
          <w:tcPr>
            <w:tcW w:w="2551"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20</w:t>
            </w:r>
          </w:p>
        </w:tc>
        <w:tc>
          <w:tcPr>
            <w:tcW w:w="1590"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54.20</w:t>
            </w:r>
          </w:p>
        </w:tc>
        <w:tc>
          <w:tcPr>
            <w:tcW w:w="157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46.07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825"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交通运输用地</w:t>
            </w:r>
          </w:p>
        </w:tc>
        <w:tc>
          <w:tcPr>
            <w:tcW w:w="141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24.98</w:t>
            </w:r>
          </w:p>
        </w:tc>
        <w:tc>
          <w:tcPr>
            <w:tcW w:w="2551"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50</w:t>
            </w:r>
          </w:p>
        </w:tc>
        <w:tc>
          <w:tcPr>
            <w:tcW w:w="1590"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1249.00</w:t>
            </w:r>
          </w:p>
        </w:tc>
        <w:tc>
          <w:tcPr>
            <w:tcW w:w="157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825"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公用设施用地</w:t>
            </w:r>
          </w:p>
        </w:tc>
        <w:tc>
          <w:tcPr>
            <w:tcW w:w="141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3.23</w:t>
            </w:r>
          </w:p>
        </w:tc>
        <w:tc>
          <w:tcPr>
            <w:tcW w:w="2551"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30</w:t>
            </w:r>
          </w:p>
        </w:tc>
        <w:tc>
          <w:tcPr>
            <w:tcW w:w="1590"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96.90</w:t>
            </w:r>
          </w:p>
        </w:tc>
        <w:tc>
          <w:tcPr>
            <w:tcW w:w="157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82.37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825"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公园绿地</w:t>
            </w:r>
          </w:p>
        </w:tc>
        <w:tc>
          <w:tcPr>
            <w:tcW w:w="141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9.65</w:t>
            </w:r>
          </w:p>
        </w:tc>
        <w:tc>
          <w:tcPr>
            <w:tcW w:w="2551"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20</w:t>
            </w:r>
          </w:p>
        </w:tc>
        <w:tc>
          <w:tcPr>
            <w:tcW w:w="1590"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193.00</w:t>
            </w:r>
          </w:p>
        </w:tc>
        <w:tc>
          <w:tcPr>
            <w:tcW w:w="157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825"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防护绿地</w:t>
            </w:r>
          </w:p>
        </w:tc>
        <w:tc>
          <w:tcPr>
            <w:tcW w:w="141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4.84</w:t>
            </w:r>
          </w:p>
        </w:tc>
        <w:tc>
          <w:tcPr>
            <w:tcW w:w="2551"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20</w:t>
            </w:r>
          </w:p>
        </w:tc>
        <w:tc>
          <w:tcPr>
            <w:tcW w:w="1590"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96.80</w:t>
            </w:r>
          </w:p>
        </w:tc>
        <w:tc>
          <w:tcPr>
            <w:tcW w:w="157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825"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广场绿地</w:t>
            </w:r>
          </w:p>
        </w:tc>
        <w:tc>
          <w:tcPr>
            <w:tcW w:w="141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1.42</w:t>
            </w:r>
          </w:p>
        </w:tc>
        <w:tc>
          <w:tcPr>
            <w:tcW w:w="2551"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20</w:t>
            </w:r>
          </w:p>
        </w:tc>
        <w:tc>
          <w:tcPr>
            <w:tcW w:w="1590"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28.40</w:t>
            </w:r>
          </w:p>
        </w:tc>
        <w:tc>
          <w:tcPr>
            <w:tcW w:w="157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825" w:type="dxa"/>
            <w:shd w:val="clear" w:color="auto" w:fill="auto"/>
            <w:noWrap/>
            <w:vAlign w:val="bottom"/>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合计</w:t>
            </w:r>
          </w:p>
        </w:tc>
        <w:tc>
          <w:tcPr>
            <w:tcW w:w="141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136.64</w:t>
            </w:r>
          </w:p>
        </w:tc>
        <w:tc>
          <w:tcPr>
            <w:tcW w:w="2551"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　</w:t>
            </w:r>
          </w:p>
        </w:tc>
        <w:tc>
          <w:tcPr>
            <w:tcW w:w="1590"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3477.20</w:t>
            </w:r>
          </w:p>
        </w:tc>
        <w:tc>
          <w:tcPr>
            <w:tcW w:w="1578" w:type="dxa"/>
            <w:shd w:val="clear" w:color="auto" w:fill="auto"/>
            <w:noWrap/>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1623.50</w:t>
            </w:r>
          </w:p>
        </w:tc>
      </w:tr>
    </w:tbl>
    <w:p>
      <w:pPr>
        <w:ind w:firstLine="480"/>
        <w:rPr>
          <w:rFonts w:eastAsia="宋体" w:cs="Times New Roman"/>
          <w:color w:val="7030A0"/>
          <w:kern w:val="0"/>
          <w:szCs w:val="24"/>
          <w:highlight w:val="none"/>
        </w:rPr>
      </w:pPr>
      <w:r>
        <w:rPr>
          <w:rFonts w:eastAsia="宋体" w:cs="Times New Roman"/>
          <w:color w:val="7030A0"/>
          <w:kern w:val="0"/>
          <w:szCs w:val="24"/>
          <w:highlight w:val="none"/>
        </w:rPr>
        <w:t>（</w:t>
      </w:r>
      <w:r>
        <w:rPr>
          <w:rFonts w:hint="eastAsia" w:eastAsia="宋体" w:cs="Times New Roman"/>
          <w:color w:val="7030A0"/>
          <w:kern w:val="0"/>
          <w:szCs w:val="24"/>
          <w:highlight w:val="none"/>
        </w:rPr>
        <w:t>2</w:t>
      </w:r>
      <w:r>
        <w:rPr>
          <w:rFonts w:eastAsia="宋体" w:cs="Times New Roman"/>
          <w:color w:val="7030A0"/>
          <w:kern w:val="0"/>
          <w:szCs w:val="24"/>
          <w:highlight w:val="none"/>
        </w:rPr>
        <w:t>）特征因子</w:t>
      </w:r>
    </w:p>
    <w:p>
      <w:pPr>
        <w:ind w:firstLine="480"/>
        <w:rPr>
          <w:rFonts w:eastAsia="宋体" w:cs="Times New Roman"/>
          <w:color w:val="7030A0"/>
          <w:highlight w:val="none"/>
        </w:rPr>
      </w:pPr>
      <w:r>
        <w:rPr>
          <w:rFonts w:hint="eastAsia" w:eastAsia="宋体" w:cs="Times New Roman"/>
          <w:color w:val="7030A0"/>
          <w:highlight w:val="none"/>
        </w:rPr>
        <w:t>参考同类型行业，</w:t>
      </w:r>
      <w:r>
        <w:rPr>
          <w:rFonts w:hint="eastAsia" w:eastAsia="宋体" w:cs="Times New Roman"/>
          <w:color w:val="7030A0"/>
          <w:kern w:val="0"/>
          <w:szCs w:val="24"/>
          <w:highlight w:val="none"/>
        </w:rPr>
        <w:t>废水中主要污染物为pH、C</w:t>
      </w:r>
      <w:r>
        <w:rPr>
          <w:rFonts w:eastAsia="宋体" w:cs="Times New Roman"/>
          <w:color w:val="7030A0"/>
          <w:kern w:val="0"/>
          <w:szCs w:val="24"/>
          <w:highlight w:val="none"/>
        </w:rPr>
        <w:t>OD、</w:t>
      </w:r>
      <w:r>
        <w:rPr>
          <w:rFonts w:hint="eastAsia" w:eastAsia="宋体" w:cs="Times New Roman"/>
          <w:color w:val="7030A0"/>
          <w:kern w:val="0"/>
          <w:szCs w:val="24"/>
          <w:highlight w:val="none"/>
        </w:rPr>
        <w:t>氨氮、总磷、悬浮物。</w:t>
      </w:r>
    </w:p>
    <w:p>
      <w:pPr>
        <w:ind w:firstLine="482"/>
        <w:rPr>
          <w:rFonts w:eastAsia="宋体" w:cs="Times New Roman"/>
          <w:b/>
          <w:bCs/>
          <w:color w:val="7030A0"/>
          <w:highlight w:val="none"/>
        </w:rPr>
      </w:pPr>
      <w:r>
        <w:rPr>
          <w:rFonts w:hint="eastAsia" w:eastAsia="宋体" w:cs="Times New Roman"/>
          <w:b/>
          <w:bCs/>
          <w:color w:val="7030A0"/>
          <w:highlight w:val="none"/>
        </w:rPr>
        <w:t>2、地表水环境影响预测</w:t>
      </w:r>
    </w:p>
    <w:p>
      <w:pPr>
        <w:ind w:firstLine="480"/>
        <w:rPr>
          <w:rFonts w:eastAsia="宋体" w:cs="Times New Roman"/>
          <w:color w:val="7030A0"/>
          <w:szCs w:val="21"/>
          <w:highlight w:val="none"/>
        </w:rPr>
      </w:pPr>
      <w:r>
        <w:rPr>
          <w:rFonts w:eastAsia="宋体" w:cs="Times New Roman"/>
          <w:color w:val="7030A0"/>
          <w:highlight w:val="none"/>
        </w:rPr>
        <w:t>本次</w:t>
      </w:r>
      <w:r>
        <w:rPr>
          <w:rFonts w:hint="eastAsia" w:eastAsia="宋体" w:cs="Times New Roman"/>
          <w:color w:val="7030A0"/>
          <w:highlight w:val="none"/>
        </w:rPr>
        <w:t>规划</w:t>
      </w:r>
      <w:r>
        <w:rPr>
          <w:rFonts w:eastAsia="宋体" w:cs="Times New Roman"/>
          <w:color w:val="7030A0"/>
          <w:highlight w:val="none"/>
        </w:rPr>
        <w:t>区域废水</w:t>
      </w:r>
      <w:r>
        <w:rPr>
          <w:rFonts w:hint="eastAsia" w:eastAsia="宋体" w:cs="Times New Roman"/>
          <w:color w:val="7030A0"/>
          <w:highlight w:val="none"/>
        </w:rPr>
        <w:t>经百利新区污水处理厂处理达到《城镇污水处理厂污染物排放标准》（GB18918-2002）一级A标准后，排入嘉陵江（右岸）</w:t>
      </w:r>
      <w:r>
        <w:rPr>
          <w:rFonts w:hint="eastAsia" w:eastAsia="宋体" w:cs="Times New Roman"/>
          <w:color w:val="7030A0"/>
          <w:szCs w:val="21"/>
          <w:highlight w:val="none"/>
        </w:rPr>
        <w:t>。</w:t>
      </w:r>
    </w:p>
    <w:p>
      <w:pPr>
        <w:widowControl w:val="0"/>
        <w:adjustRightInd w:val="0"/>
        <w:spacing w:line="360" w:lineRule="auto"/>
        <w:ind w:firstLine="480" w:firstLineChars="200"/>
        <w:jc w:val="both"/>
        <w:rPr>
          <w:rFonts w:ascii="Times New Roman" w:hAnsi="Times New Roman" w:eastAsia="宋体" w:cs="Times New Roman"/>
          <w:color w:val="7030A0"/>
          <w:kern w:val="2"/>
          <w:sz w:val="24"/>
          <w:szCs w:val="22"/>
          <w:highlight w:val="none"/>
          <w:lang w:val="en-US" w:eastAsia="zh-CN" w:bidi="ar-SA"/>
        </w:rPr>
      </w:pPr>
      <w:r>
        <w:rPr>
          <w:rFonts w:ascii="Times New Roman" w:hAnsi="Times New Roman" w:eastAsia="宋体" w:cs="Times New Roman"/>
          <w:color w:val="7030A0"/>
          <w:kern w:val="2"/>
          <w:sz w:val="24"/>
          <w:szCs w:val="21"/>
          <w:highlight w:val="none"/>
          <w:lang w:val="en-US" w:eastAsia="zh-CN" w:bidi="ar-SA"/>
        </w:rPr>
        <w:t>本次评价引用《</w:t>
      </w:r>
      <w:r>
        <w:rPr>
          <w:rFonts w:hint="eastAsia" w:ascii="Times New Roman" w:hAnsi="Times New Roman" w:eastAsia="宋体" w:cs="Times New Roman"/>
          <w:color w:val="7030A0"/>
          <w:kern w:val="2"/>
          <w:sz w:val="24"/>
          <w:szCs w:val="21"/>
          <w:highlight w:val="none"/>
          <w:lang w:val="en-US" w:eastAsia="zh-CN" w:bidi="ar-SA"/>
        </w:rPr>
        <w:t>四川苍溪经开区规划修编环境影响报告书</w:t>
      </w:r>
      <w:r>
        <w:rPr>
          <w:rFonts w:ascii="Times New Roman" w:hAnsi="Times New Roman" w:eastAsia="宋体" w:cs="Times New Roman"/>
          <w:color w:val="7030A0"/>
          <w:kern w:val="2"/>
          <w:sz w:val="24"/>
          <w:szCs w:val="21"/>
          <w:highlight w:val="none"/>
          <w:lang w:val="en-US" w:eastAsia="zh-CN" w:bidi="ar-SA"/>
        </w:rPr>
        <w:t>》内容：</w:t>
      </w:r>
      <w:r>
        <w:rPr>
          <w:rFonts w:hint="eastAsia" w:ascii="Times New Roman" w:hAnsi="Times New Roman" w:eastAsia="宋体" w:cs="Times New Roman"/>
          <w:color w:val="7030A0"/>
          <w:kern w:val="2"/>
          <w:sz w:val="24"/>
          <w:szCs w:val="22"/>
          <w:highlight w:val="none"/>
          <w:lang w:val="en-US" w:eastAsia="zh-CN" w:bidi="ar-SA"/>
        </w:rPr>
        <w:t>考虑本项目正常运行与非正常运行情况，主要预测情景如下：</w:t>
      </w:r>
    </w:p>
    <w:p>
      <w:pPr>
        <w:widowControl w:val="0"/>
        <w:adjustRightInd w:val="0"/>
        <w:spacing w:line="360" w:lineRule="auto"/>
        <w:ind w:firstLine="460" w:firstLineChars="200"/>
        <w:jc w:val="both"/>
        <w:rPr>
          <w:rFonts w:ascii="Times New Roman" w:hAnsi="Times New Roman" w:eastAsia="宋体" w:cs="Times New Roman"/>
          <w:color w:val="7030A0"/>
          <w:kern w:val="2"/>
          <w:sz w:val="24"/>
          <w:szCs w:val="22"/>
          <w:highlight w:val="none"/>
          <w:lang w:val="en-US" w:eastAsia="zh-CN" w:bidi="ar-SA"/>
        </w:rPr>
      </w:pPr>
      <w:r>
        <w:rPr>
          <w:rFonts w:hint="eastAsia" w:ascii="Times New Roman" w:hAnsi="Times New Roman" w:eastAsia="宋体" w:cs="Times New Roman"/>
          <w:color w:val="7030A0"/>
          <w:kern w:val="2"/>
          <w:sz w:val="23"/>
          <w:szCs w:val="23"/>
          <w:highlight w:val="none"/>
          <w:lang w:val="en-US" w:eastAsia="zh-CN" w:bidi="ar-SA"/>
        </w:rPr>
        <w:t>本次评价分别考虑本园区污水处理厂正常排放和非正常排放进行预测，正常排放下园区污水处理厂排口执行《城镇污水处理厂污染物排放标准》（</w:t>
      </w:r>
      <w:r>
        <w:rPr>
          <w:rFonts w:ascii="Times New Roman" w:hAnsi="Times New Roman" w:eastAsia="宋体" w:cs="Times New Roman"/>
          <w:color w:val="7030A0"/>
          <w:kern w:val="2"/>
          <w:sz w:val="23"/>
          <w:szCs w:val="23"/>
          <w:highlight w:val="none"/>
          <w:lang w:val="en-US" w:eastAsia="zh-CN" w:bidi="ar-SA"/>
        </w:rPr>
        <w:t>GB18918-2002</w:t>
      </w:r>
      <w:r>
        <w:rPr>
          <w:rFonts w:hint="eastAsia" w:ascii="Times New Roman" w:hAnsi="Times New Roman" w:eastAsia="宋体" w:cs="Times New Roman"/>
          <w:color w:val="7030A0"/>
          <w:kern w:val="2"/>
          <w:sz w:val="23"/>
          <w:szCs w:val="23"/>
          <w:highlight w:val="none"/>
          <w:lang w:val="en-US" w:eastAsia="zh-CN" w:bidi="ar-SA"/>
        </w:rPr>
        <w:t>）一级</w:t>
      </w:r>
      <w:r>
        <w:rPr>
          <w:rFonts w:ascii="Times New Roman" w:hAnsi="Times New Roman" w:eastAsia="宋体" w:cs="Times New Roman"/>
          <w:color w:val="7030A0"/>
          <w:kern w:val="2"/>
          <w:sz w:val="23"/>
          <w:szCs w:val="23"/>
          <w:highlight w:val="none"/>
          <w:lang w:val="en-US" w:eastAsia="zh-CN" w:bidi="ar-SA"/>
        </w:rPr>
        <w:t>A</w:t>
      </w:r>
      <w:r>
        <w:rPr>
          <w:rFonts w:hint="eastAsia" w:ascii="Times New Roman" w:hAnsi="Times New Roman" w:eastAsia="宋体" w:cs="Times New Roman"/>
          <w:color w:val="7030A0"/>
          <w:kern w:val="2"/>
          <w:sz w:val="23"/>
          <w:szCs w:val="23"/>
          <w:highlight w:val="none"/>
          <w:lang w:val="en-US" w:eastAsia="zh-CN" w:bidi="ar-SA"/>
        </w:rPr>
        <w:t>标准；非正常排放下，园区污水处理厂处理系统失效，未经处理的污水直接经排口进入嘉陵江，在非正常排放情形下，园区污水处理厂污染物排放量按其进水浓度进行核算（</w:t>
      </w:r>
      <w:r>
        <w:rPr>
          <w:rFonts w:ascii="Times New Roman" w:hAnsi="Times New Roman" w:eastAsia="宋体" w:cs="Times New Roman"/>
          <w:color w:val="7030A0"/>
          <w:kern w:val="2"/>
          <w:sz w:val="23"/>
          <w:szCs w:val="23"/>
          <w:highlight w:val="none"/>
          <w:lang w:val="en-US" w:eastAsia="zh-CN" w:bidi="ar-SA"/>
        </w:rPr>
        <w:t>COD 360mg/L</w:t>
      </w:r>
      <w:r>
        <w:rPr>
          <w:rFonts w:hint="eastAsia" w:ascii="Times New Roman" w:hAnsi="Times New Roman" w:eastAsia="宋体" w:cs="Times New Roman"/>
          <w:color w:val="7030A0"/>
          <w:kern w:val="2"/>
          <w:sz w:val="23"/>
          <w:szCs w:val="23"/>
          <w:highlight w:val="none"/>
          <w:lang w:val="en-US" w:eastAsia="zh-CN" w:bidi="ar-SA"/>
        </w:rPr>
        <w:t>、氨氮</w:t>
      </w:r>
      <w:r>
        <w:rPr>
          <w:rFonts w:ascii="Times New Roman" w:hAnsi="Times New Roman" w:eastAsia="宋体" w:cs="Times New Roman"/>
          <w:color w:val="7030A0"/>
          <w:kern w:val="2"/>
          <w:sz w:val="23"/>
          <w:szCs w:val="23"/>
          <w:highlight w:val="none"/>
          <w:lang w:val="en-US" w:eastAsia="zh-CN" w:bidi="ar-SA"/>
        </w:rPr>
        <w:t xml:space="preserve"> 35mg/L</w:t>
      </w:r>
      <w:r>
        <w:rPr>
          <w:rFonts w:hint="eastAsia" w:ascii="Times New Roman" w:hAnsi="Times New Roman" w:eastAsia="宋体" w:cs="Times New Roman"/>
          <w:color w:val="7030A0"/>
          <w:kern w:val="2"/>
          <w:sz w:val="23"/>
          <w:szCs w:val="23"/>
          <w:highlight w:val="none"/>
          <w:lang w:val="en-US" w:eastAsia="zh-CN" w:bidi="ar-SA"/>
        </w:rPr>
        <w:t>、总磷</w:t>
      </w:r>
      <w:r>
        <w:rPr>
          <w:rFonts w:ascii="Times New Roman" w:hAnsi="Times New Roman" w:eastAsia="宋体" w:cs="Times New Roman"/>
          <w:color w:val="7030A0"/>
          <w:kern w:val="2"/>
          <w:sz w:val="23"/>
          <w:szCs w:val="23"/>
          <w:highlight w:val="none"/>
          <w:lang w:val="en-US" w:eastAsia="zh-CN" w:bidi="ar-SA"/>
        </w:rPr>
        <w:t xml:space="preserve"> 3mg/L</w:t>
      </w:r>
      <w:r>
        <w:rPr>
          <w:rFonts w:hint="eastAsia" w:ascii="Times New Roman" w:hAnsi="Times New Roman" w:eastAsia="宋体" w:cs="Times New Roman"/>
          <w:color w:val="7030A0"/>
          <w:kern w:val="2"/>
          <w:sz w:val="23"/>
          <w:szCs w:val="23"/>
          <w:highlight w:val="none"/>
          <w:lang w:val="en-US" w:eastAsia="zh-CN" w:bidi="ar-SA"/>
        </w:rPr>
        <w:t>）。</w:t>
      </w:r>
    </w:p>
    <w:p>
      <w:pPr>
        <w:widowControl/>
        <w:adjustRightInd w:val="0"/>
        <w:ind w:firstLine="480"/>
        <w:jc w:val="left"/>
        <w:rPr>
          <w:rFonts w:eastAsia="宋体" w:cs="Times New Roman"/>
          <w:color w:val="7030A0"/>
          <w:highlight w:val="none"/>
        </w:rPr>
      </w:pPr>
      <w:r>
        <w:rPr>
          <w:rFonts w:eastAsia="宋体" w:cs="Times New Roman"/>
          <w:color w:val="7030A0"/>
          <w:highlight w:val="none"/>
        </w:rPr>
        <w:t>预测结果如下：</w:t>
      </w:r>
    </w:p>
    <w:p>
      <w:pPr>
        <w:widowControl w:val="0"/>
        <w:spacing w:line="360" w:lineRule="auto"/>
        <w:ind w:firstLine="0" w:firstLineChars="0"/>
        <w:jc w:val="center"/>
        <w:rPr>
          <w:rFonts w:ascii="Times New Roman" w:hAnsi="Times New Roman" w:eastAsia="黑体" w:cs="Times New Roman"/>
          <w:color w:val="7030A0"/>
          <w:kern w:val="2"/>
          <w:sz w:val="21"/>
          <w:szCs w:val="20"/>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表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6.2</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表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12</w:t>
      </w:r>
      <w:r>
        <w:rPr>
          <w:rFonts w:ascii="Times New Roman" w:hAnsi="Times New Roman" w:eastAsia="黑体" w:cs="Times New Roman"/>
          <w:color w:val="7030A0"/>
          <w:kern w:val="2"/>
          <w:sz w:val="21"/>
          <w:szCs w:val="20"/>
          <w:highlight w:val="none"/>
          <w:lang w:val="en-US" w:eastAsia="zh-CN" w:bidi="ar-SA"/>
        </w:rPr>
        <w:fldChar w:fldCharType="end"/>
      </w:r>
      <w:r>
        <w:rPr>
          <w:rFonts w:hint="eastAsia" w:ascii="Times New Roman" w:hAnsi="Times New Roman" w:eastAsia="黑体" w:cs="Times New Roman"/>
          <w:color w:val="7030A0"/>
          <w:kern w:val="2"/>
          <w:sz w:val="21"/>
          <w:szCs w:val="20"/>
          <w:highlight w:val="none"/>
          <w:lang w:val="en-US" w:eastAsia="zh-CN" w:bidi="ar-SA"/>
        </w:rPr>
        <w:t>各预测情景下地表水预测超Ⅱ类水标准范围统计表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2410"/>
        <w:gridCol w:w="5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排放条件</w:t>
            </w:r>
          </w:p>
        </w:tc>
        <w:tc>
          <w:tcPr>
            <w:tcW w:w="2410"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数值</w:t>
            </w:r>
          </w:p>
        </w:tc>
        <w:tc>
          <w:tcPr>
            <w:tcW w:w="5459"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超Ⅱ类水标准范围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正常排放</w:t>
            </w:r>
          </w:p>
        </w:tc>
        <w:tc>
          <w:tcPr>
            <w:tcW w:w="2410"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贡献值</w:t>
            </w:r>
          </w:p>
        </w:tc>
        <w:tc>
          <w:tcPr>
            <w:tcW w:w="5459"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排污口下游250</w:t>
            </w:r>
            <w:r>
              <w:rPr>
                <w:rFonts w:ascii="Times New Roman" w:hAnsi="Times New Roman" w:eastAsia="宋体" w:cs="Times New Roman"/>
                <w:color w:val="7030A0"/>
                <w:kern w:val="2"/>
                <w:sz w:val="21"/>
                <w:szCs w:val="21"/>
                <w:highlight w:val="none"/>
                <w:lang w:val="en-US" w:eastAsia="zh-CN" w:bidi="ar-SA"/>
              </w:rPr>
              <w:t>m</w:t>
            </w:r>
            <w:r>
              <w:rPr>
                <w:rFonts w:hint="eastAsia" w:ascii="Times New Roman" w:hAnsi="Times New Roman" w:eastAsia="宋体" w:cs="Times New Roman"/>
                <w:color w:val="7030A0"/>
                <w:kern w:val="2"/>
                <w:sz w:val="21"/>
                <w:szCs w:val="21"/>
                <w:highlight w:val="none"/>
                <w:lang w:val="en-US" w:eastAsia="zh-CN" w:bidi="ar-SA"/>
              </w:rPr>
              <w:t>、沿河宽方向</w:t>
            </w:r>
            <w:r>
              <w:rPr>
                <w:rFonts w:ascii="Times New Roman" w:hAnsi="Times New Roman" w:eastAsia="宋体" w:cs="Times New Roman"/>
                <w:color w:val="7030A0"/>
                <w:kern w:val="2"/>
                <w:sz w:val="21"/>
                <w:szCs w:val="21"/>
                <w:highlight w:val="none"/>
                <w:lang w:val="en-US" w:eastAsia="zh-CN" w:bidi="ar-SA"/>
              </w:rPr>
              <w:t>10m</w:t>
            </w:r>
            <w:r>
              <w:rPr>
                <w:rFonts w:hint="eastAsia" w:ascii="Times New Roman" w:hAnsi="Times New Roman" w:eastAsia="宋体" w:cs="Times New Roman"/>
                <w:color w:val="7030A0"/>
                <w:kern w:val="2"/>
                <w:sz w:val="21"/>
                <w:szCs w:val="21"/>
                <w:highlight w:val="none"/>
                <w:lang w:val="en-US" w:eastAsia="zh-CN" w:bidi="ar-SA"/>
              </w:rPr>
              <w:t>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p>
        </w:tc>
        <w:tc>
          <w:tcPr>
            <w:tcW w:w="2410"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预测值</w:t>
            </w:r>
          </w:p>
        </w:tc>
        <w:tc>
          <w:tcPr>
            <w:tcW w:w="5459"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排污口下游</w:t>
            </w:r>
            <w:r>
              <w:rPr>
                <w:rFonts w:ascii="Times New Roman" w:hAnsi="Times New Roman" w:eastAsia="宋体" w:cs="Times New Roman"/>
                <w:color w:val="7030A0"/>
                <w:kern w:val="2"/>
                <w:sz w:val="21"/>
                <w:szCs w:val="21"/>
                <w:highlight w:val="none"/>
                <w:lang w:val="en-US" w:eastAsia="zh-CN" w:bidi="ar-SA"/>
              </w:rPr>
              <w:t>300m</w:t>
            </w:r>
            <w:r>
              <w:rPr>
                <w:rFonts w:hint="eastAsia" w:ascii="Times New Roman" w:hAnsi="Times New Roman" w:eastAsia="宋体" w:cs="Times New Roman"/>
                <w:color w:val="7030A0"/>
                <w:kern w:val="2"/>
                <w:sz w:val="21"/>
                <w:szCs w:val="21"/>
                <w:highlight w:val="none"/>
                <w:lang w:val="en-US" w:eastAsia="zh-CN" w:bidi="ar-SA"/>
              </w:rPr>
              <w:t>、沿河宽方向</w:t>
            </w:r>
            <w:r>
              <w:rPr>
                <w:rFonts w:ascii="Times New Roman" w:hAnsi="Times New Roman" w:eastAsia="宋体" w:cs="Times New Roman"/>
                <w:color w:val="7030A0"/>
                <w:kern w:val="2"/>
                <w:sz w:val="21"/>
                <w:szCs w:val="21"/>
                <w:highlight w:val="none"/>
                <w:lang w:val="en-US" w:eastAsia="zh-CN" w:bidi="ar-SA"/>
              </w:rPr>
              <w:t>10m</w:t>
            </w:r>
            <w:r>
              <w:rPr>
                <w:rFonts w:hint="eastAsia" w:ascii="Times New Roman" w:hAnsi="Times New Roman" w:eastAsia="宋体" w:cs="Times New Roman"/>
                <w:color w:val="7030A0"/>
                <w:kern w:val="2"/>
                <w:sz w:val="21"/>
                <w:szCs w:val="21"/>
                <w:highlight w:val="none"/>
                <w:lang w:val="en-US" w:eastAsia="zh-CN" w:bidi="ar-SA"/>
              </w:rPr>
              <w:t>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非正常排放</w:t>
            </w:r>
          </w:p>
        </w:tc>
        <w:tc>
          <w:tcPr>
            <w:tcW w:w="2410"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贡献值</w:t>
            </w:r>
          </w:p>
        </w:tc>
        <w:tc>
          <w:tcPr>
            <w:tcW w:w="5459"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排污口下游</w:t>
            </w:r>
            <w:r>
              <w:rPr>
                <w:rFonts w:ascii="Times New Roman" w:hAnsi="Times New Roman" w:eastAsia="宋体" w:cs="Times New Roman"/>
                <w:color w:val="7030A0"/>
                <w:kern w:val="2"/>
                <w:sz w:val="21"/>
                <w:szCs w:val="21"/>
                <w:highlight w:val="none"/>
                <w:lang w:val="en-US" w:eastAsia="zh-CN" w:bidi="ar-SA"/>
              </w:rPr>
              <w:t>300m</w:t>
            </w:r>
            <w:r>
              <w:rPr>
                <w:rFonts w:hint="eastAsia" w:ascii="Times New Roman" w:hAnsi="Times New Roman" w:eastAsia="宋体" w:cs="Times New Roman"/>
                <w:color w:val="7030A0"/>
                <w:kern w:val="2"/>
                <w:sz w:val="21"/>
                <w:szCs w:val="21"/>
                <w:highlight w:val="none"/>
                <w:lang w:val="en-US" w:eastAsia="zh-CN" w:bidi="ar-SA"/>
              </w:rPr>
              <w:t>、沿河宽方向</w:t>
            </w:r>
            <w:r>
              <w:rPr>
                <w:rFonts w:ascii="Times New Roman" w:hAnsi="Times New Roman" w:eastAsia="宋体" w:cs="Times New Roman"/>
                <w:color w:val="7030A0"/>
                <w:kern w:val="2"/>
                <w:sz w:val="21"/>
                <w:szCs w:val="21"/>
                <w:highlight w:val="none"/>
                <w:lang w:val="en-US" w:eastAsia="zh-CN" w:bidi="ar-SA"/>
              </w:rPr>
              <w:t>10m</w:t>
            </w:r>
            <w:r>
              <w:rPr>
                <w:rFonts w:hint="eastAsia" w:ascii="Times New Roman" w:hAnsi="Times New Roman" w:eastAsia="宋体" w:cs="Times New Roman"/>
                <w:color w:val="7030A0"/>
                <w:kern w:val="2"/>
                <w:sz w:val="21"/>
                <w:szCs w:val="21"/>
                <w:highlight w:val="none"/>
                <w:lang w:val="en-US" w:eastAsia="zh-CN" w:bidi="ar-SA"/>
              </w:rPr>
              <w:t>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p>
        </w:tc>
        <w:tc>
          <w:tcPr>
            <w:tcW w:w="2410"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预测值</w:t>
            </w:r>
          </w:p>
        </w:tc>
        <w:tc>
          <w:tcPr>
            <w:tcW w:w="5459"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排污口下游400</w:t>
            </w:r>
            <w:r>
              <w:rPr>
                <w:rFonts w:ascii="Times New Roman" w:hAnsi="Times New Roman" w:eastAsia="宋体" w:cs="Times New Roman"/>
                <w:color w:val="7030A0"/>
                <w:kern w:val="2"/>
                <w:sz w:val="21"/>
                <w:szCs w:val="21"/>
                <w:highlight w:val="none"/>
                <w:lang w:val="en-US" w:eastAsia="zh-CN" w:bidi="ar-SA"/>
              </w:rPr>
              <w:t>0m</w:t>
            </w:r>
            <w:r>
              <w:rPr>
                <w:rFonts w:hint="eastAsia" w:ascii="Times New Roman" w:hAnsi="Times New Roman" w:eastAsia="宋体" w:cs="Times New Roman"/>
                <w:color w:val="7030A0"/>
                <w:kern w:val="2"/>
                <w:sz w:val="21"/>
                <w:szCs w:val="21"/>
                <w:highlight w:val="none"/>
                <w:lang w:val="en-US" w:eastAsia="zh-CN" w:bidi="ar-SA"/>
              </w:rPr>
              <w:t>、沿河宽方向2</w:t>
            </w:r>
            <w:r>
              <w:rPr>
                <w:rFonts w:ascii="Times New Roman" w:hAnsi="Times New Roman" w:eastAsia="宋体" w:cs="Times New Roman"/>
                <w:color w:val="7030A0"/>
                <w:kern w:val="2"/>
                <w:sz w:val="21"/>
                <w:szCs w:val="21"/>
                <w:highlight w:val="none"/>
                <w:lang w:val="en-US" w:eastAsia="zh-CN" w:bidi="ar-SA"/>
              </w:rPr>
              <w:t>0m</w:t>
            </w:r>
            <w:r>
              <w:rPr>
                <w:rFonts w:hint="eastAsia" w:ascii="Times New Roman" w:hAnsi="Times New Roman" w:eastAsia="宋体" w:cs="Times New Roman"/>
                <w:color w:val="7030A0"/>
                <w:kern w:val="2"/>
                <w:sz w:val="21"/>
                <w:szCs w:val="21"/>
                <w:highlight w:val="none"/>
                <w:lang w:val="en-US" w:eastAsia="zh-CN" w:bidi="ar-SA"/>
              </w:rPr>
              <w:t>的范围</w:t>
            </w:r>
          </w:p>
        </w:tc>
      </w:tr>
    </w:tbl>
    <w:p>
      <w:pPr>
        <w:ind w:firstLine="460"/>
        <w:rPr>
          <w:rFonts w:eastAsia="宋体" w:cs="Times New Roman"/>
          <w:color w:val="7030A0"/>
          <w:highlight w:val="none"/>
        </w:rPr>
      </w:pPr>
      <w:r>
        <w:rPr>
          <w:rFonts w:hint="eastAsia" w:eastAsia="宋体" w:cs="Times New Roman"/>
          <w:color w:val="7030A0"/>
          <w:sz w:val="23"/>
          <w:szCs w:val="23"/>
          <w:highlight w:val="none"/>
        </w:rPr>
        <w:t>按导则要求采用排污口下游</w:t>
      </w:r>
      <w:r>
        <w:rPr>
          <w:rFonts w:eastAsia="宋体" w:cs="Times New Roman"/>
          <w:color w:val="7030A0"/>
          <w:sz w:val="23"/>
          <w:szCs w:val="23"/>
          <w:highlight w:val="none"/>
        </w:rPr>
        <w:t>2km</w:t>
      </w:r>
      <w:r>
        <w:rPr>
          <w:rFonts w:hint="eastAsia" w:eastAsia="宋体" w:cs="Times New Roman"/>
          <w:color w:val="7030A0"/>
          <w:sz w:val="23"/>
          <w:szCs w:val="23"/>
          <w:highlight w:val="none"/>
        </w:rPr>
        <w:t>处的断面作为本次地表水影响预测安全余量核算断面，安全余量按水质目标的</w:t>
      </w:r>
      <w:r>
        <w:rPr>
          <w:rFonts w:eastAsia="宋体" w:cs="Times New Roman"/>
          <w:color w:val="7030A0"/>
          <w:sz w:val="23"/>
          <w:szCs w:val="23"/>
          <w:highlight w:val="none"/>
        </w:rPr>
        <w:t>10%</w:t>
      </w:r>
      <w:r>
        <w:rPr>
          <w:rFonts w:hint="eastAsia" w:eastAsia="宋体" w:cs="Times New Roman"/>
          <w:color w:val="7030A0"/>
          <w:sz w:val="23"/>
          <w:szCs w:val="23"/>
          <w:highlight w:val="none"/>
        </w:rPr>
        <w:t>考虑，经核算，远期园区污水处理厂排污口下游</w:t>
      </w:r>
      <w:r>
        <w:rPr>
          <w:rFonts w:eastAsia="宋体" w:cs="Times New Roman"/>
          <w:color w:val="7030A0"/>
          <w:sz w:val="23"/>
          <w:szCs w:val="23"/>
          <w:highlight w:val="none"/>
        </w:rPr>
        <w:t>2km</w:t>
      </w:r>
      <w:r>
        <w:rPr>
          <w:rFonts w:hint="eastAsia" w:eastAsia="宋体" w:cs="Times New Roman"/>
          <w:color w:val="7030A0"/>
          <w:sz w:val="23"/>
          <w:szCs w:val="23"/>
          <w:highlight w:val="none"/>
        </w:rPr>
        <w:t>处水质预测结果满足安全余量的要求，见下表：</w:t>
      </w:r>
    </w:p>
    <w:p>
      <w:pPr>
        <w:widowControl w:val="0"/>
        <w:spacing w:line="360" w:lineRule="auto"/>
        <w:ind w:firstLine="0" w:firstLineChars="0"/>
        <w:jc w:val="center"/>
        <w:rPr>
          <w:rFonts w:ascii="Times New Roman" w:hAnsi="Times New Roman" w:eastAsia="黑体" w:cs="Times New Roman"/>
          <w:color w:val="7030A0"/>
          <w:kern w:val="2"/>
          <w:sz w:val="21"/>
          <w:szCs w:val="20"/>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表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6.2</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表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12</w:t>
      </w:r>
      <w:r>
        <w:rPr>
          <w:rFonts w:ascii="Times New Roman" w:hAnsi="Times New Roman" w:eastAsia="黑体" w:cs="Times New Roman"/>
          <w:color w:val="7030A0"/>
          <w:kern w:val="2"/>
          <w:sz w:val="21"/>
          <w:szCs w:val="20"/>
          <w:highlight w:val="none"/>
          <w:lang w:val="en-US" w:eastAsia="zh-CN" w:bidi="ar-SA"/>
        </w:rPr>
        <w:fldChar w:fldCharType="end"/>
      </w:r>
      <w:r>
        <w:rPr>
          <w:rFonts w:hint="eastAsia" w:ascii="Times New Roman" w:hAnsi="Times New Roman" w:eastAsia="黑体" w:cs="Times New Roman"/>
          <w:color w:val="7030A0"/>
          <w:kern w:val="2"/>
          <w:sz w:val="21"/>
          <w:szCs w:val="20"/>
          <w:highlight w:val="none"/>
          <w:lang w:val="en-US" w:eastAsia="zh-CN" w:bidi="ar-SA"/>
        </w:rPr>
        <w:t>正常排放时安全余量核算结果表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1843"/>
        <w:gridCol w:w="1976"/>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项目</w:t>
            </w:r>
          </w:p>
        </w:tc>
        <w:tc>
          <w:tcPr>
            <w:tcW w:w="6310" w:type="dxa"/>
            <w:gridSpan w:val="3"/>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预测浓度及限值（mg/L）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vMerge w:val="restart"/>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排污口下游2km核算断面预测结果</w:t>
            </w:r>
          </w:p>
        </w:tc>
        <w:tc>
          <w:tcPr>
            <w:tcW w:w="1843"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COD</w:t>
            </w:r>
          </w:p>
        </w:tc>
        <w:tc>
          <w:tcPr>
            <w:tcW w:w="1976"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氨氮</w:t>
            </w:r>
          </w:p>
        </w:tc>
        <w:tc>
          <w:tcPr>
            <w:tcW w:w="2491"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vMerge w:val="continue"/>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p>
        </w:tc>
        <w:tc>
          <w:tcPr>
            <w:tcW w:w="1843"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8.64</w:t>
            </w:r>
          </w:p>
        </w:tc>
        <w:tc>
          <w:tcPr>
            <w:tcW w:w="1976"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0.269</w:t>
            </w:r>
          </w:p>
        </w:tc>
        <w:tc>
          <w:tcPr>
            <w:tcW w:w="2491"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考虑安全余量的断面水质限值</w:t>
            </w:r>
          </w:p>
        </w:tc>
        <w:tc>
          <w:tcPr>
            <w:tcW w:w="1843"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13.5</w:t>
            </w:r>
          </w:p>
        </w:tc>
        <w:tc>
          <w:tcPr>
            <w:tcW w:w="1976"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0.45</w:t>
            </w:r>
          </w:p>
        </w:tc>
        <w:tc>
          <w:tcPr>
            <w:tcW w:w="2491"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0.09</w:t>
            </w:r>
          </w:p>
        </w:tc>
      </w:tr>
    </w:tbl>
    <w:p>
      <w:pPr>
        <w:ind w:firstLine="460"/>
        <w:rPr>
          <w:rFonts w:hint="eastAsia" w:eastAsia="宋体" w:cs="Times New Roman"/>
          <w:color w:val="7030A0"/>
          <w:highlight w:val="none"/>
        </w:rPr>
      </w:pPr>
      <w:r>
        <w:rPr>
          <w:rFonts w:hint="eastAsia" w:eastAsia="宋体" w:cs="Times New Roman"/>
          <w:color w:val="7030A0"/>
          <w:sz w:val="23"/>
          <w:szCs w:val="23"/>
          <w:highlight w:val="none"/>
        </w:rPr>
        <w:t>根据上表统计，园区污水处理厂在正常排放条件下在排口下游</w:t>
      </w:r>
      <w:r>
        <w:rPr>
          <w:rFonts w:eastAsia="宋体" w:cs="Times New Roman"/>
          <w:color w:val="7030A0"/>
          <w:sz w:val="23"/>
          <w:szCs w:val="23"/>
          <w:highlight w:val="none"/>
        </w:rPr>
        <w:t>2km</w:t>
      </w:r>
      <w:r>
        <w:rPr>
          <w:rFonts w:hint="eastAsia" w:eastAsia="宋体" w:cs="Times New Roman"/>
          <w:color w:val="7030A0"/>
          <w:sz w:val="23"/>
          <w:szCs w:val="23"/>
          <w:highlight w:val="none"/>
        </w:rPr>
        <w:t>断面浓度预测值能够满足安全余量要求。</w:t>
      </w:r>
    </w:p>
    <w:p>
      <w:pPr>
        <w:ind w:firstLine="480"/>
        <w:rPr>
          <w:rFonts w:eastAsia="宋体" w:cs="Times New Roman"/>
          <w:color w:val="7030A0"/>
          <w:highlight w:val="none"/>
        </w:rPr>
      </w:pPr>
      <w:r>
        <w:rPr>
          <w:rFonts w:eastAsia="宋体" w:cs="Times New Roman"/>
          <w:color w:val="7030A0"/>
          <w:highlight w:val="none"/>
        </w:rPr>
        <w:t>3</w:t>
      </w:r>
      <w:r>
        <w:rPr>
          <w:rFonts w:hint="eastAsia" w:eastAsia="宋体" w:cs="Times New Roman"/>
          <w:color w:val="7030A0"/>
          <w:highlight w:val="none"/>
        </w:rPr>
        <w:t>、地表水预测结论</w:t>
      </w:r>
    </w:p>
    <w:p>
      <w:pPr>
        <w:ind w:firstLine="480"/>
        <w:rPr>
          <w:rFonts w:ascii="宋体" w:eastAsia="宋体" w:cs="宋体"/>
          <w:color w:val="7030A0"/>
          <w:kern w:val="0"/>
          <w:highlight w:val="none"/>
        </w:rPr>
      </w:pPr>
      <w:r>
        <w:rPr>
          <w:rFonts w:hint="eastAsia" w:eastAsia="宋体" w:cs="Times New Roman"/>
          <w:color w:val="7030A0"/>
          <w:highlight w:val="none"/>
        </w:rPr>
        <w:t>本次地表水预测范围自园区污水处理厂排污口至其下游</w:t>
      </w:r>
      <w:r>
        <w:rPr>
          <w:rFonts w:eastAsia="宋体" w:cs="Times New Roman"/>
          <w:color w:val="7030A0"/>
          <w:highlight w:val="none"/>
        </w:rPr>
        <w:t>“</w:t>
      </w:r>
      <w:r>
        <w:rPr>
          <w:rFonts w:hint="eastAsia" w:eastAsia="宋体" w:cs="Times New Roman"/>
          <w:color w:val="7030A0"/>
          <w:highlight w:val="none"/>
        </w:rPr>
        <w:t>嘉陵江郑家坝水源地准保护区起点</w:t>
      </w:r>
      <w:r>
        <w:rPr>
          <w:rFonts w:eastAsia="宋体" w:cs="Times New Roman"/>
          <w:color w:val="7030A0"/>
          <w:highlight w:val="none"/>
        </w:rPr>
        <w:t>”</w:t>
      </w:r>
      <w:r>
        <w:rPr>
          <w:rFonts w:hint="eastAsia" w:eastAsia="宋体" w:cs="Times New Roman"/>
          <w:color w:val="7030A0"/>
          <w:highlight w:val="none"/>
        </w:rPr>
        <w:t>断面，预测河段全长</w:t>
      </w:r>
      <w:r>
        <w:rPr>
          <w:rFonts w:eastAsia="宋体" w:cs="Times New Roman"/>
          <w:color w:val="7030A0"/>
          <w:highlight w:val="none"/>
        </w:rPr>
        <w:t>5500m</w:t>
      </w:r>
      <w:r>
        <w:rPr>
          <w:rFonts w:hint="eastAsia" w:eastAsia="宋体" w:cs="Times New Roman"/>
          <w:color w:val="7030A0"/>
          <w:highlight w:val="none"/>
        </w:rPr>
        <w:t>。在园区污水处理厂正常状况下运行，污染物预测值超过</w:t>
      </w:r>
      <w:r>
        <w:rPr>
          <w:rFonts w:eastAsia="宋体" w:cs="Times New Roman"/>
          <w:color w:val="7030A0"/>
          <w:highlight w:val="none"/>
        </w:rPr>
        <w:t>II</w:t>
      </w:r>
      <w:r>
        <w:rPr>
          <w:rFonts w:hint="eastAsia" w:eastAsia="宋体" w:cs="Times New Roman"/>
          <w:color w:val="7030A0"/>
          <w:highlight w:val="none"/>
        </w:rPr>
        <w:t>类水标准的河段为排污口下游</w:t>
      </w:r>
      <w:r>
        <w:rPr>
          <w:rFonts w:eastAsia="宋体" w:cs="Times New Roman"/>
          <w:color w:val="7030A0"/>
          <w:highlight w:val="none"/>
        </w:rPr>
        <w:t>300m</w:t>
      </w:r>
      <w:r>
        <w:rPr>
          <w:rFonts w:hint="eastAsia" w:eastAsia="宋体" w:cs="Times New Roman"/>
          <w:color w:val="7030A0"/>
          <w:highlight w:val="none"/>
        </w:rPr>
        <w:t>、沿河宽</w:t>
      </w:r>
      <w:r>
        <w:rPr>
          <w:rFonts w:eastAsia="宋体" w:cs="Times New Roman"/>
          <w:color w:val="7030A0"/>
          <w:highlight w:val="none"/>
        </w:rPr>
        <w:t>10m</w:t>
      </w:r>
      <w:r>
        <w:rPr>
          <w:rFonts w:hint="eastAsia" w:eastAsia="宋体" w:cs="Times New Roman"/>
          <w:color w:val="7030A0"/>
          <w:highlight w:val="none"/>
        </w:rPr>
        <w:t>的范围；在园区污水处理厂非正常状况下运行，污染物预测值超过</w:t>
      </w:r>
      <w:r>
        <w:rPr>
          <w:rFonts w:eastAsia="宋体" w:cs="Times New Roman"/>
          <w:color w:val="7030A0"/>
          <w:highlight w:val="none"/>
        </w:rPr>
        <w:t>II</w:t>
      </w:r>
      <w:r>
        <w:rPr>
          <w:rFonts w:hint="eastAsia" w:eastAsia="宋体" w:cs="Times New Roman"/>
          <w:color w:val="7030A0"/>
          <w:highlight w:val="none"/>
        </w:rPr>
        <w:t>类水标准的河</w:t>
      </w:r>
      <w:r>
        <w:rPr>
          <w:rFonts w:hint="eastAsia" w:ascii="宋体" w:eastAsia="宋体" w:cs="宋体"/>
          <w:color w:val="7030A0"/>
          <w:kern w:val="0"/>
          <w:highlight w:val="none"/>
        </w:rPr>
        <w:t>段为排污口下游</w:t>
      </w:r>
      <w:r>
        <w:rPr>
          <w:rFonts w:eastAsia="宋体" w:cs="Times New Roman"/>
          <w:color w:val="7030A0"/>
          <w:kern w:val="0"/>
          <w:highlight w:val="none"/>
        </w:rPr>
        <w:t>4000m</w:t>
      </w:r>
      <w:r>
        <w:rPr>
          <w:rFonts w:hint="eastAsia" w:ascii="宋体" w:eastAsia="宋体" w:cs="宋体"/>
          <w:color w:val="7030A0"/>
          <w:kern w:val="0"/>
          <w:highlight w:val="none"/>
        </w:rPr>
        <w:t>、沿河宽</w:t>
      </w:r>
      <w:r>
        <w:rPr>
          <w:rFonts w:eastAsia="宋体" w:cs="Times New Roman"/>
          <w:color w:val="7030A0"/>
          <w:kern w:val="0"/>
          <w:highlight w:val="none"/>
        </w:rPr>
        <w:t>20m</w:t>
      </w:r>
      <w:r>
        <w:rPr>
          <w:rFonts w:hint="eastAsia" w:ascii="宋体" w:eastAsia="宋体" w:cs="宋体"/>
          <w:color w:val="7030A0"/>
          <w:kern w:val="0"/>
          <w:highlight w:val="none"/>
        </w:rPr>
        <w:t>的范围。污水处理厂正常排水时排口下游</w:t>
      </w:r>
      <w:r>
        <w:rPr>
          <w:rFonts w:eastAsia="宋体" w:cs="Times New Roman"/>
          <w:color w:val="7030A0"/>
          <w:kern w:val="0"/>
          <w:highlight w:val="none"/>
        </w:rPr>
        <w:t>2km</w:t>
      </w:r>
      <w:r>
        <w:rPr>
          <w:rFonts w:hint="eastAsia" w:ascii="宋体" w:eastAsia="宋体" w:cs="宋体"/>
          <w:color w:val="7030A0"/>
          <w:kern w:val="0"/>
          <w:highlight w:val="none"/>
        </w:rPr>
        <w:t>满足安全余量的核算要求，虽然污水入河后会导致排口附近及其下游一定范围内污染物浓度超过</w:t>
      </w:r>
      <w:r>
        <w:rPr>
          <w:rFonts w:eastAsia="宋体" w:cs="Times New Roman"/>
          <w:color w:val="7030A0"/>
          <w:kern w:val="0"/>
          <w:highlight w:val="none"/>
        </w:rPr>
        <w:t>II</w:t>
      </w:r>
      <w:r>
        <w:rPr>
          <w:rFonts w:hint="eastAsia" w:ascii="宋体" w:eastAsia="宋体" w:cs="宋体"/>
          <w:color w:val="7030A0"/>
          <w:kern w:val="0"/>
          <w:highlight w:val="none"/>
        </w:rPr>
        <w:t>类水标准，但超标范围未蔓延至排口下游</w:t>
      </w:r>
      <w:r>
        <w:rPr>
          <w:rFonts w:eastAsia="宋体" w:cs="Times New Roman"/>
          <w:color w:val="7030A0"/>
          <w:kern w:val="0"/>
          <w:highlight w:val="none"/>
        </w:rPr>
        <w:t>5500m</w:t>
      </w:r>
      <w:r>
        <w:rPr>
          <w:rFonts w:hint="eastAsia" w:ascii="宋体" w:eastAsia="宋体" w:cs="宋体"/>
          <w:color w:val="7030A0"/>
          <w:kern w:val="0"/>
          <w:highlight w:val="none"/>
        </w:rPr>
        <w:t>处的郑家坝水源地准保护区，不会影响水源地水环境功能。</w:t>
      </w:r>
      <w:r>
        <w:rPr>
          <w:rFonts w:ascii="宋体" w:eastAsia="宋体" w:cs="宋体"/>
          <w:color w:val="7030A0"/>
          <w:kern w:val="0"/>
          <w:highlight w:val="none"/>
        </w:rPr>
        <w:t xml:space="preserve"> </w:t>
      </w:r>
    </w:p>
    <w:p>
      <w:pPr>
        <w:ind w:firstLine="480"/>
        <w:rPr>
          <w:rFonts w:hint="eastAsia" w:eastAsia="宋体" w:cs="Times New Roman"/>
          <w:color w:val="7030A0"/>
          <w:szCs w:val="21"/>
          <w:highlight w:val="none"/>
        </w:rPr>
      </w:pPr>
      <w:r>
        <w:rPr>
          <w:rFonts w:hint="eastAsia" w:ascii="宋体" w:eastAsia="宋体" w:cs="宋体"/>
          <w:color w:val="7030A0"/>
          <w:kern w:val="0"/>
          <w:highlight w:val="none"/>
        </w:rPr>
        <w:t>由此可见，本规划实施地表水环境影响可接受。</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30"/>
          <w:szCs w:val="32"/>
          <w:highlight w:val="none"/>
          <w:lang w:val="en-US" w:eastAsia="zh-CN" w:bidi="ar-SA"/>
        </w:rPr>
      </w:pPr>
      <w:r>
        <w:rPr>
          <w:rFonts w:hint="eastAsia" w:ascii="Times New Roman" w:hAnsi="Times New Roman" w:eastAsia="黑体" w:cs="Times New Roman"/>
          <w:bCs/>
          <w:color w:val="7030A0"/>
          <w:kern w:val="2"/>
          <w:sz w:val="30"/>
          <w:szCs w:val="32"/>
          <w:highlight w:val="none"/>
          <w:lang w:val="en-US" w:eastAsia="zh-CN" w:bidi="ar-SA"/>
        </w:rPr>
        <w:t>地下水环境影响</w:t>
      </w:r>
      <w:r>
        <w:rPr>
          <w:rFonts w:ascii="Times New Roman" w:hAnsi="Times New Roman" w:eastAsia="黑体" w:cs="Times New Roman"/>
          <w:bCs/>
          <w:color w:val="7030A0"/>
          <w:kern w:val="2"/>
          <w:sz w:val="30"/>
          <w:szCs w:val="32"/>
          <w:highlight w:val="none"/>
          <w:lang w:val="en-US" w:eastAsia="zh-CN" w:bidi="ar-SA"/>
        </w:rPr>
        <w:t>预测与评价</w:t>
      </w:r>
    </w:p>
    <w:p>
      <w:pPr>
        <w:ind w:firstLine="480"/>
        <w:rPr>
          <w:rFonts w:eastAsia="宋体" w:cs="Times New Roman"/>
          <w:color w:val="7030A0"/>
          <w:highlight w:val="none"/>
        </w:rPr>
      </w:pPr>
      <w:r>
        <w:rPr>
          <w:rFonts w:hint="eastAsia" w:eastAsia="宋体" w:cs="Times New Roman"/>
          <w:color w:val="7030A0"/>
          <w:highlight w:val="none"/>
        </w:rPr>
        <w:t>1、地层岩性及富水性</w:t>
      </w:r>
    </w:p>
    <w:p>
      <w:pPr>
        <w:ind w:firstLine="480"/>
        <w:rPr>
          <w:rFonts w:eastAsia="宋体" w:cs="Times New Roman"/>
          <w:color w:val="7030A0"/>
          <w:highlight w:val="none"/>
        </w:rPr>
      </w:pPr>
      <w:r>
        <w:rPr>
          <w:rFonts w:hint="eastAsia" w:eastAsia="宋体" w:cs="Times New Roman"/>
          <w:color w:val="7030A0"/>
          <w:highlight w:val="none"/>
        </w:rPr>
        <w:t>根据区域水文地质资料，规划区出露的地层包括第四系全新统冲洪积地层（</w:t>
      </w:r>
      <w:r>
        <w:rPr>
          <w:rFonts w:eastAsia="宋体" w:cs="Times New Roman"/>
          <w:color w:val="7030A0"/>
          <w:highlight w:val="none"/>
        </w:rPr>
        <w:t>Q4</w:t>
      </w:r>
      <w:r>
        <w:rPr>
          <w:rFonts w:eastAsia="宋体" w:cs="Times New Roman"/>
          <w:color w:val="7030A0"/>
          <w:highlight w:val="none"/>
          <w:vertAlign w:val="superscript"/>
        </w:rPr>
        <w:t>al+pl</w:t>
      </w:r>
      <w:r>
        <w:rPr>
          <w:rFonts w:hint="eastAsia" w:eastAsia="宋体" w:cs="Times New Roman"/>
          <w:color w:val="7030A0"/>
          <w:highlight w:val="none"/>
        </w:rPr>
        <w:t>）及白垩系下统剑门关组砂泥岩地层（</w:t>
      </w:r>
      <w:r>
        <w:rPr>
          <w:rFonts w:eastAsia="宋体" w:cs="Times New Roman"/>
          <w:color w:val="7030A0"/>
          <w:highlight w:val="none"/>
        </w:rPr>
        <w:t>K</w:t>
      </w:r>
      <w:r>
        <w:rPr>
          <w:rFonts w:eastAsia="宋体" w:cs="Times New Roman"/>
          <w:color w:val="7030A0"/>
          <w:highlight w:val="none"/>
          <w:vertAlign w:val="subscript"/>
        </w:rPr>
        <w:t>1jn</w:t>
      </w:r>
      <w:r>
        <w:rPr>
          <w:rFonts w:hint="eastAsia" w:eastAsia="宋体" w:cs="Times New Roman"/>
          <w:color w:val="7030A0"/>
          <w:highlight w:val="none"/>
        </w:rPr>
        <w:t>）。</w:t>
      </w:r>
    </w:p>
    <w:p>
      <w:pPr>
        <w:ind w:firstLine="480"/>
        <w:rPr>
          <w:rFonts w:eastAsia="宋体" w:cs="Times New Roman"/>
          <w:color w:val="7030A0"/>
          <w:highlight w:val="none"/>
        </w:rPr>
      </w:pPr>
      <w:r>
        <w:rPr>
          <w:rFonts w:hint="eastAsia" w:eastAsia="宋体" w:cs="Times New Roman"/>
          <w:color w:val="7030A0"/>
          <w:highlight w:val="none"/>
        </w:rPr>
        <w:t>第四系全新统冲洪积地层主要分布于规划区西部靠近嘉陵江的局部地段，该套地层富水性相对较强，最大涌水量约</w:t>
      </w:r>
      <w:r>
        <w:rPr>
          <w:rFonts w:eastAsia="宋体" w:cs="Times New Roman"/>
          <w:color w:val="7030A0"/>
          <w:highlight w:val="none"/>
        </w:rPr>
        <w:t>10m</w:t>
      </w:r>
      <w:r>
        <w:rPr>
          <w:rFonts w:eastAsia="宋体" w:cs="Times New Roman"/>
          <w:color w:val="7030A0"/>
          <w:highlight w:val="none"/>
          <w:vertAlign w:val="superscript"/>
        </w:rPr>
        <w:t>3</w:t>
      </w:r>
      <w:r>
        <w:rPr>
          <w:rFonts w:eastAsia="宋体" w:cs="Times New Roman"/>
          <w:color w:val="7030A0"/>
          <w:highlight w:val="none"/>
        </w:rPr>
        <w:t>/d</w:t>
      </w:r>
      <w:r>
        <w:rPr>
          <w:rFonts w:hint="eastAsia" w:eastAsia="宋体" w:cs="Times New Roman"/>
          <w:color w:val="7030A0"/>
          <w:highlight w:val="none"/>
        </w:rPr>
        <w:t>，但因其仅在嘉陵江阶地内零星分布，不能形成连续稳定的含水层，因此不作为本次评价的重点含水层；白垩系下统剑门关组砂泥岩地层广泛分布于规划区及周边，该套地层赋存有砂泥岩裂隙水，受裂隙发育程度控制其富水性通常有限，不具备集中供水条件，泉流量介于</w:t>
      </w:r>
      <w:r>
        <w:rPr>
          <w:rFonts w:eastAsia="宋体" w:cs="Times New Roman"/>
          <w:color w:val="7030A0"/>
          <w:highlight w:val="none"/>
        </w:rPr>
        <w:t>0.01</w:t>
      </w:r>
      <w:r>
        <w:rPr>
          <w:rFonts w:hint="eastAsia" w:eastAsia="宋体" w:cs="Times New Roman"/>
          <w:color w:val="7030A0"/>
          <w:highlight w:val="none"/>
        </w:rPr>
        <w:t>～</w:t>
      </w:r>
      <w:r>
        <w:rPr>
          <w:rFonts w:eastAsia="宋体" w:cs="Times New Roman"/>
          <w:color w:val="7030A0"/>
          <w:highlight w:val="none"/>
        </w:rPr>
        <w:t>0.5L/s</w:t>
      </w:r>
      <w:r>
        <w:rPr>
          <w:rFonts w:hint="eastAsia" w:eastAsia="宋体" w:cs="Times New Roman"/>
          <w:color w:val="7030A0"/>
          <w:highlight w:val="none"/>
        </w:rPr>
        <w:t>，但因其在评价区内广泛分布，因此本次评价将其作为区内主要含水层，亦为本次评价的目标含水层。</w:t>
      </w:r>
    </w:p>
    <w:p>
      <w:pPr>
        <w:ind w:firstLine="480"/>
        <w:rPr>
          <w:rFonts w:eastAsia="宋体" w:cs="Times New Roman"/>
          <w:color w:val="7030A0"/>
          <w:highlight w:val="none"/>
        </w:rPr>
      </w:pPr>
      <w:bookmarkStart w:id="49" w:name="_Toc63581617"/>
      <w:bookmarkStart w:id="50" w:name="_Toc62461138"/>
      <w:bookmarkStart w:id="51" w:name="_Toc62503822"/>
      <w:bookmarkStart w:id="52" w:name="_Toc66204768"/>
      <w:r>
        <w:rPr>
          <w:rFonts w:eastAsia="宋体" w:cs="Times New Roman"/>
          <w:color w:val="7030A0"/>
          <w:highlight w:val="none"/>
        </w:rPr>
        <w:t>2</w:t>
      </w:r>
      <w:r>
        <w:rPr>
          <w:rFonts w:hint="eastAsia" w:eastAsia="宋体" w:cs="Times New Roman"/>
          <w:color w:val="7030A0"/>
          <w:highlight w:val="none"/>
        </w:rPr>
        <w:t>、</w:t>
      </w:r>
      <w:r>
        <w:rPr>
          <w:rFonts w:eastAsia="宋体" w:cs="Times New Roman"/>
          <w:color w:val="7030A0"/>
          <w:highlight w:val="none"/>
        </w:rPr>
        <w:t>地下水</w:t>
      </w:r>
      <w:bookmarkEnd w:id="49"/>
      <w:bookmarkEnd w:id="50"/>
      <w:bookmarkEnd w:id="51"/>
      <w:bookmarkEnd w:id="52"/>
      <w:r>
        <w:rPr>
          <w:rFonts w:eastAsia="宋体" w:cs="Times New Roman"/>
          <w:color w:val="7030A0"/>
          <w:highlight w:val="none"/>
        </w:rPr>
        <w:t>补给、</w:t>
      </w:r>
      <w:r>
        <w:rPr>
          <w:rFonts w:hint="eastAsia" w:eastAsia="宋体" w:cs="Times New Roman"/>
          <w:color w:val="7030A0"/>
          <w:highlight w:val="none"/>
        </w:rPr>
        <w:t>径流、排泄条件</w:t>
      </w:r>
    </w:p>
    <w:p>
      <w:pPr>
        <w:ind w:firstLine="480"/>
        <w:rPr>
          <w:rFonts w:eastAsia="宋体" w:cs="Times New Roman"/>
          <w:color w:val="7030A0"/>
          <w:highlight w:val="none"/>
        </w:rPr>
      </w:pPr>
      <w:r>
        <w:rPr>
          <w:rFonts w:hint="eastAsia" w:eastAsia="宋体" w:cs="Times New Roman"/>
          <w:color w:val="7030A0"/>
          <w:highlight w:val="none"/>
        </w:rPr>
        <w:t>规划区所在区域地下水主要接受在坡地上露头处的大气降雨入渗补给，由于区内地势陡峻，沟壑纵横，不利于降雨入渗，因此大多数降雨以地表径流的形式流走，少量降雨深入含水层进入地下水，地下水接受补给后在基岩裂隙中赋存，并受地形及裂隙发育方向控制自高处向低处径流，最终排泄进入当地地表水体汇入嘉陵江参与更高一级水循环。</w:t>
      </w:r>
    </w:p>
    <w:p>
      <w:pPr>
        <w:ind w:firstLine="480"/>
        <w:rPr>
          <w:rFonts w:eastAsia="宋体" w:cs="Times New Roman"/>
          <w:color w:val="7030A0"/>
          <w:highlight w:val="none"/>
        </w:rPr>
      </w:pPr>
      <w:r>
        <w:rPr>
          <w:rFonts w:hint="eastAsia" w:eastAsia="宋体" w:cs="Times New Roman"/>
          <w:color w:val="7030A0"/>
          <w:highlight w:val="none"/>
        </w:rPr>
        <w:t>3</w:t>
      </w:r>
      <w:r>
        <w:rPr>
          <w:rFonts w:eastAsia="宋体" w:cs="Times New Roman"/>
          <w:color w:val="7030A0"/>
          <w:highlight w:val="none"/>
        </w:rPr>
        <w:t>、地下水开发利用状况</w:t>
      </w:r>
    </w:p>
    <w:p>
      <w:pPr>
        <w:ind w:firstLine="480"/>
        <w:rPr>
          <w:rFonts w:eastAsia="宋体" w:cs="Times New Roman"/>
          <w:color w:val="7030A0"/>
          <w:highlight w:val="none"/>
        </w:rPr>
      </w:pPr>
      <w:r>
        <w:rPr>
          <w:rFonts w:hint="eastAsia" w:eastAsia="宋体" w:cs="Times New Roman"/>
          <w:color w:val="7030A0"/>
          <w:highlight w:val="none"/>
        </w:rPr>
        <w:t>由于规划区所在地地下水类型以砂泥岩裂隙水为主的基岩裂隙水，受裂隙发育程度控制含水层水量贫乏，不具备集中开发利用价值。根据现场调查走访，评价区地下水仅作为当地零散分布的居民自用作分散式供水水源。</w:t>
      </w:r>
    </w:p>
    <w:p>
      <w:pPr>
        <w:ind w:firstLine="480"/>
        <w:rPr>
          <w:rFonts w:eastAsia="宋体" w:cs="Times New Roman"/>
          <w:color w:val="7030A0"/>
          <w:highlight w:val="none"/>
        </w:rPr>
      </w:pPr>
      <w:r>
        <w:rPr>
          <w:rFonts w:hint="eastAsia" w:eastAsia="宋体" w:cs="Times New Roman"/>
          <w:color w:val="7030A0"/>
          <w:highlight w:val="none"/>
        </w:rPr>
        <w:t>4</w:t>
      </w:r>
      <w:r>
        <w:rPr>
          <w:rFonts w:eastAsia="宋体" w:cs="Times New Roman"/>
          <w:color w:val="7030A0"/>
          <w:highlight w:val="none"/>
        </w:rPr>
        <w:t>、地下水污染因素</w:t>
      </w:r>
      <w:r>
        <w:rPr>
          <w:rFonts w:hint="eastAsia" w:eastAsia="宋体" w:cs="Times New Roman"/>
          <w:color w:val="7030A0"/>
          <w:highlight w:val="none"/>
        </w:rPr>
        <w:t>分析</w:t>
      </w:r>
    </w:p>
    <w:p>
      <w:pPr>
        <w:widowControl w:val="0"/>
        <w:spacing w:line="360" w:lineRule="auto"/>
        <w:ind w:firstLine="480" w:firstLineChars="200"/>
        <w:jc w:val="both"/>
        <w:rPr>
          <w:rFonts w:ascii="Times New Roman" w:hAnsi="Times New Roman" w:eastAsia="宋体" w:cs="Times New Roman"/>
          <w:color w:val="7030A0"/>
          <w:kern w:val="2"/>
          <w:sz w:val="24"/>
          <w:szCs w:val="22"/>
          <w:highlight w:val="none"/>
          <w:lang w:val="en-US" w:eastAsia="zh-CN" w:bidi="ar-SA"/>
        </w:rPr>
      </w:pPr>
      <w:r>
        <w:rPr>
          <w:rFonts w:hint="eastAsia" w:ascii="Times New Roman" w:hAnsi="Times New Roman" w:eastAsia="宋体" w:cs="Times New Roman"/>
          <w:color w:val="7030A0"/>
          <w:kern w:val="2"/>
          <w:sz w:val="24"/>
          <w:szCs w:val="22"/>
          <w:highlight w:val="none"/>
          <w:lang w:val="en-US" w:eastAsia="zh-CN" w:bidi="ar-SA"/>
        </w:rPr>
        <w:t>（1）在区域开发施工过程中，诸如：基础设施（各种埋地管线、道路）施工、开发区引进企业的厂房基础建设、区域填方等造成的石油类随开挖沟渠渗入地下水体进而污染地下水；</w:t>
      </w:r>
    </w:p>
    <w:p>
      <w:pPr>
        <w:ind w:firstLine="480"/>
        <w:rPr>
          <w:rFonts w:eastAsia="宋体" w:cs="Times New Roman"/>
          <w:color w:val="7030A0"/>
          <w:highlight w:val="none"/>
        </w:rPr>
      </w:pPr>
      <w:r>
        <w:rPr>
          <w:rFonts w:hint="eastAsia" w:eastAsia="宋体" w:cs="Times New Roman"/>
          <w:color w:val="7030A0"/>
          <w:highlight w:val="none"/>
        </w:rPr>
        <w:t>（2）区域内生产性企业的原料跑、冒、滴、漏，这些污染物随降雨渗入地下水体进而污染地下水体；</w:t>
      </w:r>
    </w:p>
    <w:p>
      <w:pPr>
        <w:ind w:firstLine="480"/>
        <w:rPr>
          <w:rFonts w:eastAsia="宋体" w:cs="Times New Roman"/>
          <w:color w:val="7030A0"/>
          <w:highlight w:val="none"/>
        </w:rPr>
      </w:pPr>
      <w:r>
        <w:rPr>
          <w:rFonts w:hint="eastAsia" w:eastAsia="宋体" w:cs="Times New Roman"/>
          <w:color w:val="7030A0"/>
          <w:highlight w:val="none"/>
        </w:rPr>
        <w:t>（3）开发区内地下敷设管线（特别是污水管线）破裂而导致地下水体受到污染。</w:t>
      </w:r>
    </w:p>
    <w:p>
      <w:pPr>
        <w:ind w:firstLine="480"/>
        <w:rPr>
          <w:rFonts w:eastAsia="宋体" w:cs="Times New Roman"/>
          <w:color w:val="7030A0"/>
          <w:highlight w:val="none"/>
        </w:rPr>
      </w:pPr>
      <w:r>
        <w:rPr>
          <w:rFonts w:hint="eastAsia" w:eastAsia="宋体" w:cs="Times New Roman"/>
          <w:color w:val="7030A0"/>
          <w:highlight w:val="none"/>
        </w:rPr>
        <w:t>（4）工业区内危险废物储存、运输及使用等过程未按要求进行，则有可能发生泄露风险，进而影响地下水。</w:t>
      </w:r>
    </w:p>
    <w:p>
      <w:pPr>
        <w:ind w:firstLine="480"/>
        <w:rPr>
          <w:rFonts w:eastAsia="宋体" w:cs="Times New Roman"/>
          <w:color w:val="7030A0"/>
          <w:highlight w:val="none"/>
        </w:rPr>
      </w:pPr>
      <w:r>
        <w:rPr>
          <w:rFonts w:hint="eastAsia" w:eastAsia="宋体" w:cs="Times New Roman"/>
          <w:color w:val="7030A0"/>
          <w:highlight w:val="none"/>
        </w:rPr>
        <w:t>（5）工业区内建设的污水处理等池体构筑物内废水在稳定水头驱使下下渗进入地下水系统，而导致含水层的影响。</w:t>
      </w:r>
    </w:p>
    <w:p>
      <w:pPr>
        <w:widowControl w:val="0"/>
        <w:spacing w:line="360" w:lineRule="auto"/>
        <w:ind w:firstLine="480" w:firstLineChars="200"/>
        <w:jc w:val="both"/>
        <w:rPr>
          <w:rFonts w:hint="eastAsia" w:ascii="Times New Roman" w:hAnsi="Times New Roman" w:eastAsia="宋体" w:cs="Times New Roman"/>
          <w:color w:val="7030A0"/>
          <w:kern w:val="2"/>
          <w:sz w:val="24"/>
          <w:szCs w:val="22"/>
          <w:highlight w:val="none"/>
          <w:lang w:val="en-US" w:eastAsia="zh-CN" w:bidi="ar-SA"/>
        </w:rPr>
      </w:pPr>
      <w:r>
        <w:rPr>
          <w:rFonts w:hint="eastAsia" w:ascii="Times New Roman" w:hAnsi="Times New Roman" w:eastAsia="宋体" w:cs="Times New Roman"/>
          <w:color w:val="7030A0"/>
          <w:kern w:val="2"/>
          <w:sz w:val="24"/>
          <w:szCs w:val="22"/>
          <w:highlight w:val="none"/>
          <w:lang w:val="en-US" w:eastAsia="zh-CN" w:bidi="ar-SA"/>
        </w:rPr>
        <w:t>5、地下水环境影响评价结论</w:t>
      </w:r>
    </w:p>
    <w:p>
      <w:pPr>
        <w:widowControl w:val="0"/>
        <w:spacing w:line="360" w:lineRule="auto"/>
        <w:ind w:firstLine="480" w:firstLineChars="200"/>
        <w:jc w:val="both"/>
        <w:rPr>
          <w:rFonts w:ascii="Times New Roman" w:hAnsi="Times New Roman" w:eastAsia="宋体" w:cs="Times New Roman"/>
          <w:color w:val="7030A0"/>
          <w:kern w:val="2"/>
          <w:sz w:val="24"/>
          <w:szCs w:val="22"/>
          <w:highlight w:val="none"/>
          <w:lang w:val="en-US" w:eastAsia="zh-CN" w:bidi="ar-SA"/>
        </w:rPr>
      </w:pPr>
      <w:r>
        <w:rPr>
          <w:rFonts w:hint="eastAsia" w:ascii="Times New Roman" w:hAnsi="Times New Roman" w:eastAsia="宋体" w:cs="Times New Roman"/>
          <w:color w:val="7030A0"/>
          <w:kern w:val="2"/>
          <w:sz w:val="24"/>
          <w:szCs w:val="22"/>
          <w:highlight w:val="none"/>
          <w:lang w:val="en-US" w:eastAsia="zh-CN" w:bidi="ar-SA"/>
        </w:rPr>
        <w:t>规划区拟引入企业应开展环境影响评价工作，并严格按相关要求采取分区防渗措施，正常状况下，企业各生产设施、储存设施等构筑物运行良好，在采取了严格防渗措施后，受防渗层阻隔，园区内企业正常运行不会对地下水环境产生影响，非正常情况下，受物料储罐破损、防渗层老化失效等因素影响，将导致污染物进入含水层对地下水水质产生影响。</w:t>
      </w:r>
    </w:p>
    <w:p>
      <w:pPr>
        <w:widowControl w:val="0"/>
        <w:spacing w:line="360" w:lineRule="auto"/>
        <w:ind w:firstLine="480" w:firstLineChars="200"/>
        <w:jc w:val="both"/>
        <w:rPr>
          <w:rFonts w:ascii="Times New Roman" w:hAnsi="Times New Roman" w:eastAsia="宋体" w:cs="Times New Roman"/>
          <w:color w:val="7030A0"/>
          <w:kern w:val="2"/>
          <w:sz w:val="24"/>
          <w:szCs w:val="22"/>
          <w:highlight w:val="none"/>
          <w:lang w:val="en-US" w:eastAsia="zh-CN" w:bidi="ar-SA"/>
        </w:rPr>
      </w:pPr>
      <w:r>
        <w:rPr>
          <w:rFonts w:hint="eastAsia" w:ascii="Times New Roman" w:hAnsi="Times New Roman" w:eastAsia="宋体" w:cs="Times New Roman"/>
          <w:color w:val="7030A0"/>
          <w:kern w:val="2"/>
          <w:sz w:val="24"/>
          <w:szCs w:val="22"/>
          <w:highlight w:val="none"/>
          <w:lang w:val="en-US" w:eastAsia="zh-CN" w:bidi="ar-SA"/>
        </w:rPr>
        <w:t>规划环评要求入驻企业除采取分区防渗措施以外，还应对重点的地下水污染源采取地下水跟踪监控措施，及时发现污染事故并采取管控措施。</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30"/>
          <w:szCs w:val="32"/>
          <w:highlight w:val="none"/>
          <w:lang w:val="en-US" w:eastAsia="zh-CN" w:bidi="ar-SA"/>
        </w:rPr>
      </w:pPr>
      <w:r>
        <w:rPr>
          <w:rFonts w:hint="eastAsia" w:ascii="Times New Roman" w:hAnsi="Times New Roman" w:eastAsia="黑体" w:cs="Times New Roman"/>
          <w:bCs/>
          <w:color w:val="7030A0"/>
          <w:kern w:val="2"/>
          <w:sz w:val="30"/>
          <w:szCs w:val="32"/>
          <w:highlight w:val="none"/>
          <w:lang w:val="en-US" w:eastAsia="zh-CN" w:bidi="ar-SA"/>
        </w:rPr>
        <w:t>声环境影响</w:t>
      </w:r>
      <w:r>
        <w:rPr>
          <w:rFonts w:ascii="Times New Roman" w:hAnsi="Times New Roman" w:eastAsia="黑体" w:cs="Times New Roman"/>
          <w:bCs/>
          <w:color w:val="7030A0"/>
          <w:kern w:val="2"/>
          <w:sz w:val="30"/>
          <w:szCs w:val="32"/>
          <w:highlight w:val="none"/>
          <w:lang w:val="en-US" w:eastAsia="zh-CN" w:bidi="ar-SA"/>
        </w:rPr>
        <w:t>预测与评价</w:t>
      </w:r>
    </w:p>
    <w:p>
      <w:pPr>
        <w:ind w:firstLine="480"/>
        <w:rPr>
          <w:rFonts w:eastAsia="宋体" w:cs="Times New Roman"/>
          <w:color w:val="7030A0"/>
          <w:highlight w:val="none"/>
        </w:rPr>
      </w:pPr>
      <w:r>
        <w:rPr>
          <w:rFonts w:hint="eastAsia" w:eastAsia="宋体" w:cs="Times New Roman"/>
          <w:color w:val="7030A0"/>
          <w:highlight w:val="none"/>
        </w:rPr>
        <w:t>1、工业设备噪声</w:t>
      </w:r>
    </w:p>
    <w:p>
      <w:pPr>
        <w:ind w:firstLine="480"/>
        <w:rPr>
          <w:rFonts w:eastAsia="宋体" w:cs="Times New Roman"/>
          <w:color w:val="7030A0"/>
          <w:highlight w:val="none"/>
        </w:rPr>
      </w:pPr>
      <w:r>
        <w:rPr>
          <w:rFonts w:hint="eastAsia" w:eastAsia="宋体" w:cs="Times New Roman"/>
          <w:color w:val="7030A0"/>
          <w:highlight w:val="none"/>
        </w:rPr>
        <w:t>规划区工业噪声源主要有泵站、动力站、风机等。通过采取选用低噪设备、消声、隔声、减振等措施后，通过距离衰减实现厂界达标。由于规划拟建的工业企业行业门类、工程规模、项目选址、外环境情况等所有信息均不确定，故无法预知新建工业项目的噪声污染源情况，本次评价不进行单个具体工业项目的厂界噪声预测。只要入区企业对工业项目选址进行合理布局，要求新、扩、改建企业采取综合降噪措施，做到厂界噪声达标，工业噪声对规划区声环境不会产生明显影响。</w:t>
      </w:r>
    </w:p>
    <w:p>
      <w:pPr>
        <w:ind w:firstLine="480"/>
        <w:rPr>
          <w:rFonts w:hint="eastAsia" w:eastAsia="宋体" w:cs="Times New Roman"/>
          <w:color w:val="7030A0"/>
          <w:highlight w:val="none"/>
        </w:rPr>
      </w:pPr>
      <w:r>
        <w:rPr>
          <w:rFonts w:hint="eastAsia" w:eastAsia="宋体" w:cs="Times New Roman"/>
          <w:color w:val="7030A0"/>
          <w:highlight w:val="none"/>
        </w:rPr>
        <w:t>2、交通噪声</w:t>
      </w:r>
    </w:p>
    <w:p>
      <w:pPr>
        <w:ind w:firstLine="480"/>
        <w:rPr>
          <w:rFonts w:eastAsia="宋体" w:cs="Times New Roman"/>
          <w:color w:val="7030A0"/>
          <w:highlight w:val="none"/>
        </w:rPr>
      </w:pPr>
      <w:r>
        <w:rPr>
          <w:rFonts w:hint="eastAsia" w:eastAsia="宋体" w:cs="Times New Roman"/>
          <w:color w:val="7030A0"/>
          <w:highlight w:val="none"/>
        </w:rPr>
        <w:t>本次规划片区现状道路以乡道、村道为主，根据规划道路主要为主干路、次干路、支路，规划路网尚未建设。随着规划片区的开发建设，入驻企业增加，规划区内交通噪声影响将日趋增大，特别是干道两侧的企业邻路一侧建筑将受到交通噪声的影响，应对干道两侧设置绿化隔离带，同时在干道两侧的企业合理布设办公区和倒班宿舍等措施，以减轻交通噪声的干扰。</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30"/>
          <w:szCs w:val="32"/>
          <w:highlight w:val="none"/>
          <w:lang w:val="en-US" w:eastAsia="zh-CN" w:bidi="ar-SA"/>
        </w:rPr>
      </w:pPr>
      <w:r>
        <w:rPr>
          <w:rFonts w:hint="eastAsia" w:ascii="Times New Roman" w:hAnsi="Times New Roman" w:eastAsia="黑体" w:cs="Times New Roman"/>
          <w:bCs/>
          <w:color w:val="7030A0"/>
          <w:kern w:val="2"/>
          <w:sz w:val="30"/>
          <w:szCs w:val="32"/>
          <w:highlight w:val="none"/>
          <w:lang w:val="en-US" w:eastAsia="zh-CN" w:bidi="ar-SA"/>
        </w:rPr>
        <w:t>固废环境影响</w:t>
      </w:r>
      <w:r>
        <w:rPr>
          <w:rFonts w:ascii="Times New Roman" w:hAnsi="Times New Roman" w:eastAsia="黑体" w:cs="Times New Roman"/>
          <w:bCs/>
          <w:color w:val="7030A0"/>
          <w:kern w:val="2"/>
          <w:sz w:val="30"/>
          <w:szCs w:val="32"/>
          <w:highlight w:val="none"/>
          <w:lang w:val="en-US" w:eastAsia="zh-CN" w:bidi="ar-SA"/>
        </w:rPr>
        <w:t>预测与评价</w:t>
      </w:r>
    </w:p>
    <w:p>
      <w:pPr>
        <w:ind w:firstLine="480"/>
        <w:rPr>
          <w:rFonts w:eastAsia="宋体" w:cs="Times New Roman"/>
          <w:color w:val="7030A0"/>
          <w:highlight w:val="none"/>
        </w:rPr>
      </w:pPr>
      <w:r>
        <w:rPr>
          <w:rFonts w:hint="eastAsia" w:eastAsia="宋体" w:cs="Times New Roman"/>
          <w:color w:val="7030A0"/>
          <w:highlight w:val="none"/>
        </w:rPr>
        <w:t>1、固体废物产生量预测</w:t>
      </w:r>
    </w:p>
    <w:p>
      <w:pPr>
        <w:ind w:firstLine="480"/>
        <w:rPr>
          <w:rFonts w:eastAsia="宋体" w:cs="Times New Roman"/>
          <w:color w:val="7030A0"/>
          <w:highlight w:val="none"/>
        </w:rPr>
      </w:pPr>
      <w:r>
        <w:rPr>
          <w:rFonts w:hint="eastAsia" w:eastAsia="宋体" w:cs="Times New Roman"/>
          <w:color w:val="7030A0"/>
          <w:highlight w:val="none"/>
        </w:rPr>
        <w:t>本次规划实施产生的固体废物来源为一般工业固体废物、危险废物和生活垃圾，结合同类型行业产排污特点，预测量详见下表。</w:t>
      </w:r>
    </w:p>
    <w:p>
      <w:pPr>
        <w:widowControl w:val="0"/>
        <w:spacing w:line="360" w:lineRule="auto"/>
        <w:ind w:firstLine="0" w:firstLineChars="0"/>
        <w:jc w:val="center"/>
        <w:rPr>
          <w:rFonts w:hint="eastAsia" w:ascii="Times New Roman" w:hAnsi="Times New Roman" w:eastAsia="黑体" w:cs="Times New Roman"/>
          <w:color w:val="7030A0"/>
          <w:kern w:val="2"/>
          <w:sz w:val="21"/>
          <w:szCs w:val="20"/>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表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6.2</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表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13</w:t>
      </w:r>
      <w:r>
        <w:rPr>
          <w:rFonts w:ascii="Times New Roman" w:hAnsi="Times New Roman" w:eastAsia="黑体" w:cs="Times New Roman"/>
          <w:color w:val="7030A0"/>
          <w:kern w:val="2"/>
          <w:sz w:val="21"/>
          <w:szCs w:val="20"/>
          <w:highlight w:val="none"/>
          <w:lang w:val="en-US" w:eastAsia="zh-CN" w:bidi="ar-SA"/>
        </w:rPr>
        <w:fldChar w:fldCharType="end"/>
      </w:r>
      <w:r>
        <w:rPr>
          <w:rFonts w:hint="eastAsia" w:ascii="Times New Roman" w:hAnsi="Times New Roman" w:eastAsia="黑体" w:cs="Times New Roman"/>
          <w:color w:val="7030A0"/>
          <w:kern w:val="2"/>
          <w:sz w:val="21"/>
          <w:szCs w:val="20"/>
          <w:highlight w:val="none"/>
          <w:lang w:val="en-US" w:eastAsia="zh-CN" w:bidi="ar-SA"/>
        </w:rPr>
        <w:t xml:space="preserve"> 固废废物来源及预测量</w:t>
      </w:r>
    </w:p>
    <w:tbl>
      <w:tblPr>
        <w:tblStyle w:val="3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6"/>
        <w:gridCol w:w="6946"/>
        <w:gridCol w:w="14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分类</w:t>
            </w:r>
          </w:p>
        </w:tc>
        <w:tc>
          <w:tcPr>
            <w:tcW w:w="6946"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来源分析</w:t>
            </w:r>
          </w:p>
        </w:tc>
        <w:tc>
          <w:tcPr>
            <w:tcW w:w="1490"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远期预测量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一般工业固体废物</w:t>
            </w:r>
          </w:p>
        </w:tc>
        <w:tc>
          <w:tcPr>
            <w:tcW w:w="6946"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废丝、脱硫系统废石膏、不合格品、碎玻璃、废渣、废玻纤、废包装材料、废边角料、不合格品</w:t>
            </w:r>
          </w:p>
        </w:tc>
        <w:tc>
          <w:tcPr>
            <w:tcW w:w="1490"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5.66万t/a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危险废物</w:t>
            </w:r>
          </w:p>
        </w:tc>
        <w:tc>
          <w:tcPr>
            <w:tcW w:w="6946"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主要为废矿物油（HW08）、废活性炭（HW49）、废包装桶（HW49）等</w:t>
            </w:r>
          </w:p>
        </w:tc>
        <w:tc>
          <w:tcPr>
            <w:tcW w:w="1490"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20t/a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26"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生活垃圾</w:t>
            </w:r>
          </w:p>
        </w:tc>
        <w:tc>
          <w:tcPr>
            <w:tcW w:w="6946" w:type="dxa"/>
            <w:shd w:val="clear" w:color="auto" w:fill="auto"/>
            <w:noWrap w:val="0"/>
            <w:vAlign w:val="center"/>
          </w:tcPr>
          <w:p>
            <w:pPr>
              <w:widowControl w:val="0"/>
              <w:spacing w:before="0" w:beforeLines="0"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企业生活垃圾</w:t>
            </w:r>
          </w:p>
        </w:tc>
        <w:tc>
          <w:tcPr>
            <w:tcW w:w="1490" w:type="dxa"/>
            <w:shd w:val="clear" w:color="auto" w:fill="auto"/>
            <w:noWrap w:val="0"/>
            <w:vAlign w:val="center"/>
          </w:tcPr>
          <w:p>
            <w:pPr>
              <w:widowControl w:val="0"/>
              <w:spacing w:before="0" w:beforeLines="0"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401.5t/a</w:t>
            </w:r>
          </w:p>
        </w:tc>
      </w:tr>
    </w:tbl>
    <w:p>
      <w:pPr>
        <w:ind w:firstLine="480"/>
        <w:rPr>
          <w:rFonts w:eastAsia="宋体" w:cs="Times New Roman"/>
          <w:color w:val="7030A0"/>
          <w:highlight w:val="none"/>
        </w:rPr>
      </w:pPr>
      <w:r>
        <w:rPr>
          <w:rFonts w:hint="eastAsia" w:eastAsia="宋体" w:cs="Times New Roman"/>
          <w:color w:val="7030A0"/>
          <w:highlight w:val="none"/>
        </w:rPr>
        <w:t>2、一般固废管理要求</w:t>
      </w:r>
    </w:p>
    <w:p>
      <w:pPr>
        <w:ind w:firstLine="480"/>
        <w:rPr>
          <w:rFonts w:eastAsia="宋体" w:cs="Times New Roman"/>
          <w:color w:val="7030A0"/>
          <w:highlight w:val="none"/>
        </w:rPr>
      </w:pPr>
      <w:r>
        <w:rPr>
          <w:rFonts w:hint="eastAsia" w:eastAsia="宋体" w:cs="Times New Roman"/>
          <w:color w:val="7030A0"/>
          <w:highlight w:val="none"/>
        </w:rPr>
        <w:t>一般工业固体废物尽量采用各种物理、化学、生物等方法回收综合利用。园区各生产企业一般工业固体废物临时堆放场地严格执行《一般工业固体废物贮存和填埋污染控制标准（发布稿）》（</w:t>
      </w:r>
      <w:r>
        <w:rPr>
          <w:rFonts w:eastAsia="宋体" w:cs="Times New Roman"/>
          <w:color w:val="7030A0"/>
          <w:highlight w:val="none"/>
        </w:rPr>
        <w:t>GB18599-2020</w:t>
      </w:r>
      <w:r>
        <w:rPr>
          <w:rFonts w:hint="eastAsia" w:eastAsia="宋体" w:cs="Times New Roman"/>
          <w:color w:val="7030A0"/>
          <w:highlight w:val="none"/>
        </w:rPr>
        <w:t>）相关要求。综合处理一般工业固体废物，强化固体废物源头控制，鼓励企业开展清洁生产，促进各类废物在企业内部循环使用和综合利用，减少废弃物产生。</w:t>
      </w:r>
    </w:p>
    <w:p>
      <w:pPr>
        <w:ind w:firstLine="480"/>
        <w:rPr>
          <w:rFonts w:eastAsia="宋体" w:cs="Times New Roman"/>
          <w:color w:val="7030A0"/>
          <w:highlight w:val="none"/>
        </w:rPr>
      </w:pPr>
      <w:r>
        <w:rPr>
          <w:rFonts w:hint="eastAsia" w:eastAsia="宋体" w:cs="Times New Roman"/>
          <w:color w:val="7030A0"/>
          <w:highlight w:val="none"/>
        </w:rPr>
        <w:t>3、危险废物管理要求</w:t>
      </w:r>
    </w:p>
    <w:p>
      <w:pPr>
        <w:ind w:firstLine="480"/>
        <w:rPr>
          <w:rFonts w:eastAsia="宋体" w:cs="Times New Roman"/>
          <w:color w:val="7030A0"/>
          <w:highlight w:val="none"/>
        </w:rPr>
      </w:pPr>
      <w:r>
        <w:rPr>
          <w:rFonts w:hint="eastAsia" w:eastAsia="宋体" w:cs="Times New Roman"/>
          <w:color w:val="7030A0"/>
          <w:highlight w:val="none"/>
        </w:rPr>
        <w:t>规划远期达到工业固体废物（含危险废物）处置利用率</w:t>
      </w:r>
      <w:r>
        <w:rPr>
          <w:rFonts w:eastAsia="宋体" w:cs="Times New Roman"/>
          <w:color w:val="7030A0"/>
          <w:highlight w:val="none"/>
        </w:rPr>
        <w:t>100%</w:t>
      </w:r>
      <w:r>
        <w:rPr>
          <w:rFonts w:hint="eastAsia" w:eastAsia="宋体" w:cs="Times New Roman"/>
          <w:color w:val="7030A0"/>
          <w:highlight w:val="none"/>
        </w:rPr>
        <w:t>。妥善处理处置工业危险废物，严格执行危险废物申报登记制度。落实危险废物产生、收集、运输和处置全过程管理制度，建立产生危废企业、单位档案，严格做好危废申报登记，进一步完善危废管理台账，如实记录相关信息并及时申报。严格实施危险废物转移联单制度，督促危废产生单位按规范将危废送交有资质单位处理。推进危险废物污染防治信息公开，制定环境事故防范措施和应急预案，完善应急物资储备，满足环境应急处置要求。</w:t>
      </w:r>
    </w:p>
    <w:p>
      <w:pPr>
        <w:ind w:firstLine="480"/>
        <w:rPr>
          <w:rFonts w:eastAsia="宋体" w:cs="Times New Roman"/>
          <w:color w:val="7030A0"/>
          <w:highlight w:val="none"/>
        </w:rPr>
      </w:pPr>
      <w:r>
        <w:rPr>
          <w:rFonts w:hint="eastAsia" w:eastAsia="宋体" w:cs="Times New Roman"/>
          <w:color w:val="7030A0"/>
          <w:highlight w:val="none"/>
        </w:rPr>
        <w:t>4、生活垃圾</w:t>
      </w:r>
    </w:p>
    <w:p>
      <w:pPr>
        <w:ind w:firstLine="480"/>
        <w:rPr>
          <w:rFonts w:hint="eastAsia" w:eastAsia="宋体" w:cs="Times New Roman"/>
          <w:color w:val="7030A0"/>
          <w:highlight w:val="none"/>
        </w:rPr>
      </w:pPr>
      <w:r>
        <w:rPr>
          <w:rFonts w:hint="eastAsia" w:eastAsia="宋体" w:cs="Times New Roman"/>
          <w:color w:val="7030A0"/>
          <w:highlight w:val="none"/>
        </w:rPr>
        <w:t>全面实施生活垃圾源头减量、分类投放、分类收集、分类存贮、分类运输和分类处置。生活垃圾经环卫部门收集后转运至南部县生活垃圾焚烧发电厂进行处理，生活垃圾无害化处理率</w:t>
      </w:r>
      <w:r>
        <w:rPr>
          <w:rFonts w:eastAsia="宋体" w:cs="Times New Roman"/>
          <w:color w:val="7030A0"/>
          <w:highlight w:val="none"/>
        </w:rPr>
        <w:t>100％</w:t>
      </w:r>
      <w:r>
        <w:rPr>
          <w:rFonts w:hint="eastAsia" w:eastAsia="宋体" w:cs="Times New Roman"/>
          <w:color w:val="7030A0"/>
          <w:highlight w:val="none"/>
        </w:rPr>
        <w:t>。</w:t>
      </w:r>
    </w:p>
    <w:p>
      <w:pPr>
        <w:ind w:firstLine="480"/>
        <w:rPr>
          <w:rFonts w:eastAsia="宋体" w:cs="Times New Roman"/>
          <w:szCs w:val="24"/>
          <w:highlight w:val="none"/>
        </w:rPr>
      </w:pPr>
      <w:r>
        <w:rPr>
          <w:rFonts w:hint="eastAsia" w:eastAsia="宋体" w:cs="Times New Roman"/>
          <w:color w:val="7030A0"/>
          <w:highlight w:val="none"/>
        </w:rPr>
        <w:t>总体而言，规划区一般工业固废处置利用率为</w:t>
      </w:r>
      <w:r>
        <w:rPr>
          <w:rFonts w:eastAsia="宋体" w:cs="Times New Roman"/>
          <w:color w:val="7030A0"/>
          <w:highlight w:val="none"/>
        </w:rPr>
        <w:t>100%</w:t>
      </w:r>
      <w:r>
        <w:rPr>
          <w:rFonts w:hint="eastAsia" w:eastAsia="宋体" w:cs="Times New Roman"/>
          <w:color w:val="7030A0"/>
          <w:highlight w:val="none"/>
        </w:rPr>
        <w:t>，危险废物安全处理、处置率为</w:t>
      </w:r>
      <w:r>
        <w:rPr>
          <w:rFonts w:eastAsia="宋体" w:cs="Times New Roman"/>
          <w:color w:val="7030A0"/>
          <w:highlight w:val="none"/>
        </w:rPr>
        <w:t>100%</w:t>
      </w:r>
      <w:r>
        <w:rPr>
          <w:rFonts w:hint="eastAsia" w:eastAsia="宋体" w:cs="Times New Roman"/>
          <w:color w:val="7030A0"/>
          <w:highlight w:val="none"/>
        </w:rPr>
        <w:t>，生活垃圾无害化处理率</w:t>
      </w:r>
      <w:r>
        <w:rPr>
          <w:rFonts w:eastAsia="宋体" w:cs="Times New Roman"/>
          <w:color w:val="7030A0"/>
          <w:highlight w:val="none"/>
        </w:rPr>
        <w:t>100%</w:t>
      </w:r>
      <w:r>
        <w:rPr>
          <w:rFonts w:hint="eastAsia" w:eastAsia="宋体" w:cs="Times New Roman"/>
          <w:color w:val="7030A0"/>
          <w:highlight w:val="none"/>
        </w:rPr>
        <w:t>。加强对固体废物的处置和管理，在规划范围内产生的固体废物对环境带来的影响降到最低。</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30"/>
          <w:szCs w:val="32"/>
          <w:highlight w:val="none"/>
          <w:lang w:val="en-US" w:eastAsia="zh-CN" w:bidi="ar-SA"/>
        </w:rPr>
      </w:pPr>
      <w:r>
        <w:rPr>
          <w:rFonts w:hint="eastAsia" w:ascii="Times New Roman" w:hAnsi="Times New Roman" w:eastAsia="黑体" w:cs="Times New Roman"/>
          <w:bCs/>
          <w:color w:val="7030A0"/>
          <w:kern w:val="2"/>
          <w:sz w:val="30"/>
          <w:szCs w:val="32"/>
          <w:highlight w:val="none"/>
          <w:lang w:val="en-US" w:eastAsia="zh-CN" w:bidi="ar-SA"/>
        </w:rPr>
        <w:t>土壤环境影响预测与评价</w:t>
      </w:r>
    </w:p>
    <w:p>
      <w:pPr>
        <w:ind w:firstLine="480"/>
        <w:rPr>
          <w:rFonts w:eastAsia="宋体" w:cs="Times New Roman"/>
          <w:color w:val="7030A0"/>
          <w:highlight w:val="none"/>
        </w:rPr>
      </w:pPr>
      <w:r>
        <w:rPr>
          <w:rFonts w:hint="eastAsia" w:eastAsia="宋体" w:cs="Times New Roman"/>
          <w:color w:val="7030A0"/>
          <w:highlight w:val="none"/>
        </w:rPr>
        <w:t>1、土壤环境影响识别</w:t>
      </w:r>
    </w:p>
    <w:p>
      <w:pPr>
        <w:ind w:firstLine="480"/>
        <w:rPr>
          <w:rFonts w:eastAsia="宋体" w:cs="Times New Roman"/>
          <w:color w:val="7030A0"/>
          <w:highlight w:val="none"/>
        </w:rPr>
      </w:pPr>
      <w:r>
        <w:rPr>
          <w:rFonts w:eastAsia="宋体" w:cs="Times New Roman"/>
          <w:color w:val="7030A0"/>
          <w:highlight w:val="none"/>
        </w:rPr>
        <w:t>园区环境影响识别主要针对排放的废气、废水、固废等。</w:t>
      </w:r>
      <w:r>
        <w:rPr>
          <w:rFonts w:hint="eastAsia" w:eastAsia="宋体" w:cs="Times New Roman"/>
          <w:color w:val="7030A0"/>
          <w:highlight w:val="none"/>
        </w:rPr>
        <w:t>规划</w:t>
      </w:r>
      <w:r>
        <w:rPr>
          <w:rFonts w:eastAsia="宋体" w:cs="Times New Roman"/>
          <w:color w:val="7030A0"/>
          <w:highlight w:val="none"/>
        </w:rPr>
        <w:t>项目对土壤的影响类型和途径见下表</w:t>
      </w:r>
      <w:r>
        <w:rPr>
          <w:rFonts w:hint="eastAsia" w:eastAsia="宋体" w:cs="Times New Roman"/>
          <w:color w:val="7030A0"/>
          <w:highlight w:val="none"/>
        </w:rPr>
        <w:t>。</w:t>
      </w:r>
    </w:p>
    <w:p>
      <w:pPr>
        <w:widowControl w:val="0"/>
        <w:spacing w:line="360" w:lineRule="auto"/>
        <w:ind w:firstLine="0" w:firstLineChars="0"/>
        <w:jc w:val="center"/>
        <w:rPr>
          <w:rFonts w:hint="eastAsia" w:ascii="Times New Roman" w:hAnsi="Times New Roman" w:eastAsia="黑体" w:cs="Times New Roman"/>
          <w:color w:val="7030A0"/>
          <w:kern w:val="2"/>
          <w:sz w:val="21"/>
          <w:szCs w:val="20"/>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表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6.2</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表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13</w:t>
      </w:r>
      <w:r>
        <w:rPr>
          <w:rFonts w:ascii="Times New Roman" w:hAnsi="Times New Roman" w:eastAsia="黑体" w:cs="Times New Roman"/>
          <w:color w:val="7030A0"/>
          <w:kern w:val="2"/>
          <w:sz w:val="21"/>
          <w:szCs w:val="20"/>
          <w:highlight w:val="none"/>
          <w:lang w:val="en-US" w:eastAsia="zh-CN" w:bidi="ar-SA"/>
        </w:rPr>
        <w:fldChar w:fldCharType="end"/>
      </w:r>
      <w:r>
        <w:rPr>
          <w:rFonts w:hint="eastAsia" w:ascii="Times New Roman" w:hAnsi="Times New Roman" w:eastAsia="黑体" w:cs="Times New Roman"/>
          <w:color w:val="7030A0"/>
          <w:kern w:val="2"/>
          <w:sz w:val="21"/>
          <w:szCs w:val="20"/>
          <w:highlight w:val="none"/>
          <w:lang w:val="en-US" w:eastAsia="zh-CN" w:bidi="ar-SA"/>
        </w:rPr>
        <w:t xml:space="preserve"> </w:t>
      </w:r>
      <w:r>
        <w:rPr>
          <w:rFonts w:ascii="Times New Roman" w:hAnsi="Times New Roman" w:eastAsia="黑体" w:cs="Times New Roman"/>
          <w:color w:val="7030A0"/>
          <w:kern w:val="2"/>
          <w:sz w:val="21"/>
          <w:szCs w:val="20"/>
          <w:highlight w:val="none"/>
          <w:lang w:val="en-US" w:eastAsia="zh-CN" w:bidi="ar-SA"/>
        </w:rPr>
        <w:t>土壤环境影响类型与影响途径表</w:t>
      </w:r>
    </w:p>
    <w:tbl>
      <w:tblPr>
        <w:tblStyle w:val="39"/>
        <w:tblW w:w="5000" w:type="pct"/>
        <w:tblInd w:w="12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47"/>
        <w:gridCol w:w="2000"/>
        <w:gridCol w:w="2140"/>
        <w:gridCol w:w="1873"/>
        <w:gridCol w:w="16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78" w:type="pct"/>
            <w:vMerge w:val="restar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不同时段</w:t>
            </w:r>
          </w:p>
        </w:tc>
        <w:tc>
          <w:tcPr>
            <w:tcW w:w="3822" w:type="pct"/>
            <w:gridSpan w:val="4"/>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污染影响型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78" w:type="pct"/>
            <w:vMerge w:val="continue"/>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p>
        </w:tc>
        <w:tc>
          <w:tcPr>
            <w:tcW w:w="100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大气沉降</w:t>
            </w:r>
          </w:p>
        </w:tc>
        <w:tc>
          <w:tcPr>
            <w:tcW w:w="107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地面漫流</w:t>
            </w:r>
          </w:p>
        </w:tc>
        <w:tc>
          <w:tcPr>
            <w:tcW w:w="940"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垂直入渗</w:t>
            </w:r>
          </w:p>
        </w:tc>
        <w:tc>
          <w:tcPr>
            <w:tcW w:w="80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78"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建设期</w:t>
            </w:r>
          </w:p>
        </w:tc>
        <w:tc>
          <w:tcPr>
            <w:tcW w:w="100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c>
          <w:tcPr>
            <w:tcW w:w="107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c>
          <w:tcPr>
            <w:tcW w:w="940"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c>
          <w:tcPr>
            <w:tcW w:w="80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78"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运营期</w:t>
            </w:r>
          </w:p>
        </w:tc>
        <w:tc>
          <w:tcPr>
            <w:tcW w:w="100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c>
          <w:tcPr>
            <w:tcW w:w="107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c>
          <w:tcPr>
            <w:tcW w:w="940"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c>
          <w:tcPr>
            <w:tcW w:w="80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78"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服务期满后</w:t>
            </w:r>
          </w:p>
        </w:tc>
        <w:tc>
          <w:tcPr>
            <w:tcW w:w="100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c>
          <w:tcPr>
            <w:tcW w:w="107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c>
          <w:tcPr>
            <w:tcW w:w="940"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c>
          <w:tcPr>
            <w:tcW w:w="80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5000" w:type="pct"/>
            <w:gridSpan w:val="5"/>
            <w:shd w:val="clear" w:color="auto" w:fill="auto"/>
            <w:noWrap w:val="0"/>
            <w:vAlign w:val="center"/>
          </w:tcPr>
          <w:p>
            <w:pPr>
              <w:widowControl w:val="0"/>
              <w:spacing w:line="240" w:lineRule="auto"/>
              <w:ind w:firstLine="0" w:firstLineChars="0"/>
              <w:jc w:val="both"/>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注：在可能产生的土壤环境影响类型处打“√”，列表未涵盖的可自行设计。</w:t>
            </w:r>
          </w:p>
        </w:tc>
      </w:tr>
    </w:tbl>
    <w:p>
      <w:pPr>
        <w:ind w:firstLine="480"/>
        <w:rPr>
          <w:rFonts w:eastAsia="宋体" w:cs="Times New Roman"/>
          <w:color w:val="7030A0"/>
          <w:highlight w:val="none"/>
        </w:rPr>
      </w:pPr>
      <w:r>
        <w:rPr>
          <w:rFonts w:hint="eastAsia" w:eastAsia="宋体" w:cs="Times New Roman"/>
          <w:color w:val="7030A0"/>
          <w:highlight w:val="none"/>
        </w:rPr>
        <w:t>根据规划产业分布情况，</w:t>
      </w:r>
      <w:r>
        <w:rPr>
          <w:rFonts w:eastAsia="宋体" w:cs="Times New Roman"/>
          <w:color w:val="7030A0"/>
          <w:highlight w:val="none"/>
        </w:rPr>
        <w:t>土壤环境影响识别见下表</w:t>
      </w:r>
      <w:r>
        <w:rPr>
          <w:rFonts w:hint="eastAsia" w:eastAsia="宋体" w:cs="Times New Roman"/>
          <w:color w:val="7030A0"/>
          <w:highlight w:val="none"/>
        </w:rPr>
        <w:t>。</w:t>
      </w:r>
    </w:p>
    <w:p>
      <w:pPr>
        <w:widowControl w:val="0"/>
        <w:spacing w:line="360" w:lineRule="auto"/>
        <w:ind w:firstLine="0" w:firstLineChars="0"/>
        <w:jc w:val="center"/>
        <w:rPr>
          <w:rFonts w:hint="eastAsia" w:ascii="Times New Roman" w:hAnsi="Times New Roman" w:eastAsia="黑体" w:cs="Times New Roman"/>
          <w:color w:val="7030A0"/>
          <w:kern w:val="2"/>
          <w:sz w:val="21"/>
          <w:szCs w:val="20"/>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表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6.2</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表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13</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t>土壤环境影响</w:t>
      </w:r>
      <w:r>
        <w:rPr>
          <w:rFonts w:hint="eastAsia" w:ascii="Times New Roman" w:hAnsi="Times New Roman" w:eastAsia="黑体" w:cs="Times New Roman"/>
          <w:color w:val="7030A0"/>
          <w:kern w:val="2"/>
          <w:sz w:val="21"/>
          <w:szCs w:val="20"/>
          <w:highlight w:val="none"/>
          <w:lang w:val="en-US" w:eastAsia="zh-CN" w:bidi="ar-SA"/>
        </w:rPr>
        <w:t>源及影响因子识别表</w:t>
      </w:r>
    </w:p>
    <w:tbl>
      <w:tblPr>
        <w:tblStyle w:val="39"/>
        <w:tblW w:w="5000" w:type="pct"/>
        <w:tblInd w:w="12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79"/>
        <w:gridCol w:w="2008"/>
        <w:gridCol w:w="1419"/>
        <w:gridCol w:w="2550"/>
        <w:gridCol w:w="1648"/>
        <w:gridCol w:w="9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692"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污染源</w:t>
            </w:r>
          </w:p>
        </w:tc>
        <w:tc>
          <w:tcPr>
            <w:tcW w:w="1008"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工艺流程/节点</w:t>
            </w:r>
          </w:p>
        </w:tc>
        <w:tc>
          <w:tcPr>
            <w:tcW w:w="712"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污染途径</w:t>
            </w:r>
          </w:p>
        </w:tc>
        <w:tc>
          <w:tcPr>
            <w:tcW w:w="1280"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全部污染物指标</w:t>
            </w:r>
          </w:p>
        </w:tc>
        <w:tc>
          <w:tcPr>
            <w:tcW w:w="827"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特征因子</w:t>
            </w:r>
          </w:p>
        </w:tc>
        <w:tc>
          <w:tcPr>
            <w:tcW w:w="481"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备注a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2"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生产过程中废气</w:t>
            </w:r>
          </w:p>
        </w:tc>
        <w:tc>
          <w:tcPr>
            <w:tcW w:w="1008"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生产</w:t>
            </w:r>
            <w:r>
              <w:rPr>
                <w:rFonts w:hint="eastAsia" w:ascii="Times New Roman" w:hAnsi="Times New Roman" w:eastAsia="宋体" w:cs="Times New Roman"/>
                <w:color w:val="7030A0"/>
                <w:kern w:val="2"/>
                <w:sz w:val="21"/>
                <w:szCs w:val="21"/>
                <w:highlight w:val="none"/>
                <w:lang w:val="en-US" w:eastAsia="zh-CN" w:bidi="ar-SA"/>
              </w:rPr>
              <w:t>工艺</w:t>
            </w:r>
            <w:r>
              <w:rPr>
                <w:rFonts w:ascii="Times New Roman" w:hAnsi="Times New Roman" w:eastAsia="宋体" w:cs="Times New Roman"/>
                <w:color w:val="7030A0"/>
                <w:kern w:val="2"/>
                <w:sz w:val="21"/>
                <w:szCs w:val="21"/>
                <w:highlight w:val="none"/>
                <w:lang w:val="en-US" w:eastAsia="zh-CN" w:bidi="ar-SA"/>
              </w:rPr>
              <w:t>废气排放</w:t>
            </w:r>
            <w:r>
              <w:rPr>
                <w:rFonts w:hint="eastAsia" w:ascii="Times New Roman" w:hAnsi="Times New Roman" w:eastAsia="宋体" w:cs="Times New Roman"/>
                <w:color w:val="7030A0"/>
                <w:kern w:val="2"/>
                <w:sz w:val="21"/>
                <w:szCs w:val="21"/>
                <w:highlight w:val="none"/>
                <w:lang w:val="en-US" w:eastAsia="zh-CN" w:bidi="ar-SA"/>
              </w:rPr>
              <w:t>、污水处理站</w:t>
            </w:r>
          </w:p>
        </w:tc>
        <w:tc>
          <w:tcPr>
            <w:tcW w:w="712"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大气沉降</w:t>
            </w:r>
          </w:p>
        </w:tc>
        <w:tc>
          <w:tcPr>
            <w:tcW w:w="1280" w:type="pct"/>
            <w:shd w:val="clear" w:color="auto" w:fill="auto"/>
            <w:noWrap w:val="0"/>
            <w:vAlign w:val="center"/>
          </w:tcPr>
          <w:p>
            <w:pPr>
              <w:widowControl w:val="0"/>
              <w:spacing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SO</w:t>
            </w:r>
            <w:r>
              <w:rPr>
                <w:rFonts w:hint="eastAsia" w:ascii="Times New Roman" w:hAnsi="Times New Roman" w:eastAsia="宋体" w:cs="Times New Roman"/>
                <w:color w:val="7030A0"/>
                <w:kern w:val="2"/>
                <w:sz w:val="21"/>
                <w:szCs w:val="21"/>
                <w:highlight w:val="none"/>
                <w:vertAlign w:val="subscript"/>
                <w:lang w:val="en-US" w:eastAsia="zh-CN" w:bidi="ar-SA"/>
              </w:rPr>
              <w:t>2</w:t>
            </w:r>
            <w:r>
              <w:rPr>
                <w:rFonts w:hint="eastAsia" w:ascii="Times New Roman" w:hAnsi="Times New Roman" w:eastAsia="宋体" w:cs="Times New Roman"/>
                <w:color w:val="7030A0"/>
                <w:kern w:val="2"/>
                <w:sz w:val="21"/>
                <w:szCs w:val="21"/>
                <w:highlight w:val="none"/>
                <w:lang w:val="en-US" w:eastAsia="zh-CN" w:bidi="ar-SA"/>
              </w:rPr>
              <w:t>、NOx、颗粒物、NH</w:t>
            </w:r>
            <w:r>
              <w:rPr>
                <w:rFonts w:hint="eastAsia" w:ascii="Times New Roman" w:hAnsi="Times New Roman" w:eastAsia="宋体" w:cs="Times New Roman"/>
                <w:color w:val="7030A0"/>
                <w:kern w:val="2"/>
                <w:sz w:val="21"/>
                <w:szCs w:val="21"/>
                <w:highlight w:val="none"/>
                <w:vertAlign w:val="subscript"/>
                <w:lang w:val="en-US" w:eastAsia="zh-CN" w:bidi="ar-SA"/>
              </w:rPr>
              <w:t>3</w:t>
            </w:r>
            <w:r>
              <w:rPr>
                <w:rFonts w:hint="eastAsia" w:ascii="Times New Roman" w:hAnsi="Times New Roman" w:eastAsia="宋体" w:cs="Times New Roman"/>
                <w:color w:val="7030A0"/>
                <w:kern w:val="2"/>
                <w:sz w:val="21"/>
                <w:szCs w:val="21"/>
                <w:highlight w:val="none"/>
                <w:lang w:val="en-US" w:eastAsia="zh-CN" w:bidi="ar-SA"/>
              </w:rPr>
              <w:t>、H</w:t>
            </w:r>
            <w:r>
              <w:rPr>
                <w:rFonts w:hint="eastAsia" w:ascii="Times New Roman" w:hAnsi="Times New Roman" w:eastAsia="宋体" w:cs="Times New Roman"/>
                <w:color w:val="7030A0"/>
                <w:kern w:val="2"/>
                <w:sz w:val="21"/>
                <w:szCs w:val="21"/>
                <w:highlight w:val="none"/>
                <w:vertAlign w:val="subscript"/>
                <w:lang w:val="en-US" w:eastAsia="zh-CN" w:bidi="ar-SA"/>
              </w:rPr>
              <w:t>2</w:t>
            </w:r>
            <w:r>
              <w:rPr>
                <w:rFonts w:hint="eastAsia" w:ascii="Times New Roman" w:hAnsi="Times New Roman" w:eastAsia="宋体" w:cs="Times New Roman"/>
                <w:color w:val="7030A0"/>
                <w:kern w:val="2"/>
                <w:sz w:val="21"/>
                <w:szCs w:val="21"/>
                <w:highlight w:val="none"/>
                <w:lang w:val="en-US" w:eastAsia="zh-CN" w:bidi="ar-SA"/>
              </w:rPr>
              <w:t>S、氟化物</w:t>
            </w:r>
          </w:p>
        </w:tc>
        <w:tc>
          <w:tcPr>
            <w:tcW w:w="827"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颗粒物、氟化物</w:t>
            </w:r>
          </w:p>
        </w:tc>
        <w:tc>
          <w:tcPr>
            <w:tcW w:w="481"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间断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2"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污水处理站</w:t>
            </w:r>
          </w:p>
        </w:tc>
        <w:tc>
          <w:tcPr>
            <w:tcW w:w="1008"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池体破损且防渗层失效</w:t>
            </w:r>
          </w:p>
        </w:tc>
        <w:tc>
          <w:tcPr>
            <w:tcW w:w="712"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垂直入渗</w:t>
            </w:r>
          </w:p>
        </w:tc>
        <w:tc>
          <w:tcPr>
            <w:tcW w:w="1280"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pH、COD、BOD</w:t>
            </w:r>
            <w:r>
              <w:rPr>
                <w:rFonts w:ascii="Times New Roman" w:hAnsi="Times New Roman" w:eastAsia="宋体" w:cs="Times New Roman"/>
                <w:color w:val="7030A0"/>
                <w:kern w:val="2"/>
                <w:sz w:val="21"/>
                <w:szCs w:val="21"/>
                <w:highlight w:val="none"/>
                <w:vertAlign w:val="subscript"/>
                <w:lang w:val="en-US" w:eastAsia="zh-CN" w:bidi="ar-SA"/>
              </w:rPr>
              <w:t>5</w:t>
            </w:r>
            <w:r>
              <w:rPr>
                <w:rFonts w:ascii="Times New Roman" w:hAnsi="Times New Roman" w:eastAsia="宋体" w:cs="Times New Roman"/>
                <w:color w:val="7030A0"/>
                <w:kern w:val="2"/>
                <w:sz w:val="21"/>
                <w:szCs w:val="21"/>
                <w:highlight w:val="none"/>
                <w:lang w:val="en-US" w:eastAsia="zh-CN" w:bidi="ar-SA"/>
              </w:rPr>
              <w:t>、SS、NH</w:t>
            </w:r>
            <w:r>
              <w:rPr>
                <w:rFonts w:ascii="Times New Roman" w:hAnsi="Times New Roman" w:eastAsia="宋体" w:cs="Times New Roman"/>
                <w:color w:val="7030A0"/>
                <w:kern w:val="2"/>
                <w:sz w:val="21"/>
                <w:szCs w:val="21"/>
                <w:highlight w:val="none"/>
                <w:vertAlign w:val="subscript"/>
                <w:lang w:val="en-US" w:eastAsia="zh-CN" w:bidi="ar-SA"/>
              </w:rPr>
              <w:t>3</w:t>
            </w:r>
            <w:r>
              <w:rPr>
                <w:rFonts w:ascii="Times New Roman" w:hAnsi="Times New Roman" w:eastAsia="宋体" w:cs="Times New Roman"/>
                <w:color w:val="7030A0"/>
                <w:kern w:val="2"/>
                <w:sz w:val="21"/>
                <w:szCs w:val="21"/>
                <w:highlight w:val="none"/>
                <w:lang w:val="en-US" w:eastAsia="zh-CN" w:bidi="ar-SA"/>
              </w:rPr>
              <w:t>-N、TP</w:t>
            </w:r>
          </w:p>
        </w:tc>
        <w:tc>
          <w:tcPr>
            <w:tcW w:w="827"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COD、NH</w:t>
            </w:r>
            <w:r>
              <w:rPr>
                <w:rFonts w:ascii="Times New Roman" w:hAnsi="Times New Roman" w:eastAsia="宋体" w:cs="Times New Roman"/>
                <w:color w:val="7030A0"/>
                <w:kern w:val="2"/>
                <w:sz w:val="21"/>
                <w:szCs w:val="21"/>
                <w:highlight w:val="none"/>
                <w:vertAlign w:val="subscript"/>
                <w:lang w:val="en-US" w:eastAsia="zh-CN" w:bidi="ar-SA"/>
              </w:rPr>
              <w:t>3</w:t>
            </w:r>
            <w:r>
              <w:rPr>
                <w:rFonts w:ascii="Times New Roman" w:hAnsi="Times New Roman" w:eastAsia="宋体" w:cs="Times New Roman"/>
                <w:color w:val="7030A0"/>
                <w:kern w:val="2"/>
                <w:sz w:val="21"/>
                <w:szCs w:val="21"/>
                <w:highlight w:val="none"/>
                <w:lang w:val="en-US" w:eastAsia="zh-CN" w:bidi="ar-SA"/>
              </w:rPr>
              <w:t>-N、TP</w:t>
            </w:r>
          </w:p>
        </w:tc>
        <w:tc>
          <w:tcPr>
            <w:tcW w:w="481"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事故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92"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危废暂存间</w:t>
            </w:r>
          </w:p>
        </w:tc>
        <w:tc>
          <w:tcPr>
            <w:tcW w:w="1008"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危废存放过程</w:t>
            </w:r>
          </w:p>
        </w:tc>
        <w:tc>
          <w:tcPr>
            <w:tcW w:w="712"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垂直入渗</w:t>
            </w:r>
          </w:p>
        </w:tc>
        <w:tc>
          <w:tcPr>
            <w:tcW w:w="1280"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石油烃</w:t>
            </w:r>
          </w:p>
        </w:tc>
        <w:tc>
          <w:tcPr>
            <w:tcW w:w="827"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石油烃</w:t>
            </w:r>
          </w:p>
        </w:tc>
        <w:tc>
          <w:tcPr>
            <w:tcW w:w="481"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事故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5000" w:type="pct"/>
            <w:gridSpan w:val="6"/>
            <w:shd w:val="clear" w:color="auto" w:fill="auto"/>
            <w:noWrap w:val="0"/>
            <w:vAlign w:val="center"/>
          </w:tcPr>
          <w:p>
            <w:pPr>
              <w:widowControl w:val="0"/>
              <w:spacing w:line="240" w:lineRule="auto"/>
              <w:ind w:firstLine="0" w:firstLineChars="0"/>
              <w:jc w:val="both"/>
              <w:rPr>
                <w:rFonts w:ascii="Times New Roman" w:hAnsi="Times New Roman" w:eastAsia="宋体" w:cs="Times New Roman"/>
                <w:color w:val="7030A0"/>
                <w:kern w:val="2"/>
                <w:sz w:val="21"/>
                <w:szCs w:val="21"/>
                <w:highlight w:val="none"/>
                <w:lang w:val="en-US" w:eastAsia="zh-CN" w:bidi="ar-SA"/>
              </w:rPr>
            </w:pPr>
            <w:r>
              <w:rPr>
                <w:rFonts w:ascii="Times New Roman" w:hAnsi="Times New Roman" w:eastAsia="宋体" w:cs="Times New Roman"/>
                <w:color w:val="7030A0"/>
                <w:kern w:val="2"/>
                <w:sz w:val="21"/>
                <w:szCs w:val="21"/>
                <w:highlight w:val="none"/>
                <w:lang w:val="en-US" w:eastAsia="zh-CN" w:bidi="ar-SA"/>
              </w:rPr>
              <w:t>a应描述污染源特征，如连续、间断、正常、事故等；涉及大气沉降途径的，应识别建设项目周边的土壤环境敏感目标。</w:t>
            </w:r>
          </w:p>
        </w:tc>
      </w:tr>
    </w:tbl>
    <w:p>
      <w:pPr>
        <w:ind w:firstLine="480"/>
        <w:rPr>
          <w:rFonts w:eastAsia="宋体" w:cs="Times New Roman"/>
          <w:color w:val="7030A0"/>
          <w:highlight w:val="none"/>
        </w:rPr>
      </w:pPr>
      <w:r>
        <w:rPr>
          <w:rFonts w:hint="eastAsia" w:eastAsia="宋体" w:cs="Times New Roman"/>
          <w:color w:val="7030A0"/>
          <w:highlight w:val="none"/>
        </w:rPr>
        <w:t>2、土壤环境保护措施</w:t>
      </w:r>
    </w:p>
    <w:p>
      <w:pPr>
        <w:ind w:firstLine="480"/>
        <w:rPr>
          <w:rFonts w:eastAsia="宋体" w:cs="Times New Roman"/>
          <w:color w:val="7030A0"/>
          <w:highlight w:val="none"/>
        </w:rPr>
      </w:pPr>
      <w:r>
        <w:rPr>
          <w:rFonts w:hint="eastAsia" w:eastAsia="宋体" w:cs="Times New Roman"/>
          <w:color w:val="7030A0"/>
          <w:highlight w:val="none"/>
        </w:rPr>
        <w:t>（1）引入企业应采取严格的防渗措施，各拟引入企业应根据环评要求采取分区防渗，防渗标准需符合《环境影响评价技术导则</w:t>
      </w:r>
      <w:r>
        <w:rPr>
          <w:rFonts w:eastAsia="宋体" w:cs="Times New Roman"/>
          <w:color w:val="7030A0"/>
          <w:highlight w:val="none"/>
        </w:rPr>
        <w:t>—</w:t>
      </w:r>
      <w:r>
        <w:rPr>
          <w:rFonts w:hint="eastAsia" w:eastAsia="宋体" w:cs="Times New Roman"/>
          <w:color w:val="7030A0"/>
          <w:highlight w:val="none"/>
        </w:rPr>
        <w:t>地下水环境》、《危险废物贮存污染控制标准》等相关规范要求。</w:t>
      </w:r>
    </w:p>
    <w:p>
      <w:pPr>
        <w:ind w:firstLine="480"/>
        <w:rPr>
          <w:rFonts w:eastAsia="宋体" w:cs="Times New Roman"/>
          <w:color w:val="7030A0"/>
          <w:highlight w:val="none"/>
        </w:rPr>
      </w:pPr>
      <w:r>
        <w:rPr>
          <w:rFonts w:hint="eastAsia" w:eastAsia="宋体" w:cs="Times New Roman"/>
          <w:color w:val="7030A0"/>
          <w:highlight w:val="none"/>
        </w:rPr>
        <w:t>（2）规范贮存园区企业产生的固体废物，采取防风、防雨、防渗、防晒措施，杜绝固体废物的不规范储存导致的渗滤液污染土壤环境的情况。</w:t>
      </w:r>
    </w:p>
    <w:p>
      <w:pPr>
        <w:ind w:firstLine="480"/>
        <w:rPr>
          <w:rFonts w:eastAsia="宋体" w:cs="Times New Roman"/>
          <w:color w:val="7030A0"/>
          <w:highlight w:val="none"/>
        </w:rPr>
      </w:pPr>
      <w:r>
        <w:rPr>
          <w:rFonts w:hint="eastAsia" w:eastAsia="宋体" w:cs="Times New Roman"/>
          <w:color w:val="7030A0"/>
          <w:highlight w:val="none"/>
        </w:rPr>
        <w:t>（3）运输固体粉料的车辆应采取密闭输送措施，控制车速，规范运输，避免物料洒落。</w:t>
      </w:r>
    </w:p>
    <w:p>
      <w:pPr>
        <w:ind w:firstLine="480"/>
        <w:rPr>
          <w:rFonts w:eastAsia="宋体" w:cs="Times New Roman"/>
          <w:color w:val="7030A0"/>
          <w:highlight w:val="none"/>
        </w:rPr>
      </w:pPr>
      <w:r>
        <w:rPr>
          <w:rFonts w:hint="eastAsia" w:eastAsia="宋体" w:cs="Times New Roman"/>
          <w:color w:val="7030A0"/>
          <w:highlight w:val="none"/>
        </w:rPr>
        <w:t>综上，建议管委会加强土壤环境管理，按照《土壤污染防治行动计划四川省工作方案》和《污染地块土壤环境管理办法（试行）》要求，严格建设项目环境准入条件，加强清洁生产，并加强对土壤环境的监测和管理，积极开展土壤环境质量变化跟踪工作。</w:t>
      </w:r>
    </w:p>
    <w:p>
      <w:pPr>
        <w:ind w:firstLine="480"/>
        <w:rPr>
          <w:rFonts w:eastAsia="宋体" w:cs="Times New Roman"/>
          <w:color w:val="7030A0"/>
          <w:highlight w:val="none"/>
        </w:rPr>
      </w:pPr>
      <w:r>
        <w:rPr>
          <w:rFonts w:hint="eastAsia" w:eastAsia="宋体" w:cs="Times New Roman"/>
          <w:color w:val="7030A0"/>
          <w:highlight w:val="none"/>
        </w:rPr>
        <w:t>3、土壤环境评价结论</w:t>
      </w:r>
    </w:p>
    <w:p>
      <w:pPr>
        <w:ind w:firstLine="480"/>
        <w:rPr>
          <w:rFonts w:eastAsia="宋体" w:cs="Times New Roman"/>
          <w:highlight w:val="none"/>
        </w:rPr>
      </w:pPr>
      <w:r>
        <w:rPr>
          <w:rFonts w:hint="eastAsia" w:eastAsia="宋体" w:cs="Times New Roman"/>
          <w:color w:val="7030A0"/>
          <w:highlight w:val="none"/>
        </w:rPr>
        <w:t>随着本规划的实施，工业、交通等设施建设可能会对土壤环境产生一定的影响。规划环评要求企业做好危险废物暂存设施、废水收集处理设施等土壤高风险区域防渗、防漏、防腐蚀处理，加强对厂区危险废物等重点区域的土壤环境监测与管理工作。在采取以上措施的情况下，规划实施对土壤环境影响较小。</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30"/>
          <w:szCs w:val="32"/>
          <w:highlight w:val="none"/>
          <w:lang w:val="en-US" w:eastAsia="zh-CN" w:bidi="ar-SA"/>
        </w:rPr>
      </w:pPr>
      <w:r>
        <w:rPr>
          <w:rFonts w:hint="eastAsia" w:ascii="Times New Roman" w:hAnsi="Times New Roman" w:eastAsia="黑体" w:cs="Times New Roman"/>
          <w:bCs/>
          <w:color w:val="7030A0"/>
          <w:kern w:val="2"/>
          <w:sz w:val="30"/>
          <w:szCs w:val="32"/>
          <w:highlight w:val="none"/>
          <w:lang w:val="en-US" w:eastAsia="zh-CN" w:bidi="ar-SA"/>
        </w:rPr>
        <w:t>生态环境影响</w:t>
      </w:r>
      <w:r>
        <w:rPr>
          <w:rFonts w:ascii="Times New Roman" w:hAnsi="Times New Roman" w:eastAsia="黑体" w:cs="Times New Roman"/>
          <w:bCs/>
          <w:color w:val="7030A0"/>
          <w:kern w:val="2"/>
          <w:sz w:val="30"/>
          <w:szCs w:val="32"/>
          <w:highlight w:val="none"/>
          <w:lang w:val="en-US" w:eastAsia="zh-CN" w:bidi="ar-SA"/>
        </w:rPr>
        <w:t>预测与评价</w:t>
      </w:r>
    </w:p>
    <w:p>
      <w:pPr>
        <w:ind w:firstLine="480"/>
        <w:rPr>
          <w:rFonts w:eastAsia="宋体" w:cs="Times New Roman"/>
          <w:color w:val="7030A0"/>
          <w:highlight w:val="none"/>
        </w:rPr>
      </w:pPr>
      <w:r>
        <w:rPr>
          <w:rFonts w:hint="eastAsia" w:eastAsia="宋体" w:cs="Times New Roman"/>
          <w:color w:val="7030A0"/>
          <w:highlight w:val="none"/>
        </w:rPr>
        <w:t>1、土地资源影响分析</w:t>
      </w:r>
    </w:p>
    <w:p>
      <w:pPr>
        <w:ind w:firstLine="480"/>
        <w:rPr>
          <w:rFonts w:eastAsia="宋体" w:cs="Times New Roman"/>
          <w:color w:val="7030A0"/>
          <w:highlight w:val="none"/>
        </w:rPr>
      </w:pPr>
      <w:r>
        <w:rPr>
          <w:rFonts w:hint="eastAsia" w:eastAsia="宋体" w:cs="Times New Roman"/>
          <w:color w:val="7030A0"/>
          <w:highlight w:val="none"/>
        </w:rPr>
        <w:t>土地资源是不可再生资源，规划区在其建设过程中首先应满足《土地管理法》等有关要求，服从规划管理，统筹安排城市各业用地，坚持走内涵挖潜为主的路子，促进城市土地资源的集约利用和优化配置，有效增加区域绿地面积，提高城市土地的利用率，改善城市生态环境，努力实现土地利用方式的根本转变，确保城市经济、社会、健康、稳定地发展。</w:t>
      </w:r>
    </w:p>
    <w:p>
      <w:pPr>
        <w:ind w:firstLine="480"/>
        <w:rPr>
          <w:rFonts w:eastAsia="宋体" w:cs="Times New Roman"/>
          <w:color w:val="7030A0"/>
          <w:highlight w:val="none"/>
        </w:rPr>
      </w:pPr>
      <w:r>
        <w:rPr>
          <w:rFonts w:hint="eastAsia" w:eastAsia="宋体" w:cs="Times New Roman"/>
          <w:color w:val="7030A0"/>
          <w:highlight w:val="none"/>
        </w:rPr>
        <w:t>随着规划建设，规划区域用地将由现在的农业用地为主转变为商住用地、工业用地、交通用地以及绿化、市政设施等用地。</w:t>
      </w:r>
    </w:p>
    <w:p>
      <w:pPr>
        <w:ind w:firstLine="480"/>
        <w:rPr>
          <w:rFonts w:eastAsia="宋体" w:cs="Times New Roman"/>
          <w:color w:val="7030A0"/>
          <w:highlight w:val="none"/>
        </w:rPr>
      </w:pPr>
      <w:r>
        <w:rPr>
          <w:rFonts w:hint="eastAsia" w:eastAsia="宋体" w:cs="Times New Roman"/>
          <w:color w:val="7030A0"/>
          <w:highlight w:val="none"/>
        </w:rPr>
        <w:t>总体而言，规划区规划实施对土地资源存在一定的影响。园区管委会及入园企业必须按照国家的有关规定办理土地的使用手续。</w:t>
      </w:r>
    </w:p>
    <w:p>
      <w:pPr>
        <w:ind w:firstLine="480"/>
        <w:rPr>
          <w:rFonts w:eastAsia="宋体" w:cs="Times New Roman"/>
          <w:color w:val="7030A0"/>
          <w:highlight w:val="none"/>
        </w:rPr>
      </w:pPr>
      <w:r>
        <w:rPr>
          <w:rFonts w:hint="eastAsia" w:eastAsia="宋体" w:cs="Times New Roman"/>
          <w:color w:val="7030A0"/>
          <w:highlight w:val="none"/>
        </w:rPr>
        <w:t>2、景观生态影响分析</w:t>
      </w:r>
    </w:p>
    <w:p>
      <w:pPr>
        <w:ind w:firstLine="480"/>
        <w:rPr>
          <w:rFonts w:eastAsia="宋体" w:cs="Times New Roman"/>
          <w:color w:val="7030A0"/>
          <w:highlight w:val="none"/>
        </w:rPr>
      </w:pPr>
      <w:r>
        <w:rPr>
          <w:rFonts w:hint="eastAsia" w:eastAsia="宋体" w:cs="Times New Roman"/>
          <w:color w:val="7030A0"/>
          <w:highlight w:val="none"/>
        </w:rPr>
        <w:t>随着规划区实施，原有的景观结构将由城乡结合环境向工业、城市景观结构推进，少量未开发利用土地上将建起厂房、道路、供电供水线路以及工业管道等，景观生态格局逐步走向单一化。</w:t>
      </w:r>
    </w:p>
    <w:p>
      <w:pPr>
        <w:ind w:firstLine="480"/>
        <w:rPr>
          <w:rFonts w:eastAsia="宋体" w:cs="Times New Roman"/>
          <w:color w:val="7030A0"/>
          <w:highlight w:val="none"/>
        </w:rPr>
      </w:pPr>
      <w:r>
        <w:rPr>
          <w:rFonts w:hint="eastAsia" w:eastAsia="宋体" w:cs="Times New Roman"/>
          <w:color w:val="7030A0"/>
          <w:highlight w:val="none"/>
        </w:rPr>
        <w:t>3、生物多样性影响分析</w:t>
      </w:r>
    </w:p>
    <w:p>
      <w:pPr>
        <w:ind w:firstLine="480"/>
        <w:rPr>
          <w:rFonts w:eastAsia="宋体" w:cs="Times New Roman"/>
          <w:color w:val="7030A0"/>
          <w:highlight w:val="none"/>
        </w:rPr>
      </w:pPr>
      <w:r>
        <w:rPr>
          <w:rFonts w:hint="eastAsia" w:eastAsia="宋体" w:cs="Times New Roman"/>
          <w:color w:val="7030A0"/>
          <w:highlight w:val="none"/>
        </w:rPr>
        <w:t>规划区发展，将改变区域的土壤和地表水状况，产生废水、废气、噪声、固体废物等污染，如果不能及时恢复和治理，将导致动、植物群的生存条件，土壤和水的质量恶化，由此造成生物多样性水平下降。</w:t>
      </w:r>
    </w:p>
    <w:p>
      <w:pPr>
        <w:ind w:firstLine="480"/>
        <w:rPr>
          <w:rFonts w:eastAsia="宋体" w:cs="Times New Roman"/>
          <w:color w:val="7030A0"/>
          <w:highlight w:val="none"/>
        </w:rPr>
      </w:pPr>
      <w:r>
        <w:rPr>
          <w:rFonts w:hint="eastAsia" w:eastAsia="宋体" w:cs="Times New Roman"/>
          <w:color w:val="7030A0"/>
          <w:highlight w:val="none"/>
        </w:rPr>
        <w:t>本次规划建设期各场地平整、道路路基平整及临时弃土弃渣将会对地表植被造成破坏，这些破坏相对是可恢复的，随着施工的结束，这些植被应逐渐恢复，因此在施工过程中要做好施工场地的规划，明确弃土弃渣点和施工范围，尽可能减少施工影响范围，临时占地及时得以恢复。</w:t>
      </w:r>
    </w:p>
    <w:p>
      <w:pPr>
        <w:ind w:firstLine="480"/>
        <w:rPr>
          <w:rFonts w:eastAsia="宋体" w:cs="Times New Roman"/>
          <w:color w:val="7030A0"/>
          <w:highlight w:val="none"/>
        </w:rPr>
      </w:pPr>
      <w:r>
        <w:rPr>
          <w:rFonts w:hint="eastAsia" w:eastAsia="宋体" w:cs="Times New Roman"/>
          <w:color w:val="7030A0"/>
          <w:highlight w:val="none"/>
        </w:rPr>
        <w:t>规划区受到人类活动的频繁影响，原有的自然生物种类已消失殆尽，无珍稀动植物存在。</w:t>
      </w:r>
    </w:p>
    <w:p>
      <w:pPr>
        <w:ind w:firstLine="480"/>
        <w:rPr>
          <w:rFonts w:eastAsia="宋体" w:cs="Times New Roman"/>
          <w:color w:val="7030A0"/>
          <w:highlight w:val="none"/>
        </w:rPr>
      </w:pPr>
      <w:r>
        <w:rPr>
          <w:rFonts w:hint="eastAsia" w:eastAsia="宋体" w:cs="Times New Roman"/>
          <w:color w:val="7030A0"/>
          <w:highlight w:val="none"/>
        </w:rPr>
        <w:t>综上所述，规划实施将打破原有的生态系统，重新建立城市人工生态系统，因此，在开发过程中，新的生态系统未建立起来前，水土流失的控制十分重要，建议边开发边进行植被恢复和生态建设，以减轻水土流失，同时施工场地按要求实施固化，开发建设后，主要是生态系统的能力和景观协调，要在规划中充分考虑新建的人工生态系统的调控能力，做好生态系统长期保护工作。</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社会环境影响</w:t>
      </w:r>
      <w:r>
        <w:rPr>
          <w:rFonts w:ascii="Times New Roman" w:hAnsi="Times New Roman" w:eastAsia="黑体" w:cs="Times New Roman"/>
          <w:bCs/>
          <w:color w:val="7030A0"/>
          <w:kern w:val="2"/>
          <w:sz w:val="30"/>
          <w:szCs w:val="32"/>
          <w:highlight w:val="none"/>
          <w:lang w:val="en-US" w:eastAsia="zh-CN" w:bidi="ar-SA"/>
        </w:rPr>
        <w:t>预测与评价</w:t>
      </w:r>
    </w:p>
    <w:p>
      <w:pPr>
        <w:keepNext/>
        <w:keepLines/>
        <w:widowControl w:val="0"/>
        <w:numPr>
          <w:ilvl w:val="3"/>
          <w:numId w:val="9"/>
        </w:numPr>
        <w:adjustRightInd w:val="0"/>
        <w:snapToGrid/>
        <w:spacing w:line="360" w:lineRule="auto"/>
        <w:ind w:left="864" w:hanging="864" w:firstLineChars="0"/>
        <w:jc w:val="both"/>
        <w:outlineLvl w:val="3"/>
        <w:rPr>
          <w:rFonts w:ascii="Times New Roman" w:hAnsi="Times New Roman" w:eastAsia="黑体" w:cs="Times New Roman"/>
          <w:bCs/>
          <w:color w:val="7030A0"/>
          <w:kern w:val="2"/>
          <w:sz w:val="24"/>
          <w:szCs w:val="28"/>
          <w:highlight w:val="none"/>
          <w:lang w:val="en-US" w:eastAsia="zh-CN" w:bidi="ar-SA"/>
        </w:rPr>
      </w:pPr>
      <w:r>
        <w:rPr>
          <w:rFonts w:hint="eastAsia" w:ascii="Times New Roman" w:hAnsi="Times New Roman" w:eastAsia="黑体" w:cs="Times New Roman"/>
          <w:bCs/>
          <w:color w:val="7030A0"/>
          <w:kern w:val="2"/>
          <w:sz w:val="24"/>
          <w:szCs w:val="28"/>
          <w:highlight w:val="none"/>
          <w:lang w:val="en-US" w:eastAsia="zh-CN" w:bidi="ar-SA"/>
        </w:rPr>
        <w:t>对当地社会经济发展的影响</w:t>
      </w:r>
    </w:p>
    <w:p>
      <w:pPr>
        <w:ind w:firstLine="480"/>
        <w:rPr>
          <w:rFonts w:eastAsia="宋体" w:cs="Times New Roman"/>
          <w:color w:val="7030A0"/>
          <w:highlight w:val="none"/>
        </w:rPr>
      </w:pPr>
      <w:r>
        <w:rPr>
          <w:rFonts w:hint="eastAsia" w:eastAsia="宋体" w:cs="Times New Roman"/>
          <w:color w:val="7030A0"/>
          <w:highlight w:val="none"/>
        </w:rPr>
        <w:t>规划区的建设对地方经济影响较大，不仅对苍溪县经济发展、产业结构调整有带动作用，也能带动当地三产、交通运输等行业的大力发展，同时解决很多人员的就业问题，拉动当地国民生产总值快速增长。</w:t>
      </w:r>
    </w:p>
    <w:p>
      <w:pPr>
        <w:keepNext/>
        <w:keepLines/>
        <w:widowControl w:val="0"/>
        <w:numPr>
          <w:ilvl w:val="3"/>
          <w:numId w:val="9"/>
        </w:numPr>
        <w:adjustRightInd w:val="0"/>
        <w:snapToGrid/>
        <w:spacing w:line="360" w:lineRule="auto"/>
        <w:ind w:left="864" w:hanging="864" w:firstLineChars="0"/>
        <w:jc w:val="both"/>
        <w:outlineLvl w:val="3"/>
        <w:rPr>
          <w:rFonts w:ascii="Times New Roman" w:hAnsi="Times New Roman" w:eastAsia="黑体" w:cs="Times New Roman"/>
          <w:bCs/>
          <w:color w:val="7030A0"/>
          <w:kern w:val="2"/>
          <w:sz w:val="24"/>
          <w:szCs w:val="28"/>
          <w:highlight w:val="none"/>
          <w:lang w:val="en-US" w:eastAsia="zh-CN" w:bidi="ar-SA"/>
        </w:rPr>
      </w:pPr>
      <w:r>
        <w:rPr>
          <w:rFonts w:hint="eastAsia" w:ascii="Times New Roman" w:hAnsi="Times New Roman" w:eastAsia="黑体" w:cs="Times New Roman"/>
          <w:bCs/>
          <w:color w:val="7030A0"/>
          <w:kern w:val="2"/>
          <w:sz w:val="24"/>
          <w:szCs w:val="28"/>
          <w:highlight w:val="none"/>
          <w:lang w:val="en-US" w:eastAsia="zh-CN" w:bidi="ar-SA"/>
        </w:rPr>
        <w:t>征地拆迁及移民安置影响分析</w:t>
      </w:r>
    </w:p>
    <w:p>
      <w:pPr>
        <w:ind w:firstLine="480"/>
        <w:rPr>
          <w:rFonts w:eastAsia="宋体" w:cs="Times New Roman"/>
          <w:color w:val="7030A0"/>
          <w:highlight w:val="none"/>
        </w:rPr>
      </w:pPr>
      <w:r>
        <w:rPr>
          <w:rFonts w:hint="eastAsia" w:eastAsia="宋体" w:cs="Times New Roman"/>
          <w:color w:val="7030A0"/>
          <w:highlight w:val="none"/>
        </w:rPr>
        <w:t>园区采用滚动发展和模块建设，规划范围内居民在园区建设过程中逐步实施搬迁。受物价、财政条件，会对其住房、就业产生影响，如果处理不当，可能带来一系列社会、环境问题。</w:t>
      </w:r>
    </w:p>
    <w:p>
      <w:pPr>
        <w:ind w:firstLine="480"/>
        <w:rPr>
          <w:rFonts w:eastAsia="宋体" w:cs="Times New Roman"/>
          <w:color w:val="7030A0"/>
          <w:highlight w:val="none"/>
        </w:rPr>
      </w:pPr>
      <w:r>
        <w:rPr>
          <w:rFonts w:hint="eastAsia" w:eastAsia="宋体" w:cs="Times New Roman"/>
          <w:color w:val="7030A0"/>
          <w:highlight w:val="none"/>
        </w:rPr>
        <w:t>园区位于广元市主城区，影响社会环境改变的不确定因素很多，主要有：就业问题、补偿问题、拆迁安置问题、社会保障等问题。</w:t>
      </w:r>
    </w:p>
    <w:p>
      <w:pPr>
        <w:keepNext/>
        <w:keepLines/>
        <w:widowControl w:val="0"/>
        <w:numPr>
          <w:ilvl w:val="3"/>
          <w:numId w:val="9"/>
        </w:numPr>
        <w:adjustRightInd w:val="0"/>
        <w:snapToGrid/>
        <w:spacing w:line="360" w:lineRule="auto"/>
        <w:ind w:left="864" w:hanging="864" w:firstLineChars="0"/>
        <w:jc w:val="both"/>
        <w:outlineLvl w:val="3"/>
        <w:rPr>
          <w:rFonts w:ascii="Times New Roman" w:hAnsi="Times New Roman" w:eastAsia="黑体" w:cs="Times New Roman"/>
          <w:bCs/>
          <w:color w:val="7030A0"/>
          <w:kern w:val="2"/>
          <w:sz w:val="24"/>
          <w:szCs w:val="28"/>
          <w:highlight w:val="none"/>
          <w:lang w:val="en-US" w:eastAsia="zh-CN" w:bidi="ar-SA"/>
        </w:rPr>
      </w:pPr>
      <w:r>
        <w:rPr>
          <w:rFonts w:hint="eastAsia" w:ascii="Times New Roman" w:hAnsi="Times New Roman" w:eastAsia="黑体" w:cs="Times New Roman"/>
          <w:bCs/>
          <w:color w:val="7030A0"/>
          <w:kern w:val="2"/>
          <w:sz w:val="24"/>
          <w:szCs w:val="28"/>
          <w:highlight w:val="none"/>
          <w:lang w:val="en-US" w:eastAsia="zh-CN" w:bidi="ar-SA"/>
        </w:rPr>
        <w:t>对人群健康的影响分析</w:t>
      </w:r>
    </w:p>
    <w:p>
      <w:pPr>
        <w:ind w:firstLine="480"/>
        <w:rPr>
          <w:rFonts w:eastAsia="宋体" w:cs="Times New Roman"/>
          <w:color w:val="7030A0"/>
          <w:highlight w:val="none"/>
        </w:rPr>
      </w:pPr>
      <w:r>
        <w:rPr>
          <w:rFonts w:hint="eastAsia" w:eastAsia="宋体" w:cs="Times New Roman"/>
          <w:color w:val="7030A0"/>
          <w:highlight w:val="none"/>
        </w:rPr>
        <w:t>随着园区的建设和投产运行，将排放三废污染物，通过各种渠道污染物将进入大气、水体和生态环境，区内住户及周边居民将可能受此影响，对身体造成健康隐患。</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累积环境影响预测与分析</w:t>
      </w:r>
    </w:p>
    <w:p>
      <w:pPr>
        <w:ind w:firstLine="480"/>
        <w:rPr>
          <w:rFonts w:eastAsia="宋体" w:cs="Times New Roman"/>
          <w:color w:val="7030A0"/>
          <w:highlight w:val="none"/>
        </w:rPr>
      </w:pPr>
      <w:r>
        <w:rPr>
          <w:rFonts w:hint="eastAsia" w:eastAsia="宋体" w:cs="Times New Roman"/>
          <w:color w:val="7030A0"/>
          <w:highlight w:val="none"/>
        </w:rPr>
        <w:t>根据累积性影响定义，开发项目的累积影响会产生于以下两种情形：①某个项目对环境的长时间效应，即影响在时间上的累积过程；②多个项目相互作用、叠加后导致的环境变化对某种共同的资源所产生的效应，即影响在空间上的协同关系。</w:t>
      </w:r>
    </w:p>
    <w:p>
      <w:pPr>
        <w:ind w:firstLine="480"/>
        <w:rPr>
          <w:rFonts w:eastAsia="宋体" w:cs="Times New Roman"/>
          <w:color w:val="7030A0"/>
          <w:highlight w:val="none"/>
        </w:rPr>
      </w:pPr>
      <w:r>
        <w:rPr>
          <w:rFonts w:hint="eastAsia" w:eastAsia="宋体" w:cs="Times New Roman"/>
          <w:color w:val="7030A0"/>
          <w:highlight w:val="none"/>
        </w:rPr>
        <w:t>本评价在第六章规划区至规划年所排放的废气、废水、噪声、固废等污染物进行了环境影响分析，即分析多个项目相互叠加后的环境影响，所以在此小节中，本环评将重点分析项目对环境的长时间累积效应。</w:t>
      </w:r>
    </w:p>
    <w:p>
      <w:pPr>
        <w:ind w:firstLine="480"/>
        <w:rPr>
          <w:rFonts w:eastAsia="宋体" w:cs="Times New Roman"/>
          <w:color w:val="7030A0"/>
          <w:highlight w:val="none"/>
        </w:rPr>
      </w:pPr>
      <w:r>
        <w:rPr>
          <w:rFonts w:hint="eastAsia" w:eastAsia="宋体" w:cs="Times New Roman"/>
          <w:color w:val="7030A0"/>
          <w:highlight w:val="none"/>
        </w:rPr>
        <w:t>目前，我国只对常规污染因子COD、NH</w:t>
      </w:r>
      <w:r>
        <w:rPr>
          <w:rFonts w:hint="eastAsia" w:eastAsia="宋体" w:cs="Times New Roman"/>
          <w:color w:val="7030A0"/>
          <w:highlight w:val="none"/>
          <w:vertAlign w:val="subscript"/>
        </w:rPr>
        <w:t>3</w:t>
      </w:r>
      <w:r>
        <w:rPr>
          <w:rFonts w:hint="eastAsia" w:eastAsia="宋体" w:cs="Times New Roman"/>
          <w:color w:val="7030A0"/>
          <w:highlight w:val="none"/>
        </w:rPr>
        <w:t>-N、SO</w:t>
      </w:r>
      <w:r>
        <w:rPr>
          <w:rFonts w:hint="eastAsia" w:eastAsia="宋体" w:cs="Times New Roman"/>
          <w:color w:val="7030A0"/>
          <w:highlight w:val="none"/>
          <w:vertAlign w:val="subscript"/>
        </w:rPr>
        <w:t>2</w:t>
      </w:r>
      <w:r>
        <w:rPr>
          <w:rFonts w:hint="eastAsia" w:eastAsia="宋体" w:cs="Times New Roman"/>
          <w:color w:val="7030A0"/>
          <w:highlight w:val="none"/>
        </w:rPr>
        <w:t>、颗粒物、氮氧化物等实施强制性总量控制制度，但对各行业的特征污染因子尚未开展类似工作，而特征污染因子（即使是排放量相对常规因子少的）恰恰是对生物产生累积性影响、影响生物种群数量的关键因素。</w:t>
      </w:r>
    </w:p>
    <w:p>
      <w:pPr>
        <w:ind w:firstLine="480"/>
        <w:rPr>
          <w:rFonts w:eastAsia="宋体" w:cs="Times New Roman"/>
          <w:color w:val="7030A0"/>
          <w:highlight w:val="none"/>
        </w:rPr>
      </w:pPr>
      <w:r>
        <w:rPr>
          <w:rFonts w:hint="eastAsia" w:eastAsia="宋体" w:cs="Times New Roman"/>
          <w:color w:val="7030A0"/>
          <w:highlight w:val="none"/>
        </w:rPr>
        <w:t>规划区主导发展硅基新材料，培育发展以光伏玻璃、光伏组件和电子级玻璃纤维布为主的新型产业，产业的污染量较小，基本不会涉及特征污染因子，对水生生物、土壤、植被等累积性环境影响较小。</w:t>
      </w:r>
    </w:p>
    <w:p>
      <w:pPr>
        <w:ind w:firstLine="480"/>
        <w:rPr>
          <w:highlight w:val="none"/>
        </w:rPr>
        <w:sectPr>
          <w:pgSz w:w="11906" w:h="16838"/>
          <w:pgMar w:top="1440" w:right="1080" w:bottom="1440" w:left="1080" w:header="851" w:footer="992" w:gutter="0"/>
          <w:cols w:space="720" w:num="1"/>
          <w:docGrid w:type="lines" w:linePitch="326" w:charSpace="0"/>
        </w:sectPr>
      </w:pPr>
    </w:p>
    <w:p>
      <w:pPr>
        <w:keepNext/>
        <w:keepLines/>
        <w:widowControl w:val="0"/>
        <w:numPr>
          <w:ilvl w:val="0"/>
          <w:numId w:val="9"/>
        </w:numPr>
        <w:spacing w:before="163" w:beforeLines="0" w:after="163" w:afterLines="0" w:line="578" w:lineRule="auto"/>
        <w:ind w:left="440" w:hanging="440" w:firstLineChars="0"/>
        <w:jc w:val="both"/>
        <w:outlineLvl w:val="0"/>
        <w:rPr>
          <w:rFonts w:ascii="Times New Roman" w:hAnsi="Times New Roman" w:eastAsia="黑体" w:cs="Times New Roman"/>
          <w:bCs/>
          <w:color w:val="7030A0"/>
          <w:kern w:val="44"/>
          <w:sz w:val="44"/>
          <w:szCs w:val="44"/>
          <w:highlight w:val="none"/>
          <w:lang w:val="en-US" w:eastAsia="zh-CN" w:bidi="ar-SA"/>
        </w:rPr>
      </w:pPr>
      <w:bookmarkStart w:id="53" w:name="_Toc162353658"/>
      <w:r>
        <w:rPr>
          <w:rFonts w:hint="eastAsia" w:ascii="Times New Roman" w:hAnsi="Times New Roman" w:eastAsia="黑体" w:cs="Times New Roman"/>
          <w:bCs/>
          <w:color w:val="7030A0"/>
          <w:kern w:val="44"/>
          <w:sz w:val="44"/>
          <w:szCs w:val="44"/>
          <w:highlight w:val="none"/>
          <w:lang w:val="en-US" w:eastAsia="zh-CN" w:bidi="ar-SA"/>
        </w:rPr>
        <w:t>环境风险评价</w:t>
      </w:r>
      <w:bookmarkEnd w:id="53"/>
    </w:p>
    <w:p>
      <w:pPr>
        <w:keepNext/>
        <w:keepLines/>
        <w:widowControl w:val="0"/>
        <w:numPr>
          <w:ilvl w:val="1"/>
          <w:numId w:val="9"/>
        </w:numPr>
        <w:spacing w:line="480" w:lineRule="auto"/>
        <w:ind w:left="576" w:hanging="576" w:firstLineChars="0"/>
        <w:jc w:val="both"/>
        <w:outlineLvl w:val="1"/>
        <w:rPr>
          <w:rFonts w:ascii="Times New Roman" w:hAnsi="Times New Roman" w:eastAsia="黑体" w:cs="Times New Roman"/>
          <w:bCs/>
          <w:color w:val="7030A0"/>
          <w:kern w:val="2"/>
          <w:sz w:val="32"/>
          <w:szCs w:val="32"/>
          <w:highlight w:val="none"/>
          <w:lang w:val="en-US" w:eastAsia="zh-CN" w:bidi="ar-SA"/>
        </w:rPr>
      </w:pPr>
      <w:bookmarkStart w:id="54" w:name="_Toc162353659"/>
      <w:r>
        <w:rPr>
          <w:rFonts w:hint="eastAsia" w:ascii="Times New Roman" w:hAnsi="Times New Roman" w:eastAsia="黑体" w:cs="Times New Roman"/>
          <w:bCs/>
          <w:color w:val="7030A0"/>
          <w:kern w:val="2"/>
          <w:sz w:val="32"/>
          <w:szCs w:val="32"/>
          <w:highlight w:val="none"/>
          <w:lang w:val="en-US" w:eastAsia="zh-CN" w:bidi="ar-SA"/>
        </w:rPr>
        <w:t>环境风险识别</w:t>
      </w:r>
      <w:bookmarkEnd w:id="54"/>
    </w:p>
    <w:p>
      <w:pPr>
        <w:ind w:firstLine="480"/>
        <w:rPr>
          <w:rFonts w:eastAsia="宋体" w:cs="Times New Roman"/>
          <w:color w:val="7030A0"/>
          <w:highlight w:val="none"/>
        </w:rPr>
      </w:pPr>
      <w:r>
        <w:rPr>
          <w:rFonts w:hint="eastAsia" w:eastAsia="宋体" w:cs="Times New Roman"/>
          <w:color w:val="7030A0"/>
          <w:highlight w:val="none"/>
        </w:rPr>
        <w:t>环境风险评价的目的是分析和预测产业园建设存在的潜在危险，园区建设和运行期间发生的突发性事件，有毒有害和易燃易爆等物质泄漏，所造成的人身安全与环境影响，提出合理可行的防范、应急措施，以使事故率、损失达到可接受水平。</w:t>
      </w:r>
    </w:p>
    <w:p>
      <w:pPr>
        <w:ind w:firstLine="480"/>
        <w:rPr>
          <w:rFonts w:eastAsia="宋体" w:cs="Times New Roman"/>
          <w:color w:val="7030A0"/>
          <w:highlight w:val="none"/>
        </w:rPr>
      </w:pPr>
      <w:r>
        <w:rPr>
          <w:rFonts w:hint="eastAsia" w:eastAsia="宋体" w:cs="Times New Roman"/>
          <w:color w:val="7030A0"/>
          <w:highlight w:val="none"/>
        </w:rPr>
        <w:t>环境风险评价把事故对周围人群的伤害、环境质量恶化的分析和防护作为评价工作重点。本章节主要通过对主要风险源识别，分析可能造成的影响程度，提出应急与缓解措施，制定应急预案，使园区的环境风险事故影响可控。</w:t>
      </w:r>
    </w:p>
    <w:p>
      <w:pPr>
        <w:ind w:firstLine="480"/>
        <w:rPr>
          <w:rFonts w:hint="eastAsia" w:eastAsia="宋体" w:cs="Times New Roman"/>
          <w:color w:val="7030A0"/>
          <w:highlight w:val="none"/>
        </w:rPr>
      </w:pPr>
      <w:r>
        <w:rPr>
          <w:rFonts w:hint="eastAsia" w:eastAsia="宋体" w:cs="Times New Roman"/>
          <w:color w:val="7030A0"/>
          <w:highlight w:val="none"/>
        </w:rPr>
        <w:t>本次规划产业以光伏玻璃、光伏组件和电子级玻璃纤维布为主的新型产业，结合园区内现有项目资料、参考同类园区、行业特征，园区后续规划可使用的危化品为天然气。</w:t>
      </w:r>
    </w:p>
    <w:p>
      <w:pPr>
        <w:ind w:firstLine="480"/>
        <w:rPr>
          <w:rFonts w:eastAsia="宋体" w:cs="Times New Roman"/>
          <w:color w:val="7030A0"/>
          <w:szCs w:val="24"/>
          <w:highlight w:val="none"/>
        </w:rPr>
      </w:pPr>
      <w:r>
        <w:rPr>
          <w:rFonts w:hint="eastAsia" w:eastAsia="宋体" w:cs="Times New Roman"/>
          <w:color w:val="7030A0"/>
          <w:szCs w:val="24"/>
          <w:highlight w:val="none"/>
        </w:rPr>
        <w:t>根据企业客观条件和具体特点，结合国内外已有的经验教训，园区企业生产经营过程可能发生的突发环境风险事故情形为：</w:t>
      </w:r>
    </w:p>
    <w:p>
      <w:pPr>
        <w:widowControl w:val="0"/>
        <w:spacing w:line="360" w:lineRule="auto"/>
        <w:ind w:firstLine="0" w:firstLineChars="0"/>
        <w:jc w:val="center"/>
        <w:rPr>
          <w:rFonts w:hint="eastAsia" w:ascii="Times New Roman" w:hAnsi="Times New Roman" w:eastAsia="黑体" w:cs="Times New Roman"/>
          <w:color w:val="7030A0"/>
          <w:kern w:val="2"/>
          <w:sz w:val="21"/>
          <w:szCs w:val="24"/>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表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6.2</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表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13</w:t>
      </w:r>
      <w:r>
        <w:rPr>
          <w:rFonts w:ascii="Times New Roman" w:hAnsi="Times New Roman" w:eastAsia="黑体" w:cs="Times New Roman"/>
          <w:color w:val="7030A0"/>
          <w:kern w:val="2"/>
          <w:sz w:val="21"/>
          <w:szCs w:val="20"/>
          <w:highlight w:val="none"/>
          <w:lang w:val="en-US" w:eastAsia="zh-CN" w:bidi="ar-SA"/>
        </w:rPr>
        <w:fldChar w:fldCharType="end"/>
      </w:r>
      <w:r>
        <w:rPr>
          <w:rFonts w:hint="eastAsia" w:ascii="Times New Roman" w:hAnsi="Times New Roman" w:eastAsia="黑体" w:cs="Times New Roman"/>
          <w:color w:val="7030A0"/>
          <w:kern w:val="2"/>
          <w:sz w:val="21"/>
          <w:szCs w:val="20"/>
          <w:highlight w:val="none"/>
          <w:lang w:val="en-US" w:eastAsia="zh-CN" w:bidi="ar-SA"/>
        </w:rPr>
        <w:t xml:space="preserve"> 本规划环境风险事故情形</w:t>
      </w:r>
    </w:p>
    <w:tbl>
      <w:tblPr>
        <w:tblStyle w:val="39"/>
        <w:tblW w:w="5000" w:type="pct"/>
        <w:tblInd w:w="12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9"/>
        <w:gridCol w:w="1991"/>
        <w:gridCol w:w="3170"/>
        <w:gridCol w:w="1850"/>
        <w:gridCol w:w="16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4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序号</w:t>
            </w:r>
          </w:p>
        </w:tc>
        <w:tc>
          <w:tcPr>
            <w:tcW w:w="1072"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装置/单元</w:t>
            </w:r>
          </w:p>
        </w:tc>
        <w:tc>
          <w:tcPr>
            <w:tcW w:w="1707"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风险情形</w:t>
            </w:r>
          </w:p>
        </w:tc>
        <w:tc>
          <w:tcPr>
            <w:tcW w:w="996"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污染因子</w:t>
            </w:r>
          </w:p>
        </w:tc>
        <w:tc>
          <w:tcPr>
            <w:tcW w:w="881"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影响的环境要素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4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1</w:t>
            </w:r>
          </w:p>
        </w:tc>
        <w:tc>
          <w:tcPr>
            <w:tcW w:w="1072"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天然气输送管道</w:t>
            </w:r>
          </w:p>
        </w:tc>
        <w:tc>
          <w:tcPr>
            <w:tcW w:w="1707" w:type="pct"/>
            <w:shd w:val="clear" w:color="auto" w:fill="auto"/>
            <w:noWrap w:val="0"/>
            <w:vAlign w:val="center"/>
          </w:tcPr>
          <w:p>
            <w:pPr>
              <w:widowControl w:val="0"/>
              <w:spacing w:line="240" w:lineRule="auto"/>
              <w:ind w:firstLine="0" w:firstLineChars="0"/>
              <w:jc w:val="both"/>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管径泄漏</w:t>
            </w:r>
          </w:p>
          <w:p>
            <w:pPr>
              <w:widowControl w:val="0"/>
              <w:spacing w:line="240" w:lineRule="auto"/>
              <w:ind w:firstLine="0" w:firstLineChars="0"/>
              <w:jc w:val="both"/>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（1）泄漏孔径为10%孔径</w:t>
            </w:r>
          </w:p>
          <w:p>
            <w:pPr>
              <w:widowControl w:val="0"/>
              <w:spacing w:line="240" w:lineRule="auto"/>
              <w:ind w:firstLine="0" w:firstLineChars="0"/>
              <w:jc w:val="both"/>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（2）全管径泄漏</w:t>
            </w:r>
          </w:p>
        </w:tc>
        <w:tc>
          <w:tcPr>
            <w:tcW w:w="996"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甲烷</w:t>
            </w:r>
          </w:p>
        </w:tc>
        <w:tc>
          <w:tcPr>
            <w:tcW w:w="881"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环境空气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44"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2</w:t>
            </w:r>
          </w:p>
        </w:tc>
        <w:tc>
          <w:tcPr>
            <w:tcW w:w="1072"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园区污水处理厂</w:t>
            </w:r>
          </w:p>
        </w:tc>
        <w:tc>
          <w:tcPr>
            <w:tcW w:w="1707" w:type="pct"/>
            <w:shd w:val="clear" w:color="auto" w:fill="auto"/>
            <w:noWrap w:val="0"/>
            <w:vAlign w:val="center"/>
          </w:tcPr>
          <w:p>
            <w:pPr>
              <w:widowControl w:val="0"/>
              <w:spacing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污水处理设施故障，未经处理的污水直接排入当地受纳受体</w:t>
            </w:r>
          </w:p>
        </w:tc>
        <w:tc>
          <w:tcPr>
            <w:tcW w:w="996"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COD、氨氮、总磷</w:t>
            </w:r>
          </w:p>
        </w:tc>
        <w:tc>
          <w:tcPr>
            <w:tcW w:w="881" w:type="pct"/>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地表水</w:t>
            </w:r>
          </w:p>
        </w:tc>
      </w:tr>
    </w:tbl>
    <w:p>
      <w:pPr>
        <w:keepNext/>
        <w:keepLines/>
        <w:widowControl w:val="0"/>
        <w:numPr>
          <w:ilvl w:val="1"/>
          <w:numId w:val="9"/>
        </w:numPr>
        <w:spacing w:line="480" w:lineRule="auto"/>
        <w:ind w:left="576" w:hanging="576" w:firstLineChars="0"/>
        <w:jc w:val="both"/>
        <w:outlineLvl w:val="1"/>
        <w:rPr>
          <w:rFonts w:ascii="Times New Roman" w:hAnsi="Times New Roman" w:eastAsia="黑体" w:cs="Times New Roman"/>
          <w:bCs/>
          <w:color w:val="7030A0"/>
          <w:kern w:val="2"/>
          <w:sz w:val="32"/>
          <w:szCs w:val="32"/>
          <w:highlight w:val="none"/>
          <w:lang w:val="en-US" w:eastAsia="zh-CN" w:bidi="ar-SA"/>
        </w:rPr>
      </w:pPr>
      <w:bookmarkStart w:id="55" w:name="_Toc162353660"/>
      <w:r>
        <w:rPr>
          <w:rFonts w:hint="eastAsia" w:ascii="Times New Roman" w:hAnsi="Times New Roman" w:eastAsia="黑体" w:cs="Times New Roman"/>
          <w:bCs/>
          <w:color w:val="7030A0"/>
          <w:kern w:val="2"/>
          <w:sz w:val="32"/>
          <w:szCs w:val="32"/>
          <w:highlight w:val="none"/>
          <w:lang w:val="en-US" w:eastAsia="zh-CN" w:bidi="ar-SA"/>
        </w:rPr>
        <w:t>环境风险受体及其分布</w:t>
      </w:r>
      <w:bookmarkEnd w:id="55"/>
    </w:p>
    <w:p>
      <w:pPr>
        <w:widowControl w:val="0"/>
        <w:adjustRightInd w:val="0"/>
        <w:snapToGrid/>
        <w:spacing w:line="360" w:lineRule="auto"/>
        <w:ind w:firstLine="480" w:firstLineChars="200"/>
        <w:jc w:val="both"/>
        <w:rPr>
          <w:rFonts w:ascii="Times New Roman" w:hAnsi="Times New Roman" w:eastAsia="宋体" w:cs="Times New Roman"/>
          <w:bCs/>
          <w:color w:val="7030A0"/>
          <w:kern w:val="2"/>
          <w:sz w:val="24"/>
          <w:szCs w:val="21"/>
          <w:highlight w:val="none"/>
          <w:lang w:val="en-US" w:eastAsia="zh-CN" w:bidi="ar-SA"/>
        </w:rPr>
      </w:pPr>
      <w:r>
        <w:rPr>
          <w:rFonts w:hint="eastAsia" w:ascii="Times New Roman" w:hAnsi="Times New Roman" w:eastAsia="宋体" w:cs="Times New Roman"/>
          <w:bCs/>
          <w:color w:val="7030A0"/>
          <w:kern w:val="2"/>
          <w:sz w:val="24"/>
          <w:szCs w:val="21"/>
          <w:highlight w:val="none"/>
          <w:lang w:val="en-US" w:eastAsia="zh-CN" w:bidi="ar-SA"/>
        </w:rPr>
        <w:t>本次规划范围无自然保护区、风景名胜区等敏感目标，主要环境风险受体为范围内主要涉及百利镇、云峰镇、陵江镇。</w:t>
      </w:r>
    </w:p>
    <w:p>
      <w:pPr>
        <w:keepNext/>
        <w:keepLines/>
        <w:widowControl w:val="0"/>
        <w:numPr>
          <w:ilvl w:val="1"/>
          <w:numId w:val="9"/>
        </w:numPr>
        <w:spacing w:line="480" w:lineRule="auto"/>
        <w:ind w:left="576" w:hanging="576" w:firstLineChars="0"/>
        <w:jc w:val="both"/>
        <w:outlineLvl w:val="1"/>
        <w:rPr>
          <w:rFonts w:ascii="Times New Roman" w:hAnsi="Times New Roman" w:eastAsia="黑体" w:cs="Times New Roman"/>
          <w:bCs/>
          <w:color w:val="7030A0"/>
          <w:kern w:val="2"/>
          <w:sz w:val="32"/>
          <w:szCs w:val="32"/>
          <w:highlight w:val="none"/>
          <w:lang w:val="en-US" w:eastAsia="zh-CN" w:bidi="ar-SA"/>
        </w:rPr>
      </w:pPr>
      <w:bookmarkStart w:id="56" w:name="_Toc162353661"/>
      <w:r>
        <w:rPr>
          <w:rFonts w:hint="eastAsia" w:ascii="Times New Roman" w:hAnsi="Times New Roman" w:eastAsia="黑体" w:cs="Times New Roman"/>
          <w:bCs/>
          <w:color w:val="7030A0"/>
          <w:kern w:val="2"/>
          <w:sz w:val="32"/>
          <w:szCs w:val="32"/>
          <w:highlight w:val="none"/>
          <w:lang w:val="en-US" w:eastAsia="zh-CN" w:bidi="ar-SA"/>
        </w:rPr>
        <w:t>环境风险管理</w:t>
      </w:r>
      <w:bookmarkEnd w:id="56"/>
      <w:r>
        <w:rPr>
          <w:rFonts w:hint="eastAsia" w:ascii="Times New Roman" w:hAnsi="Times New Roman" w:eastAsia="黑体" w:cs="Times New Roman"/>
          <w:bCs/>
          <w:color w:val="7030A0"/>
          <w:kern w:val="2"/>
          <w:sz w:val="32"/>
          <w:szCs w:val="32"/>
          <w:highlight w:val="none"/>
          <w:lang w:val="en-US" w:eastAsia="zh-CN" w:bidi="ar-SA"/>
        </w:rPr>
        <w:t>及风险防范措施</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合理规划功能分区及产业布局</w:t>
      </w:r>
    </w:p>
    <w:p>
      <w:pPr>
        <w:ind w:firstLine="480"/>
        <w:rPr>
          <w:rFonts w:eastAsia="宋体" w:cs="Times New Roman"/>
          <w:color w:val="7030A0"/>
          <w:highlight w:val="none"/>
        </w:rPr>
      </w:pPr>
      <w:r>
        <w:rPr>
          <w:rFonts w:hint="eastAsia" w:eastAsia="宋体" w:cs="Times New Roman"/>
          <w:color w:val="7030A0"/>
          <w:highlight w:val="none"/>
        </w:rPr>
        <w:t>1、规划区在规划建设过程中，严格按照准入条件，合理布局入区企业位置和规模。根据入区企业及其相邻的工厂或设施的特点和火灾危险性，结合地形，风向等条件，合理布置；企业的生产区应避免布置在窝风地带。生产车间尽量远离居民区、地表水体布设。合理布局输气管道、高压输变电站等设施，并设立防护隔离带。入区企业与相邻工厂或设施的防火间距应满足相关行业涉及防火规范。</w:t>
      </w:r>
    </w:p>
    <w:p>
      <w:pPr>
        <w:ind w:firstLine="480"/>
        <w:rPr>
          <w:rFonts w:eastAsia="宋体" w:cs="Times New Roman"/>
          <w:color w:val="7030A0"/>
          <w:highlight w:val="none"/>
        </w:rPr>
      </w:pPr>
      <w:r>
        <w:rPr>
          <w:rFonts w:hint="eastAsia" w:eastAsia="宋体" w:cs="Times New Roman"/>
          <w:color w:val="7030A0"/>
          <w:highlight w:val="none"/>
        </w:rPr>
        <w:t>2、为减少区内建设项目对周边环境的不利影响，特别是具有较大环境风险影响的项目，要求从企业产品方案、生产工艺、生产规模、项目选址等方面，对拟入园项目加强管理：禁止工艺落后、不符合有关产业政策及产业定位的项目进入园区；提高对生产工艺的要求，鼓励采用符合清洁生产要求、减少风险物质泄漏和使用的工艺。</w:t>
      </w:r>
    </w:p>
    <w:p>
      <w:pPr>
        <w:ind w:firstLine="480"/>
        <w:rPr>
          <w:rFonts w:eastAsia="宋体" w:cs="Times New Roman"/>
          <w:highlight w:val="none"/>
        </w:rPr>
      </w:pPr>
      <w:r>
        <w:rPr>
          <w:rFonts w:hint="eastAsia" w:eastAsia="宋体" w:cs="Times New Roman"/>
          <w:color w:val="7030A0"/>
          <w:highlight w:val="none"/>
        </w:rPr>
        <w:t>3、规划区周围设置绿化防护林带：规划区和周围环境社会交界处设置绿化防护林带是减少工业企业无组织排放对环境影响和防范事故减低大气风险危害的有效措施之一。防护林带树木的种植，可以选择耐污染类和污染指示剂类品种。</w:t>
      </w:r>
      <w:r>
        <w:rPr>
          <w:rFonts w:eastAsia="宋体" w:cs="Times New Roman"/>
          <w:color w:val="7030A0"/>
          <w:highlight w:val="none"/>
        </w:rPr>
        <w:t xml:space="preserve"> </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污染物事故排放风险管控</w:t>
      </w:r>
    </w:p>
    <w:p>
      <w:pPr>
        <w:ind w:firstLine="480"/>
        <w:rPr>
          <w:rFonts w:eastAsia="宋体" w:cs="Times New Roman"/>
          <w:color w:val="7030A0"/>
          <w:highlight w:val="none"/>
        </w:rPr>
      </w:pPr>
      <w:r>
        <w:rPr>
          <w:rFonts w:hint="eastAsia" w:eastAsia="宋体" w:cs="Times New Roman"/>
          <w:color w:val="7030A0"/>
          <w:highlight w:val="none"/>
        </w:rPr>
        <w:t>1、地表水事故排放管控</w:t>
      </w:r>
    </w:p>
    <w:p>
      <w:pPr>
        <w:ind w:firstLine="480"/>
        <w:rPr>
          <w:rFonts w:eastAsia="宋体" w:cs="Times New Roman"/>
          <w:color w:val="7030A0"/>
          <w:highlight w:val="none"/>
        </w:rPr>
      </w:pPr>
      <w:r>
        <w:rPr>
          <w:rFonts w:hint="eastAsia" w:eastAsia="宋体" w:cs="Times New Roman"/>
          <w:color w:val="7030A0"/>
          <w:highlight w:val="none"/>
        </w:rPr>
        <w:t>（</w:t>
      </w:r>
      <w:r>
        <w:rPr>
          <w:rFonts w:eastAsia="宋体" w:cs="Times New Roman"/>
          <w:color w:val="7030A0"/>
          <w:highlight w:val="none"/>
        </w:rPr>
        <w:t>1</w:t>
      </w:r>
      <w:r>
        <w:rPr>
          <w:rFonts w:hint="eastAsia" w:eastAsia="宋体" w:cs="Times New Roman"/>
          <w:color w:val="7030A0"/>
          <w:highlight w:val="none"/>
        </w:rPr>
        <w:t>）针对园区污水处理厂可能发生的故障导致水体污染的潜在事故，本规划环评要求园内污水处理厂建设事故应急池和污染雨水截断措施，一旦发生装置故障或污水处理设施运行不良导致废水事故排放时，各企业或园区污水处理厂可将废水引至事故应急池暂存。</w:t>
      </w:r>
    </w:p>
    <w:p>
      <w:pPr>
        <w:ind w:firstLine="480"/>
        <w:rPr>
          <w:rFonts w:eastAsia="宋体" w:cs="Times New Roman"/>
          <w:color w:val="7030A0"/>
          <w:highlight w:val="none"/>
        </w:rPr>
      </w:pPr>
      <w:r>
        <w:rPr>
          <w:rFonts w:hint="eastAsia" w:eastAsia="宋体" w:cs="Times New Roman"/>
          <w:color w:val="7030A0"/>
          <w:highlight w:val="none"/>
        </w:rPr>
        <w:t>（</w:t>
      </w:r>
      <w:r>
        <w:rPr>
          <w:rFonts w:eastAsia="宋体" w:cs="Times New Roman"/>
          <w:color w:val="7030A0"/>
          <w:highlight w:val="none"/>
        </w:rPr>
        <w:t>2</w:t>
      </w:r>
      <w:r>
        <w:rPr>
          <w:rFonts w:hint="eastAsia" w:eastAsia="宋体" w:cs="Times New Roman"/>
          <w:color w:val="7030A0"/>
          <w:highlight w:val="none"/>
        </w:rPr>
        <w:t>）企业须按照相关文件要求，配套完善的雨水收集系统，与事故废水、消防废水收集系统关联，正常情况下保证初期雨水得到收集处理，发生事故时，保证泄漏物料或消防、冲洗废水的迅速收集、截留，并安全地收集至事故池或污水处理设施进行必要的处理，不至发生事故排放。</w:t>
      </w:r>
    </w:p>
    <w:p>
      <w:pPr>
        <w:ind w:firstLine="480"/>
        <w:rPr>
          <w:rFonts w:eastAsia="宋体" w:cs="Times New Roman"/>
          <w:color w:val="7030A0"/>
          <w:highlight w:val="none"/>
        </w:rPr>
      </w:pPr>
      <w:r>
        <w:rPr>
          <w:rFonts w:hint="eastAsia" w:eastAsia="宋体" w:cs="Times New Roman"/>
          <w:color w:val="7030A0"/>
          <w:highlight w:val="none"/>
        </w:rPr>
        <w:t>（3）为防止区内企业污水排放对园区污水处理厂造成冲击，建议园区引入的规模以上企业在各自排放口设置</w:t>
      </w:r>
      <w:r>
        <w:rPr>
          <w:rFonts w:eastAsia="宋体" w:cs="Times New Roman"/>
          <w:color w:val="7030A0"/>
          <w:highlight w:val="none"/>
        </w:rPr>
        <w:t>pH</w:t>
      </w:r>
      <w:r>
        <w:rPr>
          <w:rFonts w:hint="eastAsia" w:eastAsia="宋体" w:cs="Times New Roman"/>
          <w:color w:val="7030A0"/>
          <w:highlight w:val="none"/>
        </w:rPr>
        <w:t>、流量计、</w:t>
      </w:r>
      <w:r>
        <w:rPr>
          <w:rFonts w:eastAsia="宋体" w:cs="Times New Roman"/>
          <w:color w:val="7030A0"/>
          <w:highlight w:val="none"/>
        </w:rPr>
        <w:t>COD</w:t>
      </w:r>
      <w:r>
        <w:rPr>
          <w:rFonts w:hint="eastAsia" w:eastAsia="宋体" w:cs="Times New Roman"/>
          <w:color w:val="7030A0"/>
          <w:highlight w:val="none"/>
        </w:rPr>
        <w:t>等在线监测仪，在线监测与广元市污染源自动监控中心联网，以及时了解企业排放情况，便于园区对企业外排废水的监控和管理。一旦监控的污染因子超过园区污水处理厂纳管标准，及时关闭企业的污水截止阀，将超标废水排入事故池，必要时，园区应责令事故企业限产或停产，减少环境风险。</w:t>
      </w:r>
    </w:p>
    <w:p>
      <w:pPr>
        <w:ind w:firstLine="480"/>
        <w:rPr>
          <w:rFonts w:eastAsia="宋体" w:cs="Times New Roman"/>
          <w:color w:val="7030A0"/>
          <w:highlight w:val="none"/>
        </w:rPr>
      </w:pPr>
      <w:r>
        <w:rPr>
          <w:rFonts w:hint="eastAsia" w:eastAsia="宋体" w:cs="Times New Roman"/>
          <w:color w:val="7030A0"/>
          <w:highlight w:val="none"/>
        </w:rPr>
        <w:t>（4）园区应建立车间（装置）、企业和园区三级环境风险防控体系，确保事故废水不进入嘉陵江。</w:t>
      </w:r>
    </w:p>
    <w:p>
      <w:pPr>
        <w:ind w:firstLine="480"/>
        <w:rPr>
          <w:rFonts w:eastAsia="宋体" w:cs="Times New Roman"/>
          <w:color w:val="7030A0"/>
          <w:highlight w:val="none"/>
        </w:rPr>
      </w:pPr>
      <w:r>
        <w:rPr>
          <w:rFonts w:hint="eastAsia" w:eastAsia="宋体" w:cs="Times New Roman"/>
          <w:color w:val="7030A0"/>
          <w:highlight w:val="none"/>
        </w:rPr>
        <w:t>（6）水污染事故区域联动方案</w:t>
      </w:r>
    </w:p>
    <w:p>
      <w:pPr>
        <w:ind w:firstLine="480"/>
        <w:rPr>
          <w:rFonts w:eastAsia="宋体" w:cs="Times New Roman"/>
          <w:color w:val="7030A0"/>
          <w:highlight w:val="none"/>
        </w:rPr>
      </w:pPr>
      <w:r>
        <w:rPr>
          <w:rFonts w:hint="eastAsia" w:eastAsia="宋体" w:cs="Times New Roman"/>
          <w:color w:val="7030A0"/>
          <w:highlight w:val="none"/>
        </w:rPr>
        <w:t>园区管委会及地方管理部门应按照《四川省嘉陵江流域突发环境事件联防联控框架协议》等相关文件及规范要求，就突发水污染事故与下游相关部门建立联防联控机制，深化生态环境领域合作交流，共同防控区域环境风险，有效应对跨区域的上下游突发水污染事件。联动方案需包括建立联席会议制度、强化信息通报、实施联合监测预警、强化应急联动、协同污染处置，做好纠纷调处等</w:t>
      </w:r>
      <w:r>
        <w:rPr>
          <w:rFonts w:eastAsia="宋体" w:cs="Times New Roman"/>
          <w:color w:val="7030A0"/>
          <w:highlight w:val="none"/>
        </w:rPr>
        <w:t>6</w:t>
      </w:r>
      <w:r>
        <w:rPr>
          <w:rFonts w:hint="eastAsia" w:eastAsia="宋体" w:cs="Times New Roman"/>
          <w:color w:val="7030A0"/>
          <w:highlight w:val="none"/>
        </w:rPr>
        <w:t>个方面，实现信息互通、资源共享、应急联动、优势互补，开展联合执法、联合应急和联合治理，保障跨区域生态环境安全。</w:t>
      </w:r>
    </w:p>
    <w:p>
      <w:pPr>
        <w:ind w:firstLine="480"/>
        <w:rPr>
          <w:rFonts w:eastAsia="宋体" w:cs="Times New Roman"/>
          <w:color w:val="7030A0"/>
          <w:highlight w:val="none"/>
        </w:rPr>
      </w:pPr>
      <w:r>
        <w:rPr>
          <w:rFonts w:hint="eastAsia" w:eastAsia="宋体" w:cs="Times New Roman"/>
          <w:color w:val="7030A0"/>
          <w:highlight w:val="none"/>
        </w:rPr>
        <w:t>2、废气事故排放管控措施</w:t>
      </w:r>
    </w:p>
    <w:p>
      <w:pPr>
        <w:ind w:firstLine="480"/>
        <w:rPr>
          <w:rFonts w:eastAsia="宋体" w:cs="Times New Roman"/>
          <w:color w:val="7030A0"/>
          <w:highlight w:val="none"/>
        </w:rPr>
      </w:pPr>
      <w:r>
        <w:rPr>
          <w:rFonts w:hint="eastAsia" w:eastAsia="宋体" w:cs="Times New Roman"/>
          <w:color w:val="7030A0"/>
          <w:highlight w:val="none"/>
        </w:rPr>
        <w:t>（</w:t>
      </w:r>
      <w:r>
        <w:rPr>
          <w:rFonts w:ascii="TimesNewRoman" w:eastAsia="TimesNewRoman" w:cs="TimesNewRoman"/>
          <w:color w:val="7030A0"/>
          <w:highlight w:val="none"/>
        </w:rPr>
        <w:t>1</w:t>
      </w:r>
      <w:r>
        <w:rPr>
          <w:rFonts w:hint="eastAsia" w:eastAsia="宋体" w:cs="Times New Roman"/>
          <w:color w:val="7030A0"/>
          <w:highlight w:val="none"/>
        </w:rPr>
        <w:t>）首先停止相关企业有毒有害废气产生工序的运行，迅速撤离泄漏污染区人员至上风向处，并立即进行隔离，严格限制出入。应急处理人员戴口罩、化学安全防护眼镜、防护手套等个人防护用品，从上风向处进入现场，并更换漆雾吸附设施，尽可能切断泄漏源。合理通风，加速扩散。防止事故影响进一步扩大，并立即报告经开区应急救援指挥部办公室。</w:t>
      </w:r>
    </w:p>
    <w:p>
      <w:pPr>
        <w:ind w:firstLine="480"/>
        <w:rPr>
          <w:rFonts w:eastAsia="宋体" w:cs="Times New Roman"/>
          <w:color w:val="7030A0"/>
          <w:highlight w:val="none"/>
        </w:rPr>
      </w:pPr>
      <w:r>
        <w:rPr>
          <w:rFonts w:hint="eastAsia" w:eastAsia="宋体" w:cs="Times New Roman"/>
          <w:color w:val="7030A0"/>
          <w:highlight w:val="none"/>
        </w:rPr>
        <w:t>（</w:t>
      </w:r>
      <w:r>
        <w:rPr>
          <w:rFonts w:ascii="TimesNewRoman" w:eastAsia="TimesNewRoman" w:cs="TimesNewRoman"/>
          <w:color w:val="7030A0"/>
          <w:highlight w:val="none"/>
        </w:rPr>
        <w:t>2</w:t>
      </w:r>
      <w:r>
        <w:rPr>
          <w:rFonts w:hint="eastAsia" w:eastAsia="宋体" w:cs="Times New Roman"/>
          <w:color w:val="7030A0"/>
          <w:highlight w:val="none"/>
        </w:rPr>
        <w:t>）现场处置组负责保护事故现场，隔离事故区域，疏散现场人员，展开对中毒、受伤人员的医疗、救助；后勤保障组协调抢险物资、材料，以及调集有关设备、器材，保障救援场所电、水供应；善后保障组负责查明事故原因，协助事故企业对相关设施进行维修；综合协调组负责通知附近各相关单位、企业，合理安排生产任务，注意接收指挥部的指令；</w:t>
      </w:r>
    </w:p>
    <w:p>
      <w:pPr>
        <w:ind w:firstLine="480"/>
        <w:rPr>
          <w:rFonts w:eastAsia="宋体" w:cs="Times New Roman"/>
          <w:color w:val="7030A0"/>
          <w:highlight w:val="none"/>
        </w:rPr>
      </w:pPr>
      <w:r>
        <w:rPr>
          <w:rFonts w:hint="eastAsia" w:eastAsia="宋体" w:cs="Times New Roman"/>
          <w:color w:val="7030A0"/>
          <w:highlight w:val="none"/>
        </w:rPr>
        <w:t>（</w:t>
      </w:r>
      <w:r>
        <w:rPr>
          <w:rFonts w:ascii="TimesNewRoman" w:eastAsia="TimesNewRoman" w:cs="TimesNewRoman"/>
          <w:color w:val="7030A0"/>
          <w:highlight w:val="none"/>
        </w:rPr>
        <w:t>3</w:t>
      </w:r>
      <w:r>
        <w:rPr>
          <w:rFonts w:hint="eastAsia" w:eastAsia="宋体" w:cs="Times New Roman"/>
          <w:color w:val="7030A0"/>
          <w:highlight w:val="none"/>
        </w:rPr>
        <w:t>）立即启动事故企业的突发环境事件应急预案。</w:t>
      </w:r>
    </w:p>
    <w:p>
      <w:pPr>
        <w:ind w:firstLine="480"/>
        <w:rPr>
          <w:rFonts w:eastAsia="宋体" w:cs="Times New Roman"/>
          <w:color w:val="7030A0"/>
          <w:highlight w:val="none"/>
        </w:rPr>
      </w:pPr>
      <w:r>
        <w:rPr>
          <w:rFonts w:hint="eastAsia" w:eastAsia="宋体" w:cs="Times New Roman"/>
          <w:color w:val="7030A0"/>
          <w:highlight w:val="none"/>
        </w:rPr>
        <w:t>3、土壤地下水风险管控措施</w:t>
      </w:r>
    </w:p>
    <w:p>
      <w:pPr>
        <w:ind w:firstLine="480"/>
        <w:rPr>
          <w:rFonts w:eastAsia="宋体" w:cs="Times New Roman"/>
          <w:color w:val="7030A0"/>
          <w:highlight w:val="none"/>
        </w:rPr>
      </w:pPr>
      <w:r>
        <w:rPr>
          <w:rFonts w:hint="eastAsia" w:eastAsia="宋体" w:cs="Times New Roman"/>
          <w:color w:val="7030A0"/>
          <w:highlight w:val="none"/>
        </w:rPr>
        <w:t>（</w:t>
      </w:r>
      <w:r>
        <w:rPr>
          <w:rFonts w:eastAsia="宋体" w:cs="Times New Roman"/>
          <w:color w:val="7030A0"/>
          <w:highlight w:val="none"/>
        </w:rPr>
        <w:t>1</w:t>
      </w:r>
      <w:r>
        <w:rPr>
          <w:rFonts w:hint="eastAsia" w:eastAsia="宋体" w:cs="Times New Roman"/>
          <w:color w:val="7030A0"/>
          <w:highlight w:val="none"/>
        </w:rPr>
        <w:t>）园区拟引入的企业开展环境影响评价工作的阶段应严格按照《环境影响评价技术导则</w:t>
      </w:r>
      <w:r>
        <w:rPr>
          <w:rFonts w:eastAsia="宋体" w:cs="Times New Roman"/>
          <w:color w:val="7030A0"/>
          <w:highlight w:val="none"/>
        </w:rPr>
        <w:t>—</w:t>
      </w:r>
      <w:r>
        <w:rPr>
          <w:rFonts w:hint="eastAsia" w:eastAsia="宋体" w:cs="Times New Roman"/>
          <w:color w:val="7030A0"/>
          <w:highlight w:val="none"/>
        </w:rPr>
        <w:t>地下水环境》（</w:t>
      </w:r>
      <w:r>
        <w:rPr>
          <w:rFonts w:eastAsia="宋体" w:cs="Times New Roman"/>
          <w:color w:val="7030A0"/>
          <w:highlight w:val="none"/>
        </w:rPr>
        <w:t>HJ610-2016</w:t>
      </w:r>
      <w:r>
        <w:rPr>
          <w:rFonts w:hint="eastAsia" w:eastAsia="宋体" w:cs="Times New Roman"/>
          <w:color w:val="7030A0"/>
          <w:highlight w:val="none"/>
        </w:rPr>
        <w:t>）要求提出分区防渗措施。</w:t>
      </w:r>
    </w:p>
    <w:p>
      <w:pPr>
        <w:ind w:firstLine="480"/>
        <w:rPr>
          <w:rFonts w:hint="eastAsia" w:eastAsia="宋体" w:cs="Times New Roman"/>
          <w:color w:val="7030A0"/>
          <w:highlight w:val="none"/>
        </w:rPr>
      </w:pPr>
      <w:r>
        <w:rPr>
          <w:rFonts w:hint="eastAsia" w:eastAsia="宋体" w:cs="Times New Roman"/>
          <w:color w:val="7030A0"/>
          <w:highlight w:val="none"/>
        </w:rPr>
        <w:t>（</w:t>
      </w:r>
      <w:r>
        <w:rPr>
          <w:rFonts w:eastAsia="宋体" w:cs="Times New Roman"/>
          <w:color w:val="7030A0"/>
          <w:highlight w:val="none"/>
        </w:rPr>
        <w:t>2</w:t>
      </w:r>
      <w:r>
        <w:rPr>
          <w:rFonts w:hint="eastAsia" w:eastAsia="宋体" w:cs="Times New Roman"/>
          <w:color w:val="7030A0"/>
          <w:highlight w:val="none"/>
        </w:rPr>
        <w:t>）园区内储存液态物料的仓库或罐区均应设置危险或地沟，装置区设立生产废水、清净下水、雨水和事故消防废水系统、污</w:t>
      </w:r>
      <w:r>
        <w:rPr>
          <w:rFonts w:eastAsia="宋体" w:cs="Times New Roman"/>
          <w:color w:val="7030A0"/>
          <w:highlight w:val="none"/>
        </w:rPr>
        <w:t>-</w:t>
      </w:r>
      <w:r>
        <w:rPr>
          <w:rFonts w:hint="eastAsia" w:eastAsia="宋体" w:cs="Times New Roman"/>
          <w:color w:val="7030A0"/>
          <w:highlight w:val="none"/>
        </w:rPr>
        <w:t>污分流和事故切换系统；装置设消防水排水收集设施。</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园区与企业风险防范措施</w:t>
      </w:r>
    </w:p>
    <w:p>
      <w:pPr>
        <w:ind w:firstLine="480"/>
        <w:rPr>
          <w:rFonts w:eastAsia="宋体" w:cs="Times New Roman"/>
          <w:color w:val="7030A0"/>
          <w:highlight w:val="none"/>
        </w:rPr>
      </w:pPr>
      <w:r>
        <w:rPr>
          <w:rFonts w:hint="eastAsia" w:eastAsia="宋体" w:cs="Times New Roman"/>
          <w:color w:val="7030A0"/>
          <w:highlight w:val="none"/>
        </w:rPr>
        <w:t>规划区应建立健全产业园风险控制责任制，制定环境风险控制管理制度，强化风险管理；加强环境风险应急培训和风险控制宣传教育；根据区内企业应急物质储备情况，制定产业园环境风险应急预案和应急物质储备计划，建立应急物质储备体系，必要时建立产业园环境风险应急物质储备库，对工业园及周边的应急物质统一管理、统一调配；建立环境风险应急考核制度，对应急预案、应急物质、应急演练进行定期检查与考核，并将检查结果依法向社会公开；入园企业环境风险防范措施应按照建设项目环境影响评价文件及其批复的要求执行。</w:t>
      </w:r>
    </w:p>
    <w:p>
      <w:pPr>
        <w:ind w:firstLine="480"/>
        <w:rPr>
          <w:rFonts w:eastAsia="宋体" w:cs="Times New Roman"/>
          <w:color w:val="7030A0"/>
          <w:highlight w:val="none"/>
        </w:rPr>
      </w:pPr>
      <w:r>
        <w:rPr>
          <w:rFonts w:hint="eastAsia" w:eastAsia="宋体" w:cs="Times New Roman"/>
          <w:color w:val="7030A0"/>
          <w:highlight w:val="none"/>
        </w:rPr>
        <w:t>（</w:t>
      </w:r>
      <w:r>
        <w:rPr>
          <w:rFonts w:eastAsia="宋体" w:cs="Times New Roman"/>
          <w:color w:val="7030A0"/>
          <w:highlight w:val="none"/>
        </w:rPr>
        <w:t>1</w:t>
      </w:r>
      <w:r>
        <w:rPr>
          <w:rFonts w:hint="eastAsia" w:eastAsia="宋体" w:cs="Times New Roman"/>
          <w:color w:val="7030A0"/>
          <w:highlight w:val="none"/>
        </w:rPr>
        <w:t>）成立环境管理领导小组和事故应急处理机构，制定详细的规划区环境风险应急预案，建立入园企业、规划区管委会和其他专业管理部门（地方生态环境局、消防、水务等职能部门）之间的协调、沟通渠道，构建规划区管委会与企业之间的应急联动网络体系，建立应急联动工作机制的协议，提高突发环境事件防范和处理能力，完善规划区的环境风险防范及环境安全突发事件应急处理的综合方案。</w:t>
      </w:r>
    </w:p>
    <w:p>
      <w:pPr>
        <w:ind w:firstLine="480"/>
        <w:rPr>
          <w:rFonts w:eastAsia="宋体" w:cs="Times New Roman"/>
          <w:color w:val="7030A0"/>
          <w:highlight w:val="none"/>
        </w:rPr>
      </w:pPr>
      <w:r>
        <w:rPr>
          <w:rFonts w:hint="eastAsia" w:eastAsia="宋体" w:cs="Times New Roman"/>
          <w:color w:val="7030A0"/>
          <w:highlight w:val="none"/>
        </w:rPr>
        <w:t>（</w:t>
      </w:r>
      <w:r>
        <w:rPr>
          <w:rFonts w:eastAsia="宋体" w:cs="Times New Roman"/>
          <w:color w:val="7030A0"/>
          <w:highlight w:val="none"/>
        </w:rPr>
        <w:t>2</w:t>
      </w:r>
      <w:r>
        <w:rPr>
          <w:rFonts w:hint="eastAsia" w:eastAsia="宋体" w:cs="Times New Roman"/>
          <w:color w:val="7030A0"/>
          <w:highlight w:val="none"/>
        </w:rPr>
        <w:t>）严格按照四川省相关规定，加强对规划区内企业的管理，要求企业对各种生产装置采取相应防护措施，预防火灾、泄露等生产事故发生。同时，要求入园企业提高操作、管理人员的技术管理水平，严格执行有关操作规程和管理制度，预防人为因素酿成安全和环境污染事故，减少事故发生概率和危害。</w:t>
      </w:r>
    </w:p>
    <w:p>
      <w:pPr>
        <w:ind w:firstLine="480"/>
        <w:rPr>
          <w:rFonts w:eastAsia="宋体" w:cs="Times New Roman"/>
          <w:color w:val="7030A0"/>
          <w:highlight w:val="none"/>
        </w:rPr>
      </w:pPr>
      <w:r>
        <w:rPr>
          <w:rFonts w:hint="eastAsia" w:eastAsia="宋体" w:cs="Times New Roman"/>
          <w:color w:val="7030A0"/>
          <w:highlight w:val="none"/>
        </w:rPr>
        <w:t>（</w:t>
      </w:r>
      <w:r>
        <w:rPr>
          <w:rFonts w:eastAsia="宋体" w:cs="Times New Roman"/>
          <w:color w:val="7030A0"/>
          <w:highlight w:val="none"/>
        </w:rPr>
        <w:t>3</w:t>
      </w:r>
      <w:r>
        <w:rPr>
          <w:rFonts w:hint="eastAsia" w:eastAsia="宋体" w:cs="Times New Roman"/>
          <w:color w:val="7030A0"/>
          <w:highlight w:val="none"/>
        </w:rPr>
        <w:t>）规划区在规划建设过程中，严格按照准入条件，合理布局入区企业位置和规模。根据入区企业及其相邻的工厂或设施的特点和火灾危险性，结合地形，风向等条件，合理布置。生产车间尽量远离地表水沿岸布设。合理布局配气站、输气管道等，并设立防护隔离带。入区企业与相邻工厂或设施的防火间距应满足相关行业涉及防火规范。</w:t>
      </w:r>
    </w:p>
    <w:p>
      <w:pPr>
        <w:ind w:firstLine="480"/>
        <w:rPr>
          <w:rFonts w:eastAsia="宋体" w:cs="Times New Roman"/>
          <w:color w:val="7030A0"/>
          <w:highlight w:val="none"/>
        </w:rPr>
      </w:pPr>
      <w:r>
        <w:rPr>
          <w:rFonts w:hint="eastAsia" w:eastAsia="宋体" w:cs="Times New Roman"/>
          <w:color w:val="7030A0"/>
          <w:highlight w:val="none"/>
        </w:rPr>
        <w:t>（4）对所有入园的企业提出建立环境风险应急预案和事故防范、减缓措施的要求，特别是涉及使用或生产危险性较大的物料的企业，必须提出行之有效的杜绝环境污染事故发生的防范与抢险措施。要求所有入园企业的建设单位必须在正式投产之前制定和落实合理的、具有可操作性的环境风险应急预案和事故防范措施，报园区管委会和行政主管部门备案。</w:t>
      </w:r>
      <w:r>
        <w:rPr>
          <w:rFonts w:eastAsia="宋体" w:cs="Times New Roman"/>
          <w:color w:val="7030A0"/>
          <w:highlight w:val="none"/>
        </w:rPr>
        <w:t xml:space="preserve"> </w:t>
      </w:r>
    </w:p>
    <w:p>
      <w:pPr>
        <w:ind w:firstLine="480"/>
        <w:rPr>
          <w:rFonts w:eastAsia="宋体" w:cs="Times New Roman"/>
          <w:color w:val="7030A0"/>
          <w:highlight w:val="none"/>
        </w:rPr>
      </w:pPr>
      <w:r>
        <w:rPr>
          <w:rFonts w:hint="eastAsia" w:eastAsia="宋体" w:cs="Times New Roman"/>
          <w:color w:val="7030A0"/>
          <w:highlight w:val="none"/>
        </w:rPr>
        <w:t>（5）对涉及水污染风险的入园企业，应提高事故废水的收集处理能力，必要时建设事故池，并配备向相应的处理设备和流量、水质自动分析监测仪器。操作人员应定期巡查、调节、保养、维护，以确保处理效果最佳。</w:t>
      </w:r>
    </w:p>
    <w:p>
      <w:pPr>
        <w:ind w:firstLine="480"/>
        <w:rPr>
          <w:rFonts w:eastAsia="宋体" w:cs="Times New Roman"/>
          <w:color w:val="7030A0"/>
          <w:highlight w:val="none"/>
        </w:rPr>
      </w:pPr>
      <w:r>
        <w:rPr>
          <w:rFonts w:hint="eastAsia" w:eastAsia="宋体" w:cs="Times New Roman"/>
          <w:color w:val="7030A0"/>
          <w:highlight w:val="none"/>
        </w:rPr>
        <w:t>（6）园区污水管网设置集中接管口，集中接管口前设在线监测仪器和控制闸，水质达不到接管要求时须及时处理，保障污水处理厂的正常运行。园区雨水管网设集中排放口，雨水集中排放口前设控制闸，紧急时可关闭，确保污水不通过雨水管排入自然水体环境。</w:t>
      </w:r>
    </w:p>
    <w:p>
      <w:pPr>
        <w:ind w:firstLine="480"/>
        <w:rPr>
          <w:rFonts w:eastAsia="宋体" w:cs="Times New Roman"/>
          <w:color w:val="7030A0"/>
          <w:highlight w:val="none"/>
        </w:rPr>
      </w:pPr>
      <w:r>
        <w:rPr>
          <w:rFonts w:hint="eastAsia" w:eastAsia="宋体" w:cs="Times New Roman"/>
          <w:color w:val="7030A0"/>
          <w:highlight w:val="none"/>
        </w:rPr>
        <w:t>（7）在事故发生后，按照所制定的应急措施，启动紧急应急程序，迅速控制事故</w:t>
      </w:r>
      <w:r>
        <w:rPr>
          <w:rFonts w:eastAsia="宋体" w:cs="Times New Roman"/>
          <w:color w:val="7030A0"/>
          <w:highlight w:val="none"/>
        </w:rPr>
        <w:t>的蔓延，避免事故的扩大化。在发生污水严重超标排放事故时（入污水管网），及时通报污水处理厂，以便采取相应措施；必要时企业应限产或停产，减少污水处理工程的负荷及环境风险；在发生有害气体泄漏事故时，及时采取有效措施以消减事故对周围大气环境所造成的不利影响，必要时企业应限产或停产，减少污染。在企业日常管理中应加强监督，并制定相应的风险防范措施和应急预案。</w:t>
      </w:r>
    </w:p>
    <w:p>
      <w:pPr>
        <w:ind w:firstLine="480"/>
        <w:rPr>
          <w:rFonts w:eastAsia="宋体" w:cs="Times New Roman"/>
          <w:color w:val="7030A0"/>
          <w:highlight w:val="none"/>
        </w:rPr>
      </w:pPr>
      <w:r>
        <w:rPr>
          <w:rFonts w:eastAsia="宋体" w:cs="Times New Roman"/>
          <w:color w:val="7030A0"/>
          <w:highlight w:val="none"/>
        </w:rPr>
        <w:t>（</w:t>
      </w:r>
      <w:r>
        <w:rPr>
          <w:rFonts w:hint="eastAsia" w:eastAsia="宋体" w:cs="Times New Roman"/>
          <w:color w:val="7030A0"/>
          <w:highlight w:val="none"/>
        </w:rPr>
        <w:t>8）加强各企业员工安全环保职业健康教育，增强操作工人的责任心，防止和减少人为因素造成的环境事故。</w:t>
      </w:r>
    </w:p>
    <w:p>
      <w:pPr>
        <w:ind w:firstLine="480"/>
        <w:rPr>
          <w:rFonts w:eastAsia="宋体" w:cs="Times New Roman"/>
          <w:color w:val="7030A0"/>
          <w:highlight w:val="none"/>
        </w:rPr>
      </w:pPr>
      <w:r>
        <w:rPr>
          <w:rFonts w:hint="eastAsia" w:eastAsia="宋体" w:cs="Times New Roman"/>
          <w:color w:val="7030A0"/>
          <w:highlight w:val="none"/>
        </w:rPr>
        <w:t>（9）规划区在总体规划、开发和运营期中，应科学规划、合理布局、采取必要的防火、防爆、防泄漏、防污染措施，建立严格的安全生产制度，最大限度的降低事故发生率。</w:t>
      </w:r>
      <w:r>
        <w:rPr>
          <w:rFonts w:eastAsia="宋体" w:cs="Times New Roman"/>
          <w:color w:val="7030A0"/>
          <w:highlight w:val="none"/>
        </w:rPr>
        <w:t xml:space="preserve"> </w:t>
      </w:r>
    </w:p>
    <w:p>
      <w:pPr>
        <w:ind w:firstLine="480"/>
        <w:rPr>
          <w:rFonts w:eastAsia="宋体" w:cs="Times New Roman"/>
          <w:color w:val="7030A0"/>
          <w:highlight w:val="none"/>
        </w:rPr>
      </w:pPr>
      <w:r>
        <w:rPr>
          <w:rFonts w:hint="eastAsia" w:eastAsia="宋体" w:cs="Times New Roman"/>
          <w:color w:val="7030A0"/>
          <w:highlight w:val="none"/>
        </w:rPr>
        <w:t>总之，针对规划区内各类环境风险源，除制定完善的环境安全管理制度和建立有效的环境安全防范体系外，还应有完善可行的应急措施，在事故发生时，确保各项应急工作快速、高效、有序进行，减少事故影响范围，最大限度的减轻风险事故所带来的环境危害。</w:t>
      </w:r>
    </w:p>
    <w:p>
      <w:pPr>
        <w:keepNext/>
        <w:keepLines/>
        <w:widowControl w:val="0"/>
        <w:numPr>
          <w:ilvl w:val="1"/>
          <w:numId w:val="9"/>
        </w:numPr>
        <w:spacing w:line="480" w:lineRule="auto"/>
        <w:ind w:left="576" w:hanging="576" w:firstLineChars="0"/>
        <w:jc w:val="both"/>
        <w:outlineLvl w:val="1"/>
        <w:rPr>
          <w:rFonts w:ascii="Times New Roman" w:hAnsi="Times New Roman" w:eastAsia="黑体" w:cs="Times New Roman"/>
          <w:bCs/>
          <w:color w:val="7030A0"/>
          <w:kern w:val="2"/>
          <w:sz w:val="32"/>
          <w:szCs w:val="32"/>
          <w:highlight w:val="none"/>
          <w:lang w:val="en-US" w:eastAsia="zh-CN" w:bidi="ar-SA"/>
        </w:rPr>
      </w:pPr>
      <w:bookmarkStart w:id="57" w:name="_Toc162353663"/>
      <w:r>
        <w:rPr>
          <w:rFonts w:hint="eastAsia" w:ascii="Times New Roman" w:hAnsi="Times New Roman" w:eastAsia="黑体" w:cs="Times New Roman"/>
          <w:bCs/>
          <w:color w:val="7030A0"/>
          <w:kern w:val="2"/>
          <w:sz w:val="32"/>
          <w:szCs w:val="32"/>
          <w:highlight w:val="none"/>
          <w:lang w:val="en-US" w:eastAsia="zh-CN" w:bidi="ar-SA"/>
        </w:rPr>
        <w:t>环境风险事故应急预案</w:t>
      </w:r>
    </w:p>
    <w:bookmarkEnd w:id="57"/>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28"/>
          <w:szCs w:val="32"/>
          <w:highlight w:val="none"/>
          <w:lang w:val="en-US" w:eastAsia="zh-CN" w:bidi="ar-SA"/>
        </w:rPr>
      </w:pPr>
      <w:bookmarkStart w:id="58" w:name="_Toc112319201"/>
      <w:bookmarkStart w:id="59" w:name="_Toc20351"/>
      <w:bookmarkStart w:id="60" w:name="_Toc25610993"/>
      <w:r>
        <w:rPr>
          <w:rFonts w:hint="eastAsia" w:ascii="Times New Roman" w:hAnsi="Times New Roman" w:eastAsia="黑体" w:cs="Times New Roman"/>
          <w:bCs/>
          <w:color w:val="7030A0"/>
          <w:kern w:val="2"/>
          <w:sz w:val="28"/>
          <w:szCs w:val="32"/>
          <w:highlight w:val="none"/>
          <w:lang w:val="en-US" w:eastAsia="zh-CN" w:bidi="ar-SA"/>
        </w:rPr>
        <w:t>现场应急措施</w:t>
      </w:r>
      <w:bookmarkEnd w:id="58"/>
      <w:bookmarkEnd w:id="59"/>
      <w:bookmarkEnd w:id="60"/>
    </w:p>
    <w:p>
      <w:pPr>
        <w:adjustRightInd w:val="0"/>
        <w:ind w:firstLine="480"/>
        <w:rPr>
          <w:rFonts w:eastAsia="宋体" w:cs="Times New Roman"/>
          <w:color w:val="7030A0"/>
          <w:szCs w:val="24"/>
          <w:highlight w:val="none"/>
        </w:rPr>
      </w:pPr>
      <w:r>
        <w:rPr>
          <w:rFonts w:hint="eastAsia" w:eastAsia="宋体" w:cs="Times New Roman"/>
          <w:color w:val="7030A0"/>
          <w:szCs w:val="24"/>
          <w:highlight w:val="none"/>
        </w:rPr>
        <w:t>突发环境事故发生后，必须迅速展开应急救援工作，采取一定现场应急措施，企业类事故影响范围局限于企业厂区内，应急救援以企业自救为主。若影响范围蔓延出企业厂区，则事件升级为园区类（</w:t>
      </w:r>
      <w:r>
        <w:rPr>
          <w:rFonts w:eastAsia="宋体" w:cs="Times New Roman"/>
          <w:color w:val="7030A0"/>
          <w:szCs w:val="24"/>
          <w:highlight w:val="none"/>
        </w:rPr>
        <w:t>Ⅱ级</w:t>
      </w:r>
      <w:r>
        <w:rPr>
          <w:rFonts w:hint="eastAsia" w:eastAsia="宋体" w:cs="Times New Roman"/>
          <w:color w:val="7030A0"/>
          <w:szCs w:val="24"/>
          <w:highlight w:val="none"/>
        </w:rPr>
        <w:t>）事件，需由园区管委会应急救援指挥小组进行应急救援工作的指挥协调。若发生移动类事件，首先运输人员必须积极自救，同时应通知园区管委会应急救援指挥小组，由园区管委会指挥协调应急救援工作。本次应急预案着眼于区域层面，不分析企业类事件的应急措施，主要分析区域类事件的现场应急措施。</w:t>
      </w:r>
    </w:p>
    <w:p>
      <w:pPr>
        <w:keepNext/>
        <w:keepLines/>
        <w:widowControl w:val="0"/>
        <w:numPr>
          <w:ilvl w:val="2"/>
          <w:numId w:val="9"/>
        </w:numPr>
        <w:spacing w:line="480" w:lineRule="auto"/>
        <w:ind w:left="720" w:hanging="720" w:firstLineChars="0"/>
        <w:jc w:val="both"/>
        <w:outlineLvl w:val="2"/>
        <w:rPr>
          <w:rFonts w:ascii="Times New Roman" w:hAnsi="Times New Roman" w:eastAsia="黑体" w:cs="Times New Roman"/>
          <w:bCs/>
          <w:color w:val="7030A0"/>
          <w:kern w:val="2"/>
          <w:sz w:val="28"/>
          <w:szCs w:val="32"/>
          <w:highlight w:val="none"/>
          <w:lang w:val="en-US" w:eastAsia="zh-CN" w:bidi="ar-SA"/>
        </w:rPr>
      </w:pPr>
      <w:bookmarkStart w:id="61" w:name="_Toc15053303"/>
      <w:bookmarkStart w:id="62" w:name="_Toc25610994"/>
      <w:r>
        <w:rPr>
          <w:rFonts w:hint="eastAsia" w:ascii="Times New Roman" w:hAnsi="Times New Roman" w:eastAsia="黑体" w:cs="Times New Roman"/>
          <w:bCs/>
          <w:color w:val="7030A0"/>
          <w:kern w:val="2"/>
          <w:sz w:val="28"/>
          <w:szCs w:val="32"/>
          <w:highlight w:val="none"/>
          <w:lang w:val="en-US" w:eastAsia="zh-CN" w:bidi="ar-SA"/>
        </w:rPr>
        <w:t>事故应急处置预案</w:t>
      </w:r>
    </w:p>
    <w:p>
      <w:pPr>
        <w:ind w:firstLine="482"/>
        <w:rPr>
          <w:rFonts w:eastAsia="宋体" w:cs="Times New Roman"/>
          <w:b/>
          <w:bCs/>
          <w:color w:val="7030A0"/>
          <w:highlight w:val="none"/>
        </w:rPr>
      </w:pPr>
      <w:r>
        <w:rPr>
          <w:rFonts w:hint="eastAsia" w:eastAsia="宋体" w:cs="Times New Roman"/>
          <w:b/>
          <w:bCs/>
          <w:color w:val="7030A0"/>
          <w:highlight w:val="none"/>
        </w:rPr>
        <w:t>1、应急行动</w:t>
      </w:r>
    </w:p>
    <w:p>
      <w:pPr>
        <w:ind w:firstLine="480"/>
        <w:rPr>
          <w:rFonts w:eastAsia="宋体" w:cs="Times New Roman"/>
          <w:color w:val="7030A0"/>
          <w:highlight w:val="none"/>
        </w:rPr>
      </w:pPr>
      <w:r>
        <w:rPr>
          <w:rFonts w:hint="eastAsia" w:eastAsia="宋体" w:cs="Times New Roman"/>
          <w:color w:val="7030A0"/>
          <w:highlight w:val="none"/>
        </w:rPr>
        <w:t>（</w:t>
      </w:r>
      <w:r>
        <w:rPr>
          <w:rFonts w:eastAsia="宋体" w:cs="Times New Roman"/>
          <w:color w:val="7030A0"/>
          <w:highlight w:val="none"/>
        </w:rPr>
        <w:t>1</w:t>
      </w:r>
      <w:r>
        <w:rPr>
          <w:rFonts w:hint="eastAsia" w:eastAsia="宋体" w:cs="Times New Roman"/>
          <w:color w:val="7030A0"/>
          <w:highlight w:val="none"/>
        </w:rPr>
        <w:t>）火灾事故应急预案</w:t>
      </w:r>
    </w:p>
    <w:p>
      <w:pPr>
        <w:ind w:firstLine="480"/>
        <w:rPr>
          <w:rFonts w:eastAsia="宋体" w:cs="Times New Roman"/>
          <w:color w:val="7030A0"/>
          <w:highlight w:val="none"/>
        </w:rPr>
      </w:pPr>
      <w:r>
        <w:rPr>
          <w:rFonts w:hint="eastAsia" w:eastAsia="宋体" w:cs="Times New Roman"/>
          <w:color w:val="7030A0"/>
          <w:highlight w:val="none"/>
        </w:rPr>
        <w:t>属防火重点单位的企业，各部门第一负责人应按照《中华人民共和国消防法》及地方消防法规的要求公司消防安全管理制度，落实各级人员的消防安全责任，根据本部门生产特点和可能发生的火灾事故的重点要害岗位，做好预防火灾事故的工作配足灭火器材，同时建立一支训练有素的反应队伍，以便在一旦发生火灾时，能及时、准确处置突发事件，减少财产的损失和人员的伤亡，力争将突发的火灾事故扑灭在初期着火之中。</w:t>
      </w:r>
    </w:p>
    <w:p>
      <w:pPr>
        <w:ind w:firstLine="480"/>
        <w:rPr>
          <w:rFonts w:eastAsia="宋体" w:cs="Times New Roman"/>
          <w:color w:val="7030A0"/>
          <w:highlight w:val="none"/>
        </w:rPr>
      </w:pPr>
      <w:r>
        <w:rPr>
          <w:rFonts w:hint="eastAsia" w:eastAsia="宋体" w:cs="Times New Roman"/>
          <w:color w:val="7030A0"/>
          <w:highlight w:val="none"/>
        </w:rPr>
        <w:t>（</w:t>
      </w:r>
      <w:r>
        <w:rPr>
          <w:rFonts w:eastAsia="宋体" w:cs="Times New Roman"/>
          <w:color w:val="7030A0"/>
          <w:highlight w:val="none"/>
        </w:rPr>
        <w:t>2</w:t>
      </w:r>
      <w:r>
        <w:rPr>
          <w:rFonts w:hint="eastAsia" w:eastAsia="宋体" w:cs="Times New Roman"/>
          <w:color w:val="7030A0"/>
          <w:highlight w:val="none"/>
        </w:rPr>
        <w:t>）爆炸事故应急预案</w:t>
      </w:r>
    </w:p>
    <w:p>
      <w:pPr>
        <w:ind w:firstLine="480"/>
        <w:rPr>
          <w:rFonts w:eastAsia="宋体" w:cs="Times New Roman"/>
          <w:color w:val="7030A0"/>
          <w:highlight w:val="none"/>
        </w:rPr>
      </w:pPr>
      <w:r>
        <w:rPr>
          <w:rFonts w:eastAsia="宋体" w:cs="Times New Roman"/>
          <w:color w:val="7030A0"/>
          <w:highlight w:val="none"/>
        </w:rPr>
        <w:t>1</w:t>
      </w:r>
      <w:r>
        <w:rPr>
          <w:rFonts w:hint="eastAsia" w:eastAsia="宋体" w:cs="Times New Roman"/>
          <w:color w:val="7030A0"/>
          <w:highlight w:val="none"/>
        </w:rPr>
        <w:t>）最初应急反应：工艺操作人员和仓库管理人员一旦发现爆炸事故发生，应立即报告生产值班人员。生产调度值班人员应立即判断爆炸事故的性质和等级。爆炸事故如引发火灾事故，即刻启动火灾事故应急预案，爆炸事故未引发火灾事故，即按安全预案进行应急救援。</w:t>
      </w:r>
    </w:p>
    <w:p>
      <w:pPr>
        <w:ind w:firstLine="480"/>
        <w:rPr>
          <w:rFonts w:eastAsia="宋体" w:cs="Times New Roman"/>
          <w:color w:val="7030A0"/>
          <w:highlight w:val="none"/>
        </w:rPr>
      </w:pPr>
      <w:r>
        <w:rPr>
          <w:rFonts w:eastAsia="宋体" w:cs="Times New Roman"/>
          <w:color w:val="7030A0"/>
          <w:highlight w:val="none"/>
        </w:rPr>
        <w:t>2</w:t>
      </w:r>
      <w:r>
        <w:rPr>
          <w:rFonts w:hint="eastAsia" w:eastAsia="宋体" w:cs="Times New Roman"/>
          <w:color w:val="7030A0"/>
          <w:highlight w:val="none"/>
        </w:rPr>
        <w:t>）生产值班人员为临时应急组织，立即通知应急领导小组成员赶赴事故现场或应急组织中心。</w:t>
      </w:r>
    </w:p>
    <w:p>
      <w:pPr>
        <w:ind w:firstLine="480"/>
        <w:rPr>
          <w:rFonts w:eastAsia="宋体" w:cs="Times New Roman"/>
          <w:color w:val="7030A0"/>
          <w:highlight w:val="none"/>
        </w:rPr>
      </w:pPr>
      <w:r>
        <w:rPr>
          <w:rFonts w:eastAsia="宋体" w:cs="Times New Roman"/>
          <w:color w:val="7030A0"/>
          <w:highlight w:val="none"/>
        </w:rPr>
        <w:t>3</w:t>
      </w:r>
      <w:r>
        <w:rPr>
          <w:rFonts w:hint="eastAsia" w:eastAsia="宋体" w:cs="Times New Roman"/>
          <w:color w:val="7030A0"/>
          <w:highlight w:val="none"/>
        </w:rPr>
        <w:t>）应视情况立即切断事故车间的空气源、电源及其它危险化品输入源。</w:t>
      </w:r>
    </w:p>
    <w:p>
      <w:pPr>
        <w:ind w:firstLine="480"/>
        <w:rPr>
          <w:rFonts w:eastAsia="宋体" w:cs="Times New Roman"/>
          <w:color w:val="7030A0"/>
          <w:highlight w:val="none"/>
        </w:rPr>
      </w:pPr>
      <w:r>
        <w:rPr>
          <w:rFonts w:eastAsia="宋体" w:cs="Times New Roman"/>
          <w:color w:val="7030A0"/>
          <w:highlight w:val="none"/>
        </w:rPr>
        <w:t>4</w:t>
      </w:r>
      <w:r>
        <w:rPr>
          <w:rFonts w:hint="eastAsia" w:eastAsia="宋体" w:cs="Times New Roman"/>
          <w:color w:val="7030A0"/>
          <w:highlight w:val="none"/>
        </w:rPr>
        <w:t>）通知仓库停止向事故车间及区域输送原辅材料。</w:t>
      </w:r>
    </w:p>
    <w:p>
      <w:pPr>
        <w:ind w:firstLine="480"/>
        <w:rPr>
          <w:rFonts w:eastAsia="宋体" w:cs="Times New Roman"/>
          <w:color w:val="7030A0"/>
          <w:highlight w:val="none"/>
        </w:rPr>
      </w:pPr>
      <w:r>
        <w:rPr>
          <w:rFonts w:eastAsia="宋体" w:cs="Times New Roman"/>
          <w:color w:val="7030A0"/>
          <w:highlight w:val="none"/>
        </w:rPr>
        <w:t>5</w:t>
      </w:r>
      <w:r>
        <w:rPr>
          <w:rFonts w:hint="eastAsia" w:eastAsia="宋体" w:cs="Times New Roman"/>
          <w:color w:val="7030A0"/>
          <w:highlight w:val="none"/>
        </w:rPr>
        <w:t>）组成事故应急组织中心。</w:t>
      </w:r>
    </w:p>
    <w:p>
      <w:pPr>
        <w:ind w:firstLine="480"/>
        <w:rPr>
          <w:rFonts w:eastAsia="宋体" w:cs="Times New Roman"/>
          <w:color w:val="7030A0"/>
          <w:highlight w:val="none"/>
        </w:rPr>
      </w:pPr>
      <w:r>
        <w:rPr>
          <w:rFonts w:hint="eastAsia" w:eastAsia="宋体" w:cs="Times New Roman"/>
          <w:color w:val="7030A0"/>
          <w:highlight w:val="none"/>
        </w:rPr>
        <w:t>（3）水体污染事故应急预案</w:t>
      </w:r>
    </w:p>
    <w:p>
      <w:pPr>
        <w:ind w:firstLine="480"/>
        <w:rPr>
          <w:rFonts w:eastAsia="宋体" w:cs="Times New Roman"/>
          <w:color w:val="7030A0"/>
          <w:highlight w:val="none"/>
        </w:rPr>
      </w:pPr>
      <w:r>
        <w:rPr>
          <w:rFonts w:hint="eastAsia" w:eastAsia="宋体" w:cs="Times New Roman"/>
          <w:color w:val="7030A0"/>
          <w:highlight w:val="none"/>
        </w:rPr>
        <w:t>当入驻企业因废水截断措施失效等因素导致废水或液态物料进入园区管网时，应启动园区级的水体污染事故应急预案，应根据废水或液态物料进入的管网类型采取不同的应急处置方案。</w:t>
      </w:r>
    </w:p>
    <w:p>
      <w:pPr>
        <w:ind w:firstLine="480"/>
        <w:rPr>
          <w:rFonts w:eastAsia="宋体" w:cs="Times New Roman"/>
          <w:color w:val="7030A0"/>
          <w:highlight w:val="none"/>
        </w:rPr>
      </w:pPr>
      <w:r>
        <w:rPr>
          <w:rFonts w:eastAsia="宋体" w:cs="Times New Roman"/>
          <w:color w:val="7030A0"/>
          <w:highlight w:val="none"/>
        </w:rPr>
        <w:t>1</w:t>
      </w:r>
      <w:r>
        <w:rPr>
          <w:rFonts w:hint="eastAsia" w:eastAsia="宋体" w:cs="Times New Roman"/>
          <w:color w:val="7030A0"/>
          <w:highlight w:val="none"/>
        </w:rPr>
        <w:t>）超标废水或液态物料进入园区污水管网时的应急预案</w:t>
      </w:r>
    </w:p>
    <w:p>
      <w:pPr>
        <w:ind w:firstLine="480"/>
        <w:rPr>
          <w:rFonts w:eastAsia="宋体" w:cs="Times New Roman"/>
          <w:color w:val="7030A0"/>
          <w:highlight w:val="none"/>
        </w:rPr>
      </w:pPr>
      <w:r>
        <w:rPr>
          <w:rFonts w:hint="eastAsia" w:eastAsia="宋体" w:cs="Times New Roman"/>
          <w:color w:val="7030A0"/>
          <w:highlight w:val="none"/>
        </w:rPr>
        <w:t>①涉事企业通报：由涉事企业立即将事故上报给园区环境应急领导小组及园区污水处理厂运管负责人，通报的内容包括进入污水管网的废水或液态物料类型、废水量、废水或物料的出厂时间的等信息。</w:t>
      </w:r>
    </w:p>
    <w:p>
      <w:pPr>
        <w:ind w:firstLine="480"/>
        <w:rPr>
          <w:rFonts w:eastAsia="宋体" w:cs="Times New Roman"/>
          <w:color w:val="7030A0"/>
          <w:highlight w:val="none"/>
        </w:rPr>
      </w:pPr>
      <w:r>
        <w:rPr>
          <w:rFonts w:hint="eastAsia" w:eastAsia="宋体" w:cs="Times New Roman"/>
          <w:color w:val="7030A0"/>
          <w:highlight w:val="none"/>
        </w:rPr>
        <w:t>②园区应急处置：园区环境应急领导小组应委派专业人员会同污水处理厂运管负责人处理污染事故，于收到涉事企业的通报后第一时间将污水处理厂进水导入污水处理厂事故应急池，并对进水进行持续监测，待进水水质相对稳定后方可停止将废水导入事故应急池。</w:t>
      </w:r>
    </w:p>
    <w:p>
      <w:pPr>
        <w:ind w:firstLine="480"/>
        <w:rPr>
          <w:rFonts w:eastAsia="宋体" w:cs="Times New Roman"/>
          <w:color w:val="7030A0"/>
          <w:highlight w:val="none"/>
        </w:rPr>
      </w:pPr>
      <w:r>
        <w:rPr>
          <w:rFonts w:hint="eastAsia" w:eastAsia="宋体" w:cs="Times New Roman"/>
          <w:color w:val="7030A0"/>
          <w:highlight w:val="none"/>
        </w:rPr>
        <w:t>③事故污水后期消纳：由于瞬间进入污水处理厂应急池的污染物浓度较高，污染物若一次导入处理系统会对系统产生冲击，需要少量多次地将应急池内废水导入处理系统，在确保达标排放的前提下也保障了处理系统的安全稳定运行。</w:t>
      </w:r>
    </w:p>
    <w:p>
      <w:pPr>
        <w:ind w:firstLine="480"/>
        <w:rPr>
          <w:rFonts w:eastAsia="宋体" w:cs="Times New Roman"/>
          <w:color w:val="7030A0"/>
          <w:highlight w:val="none"/>
        </w:rPr>
      </w:pPr>
      <w:r>
        <w:rPr>
          <w:rFonts w:eastAsia="宋体" w:cs="Times New Roman"/>
          <w:color w:val="7030A0"/>
          <w:highlight w:val="none"/>
        </w:rPr>
        <w:t>2</w:t>
      </w:r>
      <w:r>
        <w:rPr>
          <w:rFonts w:hint="eastAsia" w:eastAsia="宋体" w:cs="Times New Roman"/>
          <w:color w:val="7030A0"/>
          <w:highlight w:val="none"/>
        </w:rPr>
        <w:t>）废水或液态物料进入园区雨水管网时的应急预案</w:t>
      </w:r>
    </w:p>
    <w:p>
      <w:pPr>
        <w:ind w:firstLine="480"/>
        <w:rPr>
          <w:rFonts w:eastAsia="宋体" w:cs="Times New Roman"/>
          <w:color w:val="7030A0"/>
          <w:highlight w:val="none"/>
        </w:rPr>
      </w:pPr>
      <w:r>
        <w:rPr>
          <w:rFonts w:hint="eastAsia" w:eastAsia="宋体" w:cs="Times New Roman"/>
          <w:color w:val="7030A0"/>
          <w:highlight w:val="none"/>
        </w:rPr>
        <w:t>①涉事企业通报：由涉事企业立即将事故上报给园区环境应急领导小组，通报的内容包括进入污水管网的废水或液态物料类型、废水或物料量、废水或物料的出厂时间的等信息。</w:t>
      </w:r>
    </w:p>
    <w:p>
      <w:pPr>
        <w:ind w:firstLine="480"/>
        <w:rPr>
          <w:rFonts w:eastAsia="宋体" w:cs="Times New Roman"/>
          <w:color w:val="7030A0"/>
          <w:highlight w:val="none"/>
        </w:rPr>
      </w:pPr>
      <w:r>
        <w:rPr>
          <w:rFonts w:hint="eastAsia" w:eastAsia="宋体" w:cs="Times New Roman"/>
          <w:color w:val="7030A0"/>
          <w:highlight w:val="none"/>
        </w:rPr>
        <w:t>②园区应急处置：收到涉事企业的通报后，园区环境应急领导小组应第一时间前往涉事企业所在的排水分区设置的事故应急池处，关闭雨水排口截止阀，将事故物料导入事故应急池。</w:t>
      </w:r>
    </w:p>
    <w:p>
      <w:pPr>
        <w:ind w:firstLine="480"/>
        <w:rPr>
          <w:rFonts w:eastAsia="宋体" w:cs="Times New Roman"/>
          <w:color w:val="7030A0"/>
          <w:highlight w:val="none"/>
        </w:rPr>
      </w:pPr>
      <w:r>
        <w:rPr>
          <w:rFonts w:hint="eastAsia" w:eastAsia="宋体" w:cs="Times New Roman"/>
          <w:color w:val="7030A0"/>
          <w:highlight w:val="none"/>
        </w:rPr>
        <w:t>③后期消纳：在事故处理完成后，应清洗受到污染影响的雨水管沟，被事故应急池收集的泄漏物及管沟清洗废水应由专用罐车等特种车辆运送之园区污水处理厂处理或交由有危险废物处置资质的单位处理。</w:t>
      </w:r>
    </w:p>
    <w:p>
      <w:pPr>
        <w:ind w:firstLine="480"/>
        <w:rPr>
          <w:rFonts w:eastAsia="宋体" w:cs="Times New Roman"/>
          <w:color w:val="7030A0"/>
          <w:highlight w:val="none"/>
        </w:rPr>
      </w:pPr>
      <w:r>
        <w:rPr>
          <w:rFonts w:hint="eastAsia" w:eastAsia="宋体" w:cs="Times New Roman"/>
          <w:color w:val="7030A0"/>
          <w:highlight w:val="none"/>
        </w:rPr>
        <w:t>地表水污染事故发生后园区管委会应及时将事故上报苍溪县，苍溪县与广元市建立水污染事故联席会议制度、强化信息通报、实施联合监测预警、强化应急联动、协同污染处置，通过跨界生态环境保护联防联控工作机制，突破行政区域局限，深化区域交流合作，实现信息互通、资源共享、应急联动、优势互补，开展联合执法、联合应急和联合治理，保障跨区域生态环境安全。</w:t>
      </w:r>
    </w:p>
    <w:p>
      <w:pPr>
        <w:ind w:firstLine="482"/>
        <w:rPr>
          <w:rFonts w:eastAsia="宋体" w:cs="Times New Roman"/>
          <w:b/>
          <w:bCs/>
          <w:color w:val="7030A0"/>
          <w:highlight w:val="none"/>
        </w:rPr>
      </w:pPr>
      <w:r>
        <w:rPr>
          <w:rFonts w:eastAsia="宋体" w:cs="Times New Roman"/>
          <w:b/>
          <w:bCs/>
          <w:color w:val="7030A0"/>
          <w:highlight w:val="none"/>
        </w:rPr>
        <w:t>2</w:t>
      </w:r>
      <w:r>
        <w:rPr>
          <w:rFonts w:hint="eastAsia" w:eastAsia="宋体" w:cs="Times New Roman"/>
          <w:b/>
          <w:bCs/>
          <w:color w:val="7030A0"/>
          <w:highlight w:val="none"/>
        </w:rPr>
        <w:t>、区域环境质量保障</w:t>
      </w:r>
    </w:p>
    <w:p>
      <w:pPr>
        <w:ind w:firstLine="480"/>
        <w:rPr>
          <w:rFonts w:eastAsia="宋体" w:cs="Times New Roman"/>
          <w:color w:val="7030A0"/>
          <w:highlight w:val="none"/>
        </w:rPr>
      </w:pPr>
      <w:r>
        <w:rPr>
          <w:rFonts w:hint="eastAsia" w:eastAsia="宋体" w:cs="Times New Roman"/>
          <w:color w:val="7030A0"/>
          <w:highlight w:val="none"/>
        </w:rPr>
        <w:t>评价要求，工厂一旦发生泄漏、工况异常等生产事故，引起区域环境质量超标，则企业必须立即停产，采取以上措施查找事故源、消除污染影响，待区域环境质量达标后方可恢复生产。</w:t>
      </w:r>
    </w:p>
    <w:p>
      <w:pPr>
        <w:ind w:firstLine="482"/>
        <w:rPr>
          <w:rFonts w:eastAsia="宋体" w:cs="Times New Roman"/>
          <w:b/>
          <w:bCs/>
          <w:color w:val="7030A0"/>
          <w:highlight w:val="none"/>
        </w:rPr>
      </w:pPr>
      <w:r>
        <w:rPr>
          <w:rFonts w:eastAsia="宋体" w:cs="Times New Roman"/>
          <w:b/>
          <w:bCs/>
          <w:color w:val="7030A0"/>
          <w:highlight w:val="none"/>
        </w:rPr>
        <w:t>3</w:t>
      </w:r>
      <w:r>
        <w:rPr>
          <w:rFonts w:hint="eastAsia" w:eastAsia="宋体" w:cs="Times New Roman"/>
          <w:b/>
          <w:bCs/>
          <w:color w:val="7030A0"/>
          <w:highlight w:val="none"/>
        </w:rPr>
        <w:t>、应急监测</w:t>
      </w:r>
    </w:p>
    <w:p>
      <w:pPr>
        <w:ind w:firstLine="480"/>
        <w:rPr>
          <w:rFonts w:eastAsia="宋体" w:cs="Times New Roman"/>
          <w:color w:val="7030A0"/>
          <w:highlight w:val="none"/>
        </w:rPr>
      </w:pPr>
      <w:r>
        <w:rPr>
          <w:rFonts w:hint="eastAsia" w:eastAsia="宋体" w:cs="Times New Roman"/>
          <w:color w:val="7030A0"/>
          <w:highlight w:val="none"/>
        </w:rPr>
        <w:t>当事故发生后，应急指挥部应迅速组织企业和专业应急监测机构对事故现场以及周围环境进行连续不间断监测，及时了事故现场及敏感目标环境空气中污染物的浓度或水体中污染物浓度，对事故的性质、参数以及各类污染物质的扩散程度进行评估，为指挥部门提供决策依据。产业园区应急指挥部应根据入区企业的性质、特点及企业的应急预案，确定相应的应急监测频次与监测点位，并及时纳入到应急预案中，可参照以下制定：</w:t>
      </w:r>
    </w:p>
    <w:p>
      <w:pPr>
        <w:ind w:firstLine="480"/>
        <w:rPr>
          <w:rFonts w:eastAsia="宋体" w:cs="Times New Roman"/>
          <w:color w:val="7030A0"/>
          <w:highlight w:val="none"/>
        </w:rPr>
      </w:pPr>
      <w:r>
        <w:rPr>
          <w:rFonts w:hint="eastAsia" w:eastAsia="宋体" w:cs="Times New Roman"/>
          <w:color w:val="7030A0"/>
          <w:highlight w:val="none"/>
        </w:rPr>
        <w:t>大气污染事故应根据当时的气象条件及事故情况，在下风向重要社会关注点和环境敏感点，采用快速取样法监测空气中特征污染因子的浓度，监测频次事故初期可按</w:t>
      </w:r>
      <w:r>
        <w:rPr>
          <w:rFonts w:eastAsia="宋体" w:cs="Times New Roman"/>
          <w:color w:val="7030A0"/>
          <w:highlight w:val="none"/>
        </w:rPr>
        <w:t>1</w:t>
      </w:r>
      <w:r>
        <w:rPr>
          <w:rFonts w:hint="eastAsia" w:eastAsia="宋体" w:cs="Times New Roman"/>
          <w:color w:val="7030A0"/>
          <w:highlight w:val="none"/>
        </w:rPr>
        <w:t>次</w:t>
      </w:r>
      <w:r>
        <w:rPr>
          <w:rFonts w:eastAsia="宋体" w:cs="Times New Roman"/>
          <w:color w:val="7030A0"/>
          <w:highlight w:val="none"/>
        </w:rPr>
        <w:t>/30min</w:t>
      </w:r>
      <w:r>
        <w:rPr>
          <w:rFonts w:hint="eastAsia" w:eastAsia="宋体" w:cs="Times New Roman"/>
          <w:color w:val="7030A0"/>
          <w:highlight w:val="none"/>
        </w:rPr>
        <w:t>，随后按</w:t>
      </w:r>
      <w:r>
        <w:rPr>
          <w:rFonts w:eastAsia="宋体" w:cs="Times New Roman"/>
          <w:color w:val="7030A0"/>
          <w:highlight w:val="none"/>
        </w:rPr>
        <w:t>1h</w:t>
      </w:r>
      <w:r>
        <w:rPr>
          <w:rFonts w:hint="eastAsia" w:eastAsia="宋体" w:cs="Times New Roman"/>
          <w:color w:val="7030A0"/>
          <w:highlight w:val="none"/>
        </w:rPr>
        <w:t>，</w:t>
      </w:r>
      <w:r>
        <w:rPr>
          <w:rFonts w:eastAsia="宋体" w:cs="Times New Roman"/>
          <w:color w:val="7030A0"/>
          <w:highlight w:val="none"/>
        </w:rPr>
        <w:t>2h</w:t>
      </w:r>
      <w:r>
        <w:rPr>
          <w:rFonts w:hint="eastAsia" w:eastAsia="宋体" w:cs="Times New Roman"/>
          <w:color w:val="7030A0"/>
          <w:highlight w:val="none"/>
        </w:rPr>
        <w:t>等采样。</w:t>
      </w:r>
    </w:p>
    <w:p>
      <w:pPr>
        <w:ind w:firstLine="480"/>
        <w:rPr>
          <w:rFonts w:eastAsia="宋体" w:cs="Times New Roman"/>
          <w:color w:val="7030A0"/>
          <w:highlight w:val="none"/>
        </w:rPr>
      </w:pPr>
      <w:r>
        <w:rPr>
          <w:rFonts w:hint="eastAsia" w:eastAsia="宋体" w:cs="Times New Roman"/>
          <w:color w:val="7030A0"/>
          <w:highlight w:val="none"/>
        </w:rPr>
        <w:t>当发生流域水体污染事故时，在相应的总排口、污水汇入口以及下游设置监测断面，监测特征污染因子，监测频次按</w:t>
      </w:r>
      <w:r>
        <w:rPr>
          <w:rFonts w:eastAsia="宋体" w:cs="Times New Roman"/>
          <w:color w:val="7030A0"/>
          <w:highlight w:val="none"/>
        </w:rPr>
        <w:t>1</w:t>
      </w:r>
      <w:r>
        <w:rPr>
          <w:rFonts w:hint="eastAsia" w:eastAsia="宋体" w:cs="Times New Roman"/>
          <w:color w:val="7030A0"/>
          <w:highlight w:val="none"/>
        </w:rPr>
        <w:t>次</w:t>
      </w:r>
      <w:r>
        <w:rPr>
          <w:rFonts w:eastAsia="宋体" w:cs="Times New Roman"/>
          <w:color w:val="7030A0"/>
          <w:highlight w:val="none"/>
        </w:rPr>
        <w:t>/30min</w:t>
      </w:r>
      <w:r>
        <w:rPr>
          <w:rFonts w:hint="eastAsia" w:eastAsia="宋体" w:cs="Times New Roman"/>
          <w:color w:val="7030A0"/>
          <w:highlight w:val="none"/>
        </w:rPr>
        <w:t>采样，</w:t>
      </w:r>
      <w:r>
        <w:rPr>
          <w:rFonts w:eastAsia="宋体" w:cs="Times New Roman"/>
          <w:color w:val="7030A0"/>
          <w:highlight w:val="none"/>
        </w:rPr>
        <w:t>1h</w:t>
      </w:r>
      <w:r>
        <w:rPr>
          <w:rFonts w:hint="eastAsia" w:eastAsia="宋体" w:cs="Times New Roman"/>
          <w:color w:val="7030A0"/>
          <w:highlight w:val="none"/>
        </w:rPr>
        <w:t>向指挥部上报</w:t>
      </w:r>
      <w:r>
        <w:rPr>
          <w:rFonts w:eastAsia="宋体" w:cs="Times New Roman"/>
          <w:color w:val="7030A0"/>
          <w:highlight w:val="none"/>
        </w:rPr>
        <w:t>1</w:t>
      </w:r>
      <w:r>
        <w:rPr>
          <w:rFonts w:hint="eastAsia" w:eastAsia="宋体" w:cs="Times New Roman"/>
          <w:color w:val="7030A0"/>
          <w:highlight w:val="none"/>
        </w:rPr>
        <w:t>次。</w:t>
      </w:r>
    </w:p>
    <w:p>
      <w:pPr>
        <w:ind w:firstLine="480"/>
        <w:rPr>
          <w:rFonts w:eastAsia="宋体" w:cs="Times New Roman"/>
          <w:color w:val="7030A0"/>
          <w:highlight w:val="none"/>
        </w:rPr>
      </w:pPr>
      <w:r>
        <w:rPr>
          <w:rFonts w:hint="eastAsia" w:eastAsia="宋体" w:cs="Times New Roman"/>
          <w:color w:val="7030A0"/>
          <w:highlight w:val="none"/>
        </w:rPr>
        <w:t>当发生陆运交通事故时，在泄漏点附近敏感点设置大气监控点、附近水域设置水体监控断面，监测频次按</w:t>
      </w:r>
      <w:r>
        <w:rPr>
          <w:rFonts w:eastAsia="宋体" w:cs="Times New Roman"/>
          <w:color w:val="7030A0"/>
          <w:highlight w:val="none"/>
        </w:rPr>
        <w:t>1</w:t>
      </w:r>
      <w:r>
        <w:rPr>
          <w:rFonts w:hint="eastAsia" w:eastAsia="宋体" w:cs="Times New Roman"/>
          <w:color w:val="7030A0"/>
          <w:highlight w:val="none"/>
        </w:rPr>
        <w:t>次</w:t>
      </w:r>
      <w:r>
        <w:rPr>
          <w:rFonts w:eastAsia="宋体" w:cs="Times New Roman"/>
          <w:color w:val="7030A0"/>
          <w:highlight w:val="none"/>
        </w:rPr>
        <w:t>/30min</w:t>
      </w:r>
      <w:r>
        <w:rPr>
          <w:rFonts w:hint="eastAsia" w:eastAsia="宋体" w:cs="Times New Roman"/>
          <w:color w:val="7030A0"/>
          <w:highlight w:val="none"/>
        </w:rPr>
        <w:t>采样，</w:t>
      </w:r>
      <w:r>
        <w:rPr>
          <w:rFonts w:eastAsia="宋体" w:cs="Times New Roman"/>
          <w:color w:val="7030A0"/>
          <w:highlight w:val="none"/>
        </w:rPr>
        <w:t>1h</w:t>
      </w:r>
      <w:r>
        <w:rPr>
          <w:rFonts w:hint="eastAsia" w:eastAsia="宋体" w:cs="Times New Roman"/>
          <w:color w:val="7030A0"/>
          <w:highlight w:val="none"/>
        </w:rPr>
        <w:t>向指挥部上报</w:t>
      </w:r>
      <w:r>
        <w:rPr>
          <w:rFonts w:eastAsia="宋体" w:cs="Times New Roman"/>
          <w:color w:val="7030A0"/>
          <w:highlight w:val="none"/>
        </w:rPr>
        <w:t>1</w:t>
      </w:r>
      <w:r>
        <w:rPr>
          <w:rFonts w:hint="eastAsia" w:eastAsia="宋体" w:cs="Times New Roman"/>
          <w:color w:val="7030A0"/>
          <w:highlight w:val="none"/>
        </w:rPr>
        <w:t>次，监测特征污染因子。</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后期工作</w:t>
      </w:r>
    </w:p>
    <w:bookmarkEnd w:id="61"/>
    <w:bookmarkEnd w:id="62"/>
    <w:p>
      <w:pPr>
        <w:ind w:firstLine="480"/>
        <w:rPr>
          <w:rFonts w:eastAsia="宋体" w:cs="Times New Roman"/>
          <w:color w:val="7030A0"/>
          <w:szCs w:val="24"/>
          <w:highlight w:val="none"/>
        </w:rPr>
      </w:pPr>
      <w:r>
        <w:rPr>
          <w:rFonts w:eastAsia="宋体" w:cs="Times New Roman"/>
          <w:color w:val="7030A0"/>
          <w:szCs w:val="24"/>
          <w:highlight w:val="none"/>
        </w:rPr>
        <w:t>（1）善后处置</w:t>
      </w:r>
    </w:p>
    <w:p>
      <w:pPr>
        <w:ind w:firstLine="480"/>
        <w:rPr>
          <w:rFonts w:eastAsia="宋体" w:cs="Times New Roman"/>
          <w:color w:val="7030A0"/>
          <w:szCs w:val="24"/>
          <w:highlight w:val="none"/>
        </w:rPr>
      </w:pPr>
      <w:bookmarkStart w:id="63" w:name="_Toc28681473"/>
      <w:r>
        <w:rPr>
          <w:rFonts w:hint="eastAsia" w:eastAsia="宋体" w:cs="Times New Roman"/>
          <w:color w:val="7030A0"/>
          <w:szCs w:val="24"/>
          <w:highlight w:val="none"/>
        </w:rPr>
        <w:t>突发生态环境事件应急响应终止后，在管委会统一领导下，由属地乡镇和相关部门、单位根据本地区遭受损失的情况，及时制定补助、补偿、抚慰、抚恤、安置等善后方案并组织实施，保险机构第一时间对事件造成的损失进行评估、审核、确认和理赔。生态环境部门继续对受影响区域进行生态环境质量监测，持续跟踪生态环境质量稳定达标情况。属地乡镇和相关单位须妥善解决因处置突发生态环境事件引发的矛盾和纠纷。</w:t>
      </w:r>
    </w:p>
    <w:p>
      <w:pPr>
        <w:ind w:firstLine="480"/>
        <w:rPr>
          <w:rFonts w:eastAsia="宋体" w:cs="Times New Roman"/>
          <w:color w:val="7030A0"/>
          <w:szCs w:val="24"/>
          <w:highlight w:val="none"/>
        </w:rPr>
      </w:pPr>
      <w:r>
        <w:rPr>
          <w:rFonts w:eastAsia="宋体" w:cs="Times New Roman"/>
          <w:color w:val="7030A0"/>
          <w:szCs w:val="24"/>
          <w:highlight w:val="none"/>
        </w:rPr>
        <w:t>（2）调查与评估</w:t>
      </w:r>
      <w:bookmarkEnd w:id="63"/>
    </w:p>
    <w:p>
      <w:pPr>
        <w:ind w:firstLine="480"/>
        <w:rPr>
          <w:rFonts w:eastAsia="宋体" w:cs="Times New Roman"/>
          <w:color w:val="7030A0"/>
          <w:szCs w:val="24"/>
          <w:highlight w:val="none"/>
        </w:rPr>
      </w:pPr>
      <w:bookmarkStart w:id="64" w:name="_Toc28681474"/>
      <w:r>
        <w:rPr>
          <w:rFonts w:hint="eastAsia" w:eastAsia="宋体" w:cs="Times New Roman"/>
          <w:color w:val="7030A0"/>
          <w:szCs w:val="24"/>
          <w:highlight w:val="none"/>
        </w:rPr>
        <w:t>在突发生态环境事件处置结束后，管委会相关职能部门组织开展事件调查，查明事件原因，确认事件性质，提出整改防范措施和处理建议，形成书面调查报告，上报区政府和市生态环境局。同时总结经验教训，防止类似事件再次发生。</w:t>
      </w:r>
    </w:p>
    <w:p>
      <w:pPr>
        <w:ind w:firstLine="480"/>
        <w:rPr>
          <w:rFonts w:eastAsia="宋体" w:cs="Times New Roman"/>
          <w:color w:val="7030A0"/>
          <w:szCs w:val="24"/>
          <w:highlight w:val="none"/>
        </w:rPr>
      </w:pPr>
      <w:r>
        <w:rPr>
          <w:rFonts w:eastAsia="宋体" w:cs="Times New Roman"/>
          <w:color w:val="7030A0"/>
          <w:szCs w:val="24"/>
          <w:highlight w:val="none"/>
        </w:rPr>
        <w:t>（3）</w:t>
      </w:r>
      <w:bookmarkEnd w:id="64"/>
      <w:r>
        <w:rPr>
          <w:rFonts w:eastAsia="宋体" w:cs="Times New Roman"/>
          <w:color w:val="7030A0"/>
          <w:szCs w:val="24"/>
          <w:highlight w:val="none"/>
        </w:rPr>
        <w:t>损害评估与生态修复</w:t>
      </w:r>
    </w:p>
    <w:p>
      <w:pPr>
        <w:ind w:firstLine="480"/>
        <w:rPr>
          <w:rFonts w:eastAsia="宋体" w:cs="Times New Roman"/>
          <w:color w:val="7030A0"/>
          <w:szCs w:val="24"/>
          <w:highlight w:val="none"/>
        </w:rPr>
      </w:pPr>
      <w:r>
        <w:rPr>
          <w:rFonts w:hint="eastAsia" w:eastAsia="宋体" w:cs="Times New Roman"/>
          <w:color w:val="7030A0"/>
          <w:szCs w:val="24"/>
          <w:highlight w:val="none"/>
        </w:rPr>
        <w:t>应急处置结束后，按照生态环境部关于应急处置阶段环境损害评估工作的要求开展污染损害评估，并将评估结果向社会公布。评估结论作为事件调查处理、损害赔偿、环境修复和生态恢复重建的依据。突发生态环境事件损害评估报告按《突发环境事件应急处置阶段污染损害评估工作程序规定》和《突发环境事件应急处置阶段环境损害评估推荐方法》编制。根据损害评估报告，视情况可开展生态修复工作。</w:t>
      </w:r>
    </w:p>
    <w:p>
      <w:pPr>
        <w:ind w:firstLine="480"/>
        <w:rPr>
          <w:rFonts w:eastAsia="宋体" w:cs="Times New Roman"/>
          <w:color w:val="7030A0"/>
          <w:szCs w:val="24"/>
          <w:highlight w:val="none"/>
        </w:rPr>
      </w:pPr>
      <w:r>
        <w:rPr>
          <w:rFonts w:eastAsia="宋体" w:cs="Times New Roman"/>
          <w:color w:val="7030A0"/>
          <w:szCs w:val="24"/>
          <w:highlight w:val="none"/>
        </w:rPr>
        <w:t>（</w:t>
      </w:r>
      <w:r>
        <w:rPr>
          <w:rFonts w:hint="eastAsia" w:eastAsia="宋体" w:cs="Times New Roman"/>
          <w:color w:val="7030A0"/>
          <w:szCs w:val="24"/>
          <w:highlight w:val="none"/>
        </w:rPr>
        <w:t>4</w:t>
      </w:r>
      <w:r>
        <w:rPr>
          <w:rFonts w:eastAsia="宋体" w:cs="Times New Roman"/>
          <w:color w:val="7030A0"/>
          <w:szCs w:val="24"/>
          <w:highlight w:val="none"/>
        </w:rPr>
        <w:t>）</w:t>
      </w:r>
      <w:r>
        <w:rPr>
          <w:rFonts w:hint="eastAsia" w:eastAsia="宋体" w:cs="Times New Roman"/>
          <w:color w:val="7030A0"/>
          <w:szCs w:val="24"/>
          <w:highlight w:val="none"/>
        </w:rPr>
        <w:t>应急过程评价</w:t>
      </w:r>
    </w:p>
    <w:p>
      <w:pPr>
        <w:ind w:firstLine="480"/>
        <w:rPr>
          <w:rFonts w:eastAsia="宋体" w:cs="Times New Roman"/>
          <w:color w:val="7030A0"/>
          <w:szCs w:val="24"/>
          <w:highlight w:val="none"/>
        </w:rPr>
      </w:pPr>
      <w:r>
        <w:rPr>
          <w:rFonts w:hint="eastAsia" w:eastAsia="宋体" w:cs="Times New Roman"/>
          <w:color w:val="7030A0"/>
          <w:szCs w:val="24"/>
          <w:highlight w:val="none"/>
        </w:rPr>
        <w:t>突发环境事件处置完毕后，生态环境部门视情况可就生态环境应急过程，现场各专业应急救援队伍的行动、应急救援行动的实际效果及产生的社会影响、公众反映等情况开展评估，形成总结报告或案例分析材料。</w:t>
      </w:r>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color w:val="7030A0"/>
          <w:kern w:val="2"/>
          <w:sz w:val="32"/>
          <w:szCs w:val="32"/>
          <w:highlight w:val="none"/>
          <w:lang w:val="en-US" w:eastAsia="zh-CN" w:bidi="ar-SA"/>
        </w:rPr>
      </w:pPr>
      <w:bookmarkStart w:id="65" w:name="_Toc162353664"/>
      <w:r>
        <w:rPr>
          <w:rFonts w:hint="eastAsia" w:ascii="Times New Roman" w:hAnsi="Times New Roman" w:eastAsia="黑体" w:cs="Times New Roman"/>
          <w:bCs/>
          <w:color w:val="7030A0"/>
          <w:kern w:val="2"/>
          <w:sz w:val="32"/>
          <w:szCs w:val="32"/>
          <w:highlight w:val="none"/>
          <w:lang w:val="en-US" w:eastAsia="zh-CN" w:bidi="ar-SA"/>
        </w:rPr>
        <w:t>环境风险评价结论</w:t>
      </w:r>
      <w:bookmarkEnd w:id="65"/>
    </w:p>
    <w:p>
      <w:pPr>
        <w:ind w:firstLine="480"/>
        <w:rPr>
          <w:rFonts w:eastAsia="宋体" w:cs="Times New Roman"/>
          <w:color w:val="7030A0"/>
          <w:highlight w:val="none"/>
        </w:rPr>
      </w:pPr>
      <w:r>
        <w:rPr>
          <w:rFonts w:hint="eastAsia" w:eastAsia="宋体" w:cs="Times New Roman"/>
          <w:color w:val="7030A0"/>
          <w:highlight w:val="none"/>
        </w:rPr>
        <w:t>规划实施后，各入驻项目运行过程中可能存在着物料泄漏、火灾等风险事故。在采取相应的防范措施，环境风险值是可以接受的。针对存在的风险，本规划环评报告提出了相应的预防、监管措施和工程措施，风险防范措施可靠有效。</w:t>
      </w:r>
    </w:p>
    <w:p>
      <w:pPr>
        <w:ind w:firstLine="480"/>
        <w:rPr>
          <w:rFonts w:eastAsia="宋体" w:cs="Times New Roman"/>
          <w:color w:val="7030A0"/>
          <w:highlight w:val="none"/>
        </w:rPr>
      </w:pPr>
      <w:r>
        <w:rPr>
          <w:rFonts w:hint="eastAsia" w:eastAsia="宋体" w:cs="Times New Roman"/>
          <w:color w:val="7030A0"/>
          <w:highlight w:val="none"/>
        </w:rPr>
        <w:t>规划环评要求入驻的企业在进行项目环评时重点针对各企业情况，进行风险评价，制定风险防范措施和应急预案，确保对区内、区外各敏感点以及地表水体等不造成影响。</w:t>
      </w:r>
    </w:p>
    <w:p>
      <w:pPr>
        <w:ind w:firstLine="480"/>
        <w:rPr>
          <w:rFonts w:hint="eastAsia" w:eastAsia="宋体" w:cs="Times New Roman"/>
          <w:color w:val="7030A0"/>
          <w:highlight w:val="none"/>
        </w:rPr>
      </w:pPr>
      <w:r>
        <w:rPr>
          <w:rFonts w:hint="eastAsia" w:eastAsia="宋体" w:cs="Times New Roman"/>
          <w:color w:val="7030A0"/>
          <w:highlight w:val="none"/>
        </w:rPr>
        <w:t>只要规划区在建设时按照有关规范标准的要求，搞好安全设施配套设建设，入区企业按有关行业或国家标准、规范及条例的要求进行生产厂区及工艺装置建设，加强对重点源、工艺装置、贮运区的监控和管理。认真落实环境风险防范措施，从环境风险角度分析规划区建设是可行的。</w:t>
      </w:r>
    </w:p>
    <w:p>
      <w:pPr>
        <w:rPr>
          <w:rFonts w:hint="eastAsia" w:eastAsia="宋体" w:cs="Times New Roman"/>
          <w:color w:val="7030A0"/>
          <w:highlight w:val="none"/>
        </w:rPr>
      </w:pPr>
      <w:r>
        <w:rPr>
          <w:rFonts w:hint="eastAsia" w:eastAsia="宋体" w:cs="Times New Roman"/>
          <w:color w:val="7030A0"/>
          <w:highlight w:val="none"/>
        </w:rPr>
        <w:br w:type="page"/>
      </w:r>
    </w:p>
    <w:p>
      <w:pPr>
        <w:keepNext/>
        <w:keepLines/>
        <w:widowControl w:val="0"/>
        <w:numPr>
          <w:ilvl w:val="0"/>
          <w:numId w:val="9"/>
        </w:numPr>
        <w:spacing w:before="163" w:beforeLines="0" w:after="163" w:afterLines="0" w:line="578" w:lineRule="auto"/>
        <w:ind w:left="440" w:hanging="440" w:firstLineChars="0"/>
        <w:jc w:val="both"/>
        <w:outlineLvl w:val="0"/>
        <w:rPr>
          <w:rFonts w:hint="eastAsia" w:ascii="Times New Roman" w:hAnsi="Times New Roman" w:eastAsia="黑体" w:cs="Times New Roman"/>
          <w:bCs/>
          <w:color w:val="7030A0"/>
          <w:kern w:val="44"/>
          <w:sz w:val="44"/>
          <w:szCs w:val="44"/>
          <w:highlight w:val="none"/>
          <w:lang w:val="en-US" w:eastAsia="zh-CN" w:bidi="ar-SA"/>
        </w:rPr>
      </w:pPr>
      <w:bookmarkStart w:id="66" w:name="_Toc152163943"/>
      <w:r>
        <w:rPr>
          <w:rFonts w:hint="eastAsia" w:ascii="Times New Roman" w:hAnsi="Times New Roman" w:eastAsia="黑体" w:cs="Times New Roman"/>
          <w:bCs/>
          <w:color w:val="7030A0"/>
          <w:kern w:val="44"/>
          <w:sz w:val="44"/>
          <w:szCs w:val="44"/>
          <w:highlight w:val="none"/>
          <w:lang w:val="en-US" w:eastAsia="zh-CN" w:bidi="ar-SA"/>
        </w:rPr>
        <w:t>环境影响跟踪评价与建设项目环境影响评价要求</w:t>
      </w:r>
      <w:bookmarkEnd w:id="66"/>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color w:val="7030A0"/>
          <w:kern w:val="2"/>
          <w:sz w:val="32"/>
          <w:szCs w:val="32"/>
          <w:highlight w:val="none"/>
          <w:lang w:val="en-US" w:eastAsia="zh-CN" w:bidi="ar-SA"/>
        </w:rPr>
      </w:pPr>
      <w:bookmarkStart w:id="67" w:name="_Toc152163944"/>
      <w:r>
        <w:rPr>
          <w:rFonts w:hint="eastAsia" w:ascii="Times New Roman" w:hAnsi="Times New Roman" w:eastAsia="黑体" w:cs="Times New Roman"/>
          <w:bCs/>
          <w:color w:val="7030A0"/>
          <w:kern w:val="2"/>
          <w:sz w:val="32"/>
          <w:szCs w:val="32"/>
          <w:highlight w:val="none"/>
          <w:lang w:val="en-US" w:eastAsia="zh-CN" w:bidi="ar-SA"/>
        </w:rPr>
        <w:t>环境影响跟踪评价计划</w:t>
      </w:r>
      <w:bookmarkEnd w:id="67"/>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跟踪评价时段</w:t>
      </w:r>
    </w:p>
    <w:p>
      <w:pPr>
        <w:pStyle w:val="89"/>
        <w:ind w:firstLine="480"/>
        <w:rPr>
          <w:highlight w:val="none"/>
        </w:rPr>
      </w:pPr>
      <w:r>
        <w:rPr>
          <w:rFonts w:hint="eastAsia"/>
          <w:highlight w:val="none"/>
        </w:rPr>
        <w:t>本次规划期为2</w:t>
      </w:r>
      <w:r>
        <w:rPr>
          <w:highlight w:val="none"/>
        </w:rPr>
        <w:t>02</w:t>
      </w:r>
      <w:r>
        <w:rPr>
          <w:rFonts w:hint="eastAsia"/>
          <w:highlight w:val="none"/>
        </w:rPr>
        <w:t>4年，根据百利工业园区（先期启动区）目前的建设情况及后续规划，依据《中华人民共和国环境影响评价法》及《建设项目环境保护管理条例》要求，本评价建议园区在规划实施后对环境的实际影响分别进行近期（2029年）、远期（2035年）的跟踪评价。</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跟踪评价计划内容</w:t>
      </w:r>
    </w:p>
    <w:p>
      <w:pPr>
        <w:pStyle w:val="89"/>
        <w:ind w:firstLine="480"/>
        <w:rPr>
          <w:highlight w:val="none"/>
        </w:rPr>
      </w:pPr>
      <w:r>
        <w:rPr>
          <w:rFonts w:hint="eastAsia"/>
          <w:highlight w:val="none"/>
        </w:rPr>
        <w:t>跟踪评价就是指对规划环境影响评价及提出建议的减缓措施，在规划实施过程中是否得到了有效的贯彻实施的跟踪调查评价。跟踪评价的内容主要包括评价规划实施过程中和实施后的实际环境影响，提出下一步规划在进行调整、修改、完善过程中，为进一步提高规划的环境效益所需的改进措施，提出对下一级规划或项目环评的建议。</w:t>
      </w:r>
    </w:p>
    <w:p>
      <w:pPr>
        <w:pStyle w:val="89"/>
        <w:ind w:firstLine="480"/>
        <w:rPr>
          <w:highlight w:val="none"/>
        </w:rPr>
      </w:pPr>
      <w:r>
        <w:rPr>
          <w:rFonts w:hint="eastAsia"/>
          <w:highlight w:val="none"/>
        </w:rPr>
        <w:t>本规划环评按实施中和实施后提出需对以下内容的落实情况进行跟踪评价，跟踪评价计划的具体内容，见下表。</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11</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1</w:instrText>
      </w:r>
      <w:r>
        <w:rPr>
          <w:highlight w:val="none"/>
        </w:rPr>
        <w:instrText xml:space="preserve"> </w:instrText>
      </w:r>
      <w:r>
        <w:rPr>
          <w:highlight w:val="none"/>
        </w:rPr>
        <w:fldChar w:fldCharType="separate"/>
      </w:r>
      <w:r>
        <w:rPr>
          <w:highlight w:val="none"/>
        </w:rPr>
        <w:t>1</w:t>
      </w:r>
      <w:r>
        <w:rPr>
          <w:highlight w:val="none"/>
        </w:rPr>
        <w:fldChar w:fldCharType="end"/>
      </w:r>
      <w:r>
        <w:rPr>
          <w:highlight w:val="none"/>
        </w:rPr>
        <w:t xml:space="preserve">  </w:t>
      </w:r>
      <w:r>
        <w:rPr>
          <w:rFonts w:hint="eastAsia"/>
          <w:highlight w:val="none"/>
        </w:rPr>
        <w:t>本园区规划环评跟踪评价计划</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8"/>
        <w:gridCol w:w="1543"/>
        <w:gridCol w:w="2933"/>
        <w:gridCol w:w="1389"/>
        <w:gridCol w:w="26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408" w:type="pct"/>
            <w:shd w:val="clear" w:color="auto" w:fill="auto"/>
            <w:vAlign w:val="center"/>
          </w:tcPr>
          <w:p>
            <w:pPr>
              <w:pStyle w:val="58"/>
              <w:rPr>
                <w:highlight w:val="none"/>
              </w:rPr>
            </w:pPr>
            <w:r>
              <w:rPr>
                <w:highlight w:val="none"/>
              </w:rPr>
              <w:t>序号</w:t>
            </w:r>
          </w:p>
        </w:tc>
        <w:tc>
          <w:tcPr>
            <w:tcW w:w="831" w:type="pct"/>
            <w:shd w:val="clear" w:color="auto" w:fill="auto"/>
            <w:vAlign w:val="center"/>
          </w:tcPr>
          <w:p>
            <w:pPr>
              <w:pStyle w:val="58"/>
              <w:rPr>
                <w:highlight w:val="none"/>
              </w:rPr>
            </w:pPr>
            <w:r>
              <w:rPr>
                <w:highlight w:val="none"/>
              </w:rPr>
              <w:t>环评和规划修改、预测内容</w:t>
            </w:r>
          </w:p>
        </w:tc>
        <w:tc>
          <w:tcPr>
            <w:tcW w:w="1579" w:type="pct"/>
            <w:shd w:val="clear" w:color="auto" w:fill="auto"/>
            <w:vAlign w:val="center"/>
          </w:tcPr>
          <w:p>
            <w:pPr>
              <w:pStyle w:val="58"/>
              <w:rPr>
                <w:highlight w:val="none"/>
              </w:rPr>
            </w:pPr>
            <w:r>
              <w:rPr>
                <w:highlight w:val="none"/>
              </w:rPr>
              <w:t>具体措施</w:t>
            </w:r>
          </w:p>
        </w:tc>
        <w:tc>
          <w:tcPr>
            <w:tcW w:w="748" w:type="pct"/>
            <w:shd w:val="clear" w:color="auto" w:fill="auto"/>
            <w:vAlign w:val="center"/>
          </w:tcPr>
          <w:p>
            <w:pPr>
              <w:pStyle w:val="58"/>
              <w:rPr>
                <w:highlight w:val="none"/>
              </w:rPr>
            </w:pPr>
            <w:r>
              <w:rPr>
                <w:highlight w:val="none"/>
              </w:rPr>
              <w:t>措施实施单位</w:t>
            </w:r>
          </w:p>
        </w:tc>
        <w:tc>
          <w:tcPr>
            <w:tcW w:w="1434" w:type="pct"/>
            <w:shd w:val="clear" w:color="auto" w:fill="auto"/>
            <w:vAlign w:val="center"/>
          </w:tcPr>
          <w:p>
            <w:pPr>
              <w:pStyle w:val="58"/>
              <w:rPr>
                <w:highlight w:val="none"/>
              </w:rPr>
            </w:pPr>
            <w:r>
              <w:rPr>
                <w:highlight w:val="none"/>
              </w:rPr>
              <w:t>跟踪评价内容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8" w:type="pct"/>
            <w:shd w:val="clear" w:color="auto" w:fill="auto"/>
            <w:vAlign w:val="center"/>
          </w:tcPr>
          <w:p>
            <w:pPr>
              <w:pStyle w:val="58"/>
              <w:rPr>
                <w:highlight w:val="none"/>
              </w:rPr>
            </w:pPr>
            <w:r>
              <w:rPr>
                <w:rFonts w:hint="eastAsia"/>
                <w:highlight w:val="none"/>
              </w:rPr>
              <w:t>1</w:t>
            </w:r>
          </w:p>
        </w:tc>
        <w:tc>
          <w:tcPr>
            <w:tcW w:w="831" w:type="pct"/>
            <w:shd w:val="clear" w:color="auto" w:fill="auto"/>
            <w:vAlign w:val="center"/>
          </w:tcPr>
          <w:p>
            <w:pPr>
              <w:pStyle w:val="58"/>
              <w:rPr>
                <w:highlight w:val="none"/>
              </w:rPr>
            </w:pPr>
            <w:r>
              <w:rPr>
                <w:highlight w:val="none"/>
              </w:rPr>
              <w:t>总</w:t>
            </w:r>
            <w:r>
              <w:rPr>
                <w:rFonts w:hint="eastAsia"/>
                <w:highlight w:val="none"/>
              </w:rPr>
              <w:t>平面</w:t>
            </w:r>
            <w:r>
              <w:rPr>
                <w:highlight w:val="none"/>
              </w:rPr>
              <w:t>布局调整</w:t>
            </w:r>
          </w:p>
        </w:tc>
        <w:tc>
          <w:tcPr>
            <w:tcW w:w="1579" w:type="pct"/>
            <w:shd w:val="clear" w:color="auto" w:fill="auto"/>
            <w:vAlign w:val="center"/>
          </w:tcPr>
          <w:p>
            <w:pPr>
              <w:pStyle w:val="58"/>
              <w:rPr>
                <w:highlight w:val="none"/>
              </w:rPr>
            </w:pPr>
            <w:r>
              <w:rPr>
                <w:highlight w:val="none"/>
              </w:rPr>
              <w:t>总平面图布置中重点项目的安全卫生防护距离，远离环境敏感区域。</w:t>
            </w:r>
          </w:p>
        </w:tc>
        <w:tc>
          <w:tcPr>
            <w:tcW w:w="748" w:type="pct"/>
            <w:shd w:val="clear" w:color="auto" w:fill="auto"/>
            <w:vAlign w:val="center"/>
          </w:tcPr>
          <w:p>
            <w:pPr>
              <w:pStyle w:val="58"/>
              <w:rPr>
                <w:highlight w:val="none"/>
              </w:rPr>
            </w:pPr>
            <w:r>
              <w:rPr>
                <w:rFonts w:hint="eastAsia"/>
                <w:highlight w:val="none"/>
              </w:rPr>
              <w:t>苍溪县人民政府</w:t>
            </w:r>
            <w:r>
              <w:rPr>
                <w:highlight w:val="none"/>
              </w:rPr>
              <w:t>、规划编制单位</w:t>
            </w:r>
          </w:p>
        </w:tc>
        <w:tc>
          <w:tcPr>
            <w:tcW w:w="1434" w:type="pct"/>
            <w:shd w:val="clear" w:color="auto" w:fill="auto"/>
            <w:vAlign w:val="center"/>
          </w:tcPr>
          <w:p>
            <w:pPr>
              <w:pStyle w:val="58"/>
              <w:rPr>
                <w:highlight w:val="none"/>
              </w:rPr>
            </w:pPr>
            <w:r>
              <w:rPr>
                <w:highlight w:val="none"/>
              </w:rPr>
              <w:t>采取调整后，是否使工业集中发展区产业链更加合理，环境效益、经济效益是否提高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8" w:type="pct"/>
            <w:shd w:val="clear" w:color="auto" w:fill="auto"/>
            <w:vAlign w:val="center"/>
          </w:tcPr>
          <w:p>
            <w:pPr>
              <w:pStyle w:val="58"/>
              <w:rPr>
                <w:highlight w:val="none"/>
              </w:rPr>
            </w:pPr>
            <w:r>
              <w:rPr>
                <w:rFonts w:hint="eastAsia"/>
                <w:highlight w:val="none"/>
              </w:rPr>
              <w:t>2</w:t>
            </w:r>
          </w:p>
        </w:tc>
        <w:tc>
          <w:tcPr>
            <w:tcW w:w="831" w:type="pct"/>
            <w:shd w:val="clear" w:color="auto" w:fill="auto"/>
            <w:vAlign w:val="center"/>
          </w:tcPr>
          <w:p>
            <w:pPr>
              <w:pStyle w:val="58"/>
              <w:rPr>
                <w:highlight w:val="none"/>
              </w:rPr>
            </w:pPr>
            <w:r>
              <w:rPr>
                <w:highlight w:val="none"/>
              </w:rPr>
              <w:t>供水方案</w:t>
            </w:r>
          </w:p>
        </w:tc>
        <w:tc>
          <w:tcPr>
            <w:tcW w:w="1579" w:type="pct"/>
            <w:shd w:val="clear" w:color="auto" w:fill="auto"/>
            <w:vAlign w:val="center"/>
          </w:tcPr>
          <w:p>
            <w:pPr>
              <w:pStyle w:val="58"/>
              <w:rPr>
                <w:highlight w:val="none"/>
              </w:rPr>
            </w:pPr>
            <w:r>
              <w:rPr>
                <w:highlight w:val="none"/>
              </w:rPr>
              <w:t>落实给水水源以及工业集中发展区生活用水供水方案</w:t>
            </w:r>
          </w:p>
        </w:tc>
        <w:tc>
          <w:tcPr>
            <w:tcW w:w="748" w:type="pct"/>
            <w:shd w:val="clear" w:color="auto" w:fill="auto"/>
            <w:vAlign w:val="center"/>
          </w:tcPr>
          <w:p>
            <w:pPr>
              <w:pStyle w:val="58"/>
              <w:rPr>
                <w:highlight w:val="none"/>
              </w:rPr>
            </w:pPr>
            <w:r>
              <w:rPr>
                <w:highlight w:val="none"/>
              </w:rPr>
              <w:t>当地自来水公司</w:t>
            </w:r>
          </w:p>
        </w:tc>
        <w:tc>
          <w:tcPr>
            <w:tcW w:w="1434" w:type="pct"/>
            <w:shd w:val="clear" w:color="auto" w:fill="auto"/>
            <w:vAlign w:val="center"/>
          </w:tcPr>
          <w:p>
            <w:pPr>
              <w:pStyle w:val="58"/>
              <w:rPr>
                <w:highlight w:val="none"/>
              </w:rPr>
            </w:pPr>
            <w:r>
              <w:rPr>
                <w:highlight w:val="none"/>
              </w:rPr>
              <w:t>对区域水资源供给影响如何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8" w:type="pct"/>
            <w:shd w:val="clear" w:color="auto" w:fill="auto"/>
            <w:vAlign w:val="center"/>
          </w:tcPr>
          <w:p>
            <w:pPr>
              <w:pStyle w:val="58"/>
              <w:rPr>
                <w:highlight w:val="none"/>
              </w:rPr>
            </w:pPr>
            <w:r>
              <w:rPr>
                <w:rFonts w:hint="eastAsia"/>
                <w:highlight w:val="none"/>
              </w:rPr>
              <w:t>3</w:t>
            </w:r>
          </w:p>
        </w:tc>
        <w:tc>
          <w:tcPr>
            <w:tcW w:w="831" w:type="pct"/>
            <w:shd w:val="clear" w:color="auto" w:fill="auto"/>
            <w:vAlign w:val="center"/>
          </w:tcPr>
          <w:p>
            <w:pPr>
              <w:pStyle w:val="58"/>
              <w:rPr>
                <w:highlight w:val="none"/>
              </w:rPr>
            </w:pPr>
            <w:r>
              <w:rPr>
                <w:highlight w:val="none"/>
              </w:rPr>
              <w:t>废水处理和管网系统建设</w:t>
            </w:r>
          </w:p>
        </w:tc>
        <w:tc>
          <w:tcPr>
            <w:tcW w:w="1579" w:type="pct"/>
            <w:shd w:val="clear" w:color="auto" w:fill="auto"/>
            <w:vAlign w:val="center"/>
          </w:tcPr>
          <w:p>
            <w:pPr>
              <w:pStyle w:val="58"/>
              <w:rPr>
                <w:highlight w:val="none"/>
              </w:rPr>
            </w:pPr>
            <w:r>
              <w:rPr>
                <w:rFonts w:hint="eastAsia"/>
                <w:highlight w:val="none"/>
              </w:rPr>
              <w:t>企业废水须经预处理满足达到相关行业标准或《污水排放综合标准》（GB8979-1996）三级标准（NH3-N、TN、TP和色度参照《污水排入城镇下水道水质标准》（GB/T31962-2015）表1中的B级标准限值）后进入污水处理厂集中处理</w:t>
            </w:r>
            <w:r>
              <w:rPr>
                <w:highlight w:val="none"/>
              </w:rPr>
              <w:t>；污水处理厂排水水质符合</w:t>
            </w:r>
            <w:r>
              <w:rPr>
                <w:rFonts w:hint="eastAsia"/>
                <w:highlight w:val="none"/>
              </w:rPr>
              <w:t>《城镇污水处理厂污染物排放标准》（GB18918-2002）一级A标</w:t>
            </w:r>
            <w:r>
              <w:rPr>
                <w:highlight w:val="none"/>
              </w:rPr>
              <w:t>，并安装</w:t>
            </w:r>
            <w:r>
              <w:rPr>
                <w:rFonts w:hint="eastAsia"/>
                <w:highlight w:val="none"/>
              </w:rPr>
              <w:t>p</w:t>
            </w:r>
            <w:r>
              <w:rPr>
                <w:highlight w:val="none"/>
              </w:rPr>
              <w:t>H</w:t>
            </w:r>
            <w:r>
              <w:rPr>
                <w:rFonts w:hint="eastAsia"/>
                <w:highlight w:val="none"/>
              </w:rPr>
              <w:t>、</w:t>
            </w:r>
            <w:r>
              <w:rPr>
                <w:highlight w:val="none"/>
              </w:rPr>
              <w:t>COD</w:t>
            </w:r>
            <w:r>
              <w:rPr>
                <w:rFonts w:hint="eastAsia"/>
                <w:highlight w:val="none"/>
              </w:rPr>
              <w:t>、氨氮</w:t>
            </w:r>
            <w:r>
              <w:rPr>
                <w:highlight w:val="none"/>
              </w:rPr>
              <w:t>和</w:t>
            </w:r>
            <w:r>
              <w:rPr>
                <w:rFonts w:hint="eastAsia"/>
                <w:highlight w:val="none"/>
              </w:rPr>
              <w:t>总磷</w:t>
            </w:r>
            <w:r>
              <w:rPr>
                <w:highlight w:val="none"/>
              </w:rPr>
              <w:t>在线监测仪</w:t>
            </w:r>
            <w:r>
              <w:rPr>
                <w:rFonts w:hint="eastAsia"/>
                <w:highlight w:val="none"/>
              </w:rPr>
              <w:t>。</w:t>
            </w:r>
          </w:p>
        </w:tc>
        <w:tc>
          <w:tcPr>
            <w:tcW w:w="748" w:type="pct"/>
            <w:shd w:val="clear" w:color="auto" w:fill="auto"/>
            <w:vAlign w:val="center"/>
          </w:tcPr>
          <w:p>
            <w:pPr>
              <w:pStyle w:val="58"/>
              <w:rPr>
                <w:highlight w:val="none"/>
              </w:rPr>
            </w:pPr>
            <w:r>
              <w:rPr>
                <w:highlight w:val="none"/>
              </w:rPr>
              <w:t>设计、施工部门、项目业主</w:t>
            </w:r>
          </w:p>
        </w:tc>
        <w:tc>
          <w:tcPr>
            <w:tcW w:w="1434" w:type="pct"/>
            <w:shd w:val="clear" w:color="auto" w:fill="auto"/>
            <w:vAlign w:val="center"/>
          </w:tcPr>
          <w:p>
            <w:pPr>
              <w:pStyle w:val="58"/>
              <w:rPr>
                <w:highlight w:val="none"/>
              </w:rPr>
            </w:pPr>
            <w:r>
              <w:rPr>
                <w:highlight w:val="none"/>
              </w:rPr>
              <w:t>环保措施的实施情况，外排废水对</w:t>
            </w:r>
            <w:r>
              <w:rPr>
                <w:rFonts w:hint="eastAsia"/>
                <w:highlight w:val="none"/>
              </w:rPr>
              <w:t>地表水</w:t>
            </w:r>
            <w:r>
              <w:rPr>
                <w:highlight w:val="none"/>
              </w:rPr>
              <w:t>水质影响程度如何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8" w:type="pct"/>
            <w:shd w:val="clear" w:color="auto" w:fill="auto"/>
            <w:vAlign w:val="center"/>
          </w:tcPr>
          <w:p>
            <w:pPr>
              <w:pStyle w:val="58"/>
              <w:rPr>
                <w:highlight w:val="none"/>
              </w:rPr>
            </w:pPr>
            <w:r>
              <w:rPr>
                <w:rFonts w:hint="eastAsia"/>
                <w:highlight w:val="none"/>
              </w:rPr>
              <w:t>4</w:t>
            </w:r>
          </w:p>
        </w:tc>
        <w:tc>
          <w:tcPr>
            <w:tcW w:w="831" w:type="pct"/>
            <w:shd w:val="clear" w:color="auto" w:fill="auto"/>
            <w:vAlign w:val="center"/>
          </w:tcPr>
          <w:p>
            <w:pPr>
              <w:pStyle w:val="58"/>
              <w:rPr>
                <w:highlight w:val="none"/>
              </w:rPr>
            </w:pPr>
            <w:r>
              <w:rPr>
                <w:highlight w:val="none"/>
              </w:rPr>
              <w:t>防渗措施</w:t>
            </w:r>
          </w:p>
        </w:tc>
        <w:tc>
          <w:tcPr>
            <w:tcW w:w="1579" w:type="pct"/>
            <w:shd w:val="clear" w:color="auto" w:fill="auto"/>
            <w:vAlign w:val="center"/>
          </w:tcPr>
          <w:p>
            <w:pPr>
              <w:pStyle w:val="58"/>
              <w:rPr>
                <w:highlight w:val="none"/>
              </w:rPr>
            </w:pPr>
            <w:r>
              <w:rPr>
                <w:rFonts w:hint="eastAsia"/>
                <w:highlight w:val="none"/>
              </w:rPr>
              <w:t>园区采取严格的防渗措施，对各企业车间地面、污水处理设施、物料储存区均做严格防渗处理。</w:t>
            </w:r>
          </w:p>
        </w:tc>
        <w:tc>
          <w:tcPr>
            <w:tcW w:w="748" w:type="pct"/>
            <w:shd w:val="clear" w:color="auto" w:fill="auto"/>
            <w:vAlign w:val="center"/>
          </w:tcPr>
          <w:p>
            <w:pPr>
              <w:pStyle w:val="58"/>
              <w:rPr>
                <w:highlight w:val="none"/>
              </w:rPr>
            </w:pPr>
            <w:r>
              <w:rPr>
                <w:highlight w:val="none"/>
              </w:rPr>
              <w:t>各生产企业、设计、施工部门</w:t>
            </w:r>
          </w:p>
        </w:tc>
        <w:tc>
          <w:tcPr>
            <w:tcW w:w="1434" w:type="pct"/>
            <w:shd w:val="clear" w:color="auto" w:fill="auto"/>
            <w:vAlign w:val="center"/>
          </w:tcPr>
          <w:p>
            <w:pPr>
              <w:pStyle w:val="58"/>
              <w:rPr>
                <w:highlight w:val="none"/>
              </w:rPr>
            </w:pPr>
            <w:r>
              <w:rPr>
                <w:highlight w:val="none"/>
              </w:rPr>
              <w:t>是否污染了地下水，对地下水影响程度如何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8" w:type="pct"/>
            <w:shd w:val="clear" w:color="auto" w:fill="auto"/>
            <w:vAlign w:val="center"/>
          </w:tcPr>
          <w:p>
            <w:pPr>
              <w:pStyle w:val="58"/>
              <w:rPr>
                <w:highlight w:val="none"/>
              </w:rPr>
            </w:pPr>
            <w:r>
              <w:rPr>
                <w:rFonts w:hint="eastAsia"/>
                <w:highlight w:val="none"/>
              </w:rPr>
              <w:t>5</w:t>
            </w:r>
          </w:p>
        </w:tc>
        <w:tc>
          <w:tcPr>
            <w:tcW w:w="831" w:type="pct"/>
            <w:shd w:val="clear" w:color="auto" w:fill="auto"/>
            <w:vAlign w:val="center"/>
          </w:tcPr>
          <w:p>
            <w:pPr>
              <w:pStyle w:val="58"/>
              <w:rPr>
                <w:highlight w:val="none"/>
              </w:rPr>
            </w:pPr>
            <w:r>
              <w:rPr>
                <w:highlight w:val="none"/>
              </w:rPr>
              <w:t>绿化及隔离带建设工程</w:t>
            </w:r>
          </w:p>
        </w:tc>
        <w:tc>
          <w:tcPr>
            <w:tcW w:w="1579" w:type="pct"/>
            <w:shd w:val="clear" w:color="auto" w:fill="auto"/>
            <w:vAlign w:val="center"/>
          </w:tcPr>
          <w:p>
            <w:pPr>
              <w:pStyle w:val="58"/>
              <w:rPr>
                <w:highlight w:val="none"/>
              </w:rPr>
            </w:pPr>
            <w:r>
              <w:rPr>
                <w:highlight w:val="none"/>
              </w:rPr>
              <w:t>各企业内部提高厂区绿化率，实施绿化美化工程；</w:t>
            </w:r>
            <w:r>
              <w:rPr>
                <w:rFonts w:hint="eastAsia"/>
                <w:highlight w:val="none"/>
              </w:rPr>
              <w:t>园区周边设置绿化带，同时加强规划区内的景观、绿化和公共绿地建设。</w:t>
            </w:r>
          </w:p>
        </w:tc>
        <w:tc>
          <w:tcPr>
            <w:tcW w:w="748" w:type="pct"/>
            <w:shd w:val="clear" w:color="auto" w:fill="auto"/>
            <w:vAlign w:val="center"/>
          </w:tcPr>
          <w:p>
            <w:pPr>
              <w:pStyle w:val="58"/>
              <w:rPr>
                <w:highlight w:val="none"/>
              </w:rPr>
            </w:pPr>
            <w:r>
              <w:rPr>
                <w:highlight w:val="none"/>
              </w:rPr>
              <w:t>各生产企业、</w:t>
            </w:r>
            <w:r>
              <w:rPr>
                <w:rFonts w:hint="eastAsia"/>
                <w:highlight w:val="none"/>
              </w:rPr>
              <w:t>苍溪县自然资源</w:t>
            </w:r>
            <w:r>
              <w:rPr>
                <w:highlight w:val="none"/>
              </w:rPr>
              <w:t>局</w:t>
            </w:r>
          </w:p>
        </w:tc>
        <w:tc>
          <w:tcPr>
            <w:tcW w:w="1434" w:type="pct"/>
            <w:shd w:val="clear" w:color="auto" w:fill="auto"/>
            <w:vAlign w:val="center"/>
          </w:tcPr>
          <w:p>
            <w:pPr>
              <w:pStyle w:val="58"/>
              <w:rPr>
                <w:highlight w:val="none"/>
              </w:rPr>
            </w:pPr>
            <w:r>
              <w:rPr>
                <w:highlight w:val="none"/>
              </w:rPr>
              <w:t>对区域生态系统影响如何，对周围居民敏感点影响是否较轻，隔离带设置是否合理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8" w:type="pct"/>
            <w:shd w:val="clear" w:color="auto" w:fill="auto"/>
            <w:vAlign w:val="center"/>
          </w:tcPr>
          <w:p>
            <w:pPr>
              <w:pStyle w:val="58"/>
              <w:rPr>
                <w:highlight w:val="none"/>
              </w:rPr>
            </w:pPr>
            <w:r>
              <w:rPr>
                <w:rFonts w:hint="eastAsia"/>
                <w:highlight w:val="none"/>
              </w:rPr>
              <w:t>6</w:t>
            </w:r>
          </w:p>
        </w:tc>
        <w:tc>
          <w:tcPr>
            <w:tcW w:w="831" w:type="pct"/>
            <w:shd w:val="clear" w:color="auto" w:fill="auto"/>
            <w:vAlign w:val="center"/>
          </w:tcPr>
          <w:p>
            <w:pPr>
              <w:pStyle w:val="58"/>
              <w:rPr>
                <w:highlight w:val="none"/>
              </w:rPr>
            </w:pPr>
            <w:r>
              <w:rPr>
                <w:rFonts w:hint="eastAsia"/>
                <w:highlight w:val="none"/>
              </w:rPr>
              <w:t>搬迁安置工程</w:t>
            </w:r>
          </w:p>
        </w:tc>
        <w:tc>
          <w:tcPr>
            <w:tcW w:w="1579" w:type="pct"/>
            <w:shd w:val="clear" w:color="auto" w:fill="auto"/>
            <w:vAlign w:val="center"/>
          </w:tcPr>
          <w:p>
            <w:pPr>
              <w:pStyle w:val="58"/>
              <w:rPr>
                <w:highlight w:val="none"/>
              </w:rPr>
            </w:pPr>
            <w:r>
              <w:rPr>
                <w:rFonts w:hint="eastAsia"/>
                <w:highlight w:val="none"/>
              </w:rPr>
              <w:t>规划涉及的搬迁安置居民，做好搬迁安置工作。</w:t>
            </w:r>
          </w:p>
        </w:tc>
        <w:tc>
          <w:tcPr>
            <w:tcW w:w="748" w:type="pct"/>
            <w:shd w:val="clear" w:color="auto" w:fill="auto"/>
            <w:vAlign w:val="center"/>
          </w:tcPr>
          <w:p>
            <w:pPr>
              <w:pStyle w:val="58"/>
              <w:rPr>
                <w:highlight w:val="none"/>
              </w:rPr>
            </w:pPr>
            <w:r>
              <w:rPr>
                <w:rFonts w:hint="eastAsia"/>
                <w:highlight w:val="none"/>
              </w:rPr>
              <w:t>苍溪县人民政府</w:t>
            </w:r>
          </w:p>
        </w:tc>
        <w:tc>
          <w:tcPr>
            <w:tcW w:w="1434" w:type="pct"/>
            <w:shd w:val="clear" w:color="auto" w:fill="auto"/>
            <w:vAlign w:val="center"/>
          </w:tcPr>
          <w:p>
            <w:pPr>
              <w:pStyle w:val="58"/>
              <w:rPr>
                <w:highlight w:val="none"/>
              </w:rPr>
            </w:pPr>
            <w:r>
              <w:rPr>
                <w:rFonts w:hint="eastAsia"/>
                <w:highlight w:val="none"/>
              </w:rPr>
              <w:t>是否对居民生活产生较大的影响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8" w:type="pct"/>
            <w:shd w:val="clear" w:color="auto" w:fill="auto"/>
            <w:vAlign w:val="center"/>
          </w:tcPr>
          <w:p>
            <w:pPr>
              <w:pStyle w:val="58"/>
              <w:rPr>
                <w:highlight w:val="none"/>
              </w:rPr>
            </w:pPr>
            <w:r>
              <w:rPr>
                <w:highlight w:val="none"/>
              </w:rPr>
              <w:t>7</w:t>
            </w:r>
          </w:p>
        </w:tc>
        <w:tc>
          <w:tcPr>
            <w:tcW w:w="831" w:type="pct"/>
            <w:shd w:val="clear" w:color="auto" w:fill="auto"/>
            <w:vAlign w:val="center"/>
          </w:tcPr>
          <w:p>
            <w:pPr>
              <w:pStyle w:val="58"/>
              <w:rPr>
                <w:highlight w:val="none"/>
              </w:rPr>
            </w:pPr>
            <w:r>
              <w:rPr>
                <w:highlight w:val="none"/>
              </w:rPr>
              <w:t>入园企业</w:t>
            </w:r>
            <w:r>
              <w:rPr>
                <w:rFonts w:hint="eastAsia"/>
                <w:highlight w:val="none"/>
              </w:rPr>
              <w:t>环境影响</w:t>
            </w:r>
          </w:p>
        </w:tc>
        <w:tc>
          <w:tcPr>
            <w:tcW w:w="1579" w:type="pct"/>
            <w:shd w:val="clear" w:color="auto" w:fill="auto"/>
            <w:vAlign w:val="center"/>
          </w:tcPr>
          <w:p>
            <w:pPr>
              <w:pStyle w:val="58"/>
              <w:rPr>
                <w:highlight w:val="none"/>
              </w:rPr>
            </w:pPr>
            <w:r>
              <w:rPr>
                <w:highlight w:val="none"/>
              </w:rPr>
              <w:t>切实落实入园企业条件，严禁生产设备、生产技术落后、污染严重与</w:t>
            </w:r>
            <w:r>
              <w:rPr>
                <w:rFonts w:hint="eastAsia"/>
                <w:highlight w:val="none"/>
              </w:rPr>
              <w:t>园区</w:t>
            </w:r>
            <w:r>
              <w:rPr>
                <w:highlight w:val="none"/>
              </w:rPr>
              <w:t>循环经济无关的企业入区</w:t>
            </w:r>
          </w:p>
        </w:tc>
        <w:tc>
          <w:tcPr>
            <w:tcW w:w="748" w:type="pct"/>
            <w:shd w:val="clear" w:color="auto" w:fill="auto"/>
            <w:vAlign w:val="center"/>
          </w:tcPr>
          <w:p>
            <w:pPr>
              <w:pStyle w:val="58"/>
              <w:rPr>
                <w:highlight w:val="none"/>
              </w:rPr>
            </w:pPr>
            <w:r>
              <w:rPr>
                <w:rFonts w:hint="eastAsia"/>
                <w:highlight w:val="none"/>
              </w:rPr>
              <w:t>苍溪县人民政府</w:t>
            </w:r>
            <w:r>
              <w:rPr>
                <w:highlight w:val="none"/>
              </w:rPr>
              <w:t>、</w:t>
            </w:r>
            <w:r>
              <w:rPr>
                <w:rFonts w:hint="eastAsia"/>
                <w:highlight w:val="none"/>
              </w:rPr>
              <w:t>苍溪县生态环境</w:t>
            </w:r>
            <w:r>
              <w:rPr>
                <w:highlight w:val="none"/>
              </w:rPr>
              <w:t>局</w:t>
            </w:r>
          </w:p>
        </w:tc>
        <w:tc>
          <w:tcPr>
            <w:tcW w:w="1434" w:type="pct"/>
            <w:shd w:val="clear" w:color="auto" w:fill="auto"/>
            <w:vAlign w:val="center"/>
          </w:tcPr>
          <w:p>
            <w:pPr>
              <w:pStyle w:val="58"/>
              <w:rPr>
                <w:highlight w:val="none"/>
              </w:rPr>
            </w:pPr>
            <w:r>
              <w:rPr>
                <w:highlight w:val="none"/>
              </w:rPr>
              <w:t>按照进</w:t>
            </w:r>
            <w:r>
              <w:rPr>
                <w:rFonts w:hint="eastAsia"/>
                <w:highlight w:val="none"/>
              </w:rPr>
              <w:t>园</w:t>
            </w:r>
            <w:r>
              <w:rPr>
                <w:highlight w:val="none"/>
              </w:rPr>
              <w:t>企业条件实施后，是否对</w:t>
            </w:r>
            <w:r>
              <w:rPr>
                <w:rFonts w:hint="eastAsia"/>
                <w:highlight w:val="none"/>
              </w:rPr>
              <w:t>园区</w:t>
            </w:r>
            <w:r>
              <w:rPr>
                <w:highlight w:val="none"/>
              </w:rPr>
              <w:t>的循环经济有利，是否对环境影响较轻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8" w:type="pct"/>
            <w:shd w:val="clear" w:color="auto" w:fill="auto"/>
            <w:vAlign w:val="center"/>
          </w:tcPr>
          <w:p>
            <w:pPr>
              <w:pStyle w:val="58"/>
              <w:rPr>
                <w:highlight w:val="none"/>
              </w:rPr>
            </w:pPr>
            <w:r>
              <w:rPr>
                <w:rFonts w:hint="eastAsia"/>
                <w:highlight w:val="none"/>
              </w:rPr>
              <w:t>8</w:t>
            </w:r>
          </w:p>
        </w:tc>
        <w:tc>
          <w:tcPr>
            <w:tcW w:w="831" w:type="pct"/>
            <w:shd w:val="clear" w:color="auto" w:fill="auto"/>
            <w:vAlign w:val="center"/>
          </w:tcPr>
          <w:p>
            <w:pPr>
              <w:pStyle w:val="58"/>
              <w:rPr>
                <w:highlight w:val="none"/>
              </w:rPr>
            </w:pPr>
            <w:r>
              <w:rPr>
                <w:highlight w:val="none"/>
              </w:rPr>
              <w:t>环境管理与监测</w:t>
            </w:r>
          </w:p>
        </w:tc>
        <w:tc>
          <w:tcPr>
            <w:tcW w:w="1579" w:type="pct"/>
            <w:shd w:val="clear" w:color="auto" w:fill="auto"/>
            <w:vAlign w:val="center"/>
          </w:tcPr>
          <w:p>
            <w:pPr>
              <w:pStyle w:val="58"/>
              <w:rPr>
                <w:highlight w:val="none"/>
              </w:rPr>
            </w:pPr>
            <w:r>
              <w:rPr>
                <w:highlight w:val="none"/>
              </w:rPr>
              <w:t>建立配套的</w:t>
            </w:r>
            <w:r>
              <w:rPr>
                <w:rFonts w:hint="eastAsia"/>
                <w:highlight w:val="none"/>
              </w:rPr>
              <w:t>园区</w:t>
            </w:r>
            <w:r>
              <w:rPr>
                <w:highlight w:val="none"/>
              </w:rPr>
              <w:t>环境管理部门，引进有较高素质的技术人才与管理人才，进行岗位素质与环保培训，配备和完善环境监测设备及功能</w:t>
            </w:r>
          </w:p>
        </w:tc>
        <w:tc>
          <w:tcPr>
            <w:tcW w:w="748" w:type="pct"/>
            <w:shd w:val="clear" w:color="auto" w:fill="auto"/>
            <w:vAlign w:val="center"/>
          </w:tcPr>
          <w:p>
            <w:pPr>
              <w:pStyle w:val="58"/>
              <w:rPr>
                <w:highlight w:val="none"/>
              </w:rPr>
            </w:pPr>
            <w:r>
              <w:rPr>
                <w:rFonts w:hint="eastAsia"/>
                <w:highlight w:val="none"/>
              </w:rPr>
              <w:t>园区管理部门</w:t>
            </w:r>
          </w:p>
        </w:tc>
        <w:tc>
          <w:tcPr>
            <w:tcW w:w="1434" w:type="pct"/>
            <w:shd w:val="clear" w:color="auto" w:fill="auto"/>
            <w:vAlign w:val="center"/>
          </w:tcPr>
          <w:p>
            <w:pPr>
              <w:pStyle w:val="58"/>
              <w:rPr>
                <w:highlight w:val="none"/>
              </w:rPr>
            </w:pPr>
            <w:r>
              <w:rPr>
                <w:highlight w:val="none"/>
              </w:rPr>
              <w:t>是否能够满足</w:t>
            </w:r>
            <w:r>
              <w:rPr>
                <w:rFonts w:hint="eastAsia"/>
                <w:highlight w:val="none"/>
              </w:rPr>
              <w:t>园区环境管理和</w:t>
            </w:r>
            <w:r>
              <w:rPr>
                <w:highlight w:val="none"/>
              </w:rPr>
              <w:t>环境监测的要求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8" w:type="pct"/>
            <w:shd w:val="clear" w:color="auto" w:fill="auto"/>
            <w:vAlign w:val="center"/>
          </w:tcPr>
          <w:p>
            <w:pPr>
              <w:pStyle w:val="58"/>
              <w:rPr>
                <w:highlight w:val="none"/>
              </w:rPr>
            </w:pPr>
            <w:r>
              <w:rPr>
                <w:rFonts w:hint="eastAsia"/>
                <w:highlight w:val="none"/>
              </w:rPr>
              <w:t>9</w:t>
            </w:r>
          </w:p>
        </w:tc>
        <w:tc>
          <w:tcPr>
            <w:tcW w:w="831" w:type="pct"/>
            <w:shd w:val="clear" w:color="auto" w:fill="auto"/>
            <w:vAlign w:val="center"/>
          </w:tcPr>
          <w:p>
            <w:pPr>
              <w:pStyle w:val="58"/>
              <w:rPr>
                <w:highlight w:val="none"/>
              </w:rPr>
            </w:pPr>
            <w:r>
              <w:rPr>
                <w:highlight w:val="none"/>
              </w:rPr>
              <w:t>环境质量状况</w:t>
            </w:r>
          </w:p>
        </w:tc>
        <w:tc>
          <w:tcPr>
            <w:tcW w:w="1579" w:type="pct"/>
            <w:shd w:val="clear" w:color="auto" w:fill="auto"/>
            <w:vAlign w:val="center"/>
          </w:tcPr>
          <w:p>
            <w:pPr>
              <w:pStyle w:val="58"/>
              <w:rPr>
                <w:highlight w:val="none"/>
              </w:rPr>
            </w:pPr>
            <w:r>
              <w:rPr>
                <w:highlight w:val="none"/>
              </w:rPr>
              <w:t>对区域大气、地表水、地下水、声环境进行常规监测，发现超标现象查找原因，并进行整治</w:t>
            </w:r>
          </w:p>
        </w:tc>
        <w:tc>
          <w:tcPr>
            <w:tcW w:w="748" w:type="pct"/>
            <w:shd w:val="clear" w:color="auto" w:fill="auto"/>
            <w:vAlign w:val="center"/>
          </w:tcPr>
          <w:p>
            <w:pPr>
              <w:pStyle w:val="58"/>
              <w:rPr>
                <w:highlight w:val="none"/>
              </w:rPr>
            </w:pPr>
            <w:r>
              <w:rPr>
                <w:rFonts w:hint="eastAsia"/>
                <w:highlight w:val="none"/>
              </w:rPr>
              <w:t>苍溪县生态环境</w:t>
            </w:r>
            <w:r>
              <w:rPr>
                <w:highlight w:val="none"/>
              </w:rPr>
              <w:t>局</w:t>
            </w:r>
            <w:r>
              <w:rPr>
                <w:rFonts w:hint="eastAsia"/>
                <w:highlight w:val="none"/>
              </w:rPr>
              <w:t>、园区管理部门</w:t>
            </w:r>
          </w:p>
        </w:tc>
        <w:tc>
          <w:tcPr>
            <w:tcW w:w="1434" w:type="pct"/>
            <w:shd w:val="clear" w:color="auto" w:fill="auto"/>
            <w:vAlign w:val="center"/>
          </w:tcPr>
          <w:p>
            <w:pPr>
              <w:pStyle w:val="58"/>
              <w:rPr>
                <w:highlight w:val="none"/>
              </w:rPr>
            </w:pPr>
            <w:r>
              <w:rPr>
                <w:highlight w:val="none"/>
              </w:rPr>
              <w:t>环境质量预测是否与实际情况相吻合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8" w:type="pct"/>
            <w:shd w:val="clear" w:color="auto" w:fill="auto"/>
            <w:vAlign w:val="center"/>
          </w:tcPr>
          <w:p>
            <w:pPr>
              <w:pStyle w:val="58"/>
              <w:rPr>
                <w:highlight w:val="none"/>
              </w:rPr>
            </w:pPr>
            <w:r>
              <w:rPr>
                <w:highlight w:val="none"/>
              </w:rPr>
              <w:t>1</w:t>
            </w:r>
            <w:r>
              <w:rPr>
                <w:rFonts w:hint="eastAsia"/>
                <w:highlight w:val="none"/>
              </w:rPr>
              <w:t>0</w:t>
            </w:r>
          </w:p>
        </w:tc>
        <w:tc>
          <w:tcPr>
            <w:tcW w:w="831" w:type="pct"/>
            <w:shd w:val="clear" w:color="auto" w:fill="auto"/>
            <w:vAlign w:val="center"/>
          </w:tcPr>
          <w:p>
            <w:pPr>
              <w:pStyle w:val="58"/>
              <w:rPr>
                <w:highlight w:val="none"/>
              </w:rPr>
            </w:pPr>
            <w:r>
              <w:rPr>
                <w:highlight w:val="none"/>
              </w:rPr>
              <w:t>污染源治理</w:t>
            </w:r>
          </w:p>
        </w:tc>
        <w:tc>
          <w:tcPr>
            <w:tcW w:w="1579" w:type="pct"/>
            <w:shd w:val="clear" w:color="auto" w:fill="auto"/>
            <w:vAlign w:val="center"/>
          </w:tcPr>
          <w:p>
            <w:pPr>
              <w:pStyle w:val="58"/>
              <w:rPr>
                <w:highlight w:val="none"/>
              </w:rPr>
            </w:pPr>
            <w:r>
              <w:rPr>
                <w:highlight w:val="none"/>
              </w:rPr>
              <w:t>对各建设项目环评提出的污染源治理措施的落实情况进行跟踪评价，未落实的提出整改要求</w:t>
            </w:r>
          </w:p>
        </w:tc>
        <w:tc>
          <w:tcPr>
            <w:tcW w:w="748" w:type="pct"/>
            <w:shd w:val="clear" w:color="auto" w:fill="auto"/>
            <w:vAlign w:val="center"/>
          </w:tcPr>
          <w:p>
            <w:pPr>
              <w:pStyle w:val="58"/>
              <w:rPr>
                <w:highlight w:val="none"/>
              </w:rPr>
            </w:pPr>
            <w:r>
              <w:rPr>
                <w:rFonts w:hint="eastAsia"/>
                <w:highlight w:val="none"/>
              </w:rPr>
              <w:t>苍溪县人民政府、苍溪县生态环境</w:t>
            </w:r>
            <w:r>
              <w:rPr>
                <w:highlight w:val="none"/>
              </w:rPr>
              <w:t>局</w:t>
            </w:r>
          </w:p>
        </w:tc>
        <w:tc>
          <w:tcPr>
            <w:tcW w:w="1434" w:type="pct"/>
            <w:shd w:val="clear" w:color="auto" w:fill="auto"/>
            <w:vAlign w:val="center"/>
          </w:tcPr>
          <w:p>
            <w:pPr>
              <w:pStyle w:val="58"/>
              <w:rPr>
                <w:highlight w:val="none"/>
              </w:rPr>
            </w:pPr>
            <w:r>
              <w:rPr>
                <w:highlight w:val="none"/>
              </w:rPr>
              <w:t>提出的环保措施是否能够满足环保要求，是否有更先进的治理措施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8" w:type="pct"/>
            <w:vMerge w:val="restart"/>
            <w:shd w:val="clear" w:color="auto" w:fill="auto"/>
            <w:vAlign w:val="center"/>
          </w:tcPr>
          <w:p>
            <w:pPr>
              <w:pStyle w:val="58"/>
              <w:rPr>
                <w:highlight w:val="none"/>
              </w:rPr>
            </w:pPr>
            <w:r>
              <w:rPr>
                <w:highlight w:val="none"/>
              </w:rPr>
              <w:t>1</w:t>
            </w:r>
            <w:r>
              <w:rPr>
                <w:rFonts w:hint="eastAsia"/>
                <w:highlight w:val="none"/>
              </w:rPr>
              <w:t>1</w:t>
            </w:r>
          </w:p>
        </w:tc>
        <w:tc>
          <w:tcPr>
            <w:tcW w:w="831" w:type="pct"/>
            <w:vMerge w:val="restart"/>
            <w:shd w:val="clear" w:color="auto" w:fill="auto"/>
            <w:vAlign w:val="center"/>
          </w:tcPr>
          <w:p>
            <w:pPr>
              <w:pStyle w:val="58"/>
              <w:rPr>
                <w:highlight w:val="none"/>
              </w:rPr>
            </w:pPr>
            <w:r>
              <w:rPr>
                <w:highlight w:val="none"/>
              </w:rPr>
              <w:t>建设项目管理</w:t>
            </w:r>
          </w:p>
        </w:tc>
        <w:tc>
          <w:tcPr>
            <w:tcW w:w="1579" w:type="pct"/>
            <w:shd w:val="clear" w:color="auto" w:fill="auto"/>
            <w:vAlign w:val="center"/>
          </w:tcPr>
          <w:p>
            <w:pPr>
              <w:pStyle w:val="58"/>
              <w:rPr>
                <w:highlight w:val="none"/>
              </w:rPr>
            </w:pPr>
            <w:r>
              <w:rPr>
                <w:highlight w:val="none"/>
              </w:rPr>
              <w:t>核实入区项目的产业定位和生产类型</w:t>
            </w:r>
          </w:p>
        </w:tc>
        <w:tc>
          <w:tcPr>
            <w:tcW w:w="748" w:type="pct"/>
            <w:shd w:val="clear" w:color="auto" w:fill="auto"/>
            <w:vAlign w:val="center"/>
          </w:tcPr>
          <w:p>
            <w:pPr>
              <w:pStyle w:val="58"/>
              <w:rPr>
                <w:highlight w:val="none"/>
              </w:rPr>
            </w:pPr>
            <w:r>
              <w:rPr>
                <w:rFonts w:hint="eastAsia"/>
                <w:highlight w:val="none"/>
              </w:rPr>
              <w:t>苍溪县</w:t>
            </w:r>
            <w:r>
              <w:rPr>
                <w:highlight w:val="none"/>
              </w:rPr>
              <w:t>发改局</w:t>
            </w:r>
            <w:r>
              <w:rPr>
                <w:rFonts w:hint="eastAsia"/>
                <w:highlight w:val="none"/>
              </w:rPr>
              <w:t>、经信局</w:t>
            </w:r>
          </w:p>
        </w:tc>
        <w:tc>
          <w:tcPr>
            <w:tcW w:w="1434" w:type="pct"/>
            <w:shd w:val="clear" w:color="auto" w:fill="auto"/>
            <w:vAlign w:val="center"/>
          </w:tcPr>
          <w:p>
            <w:pPr>
              <w:pStyle w:val="58"/>
              <w:rPr>
                <w:highlight w:val="none"/>
              </w:rPr>
            </w:pPr>
            <w:r>
              <w:rPr>
                <w:highlight w:val="none"/>
              </w:rPr>
              <w:t>拟引进项目是否与本工业集中发展区产业定位相符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8" w:type="pct"/>
            <w:vMerge w:val="continue"/>
            <w:shd w:val="clear" w:color="auto" w:fill="auto"/>
            <w:vAlign w:val="center"/>
          </w:tcPr>
          <w:p>
            <w:pPr>
              <w:pStyle w:val="58"/>
              <w:rPr>
                <w:highlight w:val="none"/>
              </w:rPr>
            </w:pPr>
          </w:p>
        </w:tc>
        <w:tc>
          <w:tcPr>
            <w:tcW w:w="831" w:type="pct"/>
            <w:vMerge w:val="continue"/>
            <w:shd w:val="clear" w:color="auto" w:fill="auto"/>
            <w:vAlign w:val="center"/>
          </w:tcPr>
          <w:p>
            <w:pPr>
              <w:pStyle w:val="58"/>
              <w:rPr>
                <w:highlight w:val="none"/>
              </w:rPr>
            </w:pPr>
          </w:p>
        </w:tc>
        <w:tc>
          <w:tcPr>
            <w:tcW w:w="1579" w:type="pct"/>
            <w:shd w:val="clear" w:color="auto" w:fill="auto"/>
            <w:vAlign w:val="center"/>
          </w:tcPr>
          <w:p>
            <w:pPr>
              <w:pStyle w:val="58"/>
              <w:rPr>
                <w:highlight w:val="none"/>
              </w:rPr>
            </w:pPr>
            <w:r>
              <w:rPr>
                <w:highlight w:val="none"/>
              </w:rPr>
              <w:t>入区项目必须单独进行环评、报批、</w:t>
            </w:r>
            <w:r>
              <w:rPr>
                <w:rFonts w:hint="eastAsia"/>
                <w:highlight w:val="none"/>
              </w:rPr>
              <w:t>排污许可、</w:t>
            </w:r>
            <w:r>
              <w:rPr>
                <w:highlight w:val="none"/>
              </w:rPr>
              <w:t>验收</w:t>
            </w:r>
          </w:p>
        </w:tc>
        <w:tc>
          <w:tcPr>
            <w:tcW w:w="748" w:type="pct"/>
            <w:shd w:val="clear" w:color="auto" w:fill="auto"/>
            <w:vAlign w:val="center"/>
          </w:tcPr>
          <w:p>
            <w:pPr>
              <w:pStyle w:val="58"/>
              <w:rPr>
                <w:highlight w:val="none"/>
              </w:rPr>
            </w:pPr>
            <w:r>
              <w:rPr>
                <w:highlight w:val="none"/>
              </w:rPr>
              <w:t>项目业主、</w:t>
            </w:r>
            <w:r>
              <w:rPr>
                <w:rFonts w:hint="eastAsia"/>
                <w:highlight w:val="none"/>
              </w:rPr>
              <w:t>苍溪县生态环境</w:t>
            </w:r>
            <w:r>
              <w:rPr>
                <w:highlight w:val="none"/>
              </w:rPr>
              <w:t>局</w:t>
            </w:r>
          </w:p>
        </w:tc>
        <w:tc>
          <w:tcPr>
            <w:tcW w:w="1434" w:type="pct"/>
            <w:shd w:val="clear" w:color="auto" w:fill="auto"/>
            <w:vAlign w:val="center"/>
          </w:tcPr>
          <w:p>
            <w:pPr>
              <w:pStyle w:val="58"/>
              <w:rPr>
                <w:highlight w:val="none"/>
              </w:rPr>
            </w:pPr>
            <w:r>
              <w:rPr>
                <w:highlight w:val="none"/>
              </w:rPr>
              <w:t>项目环评采取的环保措施、环境影响预测及结论是否与本规划环评结论一致</w:t>
            </w:r>
          </w:p>
        </w:tc>
      </w:tr>
    </w:tbl>
    <w:p>
      <w:pPr>
        <w:pStyle w:val="58"/>
        <w:rPr>
          <w:highlight w:val="none"/>
        </w:rPr>
      </w:pPr>
    </w:p>
    <w:p>
      <w:pPr>
        <w:keepNext/>
        <w:keepLines/>
        <w:widowControl w:val="0"/>
        <w:numPr>
          <w:ilvl w:val="2"/>
          <w:numId w:val="9"/>
        </w:numPr>
        <w:spacing w:line="480" w:lineRule="auto"/>
        <w:ind w:left="720" w:hanging="720" w:firstLineChars="0"/>
        <w:jc w:val="both"/>
        <w:outlineLvl w:val="2"/>
        <w:rPr>
          <w:rFonts w:ascii="Times New Roman" w:hAnsi="Times New Roman" w:eastAsia="黑体" w:cs="宋体"/>
          <w:bCs/>
          <w:color w:val="7030A0"/>
          <w:kern w:val="0"/>
          <w:sz w:val="28"/>
          <w:szCs w:val="24"/>
          <w:highlight w:val="none"/>
          <w:lang w:val="en-US" w:eastAsia="zh-CN" w:bidi="ar-SA"/>
        </w:rPr>
      </w:pPr>
      <w:bookmarkStart w:id="68" w:name="_Toc152163945"/>
      <w:r>
        <w:rPr>
          <w:rFonts w:hint="eastAsia" w:ascii="Times New Roman" w:hAnsi="Times New Roman" w:eastAsia="黑体" w:cs="宋体"/>
          <w:bCs/>
          <w:color w:val="7030A0"/>
          <w:kern w:val="0"/>
          <w:sz w:val="28"/>
          <w:szCs w:val="24"/>
          <w:highlight w:val="none"/>
          <w:lang w:val="en-US" w:eastAsia="zh-CN" w:bidi="ar-SA"/>
        </w:rPr>
        <w:t>环境风险应急体系</w:t>
      </w:r>
    </w:p>
    <w:p>
      <w:pPr>
        <w:ind w:firstLine="480"/>
        <w:rPr>
          <w:rFonts w:eastAsia="宋体" w:cs="Times New Roman"/>
          <w:color w:val="7030A0"/>
          <w:highlight w:val="none"/>
        </w:rPr>
      </w:pPr>
      <w:r>
        <w:rPr>
          <w:rFonts w:hint="eastAsia" w:eastAsia="宋体" w:cs="Times New Roman"/>
          <w:color w:val="7030A0"/>
          <w:highlight w:val="none"/>
        </w:rPr>
        <w:t>规划区及其周围社会应急系统分为三级联动：包括企业级、规划区级、苍溪县及广元市级。三级应急系统其主要关系、辖管范围和联动关系示于下表。</w:t>
      </w:r>
    </w:p>
    <w:p>
      <w:pPr>
        <w:widowControl w:val="0"/>
        <w:spacing w:line="360" w:lineRule="auto"/>
        <w:ind w:firstLine="480" w:firstLineChars="0"/>
        <w:jc w:val="center"/>
        <w:rPr>
          <w:rFonts w:ascii="Times New Roman" w:hAnsi="Times New Roman" w:eastAsia="黑体" w:cs="Times New Roman"/>
          <w:color w:val="7030A0"/>
          <w:kern w:val="2"/>
          <w:sz w:val="21"/>
          <w:szCs w:val="20"/>
          <w:highlight w:val="none"/>
          <w:lang w:val="en-US" w:eastAsia="zh-CN" w:bidi="ar-SA"/>
        </w:rPr>
      </w:pPr>
      <w:r>
        <w:rPr>
          <w:rFonts w:hint="eastAsia" w:ascii="Times New Roman" w:hAnsi="Times New Roman" w:eastAsia="黑体" w:cs="Times New Roman"/>
          <w:color w:val="7030A0"/>
          <w:kern w:val="2"/>
          <w:sz w:val="21"/>
          <w:szCs w:val="20"/>
          <w:highlight w:val="none"/>
          <w:lang w:val="en-US" w:eastAsia="zh-CN" w:bidi="ar-SA"/>
        </w:rPr>
        <w:t xml:space="preserve">表 </w:t>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STYLEREF 2 \s</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7.4</w:t>
      </w:r>
      <w:r>
        <w:rPr>
          <w:rFonts w:ascii="Times New Roman" w:hAnsi="Times New Roman" w:eastAsia="黑体" w:cs="Times New Roman"/>
          <w:color w:val="7030A0"/>
          <w:kern w:val="2"/>
          <w:sz w:val="21"/>
          <w:szCs w:val="20"/>
          <w:highlight w:val="none"/>
          <w:lang w:val="en-US" w:eastAsia="zh-CN" w:bidi="ar-SA"/>
        </w:rPr>
        <w:fldChar w:fldCharType="end"/>
      </w:r>
      <w:r>
        <w:rPr>
          <w:rFonts w:ascii="Times New Roman" w:hAnsi="Times New Roman" w:eastAsia="黑体" w:cs="Times New Roman"/>
          <w:color w:val="7030A0"/>
          <w:kern w:val="2"/>
          <w:sz w:val="21"/>
          <w:szCs w:val="20"/>
          <w:highlight w:val="none"/>
          <w:lang w:val="en-US" w:eastAsia="zh-CN" w:bidi="ar-SA"/>
        </w:rPr>
        <w:noBreakHyphen/>
      </w:r>
      <w:r>
        <w:rPr>
          <w:rFonts w:ascii="Times New Roman" w:hAnsi="Times New Roman" w:eastAsia="黑体" w:cs="Times New Roman"/>
          <w:color w:val="7030A0"/>
          <w:kern w:val="2"/>
          <w:sz w:val="21"/>
          <w:szCs w:val="20"/>
          <w:highlight w:val="none"/>
          <w:lang w:val="en-US" w:eastAsia="zh-CN" w:bidi="ar-SA"/>
        </w:rPr>
        <w:fldChar w:fldCharType="begin"/>
      </w:r>
      <w:r>
        <w:rPr>
          <w:rFonts w:ascii="Times New Roman" w:hAnsi="Times New Roman" w:eastAsia="黑体" w:cs="Times New Roman"/>
          <w:color w:val="7030A0"/>
          <w:kern w:val="2"/>
          <w:sz w:val="21"/>
          <w:szCs w:val="20"/>
          <w:highlight w:val="none"/>
          <w:lang w:val="en-US" w:eastAsia="zh-CN" w:bidi="ar-SA"/>
        </w:rPr>
        <w:instrText xml:space="preserve"> </w:instrText>
      </w:r>
      <w:r>
        <w:rPr>
          <w:rFonts w:hint="eastAsia" w:ascii="Times New Roman" w:hAnsi="Times New Roman" w:eastAsia="黑体" w:cs="Times New Roman"/>
          <w:color w:val="7030A0"/>
          <w:kern w:val="2"/>
          <w:sz w:val="21"/>
          <w:szCs w:val="20"/>
          <w:highlight w:val="none"/>
          <w:lang w:val="en-US" w:eastAsia="zh-CN" w:bidi="ar-SA"/>
        </w:rPr>
        <w:instrText xml:space="preserve">SEQ 表 \* ARABIC \s 2</w:instrText>
      </w:r>
      <w:r>
        <w:rPr>
          <w:rFonts w:ascii="Times New Roman" w:hAnsi="Times New Roman" w:eastAsia="黑体" w:cs="Times New Roman"/>
          <w:color w:val="7030A0"/>
          <w:kern w:val="2"/>
          <w:sz w:val="21"/>
          <w:szCs w:val="20"/>
          <w:highlight w:val="none"/>
          <w:lang w:val="en-US" w:eastAsia="zh-CN" w:bidi="ar-SA"/>
        </w:rPr>
        <w:instrText xml:space="preserve"> </w:instrText>
      </w:r>
      <w:r>
        <w:rPr>
          <w:rFonts w:ascii="Times New Roman" w:hAnsi="Times New Roman" w:eastAsia="黑体" w:cs="Times New Roman"/>
          <w:color w:val="7030A0"/>
          <w:kern w:val="2"/>
          <w:sz w:val="21"/>
          <w:szCs w:val="20"/>
          <w:highlight w:val="none"/>
          <w:lang w:val="en-US" w:eastAsia="zh-CN" w:bidi="ar-SA"/>
        </w:rPr>
        <w:fldChar w:fldCharType="separate"/>
      </w:r>
      <w:r>
        <w:rPr>
          <w:rFonts w:ascii="Times New Roman" w:hAnsi="Times New Roman" w:eastAsia="黑体" w:cs="Times New Roman"/>
          <w:color w:val="7030A0"/>
          <w:kern w:val="2"/>
          <w:sz w:val="21"/>
          <w:szCs w:val="20"/>
          <w:highlight w:val="none"/>
          <w:lang w:val="en-US" w:eastAsia="zh-CN" w:bidi="ar-SA"/>
        </w:rPr>
        <w:t>1</w:t>
      </w:r>
      <w:r>
        <w:rPr>
          <w:rFonts w:ascii="Times New Roman" w:hAnsi="Times New Roman" w:eastAsia="黑体" w:cs="Times New Roman"/>
          <w:color w:val="7030A0"/>
          <w:kern w:val="2"/>
          <w:sz w:val="21"/>
          <w:szCs w:val="20"/>
          <w:highlight w:val="none"/>
          <w:lang w:val="en-US" w:eastAsia="zh-CN" w:bidi="ar-SA"/>
        </w:rPr>
        <w:fldChar w:fldCharType="end"/>
      </w:r>
      <w:r>
        <w:rPr>
          <w:rFonts w:hint="eastAsia" w:ascii="Times New Roman" w:hAnsi="Times New Roman" w:eastAsia="黑体" w:cs="Times New Roman"/>
          <w:color w:val="7030A0"/>
          <w:kern w:val="2"/>
          <w:sz w:val="21"/>
          <w:szCs w:val="20"/>
          <w:highlight w:val="none"/>
          <w:lang w:val="en-US" w:eastAsia="zh-CN" w:bidi="ar-SA"/>
        </w:rPr>
        <w:t>三级应急系统关系、辖管内容和联动</w:t>
      </w:r>
    </w:p>
    <w:tbl>
      <w:tblPr>
        <w:tblStyle w:val="3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92"/>
        <w:gridCol w:w="944"/>
        <w:gridCol w:w="3430"/>
        <w:gridCol w:w="19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3227"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响应系统</w:t>
            </w:r>
          </w:p>
        </w:tc>
        <w:tc>
          <w:tcPr>
            <w:tcW w:w="992"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级</w:t>
            </w:r>
          </w:p>
        </w:tc>
        <w:tc>
          <w:tcPr>
            <w:tcW w:w="3686"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管辖范围</w:t>
            </w:r>
          </w:p>
        </w:tc>
        <w:tc>
          <w:tcPr>
            <w:tcW w:w="2057" w:type="dxa"/>
            <w:shd w:val="clear" w:color="auto" w:fill="auto"/>
            <w:noWrap w:val="0"/>
            <w:vAlign w:val="center"/>
          </w:tcPr>
          <w:p>
            <w:pPr>
              <w:widowControl w:val="0"/>
              <w:spacing w:line="240" w:lineRule="auto"/>
              <w:ind w:firstLine="0" w:firstLineChars="0"/>
              <w:jc w:val="center"/>
              <w:rPr>
                <w:rFonts w:hint="eastAsia"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启动-联动关系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27"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企业级</w:t>
            </w:r>
          </w:p>
        </w:tc>
        <w:tc>
          <w:tcPr>
            <w:tcW w:w="992"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一</w:t>
            </w:r>
          </w:p>
        </w:tc>
        <w:tc>
          <w:tcPr>
            <w:tcW w:w="3686"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装置区</w:t>
            </w:r>
          </w:p>
        </w:tc>
        <w:tc>
          <w:tcPr>
            <w:tcW w:w="2057"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27"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规划区</w:t>
            </w:r>
          </w:p>
        </w:tc>
        <w:tc>
          <w:tcPr>
            <w:tcW w:w="992"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二</w:t>
            </w:r>
          </w:p>
        </w:tc>
        <w:tc>
          <w:tcPr>
            <w:tcW w:w="3686"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规划区区域</w:t>
            </w:r>
          </w:p>
        </w:tc>
        <w:tc>
          <w:tcPr>
            <w:tcW w:w="2057"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一→二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227"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苍溪县及广元市联动级</w:t>
            </w:r>
          </w:p>
        </w:tc>
        <w:tc>
          <w:tcPr>
            <w:tcW w:w="992"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三</w:t>
            </w:r>
          </w:p>
        </w:tc>
        <w:tc>
          <w:tcPr>
            <w:tcW w:w="3686"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规划区外苍溪县、广元市区域</w:t>
            </w:r>
          </w:p>
        </w:tc>
        <w:tc>
          <w:tcPr>
            <w:tcW w:w="2057" w:type="dxa"/>
            <w:shd w:val="clear" w:color="auto" w:fill="auto"/>
            <w:noWrap w:val="0"/>
            <w:vAlign w:val="center"/>
          </w:tcPr>
          <w:p>
            <w:pPr>
              <w:widowControl w:val="0"/>
              <w:spacing w:line="240" w:lineRule="auto"/>
              <w:ind w:firstLine="0" w:firstLineChars="0"/>
              <w:jc w:val="center"/>
              <w:rPr>
                <w:rFonts w:ascii="Times New Roman" w:hAnsi="Times New Roman" w:eastAsia="宋体" w:cs="Times New Roman"/>
                <w:color w:val="7030A0"/>
                <w:kern w:val="2"/>
                <w:sz w:val="21"/>
                <w:szCs w:val="21"/>
                <w:highlight w:val="none"/>
                <w:lang w:val="en-US" w:eastAsia="zh-CN" w:bidi="ar-SA"/>
              </w:rPr>
            </w:pPr>
            <w:r>
              <w:rPr>
                <w:rFonts w:hint="eastAsia" w:ascii="Times New Roman" w:hAnsi="Times New Roman" w:eastAsia="宋体" w:cs="Times New Roman"/>
                <w:color w:val="7030A0"/>
                <w:kern w:val="2"/>
                <w:sz w:val="21"/>
                <w:szCs w:val="21"/>
                <w:highlight w:val="none"/>
                <w:lang w:val="en-US" w:eastAsia="zh-CN" w:bidi="ar-SA"/>
              </w:rPr>
              <w:t>二→三</w:t>
            </w:r>
          </w:p>
        </w:tc>
      </w:tr>
    </w:tbl>
    <w:p>
      <w:pPr>
        <w:ind w:firstLine="480"/>
        <w:rPr>
          <w:rFonts w:eastAsia="宋体" w:cs="Times New Roman"/>
          <w:color w:val="7030A0"/>
          <w:szCs w:val="24"/>
          <w:highlight w:val="none"/>
        </w:rPr>
      </w:pPr>
      <w:r>
        <w:rPr>
          <w:rFonts w:hint="eastAsia" w:eastAsia="宋体" w:cs="Times New Roman"/>
          <w:color w:val="7030A0"/>
          <w:szCs w:val="24"/>
          <w:highlight w:val="none"/>
        </w:rPr>
        <w:t>依据园区的实际情况和突发环境事件危害程度的级别，设置园区应急指挥领导小组，应急指挥领导小组下设应急办公室，并编制抢险</w:t>
      </w:r>
      <w:r>
        <w:rPr>
          <w:rFonts w:eastAsia="宋体" w:cs="Times New Roman"/>
          <w:color w:val="7030A0"/>
          <w:szCs w:val="24"/>
          <w:highlight w:val="none"/>
        </w:rPr>
        <w:t>救援组、警戒疏散组、</w:t>
      </w:r>
      <w:r>
        <w:rPr>
          <w:rFonts w:hint="eastAsia" w:eastAsia="宋体" w:cs="Times New Roman"/>
          <w:color w:val="7030A0"/>
          <w:szCs w:val="24"/>
          <w:highlight w:val="none"/>
        </w:rPr>
        <w:t>后勤</w:t>
      </w:r>
      <w:r>
        <w:rPr>
          <w:rFonts w:eastAsia="宋体" w:cs="Times New Roman"/>
          <w:color w:val="7030A0"/>
          <w:szCs w:val="24"/>
          <w:highlight w:val="none"/>
        </w:rPr>
        <w:t>保障和医疗救护组、后期善后组</w:t>
      </w:r>
      <w:r>
        <w:rPr>
          <w:rFonts w:hint="eastAsia" w:eastAsia="宋体" w:cs="Times New Roman"/>
          <w:color w:val="7030A0"/>
          <w:szCs w:val="24"/>
          <w:highlight w:val="none"/>
        </w:rPr>
        <w:t>5个行动小组，组织机构如下图所示。</w:t>
      </w:r>
    </w:p>
    <w:p>
      <w:pPr>
        <w:adjustRightInd w:val="0"/>
        <w:ind w:firstLine="0" w:firstLineChars="0"/>
        <w:jc w:val="center"/>
        <w:rPr>
          <w:rFonts w:eastAsia="宋体" w:cs="Times New Roman"/>
          <w:szCs w:val="24"/>
          <w:highlight w:val="none"/>
        </w:rPr>
      </w:pPr>
      <w:r>
        <w:rPr>
          <w:rFonts w:eastAsia="宋体" w:cs="Times New Roman"/>
          <w:szCs w:val="24"/>
          <w:highlight w:val="none"/>
        </w:rPr>
        <w:drawing>
          <wp:inline distT="0" distB="0" distL="114300" distR="114300">
            <wp:extent cx="3902075" cy="2876550"/>
            <wp:effectExtent l="0" t="0" r="3175" b="0"/>
            <wp:docPr id="5" name="图片 6" descr="C:\Users\YFY\Documents\WeChat Files\ruthford_young\FileStorage\Temp\1668679132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YFY\Documents\WeChat Files\ruthford_young\FileStorage\Temp\1668679132677.png"/>
                    <pic:cNvPicPr>
                      <a:picLocks noChangeAspect="1"/>
                    </pic:cNvPicPr>
                  </pic:nvPicPr>
                  <pic:blipFill>
                    <a:blip r:embed="rId62"/>
                    <a:stretch>
                      <a:fillRect/>
                    </a:stretch>
                  </pic:blipFill>
                  <pic:spPr>
                    <a:xfrm>
                      <a:off x="0" y="0"/>
                      <a:ext cx="3902075" cy="2876550"/>
                    </a:xfrm>
                    <a:prstGeom prst="rect">
                      <a:avLst/>
                    </a:prstGeom>
                    <a:noFill/>
                    <a:ln>
                      <a:noFill/>
                    </a:ln>
                  </pic:spPr>
                </pic:pic>
              </a:graphicData>
            </a:graphic>
          </wp:inline>
        </w:drawing>
      </w:r>
    </w:p>
    <w:p>
      <w:pPr>
        <w:widowControl w:val="0"/>
        <w:spacing w:after="163" w:afterLines="50" w:line="240" w:lineRule="auto"/>
        <w:ind w:firstLine="0" w:firstLineChars="0"/>
        <w:jc w:val="center"/>
        <w:rPr>
          <w:rFonts w:ascii="Times New Roman" w:hAnsi="Times New Roman" w:eastAsia="黑体" w:cs="Times New Roman"/>
          <w:color w:val="7030A0"/>
          <w:kern w:val="2"/>
          <w:sz w:val="21"/>
          <w:szCs w:val="22"/>
          <w:highlight w:val="none"/>
          <w:lang w:val="en-US" w:eastAsia="zh-CN" w:bidi="ar-SA"/>
        </w:rPr>
      </w:pPr>
      <w:r>
        <w:rPr>
          <w:rFonts w:ascii="Times New Roman" w:hAnsi="Times New Roman" w:eastAsia="黑体" w:cs="Times New Roman"/>
          <w:color w:val="7030A0"/>
          <w:kern w:val="2"/>
          <w:sz w:val="21"/>
          <w:szCs w:val="22"/>
          <w:highlight w:val="none"/>
          <w:lang w:val="en-US" w:eastAsia="zh-CN" w:bidi="ar-SA"/>
        </w:rPr>
        <w:t>突发环境事件应急组织架构图</w:t>
      </w:r>
    </w:p>
    <w:p>
      <w:pPr>
        <w:ind w:firstLine="482"/>
        <w:rPr>
          <w:rFonts w:eastAsia="宋体" w:cs="Times New Roman"/>
          <w:b/>
          <w:bCs/>
          <w:color w:val="7030A0"/>
          <w:highlight w:val="none"/>
        </w:rPr>
      </w:pPr>
      <w:bookmarkStart w:id="69" w:name="_Toc471998746"/>
      <w:bookmarkStart w:id="70" w:name="_Toc6328270"/>
      <w:bookmarkStart w:id="71" w:name="_Toc6328511"/>
      <w:bookmarkStart w:id="72" w:name="_Toc469134547"/>
      <w:bookmarkStart w:id="73" w:name="_Toc15053251"/>
      <w:bookmarkStart w:id="74" w:name="_Toc25610942"/>
      <w:r>
        <w:rPr>
          <w:rFonts w:hint="eastAsia" w:eastAsia="宋体" w:cs="Times New Roman"/>
          <w:b/>
          <w:bCs/>
          <w:color w:val="7030A0"/>
          <w:highlight w:val="none"/>
        </w:rPr>
        <w:t>1、与上级应急预案的衔接</w:t>
      </w:r>
      <w:bookmarkEnd w:id="69"/>
      <w:bookmarkEnd w:id="70"/>
      <w:bookmarkEnd w:id="71"/>
      <w:bookmarkEnd w:id="72"/>
      <w:bookmarkEnd w:id="73"/>
      <w:bookmarkEnd w:id="74"/>
    </w:p>
    <w:p>
      <w:pPr>
        <w:ind w:firstLine="480"/>
        <w:rPr>
          <w:rFonts w:eastAsia="宋体" w:cs="Times New Roman"/>
          <w:color w:val="7030A0"/>
          <w:szCs w:val="24"/>
          <w:highlight w:val="none"/>
        </w:rPr>
      </w:pPr>
      <w:r>
        <w:rPr>
          <w:rFonts w:eastAsia="宋体" w:cs="Times New Roman"/>
          <w:color w:val="7030A0"/>
          <w:szCs w:val="24"/>
          <w:highlight w:val="none"/>
        </w:rPr>
        <w:t>《</w:t>
      </w:r>
      <w:r>
        <w:rPr>
          <w:rFonts w:hint="eastAsia" w:eastAsia="宋体" w:cs="Times New Roman"/>
          <w:color w:val="7030A0"/>
          <w:szCs w:val="24"/>
          <w:highlight w:val="none"/>
        </w:rPr>
        <w:t>苍溪县突发事件总体应急预案（试行）</w:t>
      </w:r>
      <w:r>
        <w:rPr>
          <w:rFonts w:eastAsia="宋体" w:cs="Times New Roman"/>
          <w:color w:val="7030A0"/>
          <w:szCs w:val="24"/>
          <w:highlight w:val="none"/>
        </w:rPr>
        <w:t>》</w:t>
      </w:r>
      <w:r>
        <w:rPr>
          <w:rFonts w:hint="eastAsia" w:eastAsia="宋体" w:cs="Times New Roman"/>
          <w:color w:val="7030A0"/>
          <w:szCs w:val="24"/>
          <w:highlight w:val="none"/>
        </w:rPr>
        <w:t>，适用于全县</w:t>
      </w:r>
      <w:r>
        <w:rPr>
          <w:rFonts w:hint="eastAsia" w:eastAsia="宋体" w:cs="Times New Roman"/>
          <w:color w:val="7030A0"/>
          <w:highlight w:val="none"/>
        </w:rPr>
        <w:t>突发事件的风险防控、应急准备、监测预警、应对处置、恢复重建等工作。</w:t>
      </w:r>
    </w:p>
    <w:p>
      <w:pPr>
        <w:ind w:firstLine="480"/>
        <w:rPr>
          <w:rFonts w:eastAsia="宋体" w:cs="Times New Roman"/>
          <w:color w:val="7030A0"/>
          <w:highlight w:val="none"/>
        </w:rPr>
      </w:pPr>
      <w:r>
        <w:rPr>
          <w:rFonts w:hint="eastAsia" w:eastAsia="宋体" w:cs="Times New Roman"/>
          <w:color w:val="7030A0"/>
          <w:highlight w:val="none"/>
        </w:rPr>
        <w:t>突发事件分级应对遵循分级负责、属地为主，层级响应、协调联动的原则。发生较大及以上突发事件，县人民政府立即开展先期处置，并报请上级人民政府应对。发生一般突发事件，由县人民政府负责应对，其中涉及跨县级行政区域的一般突发事件，在做好先期处置同时，立即报请上级人民政府及相关部门提供支援或组织应对。发生未构成等级的小微型突发事件，由事发地乡镇人民政府负责处置。其中，涉及跨两个或两个以上乡镇行政区域的，由县人民政府负责协调应对。</w:t>
      </w:r>
    </w:p>
    <w:p>
      <w:pPr>
        <w:ind w:firstLine="480"/>
        <w:rPr>
          <w:rFonts w:hint="eastAsia" w:eastAsia="宋体" w:cs="Times New Roman"/>
          <w:color w:val="7030A0"/>
          <w:highlight w:val="none"/>
        </w:rPr>
      </w:pPr>
      <w:r>
        <w:rPr>
          <w:rFonts w:hint="eastAsia" w:eastAsia="宋体" w:cs="Times New Roman"/>
          <w:color w:val="7030A0"/>
          <w:highlight w:val="none"/>
        </w:rPr>
        <w:t>县人民政府负责应对的突发事件，一般由县级专项指挥部负责统一响应应对。乡镇层面负责应对的突发事件，必要时由县级行业部门予以支援。</w:t>
      </w:r>
    </w:p>
    <w:p>
      <w:pPr>
        <w:ind w:firstLine="482"/>
        <w:rPr>
          <w:rFonts w:eastAsia="宋体" w:cs="Times New Roman"/>
          <w:b/>
          <w:bCs/>
          <w:color w:val="7030A0"/>
          <w:highlight w:val="none"/>
        </w:rPr>
      </w:pPr>
      <w:bookmarkStart w:id="75" w:name="_Toc471998747"/>
      <w:bookmarkStart w:id="76" w:name="_Toc15053252"/>
      <w:bookmarkStart w:id="77" w:name="_Toc6328512"/>
      <w:bookmarkStart w:id="78" w:name="_Toc6328271"/>
      <w:bookmarkStart w:id="79" w:name="_Toc25610943"/>
      <w:bookmarkStart w:id="80" w:name="_Toc469134548"/>
      <w:r>
        <w:rPr>
          <w:rFonts w:hint="eastAsia" w:eastAsia="宋体" w:cs="Times New Roman"/>
          <w:b/>
          <w:bCs/>
          <w:color w:val="7030A0"/>
          <w:highlight w:val="none"/>
        </w:rPr>
        <w:t>2、与区内企业应急预案的衔接</w:t>
      </w:r>
      <w:bookmarkEnd w:id="75"/>
      <w:bookmarkEnd w:id="76"/>
      <w:bookmarkEnd w:id="77"/>
      <w:bookmarkEnd w:id="78"/>
      <w:bookmarkEnd w:id="79"/>
      <w:bookmarkEnd w:id="80"/>
    </w:p>
    <w:p>
      <w:pPr>
        <w:ind w:firstLine="480"/>
        <w:rPr>
          <w:rFonts w:hAnsi="宋体" w:eastAsia="宋体" w:cs="Times New Roman"/>
          <w:color w:val="7030A0"/>
          <w:szCs w:val="24"/>
          <w:highlight w:val="none"/>
        </w:rPr>
      </w:pPr>
      <w:r>
        <w:rPr>
          <w:rFonts w:hint="eastAsia" w:hAnsi="宋体" w:eastAsia="宋体" w:cs="Times New Roman"/>
          <w:color w:val="7030A0"/>
          <w:szCs w:val="24"/>
          <w:highlight w:val="none"/>
        </w:rPr>
        <w:t>园区内各企业在编制企业突发环境事件应急预案时应与本应急预案相衔接。园区内</w:t>
      </w:r>
      <w:r>
        <w:rPr>
          <w:rFonts w:hAnsi="宋体" w:eastAsia="宋体" w:cs="Times New Roman"/>
          <w:color w:val="7030A0"/>
          <w:szCs w:val="24"/>
          <w:highlight w:val="none"/>
        </w:rPr>
        <w:t>企业环境风险防控一般采用三级防控体系，即车间级、厂区级和区域级。企业发生车间级突发环境事件，如污染物泄漏至车间地面、围堰等事件时，启动企业Ⅲ级应急响应，由企业应急领导小组负责应急处置；企业发生厂区级突发环境事件，如污染物泄漏至车间外厂区内，可以被控制在应急事故池、拦污坝及配套设施等，不会对厂区外环境造成影响时，企业启动企业Ⅱ级应急响应，由企业应急领导小组负责应急处置；企业发生突发环境事件，污染物已无法控制在厂区范围内，即将或已经泄漏至厂区外时，企业启动企业Ⅰ级应急响应，同时园区管理委员会启动</w:t>
      </w:r>
      <w:r>
        <w:rPr>
          <w:rFonts w:hint="eastAsia" w:hAnsi="宋体" w:eastAsia="宋体" w:cs="Times New Roman"/>
          <w:color w:val="7030A0"/>
          <w:szCs w:val="24"/>
          <w:highlight w:val="none"/>
        </w:rPr>
        <w:t>本</w:t>
      </w:r>
      <w:r>
        <w:rPr>
          <w:rFonts w:hAnsi="宋体" w:eastAsia="宋体" w:cs="Times New Roman"/>
          <w:color w:val="7030A0"/>
          <w:szCs w:val="24"/>
          <w:highlight w:val="none"/>
        </w:rPr>
        <w:t>突发环境事件应急预案。</w:t>
      </w:r>
    </w:p>
    <w:p>
      <w:pPr>
        <w:ind w:firstLine="480"/>
        <w:rPr>
          <w:rFonts w:hAnsi="宋体" w:eastAsia="宋体" w:cs="Times New Roman"/>
          <w:color w:val="7030A0"/>
          <w:szCs w:val="24"/>
          <w:highlight w:val="none"/>
        </w:rPr>
      </w:pPr>
      <w:r>
        <w:rPr>
          <w:rFonts w:hint="eastAsia" w:hAnsi="宋体" w:eastAsia="宋体" w:cs="Times New Roman"/>
          <w:color w:val="7030A0"/>
          <w:szCs w:val="24"/>
          <w:highlight w:val="none"/>
        </w:rPr>
        <w:t>企业突发环境事件应急管理、应急预案编制等工作应接受园区管委会应急指挥中心指导；园区内企业应急预案编制，应将本预案作为编制依据；园区内企业应及时将应急信息（环境风险源、风险防范措施、应急管理体系、应急处置队伍、应急物资信息等）上报园区管委会应急指挥中心；企业突发环境事件应急预案分级参考本预案分级原则；企业突发环境事件预警行动、响应行动应与本预案一致；企业突发环境事件应急处置方式应依照本预案的原则进行，并细化企业各应急队伍的职责和工作程序；企业应急演练和培训接受园区指导，并纳入园区应急演练和培训计划；企业应急结束后应向园区管委会应急指挥中心汇报。</w:t>
      </w:r>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color w:val="7030A0"/>
          <w:kern w:val="2"/>
          <w:sz w:val="32"/>
          <w:szCs w:val="32"/>
          <w:highlight w:val="none"/>
          <w:lang w:val="en-US" w:eastAsia="zh-CN" w:bidi="ar-SA"/>
        </w:rPr>
      </w:pPr>
      <w:r>
        <w:rPr>
          <w:rFonts w:hint="eastAsia" w:ascii="Times New Roman" w:hAnsi="Times New Roman" w:eastAsia="黑体" w:cs="Times New Roman"/>
          <w:bCs/>
          <w:color w:val="7030A0"/>
          <w:kern w:val="2"/>
          <w:sz w:val="32"/>
          <w:szCs w:val="32"/>
          <w:highlight w:val="none"/>
          <w:lang w:val="en-US" w:eastAsia="zh-CN" w:bidi="ar-SA"/>
        </w:rPr>
        <w:t>跟踪监测方案</w:t>
      </w:r>
      <w:bookmarkEnd w:id="68"/>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监测布点原则</w:t>
      </w:r>
    </w:p>
    <w:p>
      <w:pPr>
        <w:ind w:firstLine="482"/>
        <w:rPr>
          <w:b/>
          <w:bCs/>
          <w:highlight w:val="none"/>
        </w:rPr>
      </w:pPr>
      <w:r>
        <w:rPr>
          <w:rFonts w:hint="eastAsia"/>
          <w:b/>
          <w:bCs/>
          <w:highlight w:val="none"/>
        </w:rPr>
        <w:t>1、统一规划原则</w:t>
      </w:r>
    </w:p>
    <w:p>
      <w:pPr>
        <w:pStyle w:val="89"/>
        <w:ind w:firstLine="480"/>
        <w:rPr>
          <w:highlight w:val="none"/>
        </w:rPr>
      </w:pPr>
      <w:r>
        <w:rPr>
          <w:rFonts w:hint="eastAsia"/>
          <w:highlight w:val="none"/>
        </w:rPr>
        <w:t>选择具有代表性的监测点位，统一规划，重点在于了解规划区及周围区域环境质量变化情况。</w:t>
      </w:r>
    </w:p>
    <w:p>
      <w:pPr>
        <w:ind w:firstLine="482"/>
        <w:rPr>
          <w:b/>
          <w:bCs/>
          <w:highlight w:val="none"/>
        </w:rPr>
      </w:pPr>
      <w:r>
        <w:rPr>
          <w:rFonts w:hint="eastAsia"/>
          <w:b/>
          <w:bCs/>
          <w:highlight w:val="none"/>
        </w:rPr>
        <w:t>2、与规划紧密结合的原则</w:t>
      </w:r>
    </w:p>
    <w:p>
      <w:pPr>
        <w:pStyle w:val="89"/>
        <w:ind w:firstLine="480"/>
        <w:rPr>
          <w:highlight w:val="none"/>
        </w:rPr>
      </w:pPr>
      <w:r>
        <w:rPr>
          <w:rFonts w:hint="eastAsia"/>
          <w:highlight w:val="none"/>
        </w:rPr>
        <w:t>监测工作的范围、对象和重点应覆盖规划涉及的区域及影响地区，全面了解规划涉及的区域及周围人群聚居区环境的变化，以及环境变化对规划实施的影响。</w:t>
      </w:r>
    </w:p>
    <w:p>
      <w:pPr>
        <w:ind w:firstLine="482"/>
        <w:rPr>
          <w:b/>
          <w:bCs/>
          <w:highlight w:val="none"/>
        </w:rPr>
      </w:pPr>
      <w:r>
        <w:rPr>
          <w:rFonts w:hint="eastAsia"/>
          <w:b/>
          <w:bCs/>
          <w:highlight w:val="none"/>
        </w:rPr>
        <w:t>3、针对性原则</w:t>
      </w:r>
    </w:p>
    <w:p>
      <w:pPr>
        <w:pStyle w:val="89"/>
        <w:ind w:firstLine="480"/>
        <w:rPr>
          <w:highlight w:val="none"/>
        </w:rPr>
      </w:pPr>
      <w:r>
        <w:rPr>
          <w:rFonts w:hint="eastAsia"/>
          <w:highlight w:val="none"/>
        </w:rPr>
        <w:t>根据环境现状和环境影响预测评价结果，选择影响显著、对区域环境影响起控制作用的主要因子进行监测或调查，合理选择监测点位和监测调查项目，监测调查方案具有针对性和代表性。</w:t>
      </w:r>
    </w:p>
    <w:p>
      <w:pPr>
        <w:ind w:firstLine="482"/>
        <w:rPr>
          <w:b/>
          <w:bCs/>
          <w:highlight w:val="none"/>
        </w:rPr>
      </w:pPr>
      <w:r>
        <w:rPr>
          <w:rFonts w:hint="eastAsia"/>
          <w:b/>
          <w:bCs/>
          <w:highlight w:val="none"/>
        </w:rPr>
        <w:t>4、经济性与可操作性原则</w:t>
      </w:r>
    </w:p>
    <w:p>
      <w:pPr>
        <w:pStyle w:val="89"/>
        <w:ind w:firstLine="480"/>
        <w:rPr>
          <w:highlight w:val="none"/>
        </w:rPr>
      </w:pPr>
      <w:r>
        <w:rPr>
          <w:rFonts w:hint="eastAsia"/>
          <w:highlight w:val="none"/>
        </w:rPr>
        <w:t>按照相关专业技术规范，监测项目、频次、时段和方法以满足本监测系统主要任务为前提，尽量利用现有监测机构成果，新增监测点的设置要可操作性强，力求以较少的投入获得较完整的环境监测数据。</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环境质量监测计划</w:t>
      </w:r>
    </w:p>
    <w:p>
      <w:pPr>
        <w:pStyle w:val="89"/>
        <w:ind w:firstLine="480"/>
        <w:rPr>
          <w:highlight w:val="none"/>
        </w:rPr>
      </w:pPr>
      <w:r>
        <w:rPr>
          <w:rFonts w:hint="eastAsia"/>
          <w:highlight w:val="none"/>
        </w:rPr>
        <w:t>环境质量监测计划主要是结合规划方案的具体情况和规划方案所在的区域，通过对不同功能区进行常规监测，了解区域环境的变化情况。主要包括地表水监测、地下水监测、大气监测、噪声监测，以便掌握规划方案实施前、后各主要环境要素的变化情况和规律。</w:t>
      </w:r>
    </w:p>
    <w:p>
      <w:pPr>
        <w:pStyle w:val="89"/>
        <w:ind w:firstLine="480"/>
        <w:rPr>
          <w:highlight w:val="none"/>
        </w:rPr>
      </w:pPr>
      <w:r>
        <w:rPr>
          <w:rFonts w:hint="eastAsia"/>
          <w:highlight w:val="none"/>
        </w:rPr>
        <w:t>规划环评的监测应分两个阶段进行：规划实施过程中的环境监测，规划实施后的环境回顾跟踪评价监测。</w:t>
      </w:r>
    </w:p>
    <w:p>
      <w:pPr>
        <w:pStyle w:val="89"/>
        <w:ind w:firstLine="482"/>
        <w:outlineLvl w:val="4"/>
        <w:rPr>
          <w:b/>
          <w:highlight w:val="none"/>
        </w:rPr>
      </w:pPr>
      <w:r>
        <w:rPr>
          <w:rFonts w:hint="eastAsia"/>
          <w:b/>
          <w:highlight w:val="none"/>
        </w:rPr>
        <w:t>1、</w:t>
      </w:r>
      <w:r>
        <w:rPr>
          <w:b/>
          <w:highlight w:val="none"/>
        </w:rPr>
        <w:t>地表水环境监测</w:t>
      </w:r>
    </w:p>
    <w:p>
      <w:pPr>
        <w:pStyle w:val="89"/>
        <w:ind w:firstLine="480"/>
        <w:rPr>
          <w:highlight w:val="none"/>
        </w:rPr>
      </w:pPr>
      <w:r>
        <w:rPr>
          <w:rFonts w:hint="eastAsia"/>
          <w:highlight w:val="none"/>
        </w:rPr>
        <w:t>（1）</w:t>
      </w:r>
      <w:r>
        <w:rPr>
          <w:highlight w:val="none"/>
        </w:rPr>
        <w:t>监测断面的布设</w:t>
      </w:r>
    </w:p>
    <w:p>
      <w:pPr>
        <w:pStyle w:val="89"/>
        <w:ind w:firstLine="480"/>
        <w:rPr>
          <w:highlight w:val="none"/>
        </w:rPr>
      </w:pPr>
      <w:r>
        <w:rPr>
          <w:highlight w:val="none"/>
        </w:rPr>
        <w:t>水质监测断面位置见下表。</w:t>
      </w:r>
    </w:p>
    <w:p>
      <w:pPr>
        <w:pStyle w:val="13"/>
        <w:keepNext/>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11</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1</w:instrText>
      </w:r>
      <w:r>
        <w:rPr>
          <w:highlight w:val="none"/>
        </w:rPr>
        <w:instrText xml:space="preserve"> </w:instrText>
      </w:r>
      <w:r>
        <w:rPr>
          <w:highlight w:val="none"/>
        </w:rPr>
        <w:fldChar w:fldCharType="separate"/>
      </w:r>
      <w:r>
        <w:rPr>
          <w:highlight w:val="none"/>
        </w:rPr>
        <w:t>2</w:t>
      </w:r>
      <w:r>
        <w:rPr>
          <w:highlight w:val="none"/>
        </w:rPr>
        <w:fldChar w:fldCharType="end"/>
      </w:r>
      <w:r>
        <w:rPr>
          <w:rFonts w:hint="eastAsia"/>
          <w:highlight w:val="none"/>
        </w:rPr>
        <w:t xml:space="preserve">  </w:t>
      </w:r>
      <w:r>
        <w:rPr>
          <w:highlight w:val="none"/>
        </w:rPr>
        <w:t>水质监测断面位置</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78"/>
        <w:gridCol w:w="4364"/>
        <w:gridCol w:w="30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vAlign w:val="center"/>
          </w:tcPr>
          <w:p>
            <w:pPr>
              <w:pStyle w:val="58"/>
              <w:rPr>
                <w:highlight w:val="none"/>
              </w:rPr>
            </w:pPr>
            <w:r>
              <w:rPr>
                <w:rFonts w:hint="eastAsia"/>
                <w:highlight w:val="none"/>
              </w:rPr>
              <w:t>编号</w:t>
            </w:r>
          </w:p>
        </w:tc>
        <w:tc>
          <w:tcPr>
            <w:tcW w:w="2350" w:type="pct"/>
            <w:vAlign w:val="center"/>
          </w:tcPr>
          <w:p>
            <w:pPr>
              <w:pStyle w:val="58"/>
              <w:rPr>
                <w:highlight w:val="none"/>
              </w:rPr>
            </w:pPr>
            <w:r>
              <w:rPr>
                <w:rFonts w:hint="eastAsia"/>
                <w:highlight w:val="none"/>
              </w:rPr>
              <w:t>监测点名称</w:t>
            </w:r>
          </w:p>
        </w:tc>
        <w:tc>
          <w:tcPr>
            <w:tcW w:w="1639" w:type="pct"/>
            <w:vAlign w:val="center"/>
          </w:tcPr>
          <w:p>
            <w:pPr>
              <w:pStyle w:val="58"/>
              <w:rPr>
                <w:highlight w:val="none"/>
              </w:rPr>
            </w:pPr>
            <w:r>
              <w:rPr>
                <w:rFonts w:hint="eastAsia"/>
                <w:highlight w:val="none"/>
              </w:rPr>
              <w:t>河流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vAlign w:val="center"/>
          </w:tcPr>
          <w:p>
            <w:pPr>
              <w:pStyle w:val="58"/>
              <w:rPr>
                <w:highlight w:val="none"/>
              </w:rPr>
            </w:pPr>
            <w:r>
              <w:rPr>
                <w:rFonts w:hint="eastAsia"/>
                <w:highlight w:val="none"/>
              </w:rPr>
              <w:t>1</w:t>
            </w:r>
            <w:r>
              <w:rPr>
                <w:highlight w:val="none"/>
              </w:rPr>
              <w:t>#</w:t>
            </w:r>
          </w:p>
        </w:tc>
        <w:tc>
          <w:tcPr>
            <w:tcW w:w="2350" w:type="pct"/>
            <w:vAlign w:val="center"/>
          </w:tcPr>
          <w:p>
            <w:pPr>
              <w:pStyle w:val="58"/>
              <w:rPr>
                <w:highlight w:val="none"/>
              </w:rPr>
            </w:pPr>
            <w:r>
              <w:rPr>
                <w:rFonts w:hint="eastAsia"/>
                <w:highlight w:val="none"/>
              </w:rPr>
              <w:t>百利新区污水厂上游5</w:t>
            </w:r>
            <w:r>
              <w:rPr>
                <w:highlight w:val="none"/>
              </w:rPr>
              <w:t>00m</w:t>
            </w:r>
          </w:p>
        </w:tc>
        <w:tc>
          <w:tcPr>
            <w:tcW w:w="1639" w:type="pct"/>
            <w:vAlign w:val="center"/>
          </w:tcPr>
          <w:p>
            <w:pPr>
              <w:pStyle w:val="58"/>
              <w:rPr>
                <w:highlight w:val="none"/>
              </w:rPr>
            </w:pPr>
            <w:r>
              <w:rPr>
                <w:rFonts w:hint="eastAsia"/>
                <w:highlight w:val="none"/>
              </w:rPr>
              <w:t>嘉陵江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vAlign w:val="center"/>
          </w:tcPr>
          <w:p>
            <w:pPr>
              <w:pStyle w:val="58"/>
              <w:rPr>
                <w:highlight w:val="none"/>
              </w:rPr>
            </w:pPr>
            <w:r>
              <w:rPr>
                <w:highlight w:val="none"/>
              </w:rPr>
              <w:t>2#</w:t>
            </w:r>
          </w:p>
        </w:tc>
        <w:tc>
          <w:tcPr>
            <w:tcW w:w="2350" w:type="pct"/>
            <w:vAlign w:val="center"/>
          </w:tcPr>
          <w:p>
            <w:pPr>
              <w:pStyle w:val="58"/>
              <w:rPr>
                <w:highlight w:val="none"/>
              </w:rPr>
            </w:pPr>
            <w:r>
              <w:rPr>
                <w:rFonts w:hint="eastAsia"/>
                <w:highlight w:val="none"/>
              </w:rPr>
              <w:t>百利新区污水厂下游1500m（阆中饮用水源准保护区处）</w:t>
            </w:r>
          </w:p>
        </w:tc>
        <w:tc>
          <w:tcPr>
            <w:tcW w:w="1639" w:type="pct"/>
            <w:vAlign w:val="center"/>
          </w:tcPr>
          <w:p>
            <w:pPr>
              <w:pStyle w:val="58"/>
              <w:rPr>
                <w:highlight w:val="none"/>
              </w:rPr>
            </w:pPr>
            <w:r>
              <w:rPr>
                <w:rFonts w:hint="eastAsia"/>
                <w:highlight w:val="none"/>
              </w:rPr>
              <w:t>嘉陵江</w:t>
            </w:r>
          </w:p>
        </w:tc>
      </w:tr>
    </w:tbl>
    <w:p>
      <w:pPr>
        <w:pStyle w:val="89"/>
        <w:ind w:firstLine="480"/>
        <w:rPr>
          <w:highlight w:val="none"/>
        </w:rPr>
      </w:pPr>
      <w:r>
        <w:rPr>
          <w:rFonts w:hint="eastAsia"/>
          <w:highlight w:val="none"/>
        </w:rPr>
        <w:t>（2）</w:t>
      </w:r>
      <w:r>
        <w:rPr>
          <w:highlight w:val="none"/>
        </w:rPr>
        <w:t>监测因子</w:t>
      </w:r>
    </w:p>
    <w:p>
      <w:pPr>
        <w:pStyle w:val="89"/>
        <w:ind w:firstLine="480"/>
        <w:rPr>
          <w:highlight w:val="none"/>
        </w:rPr>
      </w:pPr>
      <w:r>
        <w:rPr>
          <w:rFonts w:hint="eastAsia"/>
          <w:highlight w:val="none"/>
        </w:rPr>
        <w:t>1#</w:t>
      </w:r>
      <w:r>
        <w:rPr>
          <w:highlight w:val="none"/>
        </w:rPr>
        <w:t>：</w:t>
      </w:r>
      <w:r>
        <w:rPr>
          <w:rFonts w:hint="eastAsia"/>
          <w:highlight w:val="none"/>
        </w:rPr>
        <w:t>流量、流速、水温、pH、溶解氧、CODCr、BOD5、总氮、氨氮、总磷、铜、锌、硒、砷、汞、镉、六价铬、铅、氟化物、氯化物、挥发酚、石油类、LAS、硫化物、粪大肠菌群、动植物油、SS、甲醛、镍等</w:t>
      </w:r>
      <w:r>
        <w:rPr>
          <w:highlight w:val="none"/>
        </w:rPr>
        <w:t>。</w:t>
      </w:r>
    </w:p>
    <w:p>
      <w:pPr>
        <w:pStyle w:val="89"/>
        <w:ind w:firstLine="480"/>
        <w:rPr>
          <w:highlight w:val="none"/>
        </w:rPr>
      </w:pPr>
      <w:r>
        <w:rPr>
          <w:rFonts w:hint="eastAsia"/>
          <w:highlight w:val="none"/>
        </w:rPr>
        <w:t>2#：《地表水环境质量标准》（GB3838-2002）109项分析。</w:t>
      </w:r>
    </w:p>
    <w:p>
      <w:pPr>
        <w:pStyle w:val="89"/>
        <w:ind w:firstLine="480"/>
        <w:rPr>
          <w:highlight w:val="none"/>
        </w:rPr>
      </w:pPr>
      <w:r>
        <w:rPr>
          <w:rFonts w:hint="eastAsia"/>
          <w:highlight w:val="none"/>
        </w:rPr>
        <w:t>（3）</w:t>
      </w:r>
      <w:r>
        <w:rPr>
          <w:highlight w:val="none"/>
        </w:rPr>
        <w:t>监测时段与频率</w:t>
      </w:r>
    </w:p>
    <w:p>
      <w:pPr>
        <w:pStyle w:val="89"/>
        <w:ind w:firstLine="480"/>
        <w:rPr>
          <w:highlight w:val="none"/>
        </w:rPr>
      </w:pPr>
      <w:r>
        <w:rPr>
          <w:rFonts w:hint="eastAsia"/>
          <w:highlight w:val="none"/>
        </w:rPr>
        <w:t>每季度采样一次，每次连续采样3天。</w:t>
      </w:r>
    </w:p>
    <w:p>
      <w:pPr>
        <w:pStyle w:val="89"/>
        <w:ind w:firstLine="480"/>
        <w:rPr>
          <w:highlight w:val="none"/>
        </w:rPr>
      </w:pPr>
      <w:r>
        <w:rPr>
          <w:rFonts w:hint="eastAsia"/>
          <w:highlight w:val="none"/>
        </w:rPr>
        <w:t>（</w:t>
      </w:r>
      <w:r>
        <w:rPr>
          <w:highlight w:val="none"/>
        </w:rPr>
        <w:t>4</w:t>
      </w:r>
      <w:r>
        <w:rPr>
          <w:rFonts w:hint="eastAsia"/>
          <w:highlight w:val="none"/>
        </w:rPr>
        <w:t>）</w:t>
      </w:r>
      <w:r>
        <w:rPr>
          <w:highlight w:val="none"/>
        </w:rPr>
        <w:t>监测与评价方法</w:t>
      </w:r>
    </w:p>
    <w:p>
      <w:pPr>
        <w:pStyle w:val="89"/>
        <w:ind w:firstLine="480"/>
        <w:rPr>
          <w:highlight w:val="none"/>
        </w:rPr>
      </w:pPr>
      <w:r>
        <w:rPr>
          <w:highlight w:val="none"/>
        </w:rPr>
        <w:t>按照《地表水环境质量标准》（GB3838-2002）中规定的监测方法执行。评价方法标准指数法。</w:t>
      </w:r>
    </w:p>
    <w:p>
      <w:pPr>
        <w:pStyle w:val="89"/>
        <w:ind w:firstLine="482"/>
        <w:outlineLvl w:val="4"/>
        <w:rPr>
          <w:b/>
          <w:bCs w:val="0"/>
          <w:highlight w:val="none"/>
        </w:rPr>
      </w:pPr>
      <w:r>
        <w:rPr>
          <w:rFonts w:hint="eastAsia"/>
          <w:b/>
          <w:bCs w:val="0"/>
          <w:highlight w:val="none"/>
        </w:rPr>
        <w:t>2、</w:t>
      </w:r>
      <w:r>
        <w:rPr>
          <w:b/>
          <w:bCs w:val="0"/>
          <w:highlight w:val="none"/>
        </w:rPr>
        <w:t>地下水环境监测</w:t>
      </w:r>
    </w:p>
    <w:p>
      <w:pPr>
        <w:pStyle w:val="89"/>
        <w:ind w:firstLine="480"/>
        <w:rPr>
          <w:highlight w:val="none"/>
        </w:rPr>
      </w:pPr>
      <w:r>
        <w:rPr>
          <w:rFonts w:hint="eastAsia"/>
          <w:highlight w:val="none"/>
        </w:rPr>
        <w:t>（1）</w:t>
      </w:r>
      <w:r>
        <w:rPr>
          <w:highlight w:val="none"/>
        </w:rPr>
        <w:t>监测点位的布设</w:t>
      </w:r>
    </w:p>
    <w:p>
      <w:pPr>
        <w:pStyle w:val="89"/>
        <w:ind w:firstLine="480"/>
        <w:rPr>
          <w:rFonts w:ascii="宋体" w:hAnsi="宋体"/>
          <w:highlight w:val="none"/>
        </w:rPr>
      </w:pPr>
      <w:r>
        <w:rPr>
          <w:rFonts w:hint="eastAsia"/>
          <w:highlight w:val="none"/>
        </w:rPr>
        <w:t>选择与现状监测相同的监测布点，布设4个地下水监测点位。</w:t>
      </w:r>
      <w:r>
        <w:rPr>
          <w:highlight w:val="none"/>
        </w:rPr>
        <w:t>水质监测断面位置见下表。</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11</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1</w:instrText>
      </w:r>
      <w:r>
        <w:rPr>
          <w:highlight w:val="none"/>
        </w:rPr>
        <w:instrText xml:space="preserve"> </w:instrText>
      </w:r>
      <w:r>
        <w:rPr>
          <w:highlight w:val="none"/>
        </w:rPr>
        <w:fldChar w:fldCharType="separate"/>
      </w:r>
      <w:r>
        <w:rPr>
          <w:highlight w:val="none"/>
        </w:rPr>
        <w:t>3</w:t>
      </w:r>
      <w:r>
        <w:rPr>
          <w:highlight w:val="none"/>
        </w:rPr>
        <w:fldChar w:fldCharType="end"/>
      </w:r>
      <w:r>
        <w:rPr>
          <w:highlight w:val="none"/>
        </w:rPr>
        <w:t xml:space="preserve">  </w:t>
      </w:r>
      <w:r>
        <w:rPr>
          <w:rFonts w:hint="eastAsia"/>
          <w:highlight w:val="none"/>
        </w:rPr>
        <w:t>地下水</w:t>
      </w:r>
      <w:r>
        <w:rPr>
          <w:highlight w:val="none"/>
        </w:rPr>
        <w:t>监测断面位置</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74"/>
        <w:gridCol w:w="74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9" w:type="pct"/>
            <w:vAlign w:val="center"/>
          </w:tcPr>
          <w:p>
            <w:pPr>
              <w:pStyle w:val="58"/>
              <w:rPr>
                <w:highlight w:val="none"/>
              </w:rPr>
            </w:pPr>
            <w:r>
              <w:rPr>
                <w:rFonts w:hint="eastAsia"/>
                <w:highlight w:val="none"/>
              </w:rPr>
              <w:t>编号</w:t>
            </w:r>
          </w:p>
        </w:tc>
        <w:tc>
          <w:tcPr>
            <w:tcW w:w="3991" w:type="pct"/>
            <w:vAlign w:val="center"/>
          </w:tcPr>
          <w:p>
            <w:pPr>
              <w:pStyle w:val="58"/>
              <w:rPr>
                <w:highlight w:val="none"/>
              </w:rPr>
            </w:pPr>
            <w:r>
              <w:rPr>
                <w:rFonts w:hint="eastAsia"/>
                <w:highlight w:val="none"/>
              </w:rPr>
              <w:t>监测点名称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9" w:type="pct"/>
            <w:vAlign w:val="center"/>
          </w:tcPr>
          <w:p>
            <w:pPr>
              <w:pStyle w:val="58"/>
              <w:rPr>
                <w:highlight w:val="none"/>
              </w:rPr>
            </w:pPr>
            <w:r>
              <w:rPr>
                <w:rFonts w:hint="eastAsia"/>
                <w:highlight w:val="none"/>
              </w:rPr>
              <w:t>1</w:t>
            </w:r>
            <w:r>
              <w:rPr>
                <w:highlight w:val="none"/>
              </w:rPr>
              <w:t>#</w:t>
            </w:r>
          </w:p>
        </w:tc>
        <w:tc>
          <w:tcPr>
            <w:tcW w:w="3991" w:type="pct"/>
            <w:vAlign w:val="center"/>
          </w:tcPr>
          <w:p>
            <w:pPr>
              <w:pStyle w:val="58"/>
              <w:rPr>
                <w:highlight w:val="none"/>
              </w:rPr>
            </w:pPr>
            <w:r>
              <w:rPr>
                <w:rFonts w:hint="eastAsia"/>
                <w:highlight w:val="none"/>
              </w:rPr>
              <w:t>规划区内东侧（百利坝）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9" w:type="pct"/>
            <w:vAlign w:val="center"/>
          </w:tcPr>
          <w:p>
            <w:pPr>
              <w:pStyle w:val="58"/>
              <w:rPr>
                <w:highlight w:val="none"/>
              </w:rPr>
            </w:pPr>
            <w:r>
              <w:rPr>
                <w:highlight w:val="none"/>
              </w:rPr>
              <w:t>2#</w:t>
            </w:r>
          </w:p>
        </w:tc>
        <w:tc>
          <w:tcPr>
            <w:tcW w:w="3991" w:type="pct"/>
            <w:vAlign w:val="center"/>
          </w:tcPr>
          <w:p>
            <w:pPr>
              <w:pStyle w:val="58"/>
              <w:rPr>
                <w:highlight w:val="none"/>
              </w:rPr>
            </w:pPr>
            <w:r>
              <w:rPr>
                <w:rFonts w:hint="eastAsia"/>
                <w:highlight w:val="none"/>
              </w:rPr>
              <w:t>规划区外北侧（翟家湾）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9" w:type="pct"/>
            <w:vAlign w:val="center"/>
          </w:tcPr>
          <w:p>
            <w:pPr>
              <w:pStyle w:val="58"/>
              <w:rPr>
                <w:highlight w:val="none"/>
              </w:rPr>
            </w:pPr>
            <w:r>
              <w:rPr>
                <w:rFonts w:hint="eastAsia"/>
                <w:highlight w:val="none"/>
              </w:rPr>
              <w:t>3#</w:t>
            </w:r>
          </w:p>
        </w:tc>
        <w:tc>
          <w:tcPr>
            <w:tcW w:w="3991" w:type="pct"/>
            <w:vAlign w:val="center"/>
          </w:tcPr>
          <w:p>
            <w:pPr>
              <w:pStyle w:val="58"/>
              <w:rPr>
                <w:highlight w:val="none"/>
              </w:rPr>
            </w:pPr>
            <w:r>
              <w:rPr>
                <w:rFonts w:hint="eastAsia"/>
                <w:highlight w:val="none"/>
              </w:rPr>
              <w:t>规划区内西南侧（张家湾）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9" w:type="pct"/>
            <w:vAlign w:val="center"/>
          </w:tcPr>
          <w:p>
            <w:pPr>
              <w:pStyle w:val="58"/>
              <w:rPr>
                <w:highlight w:val="none"/>
              </w:rPr>
            </w:pPr>
            <w:r>
              <w:rPr>
                <w:rFonts w:hint="eastAsia"/>
                <w:highlight w:val="none"/>
              </w:rPr>
              <w:t>4#</w:t>
            </w:r>
          </w:p>
        </w:tc>
        <w:tc>
          <w:tcPr>
            <w:tcW w:w="3991" w:type="pct"/>
            <w:vAlign w:val="center"/>
          </w:tcPr>
          <w:p>
            <w:pPr>
              <w:pStyle w:val="58"/>
              <w:rPr>
                <w:highlight w:val="none"/>
              </w:rPr>
            </w:pPr>
            <w:r>
              <w:rPr>
                <w:rFonts w:hint="eastAsia"/>
                <w:highlight w:val="none"/>
              </w:rPr>
              <w:t>百利新区污水处理厂北侧</w:t>
            </w:r>
          </w:p>
        </w:tc>
      </w:tr>
    </w:tbl>
    <w:p>
      <w:pPr>
        <w:pStyle w:val="56"/>
        <w:spacing w:before="163"/>
        <w:rPr>
          <w:highlight w:val="none"/>
        </w:rPr>
      </w:pPr>
    </w:p>
    <w:p>
      <w:pPr>
        <w:pStyle w:val="89"/>
        <w:ind w:firstLine="480"/>
        <w:rPr>
          <w:highlight w:val="none"/>
        </w:rPr>
      </w:pPr>
      <w:r>
        <w:rPr>
          <w:rFonts w:hint="eastAsia"/>
          <w:highlight w:val="none"/>
        </w:rPr>
        <w:t>（2）</w:t>
      </w:r>
      <w:r>
        <w:rPr>
          <w:highlight w:val="none"/>
        </w:rPr>
        <w:t>监测因子</w:t>
      </w:r>
    </w:p>
    <w:p>
      <w:pPr>
        <w:pStyle w:val="89"/>
        <w:ind w:firstLine="480"/>
        <w:rPr>
          <w:highlight w:val="none"/>
        </w:rPr>
      </w:pPr>
      <w:r>
        <w:rPr>
          <w:rFonts w:hint="eastAsia"/>
          <w:highlight w:val="none"/>
        </w:rPr>
        <w:t>《地下水质量标准》（GB/T14848-2017）表1共39项指标</w:t>
      </w:r>
    </w:p>
    <w:p>
      <w:pPr>
        <w:pStyle w:val="89"/>
        <w:ind w:firstLine="480"/>
        <w:rPr>
          <w:highlight w:val="none"/>
        </w:rPr>
      </w:pPr>
      <w:r>
        <w:rPr>
          <w:rFonts w:hint="eastAsia"/>
          <w:highlight w:val="none"/>
        </w:rPr>
        <w:t>（3）</w:t>
      </w:r>
      <w:r>
        <w:rPr>
          <w:highlight w:val="none"/>
        </w:rPr>
        <w:t>监测时段与频率</w:t>
      </w:r>
    </w:p>
    <w:p>
      <w:pPr>
        <w:pStyle w:val="89"/>
        <w:ind w:firstLine="480"/>
        <w:rPr>
          <w:highlight w:val="none"/>
        </w:rPr>
      </w:pPr>
      <w:r>
        <w:rPr>
          <w:highlight w:val="none"/>
        </w:rPr>
        <w:t>每年枯水期采样一次，每次连续采样2天。</w:t>
      </w:r>
    </w:p>
    <w:p>
      <w:pPr>
        <w:pStyle w:val="89"/>
        <w:ind w:firstLine="480"/>
        <w:rPr>
          <w:highlight w:val="none"/>
        </w:rPr>
      </w:pPr>
      <w:r>
        <w:rPr>
          <w:rFonts w:hint="eastAsia"/>
          <w:highlight w:val="none"/>
        </w:rPr>
        <w:t>（4）</w:t>
      </w:r>
      <w:r>
        <w:rPr>
          <w:highlight w:val="none"/>
        </w:rPr>
        <w:t>监测与评价方法</w:t>
      </w:r>
    </w:p>
    <w:p>
      <w:pPr>
        <w:pStyle w:val="89"/>
        <w:ind w:firstLine="480"/>
        <w:rPr>
          <w:highlight w:val="none"/>
        </w:rPr>
      </w:pPr>
      <w:r>
        <w:rPr>
          <w:highlight w:val="none"/>
        </w:rPr>
        <w:t>按照《</w:t>
      </w:r>
      <w:r>
        <w:rPr>
          <w:rFonts w:hint="eastAsia"/>
          <w:highlight w:val="none"/>
        </w:rPr>
        <w:t>地下水质量标准</w:t>
      </w:r>
      <w:r>
        <w:rPr>
          <w:highlight w:val="none"/>
        </w:rPr>
        <w:t>》（GB</w:t>
      </w:r>
      <w:r>
        <w:rPr>
          <w:rFonts w:hint="eastAsia"/>
          <w:highlight w:val="none"/>
        </w:rPr>
        <w:t>/T14848-</w:t>
      </w:r>
      <w:r>
        <w:rPr>
          <w:highlight w:val="none"/>
        </w:rPr>
        <w:t>2017）中规定的监测方法执行。评价方法标准指数法。</w:t>
      </w:r>
    </w:p>
    <w:p>
      <w:pPr>
        <w:pStyle w:val="89"/>
        <w:ind w:firstLine="482"/>
        <w:outlineLvl w:val="4"/>
        <w:rPr>
          <w:b/>
          <w:bCs w:val="0"/>
          <w:highlight w:val="none"/>
        </w:rPr>
      </w:pPr>
      <w:r>
        <w:rPr>
          <w:rFonts w:hint="eastAsia"/>
          <w:b/>
          <w:bCs w:val="0"/>
          <w:highlight w:val="none"/>
        </w:rPr>
        <w:t>3、</w:t>
      </w:r>
      <w:r>
        <w:rPr>
          <w:b/>
          <w:bCs w:val="0"/>
          <w:highlight w:val="none"/>
        </w:rPr>
        <w:t>环境空气监测</w:t>
      </w:r>
    </w:p>
    <w:p>
      <w:pPr>
        <w:pStyle w:val="89"/>
        <w:ind w:firstLine="480"/>
        <w:rPr>
          <w:highlight w:val="none"/>
        </w:rPr>
      </w:pPr>
      <w:r>
        <w:rPr>
          <w:rFonts w:hint="eastAsia"/>
          <w:highlight w:val="none"/>
        </w:rPr>
        <w:t>（1）</w:t>
      </w:r>
      <w:r>
        <w:rPr>
          <w:highlight w:val="none"/>
        </w:rPr>
        <w:t>监测点位的布设</w:t>
      </w:r>
    </w:p>
    <w:p>
      <w:pPr>
        <w:pStyle w:val="56"/>
        <w:spacing w:before="163"/>
        <w:rPr>
          <w:highlight w:val="none"/>
        </w:rPr>
      </w:pPr>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STYLEREF 1 \s</w:instrText>
      </w:r>
      <w:r>
        <w:rPr>
          <w:highlight w:val="none"/>
        </w:rPr>
        <w:instrText xml:space="preserve"> </w:instrText>
      </w:r>
      <w:r>
        <w:rPr>
          <w:highlight w:val="none"/>
        </w:rPr>
        <w:fldChar w:fldCharType="separate"/>
      </w:r>
      <w:r>
        <w:rPr>
          <w:highlight w:val="none"/>
        </w:rPr>
        <w:t>11</w:t>
      </w:r>
      <w:r>
        <w:rPr>
          <w:highlight w:val="none"/>
        </w:rPr>
        <w:fldChar w:fldCharType="end"/>
      </w:r>
      <w:r>
        <w:rPr>
          <w:highlight w:val="none"/>
        </w:rPr>
        <w:noBreakHyphen/>
      </w:r>
      <w:r>
        <w:rPr>
          <w:highlight w:val="none"/>
        </w:rPr>
        <w:fldChar w:fldCharType="begin"/>
      </w:r>
      <w:r>
        <w:rPr>
          <w:highlight w:val="none"/>
        </w:rPr>
        <w:instrText xml:space="preserve"> </w:instrText>
      </w:r>
      <w:r>
        <w:rPr>
          <w:rFonts w:hint="eastAsia"/>
          <w:highlight w:val="none"/>
        </w:rPr>
        <w:instrText xml:space="preserve">SEQ 表 \* ARABIC \s 1</w:instrText>
      </w:r>
      <w:r>
        <w:rPr>
          <w:highlight w:val="none"/>
        </w:rPr>
        <w:instrText xml:space="preserve"> </w:instrText>
      </w:r>
      <w:r>
        <w:rPr>
          <w:highlight w:val="none"/>
        </w:rPr>
        <w:fldChar w:fldCharType="separate"/>
      </w:r>
      <w:r>
        <w:rPr>
          <w:highlight w:val="none"/>
        </w:rPr>
        <w:t>4</w:t>
      </w:r>
      <w:r>
        <w:rPr>
          <w:highlight w:val="none"/>
        </w:rPr>
        <w:fldChar w:fldCharType="end"/>
      </w:r>
      <w:r>
        <w:rPr>
          <w:highlight w:val="none"/>
        </w:rPr>
        <w:t xml:space="preserve">  </w:t>
      </w:r>
      <w:r>
        <w:rPr>
          <w:rFonts w:hint="eastAsia"/>
          <w:highlight w:val="none"/>
        </w:rPr>
        <w:t>环境空气</w:t>
      </w:r>
      <w:r>
        <w:rPr>
          <w:highlight w:val="none"/>
        </w:rPr>
        <w:t>现状监测布点</w:t>
      </w:r>
    </w:p>
    <w:tbl>
      <w:tblPr>
        <w:tblStyle w:val="3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266"/>
        <w:gridCol w:w="3866"/>
        <w:gridCol w:w="3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 w:hRule="atLeast"/>
          <w:tblHeader/>
        </w:trPr>
        <w:tc>
          <w:tcPr>
            <w:tcW w:w="694" w:type="pct"/>
            <w:vAlign w:val="center"/>
          </w:tcPr>
          <w:p>
            <w:pPr>
              <w:pStyle w:val="58"/>
              <w:rPr>
                <w:highlight w:val="none"/>
              </w:rPr>
            </w:pPr>
            <w:r>
              <w:rPr>
                <w:rFonts w:hint="eastAsia"/>
                <w:highlight w:val="none"/>
              </w:rPr>
              <w:t>序号</w:t>
            </w:r>
          </w:p>
        </w:tc>
        <w:tc>
          <w:tcPr>
            <w:tcW w:w="2118" w:type="pct"/>
            <w:vAlign w:val="center"/>
          </w:tcPr>
          <w:p>
            <w:pPr>
              <w:pStyle w:val="58"/>
              <w:rPr>
                <w:highlight w:val="none"/>
              </w:rPr>
            </w:pPr>
            <w:r>
              <w:rPr>
                <w:rFonts w:hint="eastAsia"/>
                <w:highlight w:val="none"/>
              </w:rPr>
              <w:t>点位名称</w:t>
            </w:r>
          </w:p>
        </w:tc>
        <w:tc>
          <w:tcPr>
            <w:tcW w:w="2188" w:type="pct"/>
            <w:vAlign w:val="center"/>
          </w:tcPr>
          <w:p>
            <w:pPr>
              <w:pStyle w:val="58"/>
              <w:rPr>
                <w:highlight w:val="none"/>
              </w:rPr>
            </w:pPr>
            <w:r>
              <w:rPr>
                <w:rFonts w:hint="eastAsia"/>
                <w:highlight w:val="none"/>
              </w:rPr>
              <w:t>功能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 w:hRule="atLeast"/>
        </w:trPr>
        <w:tc>
          <w:tcPr>
            <w:tcW w:w="694" w:type="pct"/>
            <w:vAlign w:val="center"/>
          </w:tcPr>
          <w:p>
            <w:pPr>
              <w:pStyle w:val="58"/>
              <w:rPr>
                <w:highlight w:val="none"/>
              </w:rPr>
            </w:pPr>
            <w:r>
              <w:rPr>
                <w:highlight w:val="none"/>
              </w:rPr>
              <w:t>1</w:t>
            </w:r>
          </w:p>
        </w:tc>
        <w:tc>
          <w:tcPr>
            <w:tcW w:w="2118" w:type="pct"/>
            <w:vAlign w:val="center"/>
          </w:tcPr>
          <w:p>
            <w:pPr>
              <w:pStyle w:val="58"/>
              <w:rPr>
                <w:highlight w:val="none"/>
              </w:rPr>
            </w:pPr>
            <w:r>
              <w:rPr>
                <w:rFonts w:hint="eastAsia"/>
                <w:highlight w:val="none"/>
              </w:rPr>
              <w:t>百利坝</w:t>
            </w:r>
          </w:p>
        </w:tc>
        <w:tc>
          <w:tcPr>
            <w:tcW w:w="2188" w:type="pct"/>
            <w:vAlign w:val="center"/>
          </w:tcPr>
          <w:p>
            <w:pPr>
              <w:pStyle w:val="58"/>
              <w:rPr>
                <w:highlight w:val="none"/>
              </w:rPr>
            </w:pPr>
            <w:r>
              <w:rPr>
                <w:rFonts w:hint="eastAsia"/>
                <w:highlight w:val="none"/>
              </w:rPr>
              <w:t>规划区内，东侧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 w:hRule="atLeast"/>
        </w:trPr>
        <w:tc>
          <w:tcPr>
            <w:tcW w:w="694" w:type="pct"/>
            <w:vAlign w:val="center"/>
          </w:tcPr>
          <w:p>
            <w:pPr>
              <w:pStyle w:val="58"/>
              <w:rPr>
                <w:highlight w:val="none"/>
              </w:rPr>
            </w:pPr>
            <w:r>
              <w:rPr>
                <w:highlight w:val="none"/>
              </w:rPr>
              <w:t>2</w:t>
            </w:r>
          </w:p>
        </w:tc>
        <w:tc>
          <w:tcPr>
            <w:tcW w:w="2118" w:type="pct"/>
            <w:vAlign w:val="center"/>
          </w:tcPr>
          <w:p>
            <w:pPr>
              <w:pStyle w:val="58"/>
              <w:rPr>
                <w:highlight w:val="none"/>
              </w:rPr>
            </w:pPr>
            <w:r>
              <w:rPr>
                <w:rFonts w:hint="eastAsia"/>
                <w:highlight w:val="none"/>
              </w:rPr>
              <w:t>何家湾</w:t>
            </w:r>
          </w:p>
        </w:tc>
        <w:tc>
          <w:tcPr>
            <w:tcW w:w="2188" w:type="pct"/>
            <w:vAlign w:val="center"/>
          </w:tcPr>
          <w:p>
            <w:pPr>
              <w:pStyle w:val="58"/>
              <w:rPr>
                <w:highlight w:val="none"/>
              </w:rPr>
            </w:pPr>
            <w:r>
              <w:rPr>
                <w:rFonts w:hint="eastAsia"/>
                <w:highlight w:val="none"/>
              </w:rPr>
              <w:t>规划区外下风向，东南侧</w:t>
            </w:r>
          </w:p>
        </w:tc>
      </w:tr>
    </w:tbl>
    <w:p>
      <w:pPr>
        <w:pStyle w:val="58"/>
        <w:rPr>
          <w:highlight w:val="none"/>
        </w:rPr>
      </w:pPr>
    </w:p>
    <w:p>
      <w:pPr>
        <w:pStyle w:val="89"/>
        <w:ind w:firstLine="480"/>
        <w:rPr>
          <w:highlight w:val="none"/>
        </w:rPr>
      </w:pPr>
      <w:r>
        <w:rPr>
          <w:rFonts w:hint="eastAsia"/>
          <w:highlight w:val="none"/>
        </w:rPr>
        <w:t>（2）</w:t>
      </w:r>
      <w:r>
        <w:rPr>
          <w:highlight w:val="none"/>
        </w:rPr>
        <w:t>监测因子</w:t>
      </w:r>
    </w:p>
    <w:p>
      <w:pPr>
        <w:pStyle w:val="89"/>
        <w:ind w:firstLine="480"/>
        <w:rPr>
          <w:highlight w:val="none"/>
        </w:rPr>
      </w:pPr>
      <w:r>
        <w:rPr>
          <w:highlight w:val="none"/>
        </w:rPr>
        <w:t>SO</w:t>
      </w:r>
      <w:r>
        <w:rPr>
          <w:highlight w:val="none"/>
          <w:vertAlign w:val="subscript"/>
        </w:rPr>
        <w:t>2</w:t>
      </w:r>
      <w:r>
        <w:rPr>
          <w:rFonts w:hint="eastAsia"/>
          <w:highlight w:val="none"/>
        </w:rPr>
        <w:t>、</w:t>
      </w:r>
      <w:r>
        <w:rPr>
          <w:highlight w:val="none"/>
        </w:rPr>
        <w:t>NO</w:t>
      </w:r>
      <w:r>
        <w:rPr>
          <w:highlight w:val="none"/>
          <w:vertAlign w:val="subscript"/>
        </w:rPr>
        <w:t>2</w:t>
      </w:r>
      <w:r>
        <w:rPr>
          <w:rFonts w:hint="eastAsia"/>
          <w:highlight w:val="none"/>
        </w:rPr>
        <w:t>、</w:t>
      </w:r>
      <w:r>
        <w:rPr>
          <w:highlight w:val="none"/>
        </w:rPr>
        <w:t>CO</w:t>
      </w:r>
      <w:r>
        <w:rPr>
          <w:rFonts w:hint="eastAsia"/>
          <w:highlight w:val="none"/>
        </w:rPr>
        <w:t>、</w:t>
      </w:r>
      <w:r>
        <w:rPr>
          <w:highlight w:val="none"/>
        </w:rPr>
        <w:t>O</w:t>
      </w:r>
      <w:r>
        <w:rPr>
          <w:highlight w:val="none"/>
          <w:vertAlign w:val="subscript"/>
        </w:rPr>
        <w:t>3</w:t>
      </w:r>
      <w:r>
        <w:rPr>
          <w:rFonts w:hint="eastAsia"/>
          <w:highlight w:val="none"/>
        </w:rPr>
        <w:t>、</w:t>
      </w:r>
      <w:r>
        <w:rPr>
          <w:highlight w:val="none"/>
        </w:rPr>
        <w:t>PM</w:t>
      </w:r>
      <w:r>
        <w:rPr>
          <w:highlight w:val="none"/>
          <w:vertAlign w:val="subscript"/>
        </w:rPr>
        <w:t>2.5</w:t>
      </w:r>
      <w:r>
        <w:rPr>
          <w:rFonts w:hint="eastAsia"/>
          <w:highlight w:val="none"/>
        </w:rPr>
        <w:t>、</w:t>
      </w:r>
      <w:r>
        <w:rPr>
          <w:highlight w:val="none"/>
        </w:rPr>
        <w:t>PM</w:t>
      </w:r>
      <w:r>
        <w:rPr>
          <w:highlight w:val="none"/>
          <w:vertAlign w:val="subscript"/>
        </w:rPr>
        <w:t>10</w:t>
      </w:r>
      <w:r>
        <w:rPr>
          <w:rFonts w:hint="eastAsia"/>
          <w:highlight w:val="none"/>
        </w:rPr>
        <w:t>、TSP、氟化物、非甲烷总烃、氯化氢。</w:t>
      </w:r>
    </w:p>
    <w:p>
      <w:pPr>
        <w:pStyle w:val="89"/>
        <w:ind w:firstLine="480"/>
        <w:rPr>
          <w:highlight w:val="none"/>
        </w:rPr>
      </w:pPr>
      <w:r>
        <w:rPr>
          <w:rFonts w:hint="eastAsia"/>
          <w:highlight w:val="none"/>
        </w:rPr>
        <w:t>（3）</w:t>
      </w:r>
      <w:r>
        <w:rPr>
          <w:highlight w:val="none"/>
        </w:rPr>
        <w:t>监测频率及时间</w:t>
      </w:r>
    </w:p>
    <w:p>
      <w:pPr>
        <w:pStyle w:val="89"/>
        <w:ind w:firstLine="480"/>
        <w:rPr>
          <w:highlight w:val="none"/>
        </w:rPr>
      </w:pPr>
      <w:r>
        <w:rPr>
          <w:rFonts w:hint="eastAsia"/>
          <w:highlight w:val="none"/>
        </w:rPr>
        <w:t>每季度监测1次，</w:t>
      </w:r>
      <w:r>
        <w:rPr>
          <w:highlight w:val="none"/>
        </w:rPr>
        <w:t>每次连续监测7天。</w:t>
      </w:r>
    </w:p>
    <w:p>
      <w:pPr>
        <w:pStyle w:val="89"/>
        <w:ind w:firstLine="480"/>
        <w:rPr>
          <w:highlight w:val="none"/>
        </w:rPr>
      </w:pPr>
      <w:r>
        <w:rPr>
          <w:rFonts w:hint="eastAsia"/>
          <w:highlight w:val="none"/>
        </w:rPr>
        <w:t>SO2、NO2、CO、O3、氟化物、非甲烷总烃、氯化氢：连续7天，每日4次1小时浓度；</w:t>
      </w:r>
    </w:p>
    <w:p>
      <w:pPr>
        <w:pStyle w:val="89"/>
        <w:ind w:firstLine="480"/>
        <w:rPr>
          <w:highlight w:val="none"/>
        </w:rPr>
      </w:pPr>
      <w:r>
        <w:rPr>
          <w:rFonts w:hint="eastAsia"/>
          <w:highlight w:val="none"/>
        </w:rPr>
        <w:t>PM2.5、PM10：监测日均浓度，每日至少23小时采样时间；</w:t>
      </w:r>
    </w:p>
    <w:p>
      <w:pPr>
        <w:pStyle w:val="89"/>
        <w:ind w:firstLine="480"/>
        <w:rPr>
          <w:highlight w:val="none"/>
        </w:rPr>
      </w:pPr>
      <w:r>
        <w:rPr>
          <w:rFonts w:hint="eastAsia"/>
          <w:highlight w:val="none"/>
        </w:rPr>
        <w:t>TSP：连续7天24小时均值。</w:t>
      </w:r>
    </w:p>
    <w:p>
      <w:pPr>
        <w:pStyle w:val="89"/>
        <w:ind w:firstLine="480"/>
        <w:rPr>
          <w:highlight w:val="none"/>
        </w:rPr>
      </w:pPr>
      <w:r>
        <w:rPr>
          <w:rFonts w:hint="eastAsia"/>
          <w:highlight w:val="none"/>
        </w:rPr>
        <w:t>（4）</w:t>
      </w:r>
      <w:r>
        <w:rPr>
          <w:highlight w:val="none"/>
        </w:rPr>
        <w:t>监测技术要求</w:t>
      </w:r>
    </w:p>
    <w:p>
      <w:pPr>
        <w:pStyle w:val="89"/>
        <w:ind w:firstLine="480"/>
        <w:rPr>
          <w:highlight w:val="none"/>
        </w:rPr>
      </w:pPr>
      <w:r>
        <w:rPr>
          <w:highlight w:val="none"/>
        </w:rPr>
        <w:t>按《环境监测技术规范》（大气部分）规定的方法各采样、分析。</w:t>
      </w:r>
    </w:p>
    <w:p>
      <w:pPr>
        <w:pStyle w:val="89"/>
        <w:ind w:firstLine="482"/>
        <w:outlineLvl w:val="4"/>
        <w:rPr>
          <w:b/>
          <w:bCs w:val="0"/>
          <w:highlight w:val="none"/>
        </w:rPr>
      </w:pPr>
      <w:r>
        <w:rPr>
          <w:rFonts w:hint="eastAsia"/>
          <w:b/>
          <w:bCs w:val="0"/>
          <w:highlight w:val="none"/>
        </w:rPr>
        <w:t>4、</w:t>
      </w:r>
      <w:r>
        <w:rPr>
          <w:b/>
          <w:bCs w:val="0"/>
          <w:highlight w:val="none"/>
        </w:rPr>
        <w:t>声环境监测</w:t>
      </w:r>
    </w:p>
    <w:p>
      <w:pPr>
        <w:pStyle w:val="89"/>
        <w:ind w:firstLine="480"/>
        <w:rPr>
          <w:highlight w:val="none"/>
        </w:rPr>
      </w:pPr>
      <w:r>
        <w:rPr>
          <w:highlight w:val="none"/>
        </w:rPr>
        <w:t>（</w:t>
      </w:r>
      <w:r>
        <w:rPr>
          <w:rFonts w:hint="eastAsia"/>
          <w:highlight w:val="none"/>
        </w:rPr>
        <w:t>1</w:t>
      </w:r>
      <w:r>
        <w:rPr>
          <w:highlight w:val="none"/>
        </w:rPr>
        <w:t>）监测点位布设</w:t>
      </w:r>
    </w:p>
    <w:p>
      <w:pPr>
        <w:pStyle w:val="89"/>
        <w:ind w:firstLine="480"/>
        <w:rPr>
          <w:highlight w:val="none"/>
        </w:rPr>
      </w:pPr>
      <w:r>
        <w:rPr>
          <w:rFonts w:hint="eastAsia"/>
          <w:highlight w:val="none"/>
        </w:rPr>
        <w:t>依据规划环评的现状监测布点要求，</w:t>
      </w:r>
      <w:r>
        <w:rPr>
          <w:highlight w:val="none"/>
        </w:rPr>
        <w:t>园区</w:t>
      </w:r>
      <w:r>
        <w:rPr>
          <w:rFonts w:hint="eastAsia"/>
          <w:highlight w:val="none"/>
        </w:rPr>
        <w:t>声环境监测布点将</w:t>
      </w:r>
      <w:r>
        <w:rPr>
          <w:highlight w:val="none"/>
        </w:rPr>
        <w:t>兼顾功能区噪声、道路交通噪声、区域环境噪声及厂界噪声状况等，按照网格布点与功能区布点相结合的方法进行噪声监测布点。</w:t>
      </w:r>
    </w:p>
    <w:p>
      <w:pPr>
        <w:pStyle w:val="89"/>
        <w:ind w:firstLine="480"/>
        <w:rPr>
          <w:highlight w:val="none"/>
        </w:rPr>
      </w:pPr>
      <w:r>
        <w:rPr>
          <w:rFonts w:hint="eastAsia"/>
          <w:highlight w:val="none"/>
        </w:rPr>
        <w:t>（2）</w:t>
      </w:r>
      <w:r>
        <w:rPr>
          <w:highlight w:val="none"/>
        </w:rPr>
        <w:t>监测因子</w:t>
      </w:r>
    </w:p>
    <w:p>
      <w:pPr>
        <w:pStyle w:val="89"/>
        <w:ind w:firstLine="480"/>
        <w:rPr>
          <w:highlight w:val="none"/>
        </w:rPr>
      </w:pPr>
      <w:r>
        <w:rPr>
          <w:highlight w:val="none"/>
        </w:rPr>
        <w:t>昼</w:t>
      </w:r>
      <w:r>
        <w:rPr>
          <w:rFonts w:hint="eastAsia"/>
          <w:highlight w:val="none"/>
        </w:rPr>
        <w:t>、</w:t>
      </w:r>
      <w:r>
        <w:rPr>
          <w:highlight w:val="none"/>
        </w:rPr>
        <w:t>夜间等效连续A声</w:t>
      </w:r>
      <w:r>
        <w:rPr>
          <w:rFonts w:hint="eastAsia"/>
          <w:highlight w:val="none"/>
        </w:rPr>
        <w:t>级</w:t>
      </w:r>
      <w:r>
        <w:rPr>
          <w:highlight w:val="none"/>
        </w:rPr>
        <w:t>。</w:t>
      </w:r>
    </w:p>
    <w:p>
      <w:pPr>
        <w:pStyle w:val="89"/>
        <w:ind w:firstLine="480"/>
        <w:rPr>
          <w:highlight w:val="none"/>
        </w:rPr>
      </w:pPr>
      <w:r>
        <w:rPr>
          <w:rFonts w:hint="eastAsia"/>
          <w:highlight w:val="none"/>
        </w:rPr>
        <w:t>（3）</w:t>
      </w:r>
      <w:r>
        <w:rPr>
          <w:highlight w:val="none"/>
        </w:rPr>
        <w:t>监测频率及时间</w:t>
      </w:r>
    </w:p>
    <w:p>
      <w:pPr>
        <w:pStyle w:val="89"/>
        <w:ind w:firstLine="480"/>
        <w:rPr>
          <w:highlight w:val="none"/>
        </w:rPr>
      </w:pPr>
      <w:r>
        <w:rPr>
          <w:highlight w:val="none"/>
        </w:rPr>
        <w:t>每</w:t>
      </w:r>
      <w:r>
        <w:rPr>
          <w:rFonts w:hint="eastAsia"/>
          <w:highlight w:val="none"/>
        </w:rPr>
        <w:t>半</w:t>
      </w:r>
      <w:r>
        <w:rPr>
          <w:highlight w:val="none"/>
        </w:rPr>
        <w:t>年一次，每次连续两天，监测昼间及夜间监测等效连续A声级。</w:t>
      </w:r>
    </w:p>
    <w:p>
      <w:pPr>
        <w:pStyle w:val="89"/>
        <w:ind w:firstLine="480"/>
        <w:rPr>
          <w:highlight w:val="none"/>
        </w:rPr>
      </w:pPr>
      <w:r>
        <w:rPr>
          <w:rFonts w:hint="eastAsia"/>
          <w:highlight w:val="none"/>
        </w:rPr>
        <w:t>（4）</w:t>
      </w:r>
      <w:r>
        <w:rPr>
          <w:highlight w:val="none"/>
        </w:rPr>
        <w:t>监测技术要求</w:t>
      </w:r>
    </w:p>
    <w:p>
      <w:pPr>
        <w:pStyle w:val="89"/>
        <w:ind w:firstLine="480"/>
        <w:rPr>
          <w:highlight w:val="none"/>
        </w:rPr>
      </w:pPr>
      <w:r>
        <w:rPr>
          <w:highlight w:val="none"/>
        </w:rPr>
        <w:t>按《</w:t>
      </w:r>
      <w:r>
        <w:rPr>
          <w:rFonts w:hint="eastAsia"/>
          <w:highlight w:val="none"/>
        </w:rPr>
        <w:t>声环境质量标准</w:t>
      </w:r>
      <w:r>
        <w:rPr>
          <w:highlight w:val="none"/>
        </w:rPr>
        <w:t>》</w:t>
      </w:r>
      <w:r>
        <w:rPr>
          <w:rFonts w:hint="eastAsia"/>
          <w:highlight w:val="none"/>
        </w:rPr>
        <w:t>（G</w:t>
      </w:r>
      <w:r>
        <w:rPr>
          <w:highlight w:val="none"/>
        </w:rPr>
        <w:t>B3096</w:t>
      </w:r>
      <w:r>
        <w:rPr>
          <w:rFonts w:hint="eastAsia"/>
          <w:highlight w:val="none"/>
        </w:rPr>
        <w:t>-2008）</w:t>
      </w:r>
      <w:r>
        <w:rPr>
          <w:highlight w:val="none"/>
        </w:rPr>
        <w:t>规定的方法各采样、分析。</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环境监测机构与经费</w:t>
      </w:r>
    </w:p>
    <w:p>
      <w:pPr>
        <w:pStyle w:val="89"/>
        <w:ind w:firstLine="480"/>
        <w:rPr>
          <w:highlight w:val="none"/>
        </w:rPr>
      </w:pPr>
      <w:r>
        <w:rPr>
          <w:rFonts w:hint="eastAsia"/>
          <w:highlight w:val="none"/>
        </w:rPr>
        <w:t>为了满足园区环境监测要求，减少投资、增加规划实施的可操作性，建议园区的环境监测工作主要依托苍溪县环境监测站现有监测设备和人员，并根据工作需用增加或更新部分监测仪器等。环评建议：依托社会力量，发展第三方监测业务，强化监管，使其为园区环境监督提供准确可靠的监测依据，满足园区环境监测工作服务的需要。</w:t>
      </w:r>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color w:val="7030A0"/>
          <w:kern w:val="2"/>
          <w:sz w:val="32"/>
          <w:szCs w:val="32"/>
          <w:highlight w:val="none"/>
          <w:lang w:val="en-US" w:eastAsia="zh-CN" w:bidi="ar-SA"/>
        </w:rPr>
      </w:pPr>
      <w:bookmarkStart w:id="81" w:name="_Toc152163946"/>
      <w:r>
        <w:rPr>
          <w:rFonts w:hint="eastAsia" w:ascii="Times New Roman" w:hAnsi="Times New Roman" w:eastAsia="黑体" w:cs="Times New Roman"/>
          <w:bCs/>
          <w:color w:val="7030A0"/>
          <w:kern w:val="2"/>
          <w:sz w:val="32"/>
          <w:szCs w:val="32"/>
          <w:highlight w:val="none"/>
          <w:lang w:val="en-US" w:eastAsia="zh-CN" w:bidi="ar-SA"/>
        </w:rPr>
        <w:t>对建设项目环境影响评价的要求</w:t>
      </w:r>
      <w:bookmarkEnd w:id="81"/>
    </w:p>
    <w:p>
      <w:pPr>
        <w:pStyle w:val="89"/>
        <w:ind w:firstLine="480"/>
        <w:rPr>
          <w:highlight w:val="none"/>
        </w:rPr>
      </w:pPr>
      <w:r>
        <w:rPr>
          <w:rFonts w:hint="eastAsia"/>
          <w:highlight w:val="none"/>
        </w:rPr>
        <w:t>由于规划方案在实施过程中和实施后，对环境可能造成的影响，是由各规划的建设项目具体表现出来的，因此做好各规划建设项目的环境影响评价，对规划方案的实施具有重要的作用。对园区建设项目进行环境影响评价，应做好以下几个方面的工作。</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建设项目环境影响评价重点内容和基本要求</w:t>
      </w:r>
    </w:p>
    <w:p>
      <w:pPr>
        <w:pStyle w:val="5"/>
        <w:numPr>
          <w:ilvl w:val="3"/>
          <w:numId w:val="0"/>
        </w:numPr>
        <w:ind w:leftChars="0"/>
        <w:jc w:val="both"/>
        <w:rPr>
          <w:rFonts w:hint="eastAsia"/>
          <w:highlight w:val="none"/>
          <w:lang w:val="en-US" w:eastAsia="zh-CN"/>
        </w:rPr>
      </w:pPr>
      <w:r>
        <w:rPr>
          <w:rFonts w:hint="eastAsia"/>
          <w:highlight w:val="none"/>
          <w:lang w:val="en-US" w:eastAsia="zh-CN"/>
        </w:rPr>
        <w:t>8.1.1.2 工程分析</w:t>
      </w:r>
    </w:p>
    <w:p>
      <w:pPr>
        <w:pStyle w:val="89"/>
        <w:ind w:firstLine="480"/>
        <w:rPr>
          <w:highlight w:val="none"/>
        </w:rPr>
      </w:pPr>
      <w:r>
        <w:rPr>
          <w:rFonts w:hint="eastAsia"/>
          <w:highlight w:val="none"/>
        </w:rPr>
        <w:t>（1）重点分析项目的工艺过程，采用物料平衡法、排污系数法、类比分析等方法，确定项目废气、废水和固废的产生量、产生强度和预计排放量等；</w:t>
      </w:r>
    </w:p>
    <w:p>
      <w:pPr>
        <w:pStyle w:val="89"/>
        <w:ind w:firstLine="480"/>
        <w:rPr>
          <w:highlight w:val="none"/>
        </w:rPr>
      </w:pPr>
      <w:r>
        <w:rPr>
          <w:rFonts w:hint="eastAsia"/>
          <w:highlight w:val="none"/>
        </w:rPr>
        <w:t>（2）论证总平面布置及选址的合理性；</w:t>
      </w:r>
    </w:p>
    <w:p>
      <w:pPr>
        <w:pStyle w:val="89"/>
        <w:ind w:firstLine="480"/>
        <w:rPr>
          <w:highlight w:val="none"/>
        </w:rPr>
      </w:pPr>
      <w:r>
        <w:rPr>
          <w:rFonts w:hint="eastAsia"/>
          <w:highlight w:val="none"/>
        </w:rPr>
        <w:t xml:space="preserve">（3）论述与国家产业政策等相关规范的符合性，论证项目选址环境相容性； </w:t>
      </w:r>
    </w:p>
    <w:p>
      <w:pPr>
        <w:pStyle w:val="89"/>
        <w:ind w:firstLine="480"/>
        <w:rPr>
          <w:highlight w:val="none"/>
        </w:rPr>
      </w:pPr>
      <w:r>
        <w:rPr>
          <w:rFonts w:hint="eastAsia"/>
          <w:highlight w:val="none"/>
        </w:rPr>
        <w:t>（4）通过生产工艺的先进性、能耗、水耗、物耗等方面的分析，论述项目的清洁生产水平；</w:t>
      </w:r>
    </w:p>
    <w:p>
      <w:pPr>
        <w:pStyle w:val="89"/>
        <w:ind w:firstLine="480"/>
        <w:rPr>
          <w:highlight w:val="none"/>
        </w:rPr>
      </w:pPr>
      <w:r>
        <w:rPr>
          <w:rFonts w:hint="eastAsia"/>
          <w:highlight w:val="none"/>
        </w:rPr>
        <w:t>（5）进行水量平衡分析，提高用水重复利用率；</w:t>
      </w:r>
    </w:p>
    <w:p>
      <w:pPr>
        <w:pStyle w:val="89"/>
        <w:ind w:firstLine="480"/>
        <w:rPr>
          <w:highlight w:val="none"/>
        </w:rPr>
      </w:pPr>
      <w:r>
        <w:rPr>
          <w:rFonts w:hint="eastAsia"/>
          <w:highlight w:val="none"/>
        </w:rPr>
        <w:t>（6）分析在项目实施过程中对水土流失、动植物带来的环境影响。</w:t>
      </w:r>
    </w:p>
    <w:p>
      <w:pPr>
        <w:pStyle w:val="5"/>
        <w:numPr>
          <w:ilvl w:val="3"/>
          <w:numId w:val="0"/>
        </w:numPr>
        <w:rPr>
          <w:highlight w:val="none"/>
        </w:rPr>
      </w:pPr>
      <w:r>
        <w:rPr>
          <w:rFonts w:hint="eastAsia"/>
          <w:highlight w:val="none"/>
          <w:lang w:val="en-US" w:eastAsia="zh-CN"/>
        </w:rPr>
        <w:t xml:space="preserve">8.1.1.3 </w:t>
      </w:r>
      <w:r>
        <w:rPr>
          <w:rFonts w:hint="eastAsia"/>
          <w:highlight w:val="none"/>
        </w:rPr>
        <w:t>环境影响预测评价</w:t>
      </w:r>
    </w:p>
    <w:p>
      <w:pPr>
        <w:pStyle w:val="89"/>
        <w:ind w:firstLine="480"/>
        <w:rPr>
          <w:highlight w:val="none"/>
        </w:rPr>
      </w:pPr>
      <w:r>
        <w:rPr>
          <w:rFonts w:hint="eastAsia"/>
          <w:highlight w:val="none"/>
        </w:rPr>
        <w:t>针对规划中的各建设项目，项目环境影响评价应主要包括以下内容：</w:t>
      </w:r>
    </w:p>
    <w:p>
      <w:pPr>
        <w:pStyle w:val="89"/>
        <w:ind w:firstLine="480"/>
        <w:rPr>
          <w:highlight w:val="none"/>
        </w:rPr>
      </w:pPr>
      <w:r>
        <w:rPr>
          <w:rFonts w:hint="eastAsia"/>
          <w:highlight w:val="none"/>
        </w:rPr>
        <w:t>（1）预测项目建成后，可能对地表水环境、区域环境空气、声环境、地下水以及土壤造成的影响；</w:t>
      </w:r>
    </w:p>
    <w:p>
      <w:pPr>
        <w:pStyle w:val="89"/>
        <w:ind w:firstLine="480"/>
        <w:rPr>
          <w:highlight w:val="none"/>
        </w:rPr>
      </w:pPr>
      <w:r>
        <w:rPr>
          <w:rFonts w:hint="eastAsia"/>
          <w:highlight w:val="none"/>
        </w:rPr>
        <w:t>（2）预测项目实施过程中，可能扰动原地表组织物质，造成水土流失的影响；</w:t>
      </w:r>
    </w:p>
    <w:p>
      <w:pPr>
        <w:pStyle w:val="89"/>
        <w:ind w:firstLine="480"/>
        <w:rPr>
          <w:highlight w:val="none"/>
        </w:rPr>
      </w:pPr>
      <w:r>
        <w:rPr>
          <w:rFonts w:hint="eastAsia"/>
          <w:highlight w:val="none"/>
        </w:rPr>
        <w:t>（3）预测项目实施过程中和实施后，对区域土地利用状况、农业生产结构、生产生活用水的影响；</w:t>
      </w:r>
    </w:p>
    <w:p>
      <w:pPr>
        <w:pStyle w:val="89"/>
        <w:ind w:firstLine="480"/>
        <w:rPr>
          <w:highlight w:val="none"/>
        </w:rPr>
      </w:pPr>
      <w:r>
        <w:rPr>
          <w:rFonts w:hint="eastAsia"/>
          <w:highlight w:val="none"/>
        </w:rPr>
        <w:t>（4）进行项目环境风险分析和评价，提出风险防范措施及预案。具体结合环评导则等相关管理要求进行；</w:t>
      </w:r>
    </w:p>
    <w:p>
      <w:pPr>
        <w:ind w:firstLine="480"/>
        <w:rPr>
          <w:highlight w:val="none"/>
        </w:rPr>
      </w:pPr>
      <w:r>
        <w:rPr>
          <w:rFonts w:hint="eastAsia"/>
          <w:highlight w:val="none"/>
        </w:rPr>
        <w:t>（6）预测规划实施过程中和实施后，对当地社会环境，特别是移民搬迁带来的影响。</w:t>
      </w:r>
    </w:p>
    <w:p>
      <w:pPr>
        <w:pStyle w:val="5"/>
        <w:numPr>
          <w:ilvl w:val="3"/>
          <w:numId w:val="0"/>
        </w:numPr>
        <w:ind w:left="426" w:leftChars="0"/>
        <w:rPr>
          <w:highlight w:val="none"/>
        </w:rPr>
      </w:pPr>
      <w:r>
        <w:rPr>
          <w:rFonts w:hint="eastAsia"/>
          <w:highlight w:val="none"/>
          <w:lang w:val="en-US" w:eastAsia="zh-CN"/>
        </w:rPr>
        <w:t>8.1.1.4</w:t>
      </w:r>
      <w:r>
        <w:rPr>
          <w:rFonts w:hint="eastAsia"/>
          <w:highlight w:val="none"/>
        </w:rPr>
        <w:t>环保减缓措施</w:t>
      </w:r>
    </w:p>
    <w:p>
      <w:pPr>
        <w:pStyle w:val="89"/>
        <w:ind w:firstLine="480"/>
        <w:rPr>
          <w:highlight w:val="none"/>
        </w:rPr>
      </w:pPr>
      <w:r>
        <w:rPr>
          <w:rFonts w:hint="eastAsia"/>
          <w:highlight w:val="none"/>
        </w:rPr>
        <w:t>建设项目对应采取的环保措施和对策应包括以下几个方面：</w:t>
      </w:r>
    </w:p>
    <w:p>
      <w:pPr>
        <w:pStyle w:val="89"/>
        <w:ind w:firstLine="480"/>
        <w:rPr>
          <w:highlight w:val="none"/>
        </w:rPr>
      </w:pPr>
      <w:r>
        <w:rPr>
          <w:rFonts w:hint="eastAsia"/>
          <w:highlight w:val="none"/>
        </w:rPr>
        <w:t>（1）重点从废水、废气、固废、噪声以及地下水和土壤等方面，分析拟采取的环保措施的合理性和可行性。确保废气、噪声、废水达标排放，固体废物有效处置，以及地下水和土壤污防控有效；</w:t>
      </w:r>
    </w:p>
    <w:p>
      <w:pPr>
        <w:pStyle w:val="89"/>
        <w:ind w:firstLine="480"/>
        <w:rPr>
          <w:highlight w:val="none"/>
        </w:rPr>
      </w:pPr>
      <w:r>
        <w:rPr>
          <w:rFonts w:hint="eastAsia"/>
          <w:highlight w:val="none"/>
        </w:rPr>
        <w:t>（2）重点论述风险防范措施的合理性和可行性，针对可能存在的环境风险，制定风险应急预案；</w:t>
      </w:r>
    </w:p>
    <w:p>
      <w:pPr>
        <w:pStyle w:val="89"/>
        <w:ind w:firstLine="480"/>
        <w:rPr>
          <w:highlight w:val="none"/>
        </w:rPr>
      </w:pPr>
      <w:r>
        <w:rPr>
          <w:rFonts w:hint="eastAsia"/>
          <w:highlight w:val="none"/>
        </w:rPr>
        <w:t>（3）论述施工期水土流失、防治措施、植被保护和恢复措施的可行性；</w:t>
      </w:r>
    </w:p>
    <w:p>
      <w:pPr>
        <w:pStyle w:val="89"/>
        <w:ind w:firstLine="480"/>
        <w:rPr>
          <w:highlight w:val="none"/>
        </w:rPr>
      </w:pPr>
      <w:r>
        <w:rPr>
          <w:rFonts w:hint="eastAsia"/>
          <w:highlight w:val="none"/>
        </w:rPr>
        <w:t>（4）确定合理的卫生防护距离，论述移民安置方案的合理性；</w:t>
      </w:r>
    </w:p>
    <w:p>
      <w:pPr>
        <w:pStyle w:val="89"/>
        <w:ind w:firstLine="480"/>
        <w:rPr>
          <w:highlight w:val="none"/>
        </w:rPr>
      </w:pPr>
      <w:r>
        <w:rPr>
          <w:rFonts w:hint="eastAsia"/>
          <w:highlight w:val="none"/>
        </w:rPr>
        <w:t>（5）从循环经济角度，分析项目废水、废气、固废资源化利用措施及途径。</w:t>
      </w:r>
    </w:p>
    <w:p>
      <w:pPr>
        <w:pStyle w:val="89"/>
        <w:ind w:firstLine="480"/>
        <w:rPr>
          <w:highlight w:val="none"/>
        </w:rPr>
      </w:pPr>
      <w:r>
        <w:rPr>
          <w:rFonts w:hint="eastAsia"/>
          <w:highlight w:val="none"/>
        </w:rPr>
        <w:t>（6）风险防范措施及应急预案；</w:t>
      </w:r>
    </w:p>
    <w:p>
      <w:pPr>
        <w:pStyle w:val="89"/>
        <w:ind w:firstLine="480"/>
        <w:rPr>
          <w:highlight w:val="none"/>
        </w:rPr>
      </w:pPr>
      <w:r>
        <w:rPr>
          <w:rFonts w:hint="eastAsia"/>
          <w:highlight w:val="none"/>
        </w:rPr>
        <w:t>（7）明确提高厂区绿化率的措施。</w:t>
      </w:r>
    </w:p>
    <w:p>
      <w:pPr>
        <w:keepNext/>
        <w:keepLines/>
        <w:widowControl w:val="0"/>
        <w:numPr>
          <w:ilvl w:val="0"/>
          <w:numId w:val="0"/>
        </w:numPr>
        <w:spacing w:line="360" w:lineRule="auto"/>
        <w:jc w:val="left"/>
        <w:outlineLvl w:val="2"/>
        <w:rPr>
          <w:rFonts w:ascii="Times New Roman" w:hAnsi="Times New Roman" w:eastAsia="黑体" w:cstheme="minorBidi"/>
          <w:bCs/>
          <w:kern w:val="2"/>
          <w:sz w:val="28"/>
          <w:szCs w:val="32"/>
          <w:highlight w:val="none"/>
          <w:lang w:val="en-US" w:eastAsia="zh-CN" w:bidi="ar-SA"/>
        </w:rPr>
      </w:pPr>
      <w:r>
        <w:rPr>
          <w:rFonts w:hint="eastAsia" w:ascii="Times New Roman" w:hAnsi="Times New Roman" w:eastAsia="黑体" w:cstheme="minorBidi"/>
          <w:bCs/>
          <w:kern w:val="2"/>
          <w:sz w:val="28"/>
          <w:szCs w:val="32"/>
          <w:highlight w:val="none"/>
          <w:lang w:val="en-US" w:eastAsia="zh-CN" w:bidi="ar-SA"/>
        </w:rPr>
        <w:t>8.4简化入园建设项目环境影响评价的建议</w:t>
      </w:r>
    </w:p>
    <w:p>
      <w:pPr>
        <w:pStyle w:val="89"/>
        <w:ind w:firstLine="480"/>
        <w:rPr>
          <w:rFonts w:hint="eastAsia"/>
          <w:highlight w:val="none"/>
        </w:rPr>
      </w:pPr>
      <w:r>
        <w:rPr>
          <w:rFonts w:hint="eastAsia"/>
          <w:highlight w:val="none"/>
        </w:rPr>
        <w:t>规划环评建议对符合规划环评管控要求、生态环境准入清单的具体建设项目，应将规划环评结论作为重要依据。项目环评中的在规划环评已分析的政策规划协调性、有效期内的环境现状监测数据、有效期内的污染源调查数据、已按照规划环评建设的基础设施相关内容、公众参与等资料可供建设项目环评共享，建设项目相应评价内容可结合实际情况予以简化。</w:t>
      </w:r>
    </w:p>
    <w:p>
      <w:pPr>
        <w:rPr>
          <w:rFonts w:hint="eastAsia"/>
          <w:highlight w:val="none"/>
        </w:rPr>
      </w:pPr>
      <w:r>
        <w:rPr>
          <w:rFonts w:hint="eastAsia"/>
          <w:highlight w:val="none"/>
        </w:rPr>
        <w:br w:type="page"/>
      </w:r>
    </w:p>
    <w:p>
      <w:pPr>
        <w:keepNext/>
        <w:keepLines/>
        <w:widowControl w:val="0"/>
        <w:numPr>
          <w:ilvl w:val="0"/>
          <w:numId w:val="9"/>
        </w:numPr>
        <w:spacing w:before="163" w:beforeLines="0" w:after="163" w:afterLines="0" w:line="578" w:lineRule="auto"/>
        <w:ind w:left="440" w:hanging="440" w:firstLineChars="0"/>
        <w:jc w:val="both"/>
        <w:outlineLvl w:val="0"/>
        <w:rPr>
          <w:rFonts w:hint="eastAsia" w:ascii="Times New Roman" w:hAnsi="Times New Roman" w:eastAsia="黑体" w:cs="Times New Roman"/>
          <w:bCs/>
          <w:color w:val="7030A0"/>
          <w:kern w:val="44"/>
          <w:sz w:val="44"/>
          <w:szCs w:val="44"/>
          <w:highlight w:val="none"/>
          <w:lang w:val="en-US" w:eastAsia="zh-CN" w:bidi="ar-SA"/>
        </w:rPr>
      </w:pPr>
      <w:bookmarkStart w:id="82" w:name="_Toc152163926"/>
      <w:r>
        <w:rPr>
          <w:rFonts w:hint="eastAsia" w:ascii="Times New Roman" w:hAnsi="Times New Roman" w:eastAsia="黑体" w:cs="Times New Roman"/>
          <w:bCs/>
          <w:color w:val="7030A0"/>
          <w:kern w:val="44"/>
          <w:sz w:val="44"/>
          <w:szCs w:val="44"/>
          <w:highlight w:val="none"/>
          <w:lang w:val="en-US" w:eastAsia="zh-CN" w:bidi="ar-SA"/>
        </w:rPr>
        <w:t>资源与环境承载力分析</w:t>
      </w:r>
      <w:bookmarkEnd w:id="82"/>
    </w:p>
    <w:p>
      <w:pPr>
        <w:keepNext/>
        <w:keepLines/>
        <w:widowControl w:val="0"/>
        <w:spacing w:before="260" w:after="260" w:line="416" w:lineRule="auto"/>
        <w:ind w:firstLine="643" w:firstLineChars="200"/>
        <w:jc w:val="both"/>
        <w:outlineLvl w:val="1"/>
        <w:rPr>
          <w:rFonts w:ascii="Calibri Light" w:hAnsi="Calibri Light" w:eastAsia="宋体" w:cs="Times New Roman"/>
          <w:b/>
          <w:bCs/>
          <w:kern w:val="2"/>
          <w:sz w:val="32"/>
          <w:szCs w:val="32"/>
          <w:highlight w:val="none"/>
          <w:lang w:val="en-US" w:eastAsia="zh-CN" w:bidi="ar-SA"/>
          <w14:ligatures w14:val="standardContextual"/>
        </w:rPr>
      </w:pPr>
      <w:bookmarkStart w:id="83" w:name="_Toc152163927"/>
      <w:r>
        <w:rPr>
          <w:rFonts w:hint="eastAsia" w:ascii="Calibri Light" w:hAnsi="Calibri Light" w:eastAsia="宋体" w:cs="Times New Roman"/>
          <w:b/>
          <w:bCs/>
          <w:kern w:val="2"/>
          <w:sz w:val="32"/>
          <w:szCs w:val="32"/>
          <w:highlight w:val="none"/>
          <w:lang w:val="en-US" w:eastAsia="zh-CN" w:bidi="ar-SA"/>
          <w14:ligatures w14:val="standardContextual"/>
        </w:rPr>
        <w:t>9.1资源与能源的影响</w:t>
      </w:r>
      <w:bookmarkEnd w:id="83"/>
    </w:p>
    <w:p>
      <w:pPr>
        <w:keepNext/>
        <w:keepLines/>
        <w:widowControl w:val="0"/>
        <w:spacing w:before="260" w:after="260" w:line="416" w:lineRule="auto"/>
        <w:ind w:firstLine="643" w:firstLineChars="200"/>
        <w:jc w:val="both"/>
        <w:outlineLvl w:val="2"/>
        <w:rPr>
          <w:rFonts w:ascii="Times New Roman" w:hAnsi="Times New Roman" w:eastAsia="宋体" w:cs="Times New Roman"/>
          <w:b/>
          <w:bCs/>
          <w:kern w:val="2"/>
          <w:sz w:val="32"/>
          <w:szCs w:val="32"/>
          <w:highlight w:val="none"/>
          <w:lang w:val="en-US" w:eastAsia="zh-CN" w:bidi="ar-SA"/>
          <w14:ligatures w14:val="standardContextual"/>
        </w:rPr>
      </w:pPr>
      <w:r>
        <w:rPr>
          <w:rFonts w:hint="eastAsia" w:ascii="Times New Roman" w:hAnsi="Times New Roman" w:eastAsia="宋体" w:cs="Times New Roman"/>
          <w:b/>
          <w:bCs/>
          <w:kern w:val="2"/>
          <w:sz w:val="32"/>
          <w:szCs w:val="32"/>
          <w:highlight w:val="none"/>
          <w:lang w:val="en-US" w:eastAsia="zh-CN" w:bidi="ar-SA"/>
          <w14:ligatures w14:val="standardContextual"/>
        </w:rPr>
        <w:t>9.1.1水资源影响分析</w:t>
      </w:r>
    </w:p>
    <w:p>
      <w:pPr>
        <w:widowControl w:val="0"/>
        <w:adjustRightInd w:val="0"/>
        <w:snapToGrid w:val="0"/>
        <w:spacing w:line="360" w:lineRule="auto"/>
        <w:ind w:firstLine="482" w:firstLineChars="200"/>
        <w:jc w:val="both"/>
        <w:rPr>
          <w:rFonts w:ascii="Times New Roman" w:hAnsi="Times New Roman" w:eastAsia="宋体" w:cs="Times New Roman"/>
          <w:bCs/>
          <w:color w:val="2F5496"/>
          <w:kern w:val="2"/>
          <w:sz w:val="24"/>
          <w:szCs w:val="21"/>
          <w:highlight w:val="none"/>
          <w:lang w:val="en-US" w:eastAsia="zh-CN" w:bidi="ar-SA"/>
          <w14:ligatures w14:val="standardContextual"/>
        </w:rPr>
      </w:pPr>
      <w:r>
        <w:rPr>
          <w:rFonts w:hint="eastAsia" w:ascii="Times New Roman" w:hAnsi="Times New Roman" w:eastAsia="宋体" w:cs="Times New Roman"/>
          <w:b/>
          <w:bCs w:val="0"/>
          <w:kern w:val="2"/>
          <w:sz w:val="24"/>
          <w:szCs w:val="21"/>
          <w:highlight w:val="none"/>
          <w:lang w:val="en-US" w:eastAsia="zh-CN" w:bidi="ar-SA"/>
          <w14:ligatures w14:val="standardContextual"/>
        </w:rPr>
        <w:t>（略）</w:t>
      </w:r>
    </w:p>
    <w:p>
      <w:pPr>
        <w:keepNext/>
        <w:keepLines/>
        <w:widowControl w:val="0"/>
        <w:spacing w:before="260" w:after="260" w:line="416" w:lineRule="auto"/>
        <w:ind w:firstLine="643" w:firstLineChars="200"/>
        <w:jc w:val="both"/>
        <w:outlineLvl w:val="2"/>
        <w:rPr>
          <w:rFonts w:ascii="Times New Roman" w:hAnsi="Times New Roman" w:eastAsia="宋体" w:cs="Times New Roman"/>
          <w:b/>
          <w:bCs/>
          <w:color w:val="2F5496"/>
          <w:kern w:val="2"/>
          <w:sz w:val="32"/>
          <w:szCs w:val="32"/>
          <w:highlight w:val="none"/>
          <w:lang w:val="en-US" w:eastAsia="zh-CN" w:bidi="ar-SA"/>
          <w14:ligatures w14:val="standardContextual"/>
        </w:rPr>
      </w:pPr>
      <w:r>
        <w:rPr>
          <w:rFonts w:hint="eastAsia" w:ascii="Times New Roman" w:hAnsi="Times New Roman" w:eastAsia="宋体" w:cs="Times New Roman"/>
          <w:b/>
          <w:bCs/>
          <w:color w:val="2F5496"/>
          <w:kern w:val="2"/>
          <w:sz w:val="32"/>
          <w:szCs w:val="32"/>
          <w:highlight w:val="none"/>
          <w:lang w:val="en-US" w:eastAsia="zh-CN" w:bidi="ar-SA"/>
          <w14:ligatures w14:val="standardContextual"/>
        </w:rPr>
        <w:t>9.1.2能源影响分析</w:t>
      </w:r>
    </w:p>
    <w:p>
      <w:pPr>
        <w:widowControl w:val="0"/>
        <w:adjustRightInd w:val="0"/>
        <w:snapToGrid w:val="0"/>
        <w:spacing w:line="360" w:lineRule="auto"/>
        <w:ind w:firstLine="480" w:firstLineChars="200"/>
        <w:jc w:val="both"/>
        <w:rPr>
          <w:rFonts w:ascii="Times New Roman" w:hAnsi="Times New Roman" w:eastAsia="宋体" w:cs="Times New Roman"/>
          <w:bCs/>
          <w:kern w:val="2"/>
          <w:sz w:val="24"/>
          <w:szCs w:val="21"/>
          <w:highlight w:val="none"/>
          <w:lang w:val="en-US" w:eastAsia="zh-CN" w:bidi="ar-SA"/>
          <w14:ligatures w14:val="standardContextual"/>
        </w:rPr>
      </w:pPr>
      <w:r>
        <w:rPr>
          <w:rFonts w:hint="eastAsia" w:ascii="Times New Roman" w:hAnsi="Times New Roman" w:eastAsia="宋体" w:cs="Times New Roman"/>
          <w:bCs/>
          <w:kern w:val="2"/>
          <w:sz w:val="24"/>
          <w:szCs w:val="21"/>
          <w:highlight w:val="none"/>
          <w:lang w:val="en-US" w:eastAsia="zh-CN" w:bidi="ar-SA"/>
          <w14:ligatures w14:val="standardContextual"/>
        </w:rPr>
        <w:t>（略）</w:t>
      </w:r>
    </w:p>
    <w:p>
      <w:pPr>
        <w:keepNext/>
        <w:keepLines/>
        <w:widowControl w:val="0"/>
        <w:spacing w:before="260" w:after="260" w:line="416" w:lineRule="auto"/>
        <w:ind w:firstLine="643" w:firstLineChars="200"/>
        <w:jc w:val="both"/>
        <w:outlineLvl w:val="2"/>
        <w:rPr>
          <w:rFonts w:ascii="Times New Roman" w:hAnsi="Times New Roman" w:eastAsia="宋体" w:cs="Times New Roman"/>
          <w:b/>
          <w:bCs/>
          <w:color w:val="2F5496"/>
          <w:kern w:val="2"/>
          <w:sz w:val="32"/>
          <w:szCs w:val="32"/>
          <w:highlight w:val="none"/>
          <w:lang w:val="en-US" w:eastAsia="zh-CN" w:bidi="ar-SA"/>
          <w14:ligatures w14:val="standardContextual"/>
        </w:rPr>
      </w:pPr>
      <w:r>
        <w:rPr>
          <w:rFonts w:hint="eastAsia" w:ascii="Times New Roman" w:hAnsi="Times New Roman" w:eastAsia="宋体" w:cs="Times New Roman"/>
          <w:b/>
          <w:bCs/>
          <w:color w:val="2F5496"/>
          <w:kern w:val="2"/>
          <w:sz w:val="32"/>
          <w:szCs w:val="32"/>
          <w:highlight w:val="none"/>
          <w:lang w:val="en-US" w:eastAsia="zh-CN" w:bidi="ar-SA"/>
          <w14:ligatures w14:val="standardContextual"/>
        </w:rPr>
        <w:t>9.1.3土地资源的影响评价</w:t>
      </w:r>
    </w:p>
    <w:p>
      <w:pPr>
        <w:widowControl w:val="0"/>
        <w:adjustRightInd w:val="0"/>
        <w:snapToGrid w:val="0"/>
        <w:spacing w:line="360" w:lineRule="auto"/>
        <w:ind w:firstLine="480" w:firstLineChars="200"/>
        <w:jc w:val="both"/>
        <w:rPr>
          <w:rFonts w:ascii="Times New Roman" w:hAnsi="Times New Roman" w:eastAsia="宋体" w:cs="Times New Roman"/>
          <w:bCs/>
          <w:kern w:val="2"/>
          <w:sz w:val="24"/>
          <w:szCs w:val="21"/>
          <w:highlight w:val="none"/>
          <w:lang w:val="en-US" w:eastAsia="zh-CN" w:bidi="ar-SA"/>
          <w14:ligatures w14:val="standardContextual"/>
        </w:rPr>
      </w:pPr>
      <w:r>
        <w:rPr>
          <w:rFonts w:hint="eastAsia" w:ascii="Times New Roman" w:hAnsi="Times New Roman" w:eastAsia="宋体" w:cs="Times New Roman"/>
          <w:bCs/>
          <w:kern w:val="2"/>
          <w:sz w:val="24"/>
          <w:szCs w:val="21"/>
          <w:highlight w:val="none"/>
          <w:lang w:val="en-US" w:eastAsia="zh-CN" w:bidi="ar-SA"/>
          <w14:ligatures w14:val="standardContextual"/>
        </w:rPr>
        <w:t>（略）</w:t>
      </w:r>
    </w:p>
    <w:p>
      <w:pPr>
        <w:keepNext/>
        <w:keepLines/>
        <w:widowControl w:val="0"/>
        <w:spacing w:before="260" w:after="260" w:line="416" w:lineRule="auto"/>
        <w:ind w:firstLine="643" w:firstLineChars="200"/>
        <w:jc w:val="both"/>
        <w:outlineLvl w:val="1"/>
        <w:rPr>
          <w:rFonts w:ascii="Calibri Light" w:hAnsi="Calibri Light" w:eastAsia="宋体" w:cs="Times New Roman"/>
          <w:b/>
          <w:bCs/>
          <w:color w:val="2F5496"/>
          <w:kern w:val="2"/>
          <w:sz w:val="32"/>
          <w:szCs w:val="32"/>
          <w:highlight w:val="none"/>
          <w:lang w:val="en-US" w:eastAsia="zh-CN" w:bidi="ar-SA"/>
          <w14:ligatures w14:val="standardContextual"/>
        </w:rPr>
      </w:pPr>
      <w:bookmarkStart w:id="84" w:name="_Toc152163928"/>
      <w:r>
        <w:rPr>
          <w:rFonts w:hint="eastAsia" w:ascii="Calibri Light" w:hAnsi="Calibri Light" w:eastAsia="宋体" w:cs="Times New Roman"/>
          <w:b/>
          <w:bCs/>
          <w:color w:val="2F5496"/>
          <w:kern w:val="2"/>
          <w:sz w:val="32"/>
          <w:szCs w:val="32"/>
          <w:highlight w:val="none"/>
          <w:lang w:val="en-US" w:eastAsia="zh-CN" w:bidi="ar-SA"/>
          <w14:ligatures w14:val="standardContextual"/>
        </w:rPr>
        <w:t>9.2大气环境容量测算及总量控制建议指标</w:t>
      </w:r>
      <w:bookmarkEnd w:id="84"/>
    </w:p>
    <w:p>
      <w:pPr>
        <w:keepNext/>
        <w:keepLines/>
        <w:widowControl w:val="0"/>
        <w:spacing w:before="260" w:after="260" w:line="416" w:lineRule="auto"/>
        <w:ind w:firstLine="643" w:firstLineChars="200"/>
        <w:jc w:val="both"/>
        <w:outlineLvl w:val="2"/>
        <w:rPr>
          <w:rFonts w:ascii="Times New Roman" w:hAnsi="Times New Roman" w:eastAsia="宋体" w:cs="Times New Roman"/>
          <w:b/>
          <w:bCs/>
          <w:color w:val="2F5496"/>
          <w:kern w:val="2"/>
          <w:sz w:val="32"/>
          <w:szCs w:val="32"/>
          <w:highlight w:val="none"/>
          <w:lang w:val="en-US" w:eastAsia="zh-CN" w:bidi="ar-SA"/>
          <w14:ligatures w14:val="standardContextual"/>
        </w:rPr>
      </w:pPr>
      <w:r>
        <w:rPr>
          <w:rFonts w:hint="eastAsia" w:ascii="Times New Roman" w:hAnsi="Times New Roman" w:eastAsia="宋体" w:cs="Times New Roman"/>
          <w:b/>
          <w:bCs/>
          <w:color w:val="2F5496"/>
          <w:kern w:val="2"/>
          <w:sz w:val="32"/>
          <w:szCs w:val="32"/>
          <w:highlight w:val="none"/>
          <w:lang w:val="en-US" w:eastAsia="zh-CN" w:bidi="ar-SA"/>
          <w14:ligatures w14:val="standardContextual"/>
        </w:rPr>
        <w:t>9.2.1大气环境容量测算</w:t>
      </w:r>
    </w:p>
    <w:p>
      <w:pPr>
        <w:widowControl w:val="0"/>
        <w:adjustRightInd w:val="0"/>
        <w:snapToGrid w:val="0"/>
        <w:spacing w:line="360" w:lineRule="auto"/>
        <w:ind w:firstLine="482" w:firstLineChars="200"/>
        <w:jc w:val="both"/>
        <w:outlineLvl w:val="4"/>
        <w:rPr>
          <w:rFonts w:ascii="Times New Roman" w:hAnsi="Times New Roman" w:eastAsia="宋体" w:cs="Times New Roman"/>
          <w:b/>
          <w:bCs w:val="0"/>
          <w:kern w:val="2"/>
          <w:sz w:val="24"/>
          <w:szCs w:val="21"/>
          <w:highlight w:val="none"/>
          <w:lang w:val="zh-CN" w:eastAsia="zh-CN" w:bidi="ar-SA"/>
          <w14:ligatures w14:val="standardContextual"/>
        </w:rPr>
      </w:pPr>
      <w:r>
        <w:rPr>
          <w:rFonts w:ascii="Times New Roman" w:hAnsi="Times New Roman" w:eastAsia="宋体" w:cs="Times New Roman"/>
          <w:b/>
          <w:bCs w:val="0"/>
          <w:kern w:val="2"/>
          <w:sz w:val="24"/>
          <w:szCs w:val="21"/>
          <w:highlight w:val="none"/>
          <w:lang w:val="zh-CN" w:eastAsia="zh-CN" w:bidi="ar-SA"/>
          <w14:ligatures w14:val="standardContextual"/>
        </w:rPr>
        <w:t>1、测算模式</w:t>
      </w:r>
    </w:p>
    <w:p>
      <w:pPr>
        <w:widowControl w:val="0"/>
        <w:adjustRightInd w:val="0"/>
        <w:snapToGrid w:val="0"/>
        <w:spacing w:line="360" w:lineRule="auto"/>
        <w:ind w:firstLine="0" w:firstLineChars="0"/>
        <w:jc w:val="center"/>
        <w:rPr>
          <w:rFonts w:ascii="Times New Roman" w:hAnsi="Times New Roman" w:eastAsia="宋体" w:cs="Times New Roman"/>
          <w:bCs/>
          <w:kern w:val="2"/>
          <w:sz w:val="24"/>
          <w:szCs w:val="21"/>
          <w:highlight w:val="none"/>
          <w:lang w:val="en-US" w:eastAsia="zh-CN" w:bidi="ar-SA"/>
          <w14:ligatures w14:val="standardContextual"/>
        </w:rPr>
      </w:pPr>
      <w:r>
        <w:rPr>
          <w:rFonts w:hint="eastAsia" w:ascii="Times New Roman" w:hAnsi="Times New Roman" w:eastAsia="宋体" w:cs="Times New Roman"/>
          <w:bCs/>
          <w:kern w:val="2"/>
          <w:sz w:val="24"/>
          <w:szCs w:val="21"/>
          <w:highlight w:val="none"/>
          <w:lang w:val="en-US" w:eastAsia="zh-CN" w:bidi="ar-SA"/>
          <w14:ligatures w14:val="standardContextual"/>
        </w:rPr>
        <w:t>（略）</w:t>
      </w:r>
    </w:p>
    <w:p>
      <w:pPr>
        <w:widowControl w:val="0"/>
        <w:adjustRightInd w:val="0"/>
        <w:snapToGrid w:val="0"/>
        <w:spacing w:line="360" w:lineRule="auto"/>
        <w:ind w:firstLine="482" w:firstLineChars="200"/>
        <w:jc w:val="both"/>
        <w:outlineLvl w:val="4"/>
        <w:rPr>
          <w:rFonts w:ascii="Times New Roman" w:hAnsi="Times New Roman" w:eastAsia="宋体" w:cs="Times New Roman"/>
          <w:b/>
          <w:bCs w:val="0"/>
          <w:kern w:val="2"/>
          <w:sz w:val="24"/>
          <w:szCs w:val="21"/>
          <w:highlight w:val="none"/>
          <w:lang w:val="zh-CN" w:eastAsia="zh-CN" w:bidi="ar-SA"/>
          <w14:ligatures w14:val="standardContextual"/>
        </w:rPr>
      </w:pPr>
      <w:r>
        <w:rPr>
          <w:rFonts w:ascii="Times New Roman" w:hAnsi="Times New Roman" w:eastAsia="宋体" w:cs="Times New Roman"/>
          <w:b/>
          <w:bCs w:val="0"/>
          <w:kern w:val="2"/>
          <w:sz w:val="24"/>
          <w:szCs w:val="21"/>
          <w:highlight w:val="none"/>
          <w:lang w:val="zh-CN" w:eastAsia="zh-CN" w:bidi="ar-SA"/>
          <w14:ligatures w14:val="standardContextual"/>
        </w:rPr>
        <w:t>2、总量管控因子</w:t>
      </w:r>
    </w:p>
    <w:p>
      <w:pPr>
        <w:widowControl w:val="0"/>
        <w:adjustRightInd w:val="0"/>
        <w:snapToGrid w:val="0"/>
        <w:spacing w:line="360" w:lineRule="auto"/>
        <w:ind w:firstLine="480" w:firstLineChars="200"/>
        <w:jc w:val="both"/>
        <w:rPr>
          <w:rFonts w:ascii="Times New Roman" w:hAnsi="Times New Roman" w:eastAsia="宋体" w:cs="Times New Roman"/>
          <w:bCs/>
          <w:kern w:val="2"/>
          <w:sz w:val="24"/>
          <w:szCs w:val="21"/>
          <w:highlight w:val="none"/>
          <w:lang w:val="zh-CN" w:eastAsia="zh-CN" w:bidi="ar-SA"/>
          <w14:ligatures w14:val="standardContextual"/>
        </w:rPr>
      </w:pPr>
      <w:r>
        <w:rPr>
          <w:rFonts w:ascii="Times New Roman" w:hAnsi="Times New Roman" w:eastAsia="宋体" w:cs="Times New Roman"/>
          <w:bCs/>
          <w:kern w:val="2"/>
          <w:sz w:val="24"/>
          <w:szCs w:val="21"/>
          <w:highlight w:val="none"/>
          <w:lang w:val="zh-CN" w:eastAsia="zh-CN" w:bidi="ar-SA"/>
          <w14:ligatures w14:val="standardContextual"/>
        </w:rPr>
        <w:t>根据规划区排污特征，选取SO</w:t>
      </w:r>
      <w:r>
        <w:rPr>
          <w:rFonts w:ascii="Times New Roman" w:hAnsi="Times New Roman" w:eastAsia="宋体" w:cs="Times New Roman"/>
          <w:bCs/>
          <w:kern w:val="2"/>
          <w:sz w:val="24"/>
          <w:szCs w:val="21"/>
          <w:highlight w:val="none"/>
          <w:vertAlign w:val="subscript"/>
          <w:lang w:val="zh-CN" w:eastAsia="zh-CN" w:bidi="ar-SA"/>
          <w14:ligatures w14:val="standardContextual"/>
        </w:rPr>
        <w:t>2</w:t>
      </w:r>
      <w:r>
        <w:rPr>
          <w:rFonts w:ascii="Times New Roman" w:hAnsi="Times New Roman" w:eastAsia="宋体" w:cs="Times New Roman"/>
          <w:bCs/>
          <w:kern w:val="2"/>
          <w:sz w:val="24"/>
          <w:szCs w:val="21"/>
          <w:highlight w:val="none"/>
          <w:lang w:val="zh-CN" w:eastAsia="zh-CN" w:bidi="ar-SA"/>
          <w14:ligatures w14:val="standardContextual"/>
        </w:rPr>
        <w:t>、NO</w:t>
      </w:r>
      <w:r>
        <w:rPr>
          <w:rFonts w:ascii="Times New Roman" w:hAnsi="Times New Roman" w:eastAsia="宋体" w:cs="Times New Roman"/>
          <w:bCs/>
          <w:kern w:val="2"/>
          <w:sz w:val="24"/>
          <w:szCs w:val="21"/>
          <w:highlight w:val="none"/>
          <w:vertAlign w:val="subscript"/>
          <w:lang w:val="zh-CN" w:eastAsia="zh-CN" w:bidi="ar-SA"/>
          <w14:ligatures w14:val="standardContextual"/>
        </w:rPr>
        <w:t>2</w:t>
      </w:r>
      <w:r>
        <w:rPr>
          <w:rFonts w:ascii="Times New Roman" w:hAnsi="Times New Roman" w:eastAsia="宋体" w:cs="Times New Roman"/>
          <w:bCs/>
          <w:kern w:val="2"/>
          <w:sz w:val="24"/>
          <w:szCs w:val="21"/>
          <w:highlight w:val="none"/>
          <w:lang w:val="zh-CN" w:eastAsia="zh-CN" w:bidi="ar-SA"/>
          <w14:ligatures w14:val="standardContextual"/>
        </w:rPr>
        <w:t>、PM</w:t>
      </w:r>
      <w:r>
        <w:rPr>
          <w:rFonts w:ascii="Times New Roman" w:hAnsi="Times New Roman" w:eastAsia="宋体" w:cs="Times New Roman"/>
          <w:bCs/>
          <w:kern w:val="2"/>
          <w:sz w:val="24"/>
          <w:szCs w:val="21"/>
          <w:highlight w:val="none"/>
          <w:vertAlign w:val="subscript"/>
          <w:lang w:val="zh-CN" w:eastAsia="zh-CN" w:bidi="ar-SA"/>
          <w14:ligatures w14:val="standardContextual"/>
        </w:rPr>
        <w:t>10</w:t>
      </w:r>
      <w:r>
        <w:rPr>
          <w:rFonts w:ascii="Times New Roman" w:hAnsi="Times New Roman" w:eastAsia="宋体" w:cs="Times New Roman"/>
          <w:bCs/>
          <w:kern w:val="2"/>
          <w:sz w:val="24"/>
          <w:szCs w:val="21"/>
          <w:highlight w:val="none"/>
          <w:lang w:val="zh-CN" w:eastAsia="zh-CN" w:bidi="ar-SA"/>
          <w14:ligatures w14:val="standardContextual"/>
        </w:rPr>
        <w:t>为控制因子。</w:t>
      </w:r>
    </w:p>
    <w:p>
      <w:pPr>
        <w:widowControl w:val="0"/>
        <w:adjustRightInd w:val="0"/>
        <w:snapToGrid w:val="0"/>
        <w:spacing w:line="360" w:lineRule="auto"/>
        <w:ind w:firstLine="482" w:firstLineChars="200"/>
        <w:jc w:val="both"/>
        <w:outlineLvl w:val="4"/>
        <w:rPr>
          <w:rFonts w:ascii="Times New Roman" w:hAnsi="Times New Roman" w:eastAsia="宋体" w:cs="Times New Roman"/>
          <w:b/>
          <w:bCs w:val="0"/>
          <w:kern w:val="2"/>
          <w:sz w:val="24"/>
          <w:szCs w:val="21"/>
          <w:highlight w:val="none"/>
          <w:lang w:val="zh-CN" w:eastAsia="zh-CN" w:bidi="ar-SA"/>
          <w14:ligatures w14:val="standardContextual"/>
        </w:rPr>
      </w:pPr>
      <w:r>
        <w:rPr>
          <w:rFonts w:ascii="Times New Roman" w:hAnsi="Times New Roman" w:eastAsia="宋体" w:cs="Times New Roman"/>
          <w:b/>
          <w:bCs w:val="0"/>
          <w:kern w:val="2"/>
          <w:sz w:val="24"/>
          <w:szCs w:val="21"/>
          <w:highlight w:val="none"/>
          <w:lang w:val="zh-CN" w:eastAsia="zh-CN" w:bidi="ar-SA"/>
          <w14:ligatures w14:val="standardContextual"/>
        </w:rPr>
        <w:t>3、参数的选取</w:t>
      </w:r>
    </w:p>
    <w:p>
      <w:pPr>
        <w:widowControl w:val="0"/>
        <w:adjustRightInd w:val="0"/>
        <w:snapToGrid w:val="0"/>
        <w:spacing w:line="360" w:lineRule="auto"/>
        <w:ind w:firstLine="480" w:firstLineChars="200"/>
        <w:jc w:val="both"/>
        <w:rPr>
          <w:rFonts w:ascii="Times New Roman" w:hAnsi="Times New Roman" w:eastAsia="宋体" w:cs="Times New Roman"/>
          <w:bCs/>
          <w:kern w:val="2"/>
          <w:sz w:val="24"/>
          <w:szCs w:val="21"/>
          <w:highlight w:val="none"/>
          <w:lang w:val="en-US" w:eastAsia="zh-CN" w:bidi="ar-SA"/>
          <w14:ligatures w14:val="standardContextual"/>
        </w:rPr>
      </w:pPr>
      <w:r>
        <w:rPr>
          <w:rFonts w:hint="eastAsia" w:ascii="Times New Roman" w:hAnsi="Times New Roman" w:eastAsia="宋体" w:cs="Times New Roman"/>
          <w:bCs/>
          <w:kern w:val="2"/>
          <w:sz w:val="24"/>
          <w:szCs w:val="21"/>
          <w:highlight w:val="none"/>
          <w:lang w:val="en-US" w:eastAsia="zh-CN" w:bidi="ar-SA"/>
          <w14:ligatures w14:val="standardContextual"/>
        </w:rPr>
        <w:t>（略）</w:t>
      </w:r>
    </w:p>
    <w:p>
      <w:pPr>
        <w:keepNext/>
        <w:keepLines/>
        <w:widowControl w:val="0"/>
        <w:spacing w:before="260" w:after="260" w:line="416" w:lineRule="auto"/>
        <w:ind w:firstLine="643" w:firstLineChars="200"/>
        <w:jc w:val="both"/>
        <w:outlineLvl w:val="2"/>
        <w:rPr>
          <w:rFonts w:ascii="Times New Roman" w:hAnsi="Times New Roman" w:eastAsia="宋体" w:cs="Times New Roman"/>
          <w:b/>
          <w:bCs/>
          <w:color w:val="2F5496"/>
          <w:kern w:val="2"/>
          <w:sz w:val="32"/>
          <w:szCs w:val="32"/>
          <w:highlight w:val="none"/>
          <w:lang w:val="en-US" w:eastAsia="zh-CN" w:bidi="ar-SA"/>
          <w14:ligatures w14:val="standardContextual"/>
        </w:rPr>
      </w:pPr>
      <w:r>
        <w:rPr>
          <w:rFonts w:hint="eastAsia" w:ascii="Times New Roman" w:hAnsi="Times New Roman" w:eastAsia="宋体" w:cs="Times New Roman"/>
          <w:b/>
          <w:bCs/>
          <w:color w:val="2F5496"/>
          <w:kern w:val="2"/>
          <w:sz w:val="32"/>
          <w:szCs w:val="32"/>
          <w:highlight w:val="none"/>
          <w:lang w:val="en-US" w:eastAsia="zh-CN" w:bidi="ar-SA"/>
          <w14:ligatures w14:val="standardContextual"/>
        </w:rPr>
        <w:t>容量计算结果</w:t>
      </w:r>
    </w:p>
    <w:p>
      <w:pPr>
        <w:widowControl w:val="0"/>
        <w:adjustRightInd w:val="0"/>
        <w:snapToGrid w:val="0"/>
        <w:spacing w:line="360" w:lineRule="auto"/>
        <w:ind w:firstLine="480" w:firstLineChars="200"/>
        <w:jc w:val="both"/>
        <w:rPr>
          <w:rFonts w:ascii="Times New Roman" w:hAnsi="Times New Roman" w:eastAsia="宋体" w:cs="Times New Roman"/>
          <w:bCs/>
          <w:kern w:val="2"/>
          <w:sz w:val="24"/>
          <w:szCs w:val="21"/>
          <w:highlight w:val="none"/>
          <w:lang w:val="zh-CN" w:eastAsia="zh-CN" w:bidi="ar-SA"/>
          <w14:ligatures w14:val="standardContextual"/>
        </w:rPr>
      </w:pPr>
      <w:r>
        <w:rPr>
          <w:rFonts w:ascii="Times New Roman" w:hAnsi="Times New Roman" w:eastAsia="宋体" w:cs="Times New Roman"/>
          <w:bCs/>
          <w:kern w:val="2"/>
          <w:sz w:val="24"/>
          <w:szCs w:val="21"/>
          <w:highlight w:val="none"/>
          <w:lang w:val="zh-CN" w:eastAsia="zh-CN" w:bidi="ar-SA"/>
          <w14:ligatures w14:val="standardContextual"/>
        </w:rPr>
        <w:t>规划实施后，根据上述模式和方法计算得到规划区规划年大气环境剩余容量，见下表。</w:t>
      </w:r>
    </w:p>
    <w:p>
      <w:pPr>
        <w:widowControl w:val="0"/>
        <w:spacing w:before="156" w:beforeLines="50" w:line="240" w:lineRule="auto"/>
        <w:ind w:firstLine="480" w:firstLineChars="0"/>
        <w:jc w:val="center"/>
        <w:rPr>
          <w:rFonts w:ascii="Times New Roman" w:hAnsi="Times New Roman" w:eastAsia="黑体" w:cs="Times New Roman"/>
          <w:kern w:val="2"/>
          <w:sz w:val="21"/>
          <w:szCs w:val="22"/>
          <w:highlight w:val="none"/>
          <w:lang w:val="en-US" w:eastAsia="zh-CN" w:bidi="ar-SA"/>
          <w14:ligatures w14:val="standardContextual"/>
        </w:rPr>
      </w:pPr>
      <w:r>
        <w:rPr>
          <w:rFonts w:hint="eastAsia" w:ascii="Times New Roman" w:hAnsi="Times New Roman" w:eastAsia="黑体" w:cs="Times New Roman"/>
          <w:kern w:val="2"/>
          <w:sz w:val="21"/>
          <w:szCs w:val="22"/>
          <w:highlight w:val="none"/>
          <w:lang w:val="en-US" w:eastAsia="zh-CN" w:bidi="ar-SA"/>
          <w14:ligatures w14:val="standardContextual"/>
        </w:rPr>
        <w:t xml:space="preserve">表 </w:t>
      </w:r>
      <w:r>
        <w:rPr>
          <w:rFonts w:ascii="Times New Roman" w:hAnsi="Times New Roman" w:eastAsia="黑体" w:cs="Times New Roman"/>
          <w:kern w:val="2"/>
          <w:sz w:val="21"/>
          <w:szCs w:val="22"/>
          <w:highlight w:val="none"/>
          <w:lang w:val="en-US" w:eastAsia="zh-CN" w:bidi="ar-SA"/>
          <w14:ligatures w14:val="standardContextual"/>
        </w:rPr>
        <w:fldChar w:fldCharType="begin"/>
      </w:r>
      <w:r>
        <w:rPr>
          <w:rFonts w:ascii="Times New Roman" w:hAnsi="Times New Roman" w:eastAsia="黑体" w:cs="Times New Roman"/>
          <w:kern w:val="2"/>
          <w:sz w:val="21"/>
          <w:szCs w:val="22"/>
          <w:highlight w:val="none"/>
          <w:lang w:val="en-US" w:eastAsia="zh-CN" w:bidi="ar-SA"/>
          <w14:ligatures w14:val="standardContextual"/>
        </w:rPr>
        <w:instrText xml:space="preserve"> </w:instrText>
      </w:r>
      <w:r>
        <w:rPr>
          <w:rFonts w:hint="eastAsia" w:ascii="Times New Roman" w:hAnsi="Times New Roman" w:eastAsia="黑体" w:cs="Times New Roman"/>
          <w:kern w:val="2"/>
          <w:sz w:val="21"/>
          <w:szCs w:val="22"/>
          <w:highlight w:val="none"/>
          <w:lang w:val="en-US" w:eastAsia="zh-CN" w:bidi="ar-SA"/>
          <w14:ligatures w14:val="standardContextual"/>
        </w:rPr>
        <w:instrText xml:space="preserve">STYLEREF 2 \s</w:instrText>
      </w:r>
      <w:r>
        <w:rPr>
          <w:rFonts w:ascii="Times New Roman" w:hAnsi="Times New Roman" w:eastAsia="黑体" w:cs="Times New Roman"/>
          <w:kern w:val="2"/>
          <w:sz w:val="21"/>
          <w:szCs w:val="22"/>
          <w:highlight w:val="none"/>
          <w:lang w:val="en-US" w:eastAsia="zh-CN" w:bidi="ar-SA"/>
          <w14:ligatures w14:val="standardContextual"/>
        </w:rPr>
        <w:instrText xml:space="preserve"> </w:instrText>
      </w:r>
      <w:r>
        <w:rPr>
          <w:rFonts w:ascii="Times New Roman" w:hAnsi="Times New Roman" w:eastAsia="黑体" w:cs="Times New Roman"/>
          <w:kern w:val="2"/>
          <w:sz w:val="21"/>
          <w:szCs w:val="22"/>
          <w:highlight w:val="none"/>
          <w:lang w:val="en-US" w:eastAsia="zh-CN" w:bidi="ar-SA"/>
          <w14:ligatures w14:val="standardContextual"/>
        </w:rPr>
        <w:fldChar w:fldCharType="separate"/>
      </w:r>
      <w:r>
        <w:rPr>
          <w:rFonts w:ascii="Times New Roman" w:hAnsi="Times New Roman" w:eastAsia="黑体" w:cs="Times New Roman"/>
          <w:kern w:val="2"/>
          <w:sz w:val="21"/>
          <w:szCs w:val="22"/>
          <w:highlight w:val="none"/>
          <w:lang w:val="en-US" w:eastAsia="zh-CN" w:bidi="ar-SA"/>
          <w14:ligatures w14:val="standardContextual"/>
        </w:rPr>
        <w:t>8.2</w:t>
      </w:r>
      <w:r>
        <w:rPr>
          <w:rFonts w:ascii="Times New Roman" w:hAnsi="Times New Roman" w:eastAsia="黑体" w:cs="Times New Roman"/>
          <w:kern w:val="2"/>
          <w:sz w:val="21"/>
          <w:szCs w:val="22"/>
          <w:highlight w:val="none"/>
          <w:lang w:val="en-US" w:eastAsia="zh-CN" w:bidi="ar-SA"/>
          <w14:ligatures w14:val="standardContextual"/>
        </w:rPr>
        <w:fldChar w:fldCharType="end"/>
      </w:r>
      <w:r>
        <w:rPr>
          <w:rFonts w:ascii="Times New Roman" w:hAnsi="Times New Roman" w:eastAsia="黑体" w:cs="Times New Roman"/>
          <w:kern w:val="2"/>
          <w:sz w:val="21"/>
          <w:szCs w:val="22"/>
          <w:highlight w:val="none"/>
          <w:lang w:val="en-US" w:eastAsia="zh-CN" w:bidi="ar-SA"/>
          <w14:ligatures w14:val="standardContextual"/>
        </w:rPr>
        <w:noBreakHyphen/>
      </w:r>
      <w:r>
        <w:rPr>
          <w:rFonts w:ascii="Times New Roman" w:hAnsi="Times New Roman" w:eastAsia="黑体" w:cs="Times New Roman"/>
          <w:kern w:val="2"/>
          <w:sz w:val="21"/>
          <w:szCs w:val="22"/>
          <w:highlight w:val="none"/>
          <w:lang w:val="en-US" w:eastAsia="zh-CN" w:bidi="ar-SA"/>
          <w14:ligatures w14:val="standardContextual"/>
        </w:rPr>
        <w:fldChar w:fldCharType="begin"/>
      </w:r>
      <w:r>
        <w:rPr>
          <w:rFonts w:ascii="Times New Roman" w:hAnsi="Times New Roman" w:eastAsia="黑体" w:cs="Times New Roman"/>
          <w:kern w:val="2"/>
          <w:sz w:val="21"/>
          <w:szCs w:val="22"/>
          <w:highlight w:val="none"/>
          <w:lang w:val="en-US" w:eastAsia="zh-CN" w:bidi="ar-SA"/>
          <w14:ligatures w14:val="standardContextual"/>
        </w:rPr>
        <w:instrText xml:space="preserve"> </w:instrText>
      </w:r>
      <w:r>
        <w:rPr>
          <w:rFonts w:hint="eastAsia" w:ascii="Times New Roman" w:hAnsi="Times New Roman" w:eastAsia="黑体" w:cs="Times New Roman"/>
          <w:kern w:val="2"/>
          <w:sz w:val="21"/>
          <w:szCs w:val="22"/>
          <w:highlight w:val="none"/>
          <w:lang w:val="en-US" w:eastAsia="zh-CN" w:bidi="ar-SA"/>
          <w14:ligatures w14:val="standardContextual"/>
        </w:rPr>
        <w:instrText xml:space="preserve">SEQ 表 \* ARABIC \s 2</w:instrText>
      </w:r>
      <w:r>
        <w:rPr>
          <w:rFonts w:ascii="Times New Roman" w:hAnsi="Times New Roman" w:eastAsia="黑体" w:cs="Times New Roman"/>
          <w:kern w:val="2"/>
          <w:sz w:val="21"/>
          <w:szCs w:val="22"/>
          <w:highlight w:val="none"/>
          <w:lang w:val="en-US" w:eastAsia="zh-CN" w:bidi="ar-SA"/>
          <w14:ligatures w14:val="standardContextual"/>
        </w:rPr>
        <w:instrText xml:space="preserve"> </w:instrText>
      </w:r>
      <w:r>
        <w:rPr>
          <w:rFonts w:ascii="Times New Roman" w:hAnsi="Times New Roman" w:eastAsia="黑体" w:cs="Times New Roman"/>
          <w:kern w:val="2"/>
          <w:sz w:val="21"/>
          <w:szCs w:val="22"/>
          <w:highlight w:val="none"/>
          <w:lang w:val="en-US" w:eastAsia="zh-CN" w:bidi="ar-SA"/>
          <w14:ligatures w14:val="standardContextual"/>
        </w:rPr>
        <w:fldChar w:fldCharType="separate"/>
      </w:r>
      <w:r>
        <w:rPr>
          <w:rFonts w:ascii="Times New Roman" w:hAnsi="Times New Roman" w:eastAsia="黑体" w:cs="Times New Roman"/>
          <w:kern w:val="2"/>
          <w:sz w:val="21"/>
          <w:szCs w:val="22"/>
          <w:highlight w:val="none"/>
          <w:lang w:val="en-US" w:eastAsia="zh-CN" w:bidi="ar-SA"/>
          <w14:ligatures w14:val="standardContextual"/>
        </w:rPr>
        <w:t>3</w:t>
      </w:r>
      <w:r>
        <w:rPr>
          <w:rFonts w:ascii="Times New Roman" w:hAnsi="Times New Roman" w:eastAsia="黑体" w:cs="Times New Roman"/>
          <w:kern w:val="2"/>
          <w:sz w:val="21"/>
          <w:szCs w:val="22"/>
          <w:highlight w:val="none"/>
          <w:lang w:val="en-US" w:eastAsia="zh-CN" w:bidi="ar-SA"/>
          <w14:ligatures w14:val="standardContextual"/>
        </w:rPr>
        <w:fldChar w:fldCharType="end"/>
      </w:r>
      <w:r>
        <w:rPr>
          <w:rFonts w:ascii="Times New Roman" w:hAnsi="Times New Roman" w:eastAsia="黑体" w:cs="Times New Roman"/>
          <w:kern w:val="2"/>
          <w:sz w:val="21"/>
          <w:szCs w:val="22"/>
          <w:highlight w:val="none"/>
          <w:lang w:val="en-US" w:eastAsia="zh-CN" w:bidi="ar-SA"/>
          <w14:ligatures w14:val="standardContextual"/>
        </w:rPr>
        <w:t xml:space="preserve">  </w:t>
      </w:r>
      <w:r>
        <w:rPr>
          <w:rFonts w:hint="eastAsia" w:ascii="Times New Roman" w:hAnsi="Times New Roman" w:eastAsia="黑体" w:cs="Times New Roman"/>
          <w:kern w:val="2"/>
          <w:sz w:val="21"/>
          <w:szCs w:val="22"/>
          <w:highlight w:val="none"/>
          <w:lang w:val="en-US" w:eastAsia="zh-CN" w:bidi="ar-SA"/>
          <w14:ligatures w14:val="standardContextual"/>
        </w:rPr>
        <w:t>区域</w:t>
      </w:r>
      <w:r>
        <w:rPr>
          <w:rFonts w:ascii="Times New Roman" w:hAnsi="Times New Roman" w:eastAsia="黑体" w:cs="Times New Roman"/>
          <w:kern w:val="2"/>
          <w:sz w:val="21"/>
          <w:szCs w:val="22"/>
          <w:highlight w:val="none"/>
          <w:lang w:val="en-US" w:eastAsia="zh-CN" w:bidi="ar-SA"/>
          <w14:ligatures w14:val="standardContextual"/>
        </w:rPr>
        <w:t>剩余大气环境容量测算结果</w:t>
      </w:r>
      <w:r>
        <w:rPr>
          <w:rFonts w:hint="eastAsia" w:ascii="Times New Roman" w:hAnsi="Times New Roman" w:eastAsia="黑体" w:cs="Times New Roman"/>
          <w:kern w:val="2"/>
          <w:sz w:val="21"/>
          <w:szCs w:val="22"/>
          <w:highlight w:val="none"/>
          <w:lang w:val="en-US" w:eastAsia="zh-CN" w:bidi="ar-SA"/>
          <w14:ligatures w14:val="standardContextual"/>
        </w:rPr>
        <w:t xml:space="preserve">                  </w:t>
      </w:r>
      <w:r>
        <w:rPr>
          <w:rFonts w:ascii="Times New Roman" w:hAnsi="Times New Roman" w:eastAsia="黑体" w:cs="Times New Roman"/>
          <w:kern w:val="2"/>
          <w:sz w:val="21"/>
          <w:szCs w:val="22"/>
          <w:highlight w:val="none"/>
          <w:lang w:val="en-US" w:eastAsia="zh-CN" w:bidi="ar-SA"/>
          <w14:ligatures w14:val="standardContextual"/>
        </w:rPr>
        <w:t>单位：t/a</w:t>
      </w:r>
    </w:p>
    <w:p>
      <w:pPr>
        <w:keepNext/>
        <w:keepLines/>
        <w:widowControl w:val="0"/>
        <w:spacing w:before="260" w:after="260" w:line="416" w:lineRule="auto"/>
        <w:ind w:firstLine="643" w:firstLineChars="200"/>
        <w:jc w:val="both"/>
        <w:outlineLvl w:val="1"/>
        <w:rPr>
          <w:rFonts w:ascii="Calibri Light" w:hAnsi="Calibri Light" w:eastAsia="宋体" w:cs="Times New Roman"/>
          <w:b/>
          <w:bCs/>
          <w:color w:val="2F5496"/>
          <w:kern w:val="2"/>
          <w:sz w:val="32"/>
          <w:szCs w:val="32"/>
          <w:highlight w:val="none"/>
          <w:lang w:val="en-US" w:eastAsia="zh-CN" w:bidi="ar-SA"/>
          <w14:ligatures w14:val="standardContextual"/>
        </w:rPr>
      </w:pPr>
      <w:bookmarkStart w:id="85" w:name="_Toc152163929"/>
      <w:r>
        <w:rPr>
          <w:rFonts w:hint="eastAsia" w:ascii="Calibri Light" w:hAnsi="Calibri Light" w:eastAsia="宋体" w:cs="Times New Roman"/>
          <w:b/>
          <w:bCs/>
          <w:color w:val="2F5496"/>
          <w:kern w:val="2"/>
          <w:sz w:val="32"/>
          <w:szCs w:val="32"/>
          <w:highlight w:val="none"/>
          <w:lang w:val="en-US" w:eastAsia="zh-CN" w:bidi="ar-SA"/>
          <w14:ligatures w14:val="standardContextual"/>
        </w:rPr>
        <w:t>9.3水环境容量测算及总量控制建议指标</w:t>
      </w:r>
      <w:bookmarkEnd w:id="85"/>
    </w:p>
    <w:p>
      <w:pPr>
        <w:keepNext/>
        <w:keepLines/>
        <w:widowControl w:val="0"/>
        <w:spacing w:before="260" w:after="260" w:line="416" w:lineRule="auto"/>
        <w:ind w:firstLine="643" w:firstLineChars="200"/>
        <w:jc w:val="both"/>
        <w:outlineLvl w:val="2"/>
        <w:rPr>
          <w:rFonts w:ascii="Times New Roman" w:hAnsi="Times New Roman" w:eastAsia="宋体" w:cs="Times New Roman"/>
          <w:b/>
          <w:bCs/>
          <w:color w:val="2F5496"/>
          <w:kern w:val="2"/>
          <w:sz w:val="32"/>
          <w:szCs w:val="32"/>
          <w:highlight w:val="none"/>
          <w:lang w:val="en-US" w:eastAsia="zh-CN" w:bidi="ar-SA"/>
          <w14:ligatures w14:val="standardContextual"/>
        </w:rPr>
      </w:pPr>
      <w:r>
        <w:rPr>
          <w:rFonts w:hint="eastAsia" w:ascii="Times New Roman" w:hAnsi="Times New Roman" w:eastAsia="宋体" w:cs="Times New Roman"/>
          <w:b/>
          <w:bCs/>
          <w:color w:val="2F5496"/>
          <w:kern w:val="2"/>
          <w:sz w:val="32"/>
          <w:szCs w:val="32"/>
          <w:highlight w:val="none"/>
          <w:lang w:val="en-US" w:eastAsia="zh-CN" w:bidi="ar-SA"/>
          <w14:ligatures w14:val="standardContextual"/>
        </w:rPr>
        <w:t>9.3.1水环境总量控制分析方法</w:t>
      </w:r>
    </w:p>
    <w:p>
      <w:pPr>
        <w:widowControl w:val="0"/>
        <w:adjustRightInd w:val="0"/>
        <w:snapToGrid w:val="0"/>
        <w:spacing w:line="360" w:lineRule="auto"/>
        <w:ind w:firstLine="482" w:firstLineChars="200"/>
        <w:jc w:val="both"/>
        <w:outlineLvl w:val="4"/>
        <w:rPr>
          <w:rFonts w:ascii="Times New Roman" w:hAnsi="Times New Roman" w:eastAsia="宋体" w:cs="Times New Roman"/>
          <w:b/>
          <w:bCs w:val="0"/>
          <w:kern w:val="2"/>
          <w:sz w:val="24"/>
          <w:szCs w:val="21"/>
          <w:highlight w:val="none"/>
          <w:lang w:val="en-US" w:eastAsia="zh-CN" w:bidi="ar-SA"/>
          <w14:ligatures w14:val="standardContextual"/>
        </w:rPr>
      </w:pPr>
      <w:r>
        <w:rPr>
          <w:rFonts w:ascii="Times New Roman" w:hAnsi="Times New Roman" w:eastAsia="宋体" w:cs="Times New Roman"/>
          <w:b/>
          <w:bCs w:val="0"/>
          <w:kern w:val="2"/>
          <w:sz w:val="24"/>
          <w:szCs w:val="21"/>
          <w:highlight w:val="none"/>
          <w:lang w:val="en-US" w:eastAsia="zh-CN" w:bidi="ar-SA"/>
          <w14:ligatures w14:val="standardContextual"/>
        </w:rPr>
        <w:t>1、控制因子</w:t>
      </w:r>
    </w:p>
    <w:p>
      <w:pPr>
        <w:widowControl w:val="0"/>
        <w:adjustRightInd w:val="0"/>
        <w:snapToGrid w:val="0"/>
        <w:spacing w:line="360" w:lineRule="auto"/>
        <w:ind w:firstLine="480" w:firstLineChars="200"/>
        <w:jc w:val="both"/>
        <w:outlineLvl w:val="4"/>
        <w:rPr>
          <w:rFonts w:ascii="Times New Roman" w:hAnsi="Times New Roman" w:eastAsia="宋体" w:cs="Times New Roman"/>
          <w:bCs/>
          <w:kern w:val="2"/>
          <w:sz w:val="24"/>
          <w:szCs w:val="21"/>
          <w:highlight w:val="none"/>
          <w:lang w:val="en-US" w:eastAsia="zh-CN" w:bidi="ar-SA"/>
          <w14:ligatures w14:val="standardContextual"/>
        </w:rPr>
      </w:pPr>
      <w:r>
        <w:rPr>
          <w:rFonts w:hint="eastAsia" w:ascii="Times New Roman" w:hAnsi="Times New Roman" w:eastAsia="宋体" w:cs="Times New Roman"/>
          <w:bCs/>
          <w:kern w:val="2"/>
          <w:sz w:val="24"/>
          <w:szCs w:val="21"/>
          <w:highlight w:val="none"/>
          <w:lang w:val="en-US" w:eastAsia="zh-CN" w:bidi="ar-SA"/>
          <w14:ligatures w14:val="standardContextual"/>
        </w:rPr>
        <w:t>（略）</w:t>
      </w:r>
    </w:p>
    <w:p>
      <w:pPr>
        <w:widowControl w:val="0"/>
        <w:adjustRightInd w:val="0"/>
        <w:snapToGrid w:val="0"/>
        <w:spacing w:line="360" w:lineRule="auto"/>
        <w:ind w:firstLine="482" w:firstLineChars="200"/>
        <w:jc w:val="both"/>
        <w:outlineLvl w:val="4"/>
        <w:rPr>
          <w:rFonts w:ascii="Times New Roman" w:hAnsi="Times New Roman" w:eastAsia="宋体" w:cs="Times New Roman"/>
          <w:b/>
          <w:bCs w:val="0"/>
          <w:kern w:val="2"/>
          <w:sz w:val="24"/>
          <w:szCs w:val="21"/>
          <w:highlight w:val="none"/>
          <w:lang w:val="en-US" w:eastAsia="zh-CN" w:bidi="ar-SA"/>
          <w14:ligatures w14:val="standardContextual"/>
        </w:rPr>
      </w:pPr>
      <w:r>
        <w:rPr>
          <w:rFonts w:ascii="Times New Roman" w:hAnsi="Times New Roman" w:eastAsia="宋体" w:cs="Times New Roman"/>
          <w:b/>
          <w:bCs w:val="0"/>
          <w:kern w:val="2"/>
          <w:sz w:val="24"/>
          <w:szCs w:val="21"/>
          <w:highlight w:val="none"/>
          <w:lang w:val="en-US" w:eastAsia="zh-CN" w:bidi="ar-SA"/>
          <w14:ligatures w14:val="standardContextual"/>
        </w:rPr>
        <w:t>2、水域功能划分</w:t>
      </w:r>
    </w:p>
    <w:p>
      <w:pPr>
        <w:widowControl w:val="0"/>
        <w:adjustRightInd w:val="0"/>
        <w:snapToGrid w:val="0"/>
        <w:spacing w:line="360" w:lineRule="auto"/>
        <w:ind w:firstLine="480" w:firstLineChars="200"/>
        <w:jc w:val="both"/>
        <w:rPr>
          <w:rFonts w:ascii="Times New Roman" w:hAnsi="Times New Roman" w:eastAsia="宋体" w:cs="Times New Roman"/>
          <w:bCs/>
          <w:kern w:val="2"/>
          <w:sz w:val="24"/>
          <w:szCs w:val="21"/>
          <w:highlight w:val="none"/>
          <w:lang w:val="en-US" w:eastAsia="zh-CN" w:bidi="ar-SA"/>
          <w14:ligatures w14:val="standardContextual"/>
        </w:rPr>
      </w:pPr>
      <w:r>
        <w:rPr>
          <w:rFonts w:ascii="Times New Roman" w:hAnsi="Times New Roman" w:eastAsia="宋体" w:cs="Times New Roman"/>
          <w:bCs/>
          <w:kern w:val="2"/>
          <w:sz w:val="24"/>
          <w:szCs w:val="21"/>
          <w:highlight w:val="none"/>
          <w:lang w:val="en-US" w:eastAsia="zh-CN" w:bidi="ar-SA"/>
          <w14:ligatures w14:val="standardContextual"/>
        </w:rPr>
        <w:t>评价河段为III类水域。</w:t>
      </w:r>
    </w:p>
    <w:p>
      <w:pPr>
        <w:widowControl w:val="0"/>
        <w:adjustRightInd w:val="0"/>
        <w:snapToGrid w:val="0"/>
        <w:spacing w:line="360" w:lineRule="auto"/>
        <w:ind w:firstLine="482" w:firstLineChars="200"/>
        <w:jc w:val="both"/>
        <w:outlineLvl w:val="4"/>
        <w:rPr>
          <w:rFonts w:ascii="Times New Roman" w:hAnsi="Times New Roman" w:eastAsia="宋体" w:cs="Times New Roman"/>
          <w:b/>
          <w:bCs w:val="0"/>
          <w:kern w:val="2"/>
          <w:sz w:val="24"/>
          <w:szCs w:val="21"/>
          <w:highlight w:val="none"/>
          <w:lang w:val="en-US" w:eastAsia="zh-CN" w:bidi="ar-SA"/>
          <w14:ligatures w14:val="standardContextual"/>
        </w:rPr>
      </w:pPr>
      <w:r>
        <w:rPr>
          <w:rFonts w:ascii="Times New Roman" w:hAnsi="Times New Roman" w:eastAsia="宋体" w:cs="Times New Roman"/>
          <w:b/>
          <w:bCs w:val="0"/>
          <w:kern w:val="2"/>
          <w:sz w:val="24"/>
          <w:szCs w:val="21"/>
          <w:highlight w:val="none"/>
          <w:lang w:val="en-US" w:eastAsia="zh-CN" w:bidi="ar-SA"/>
          <w14:ligatures w14:val="standardContextual"/>
        </w:rPr>
        <w:t>3、水质控制目标</w:t>
      </w:r>
    </w:p>
    <w:p>
      <w:pPr>
        <w:widowControl w:val="0"/>
        <w:adjustRightInd w:val="0"/>
        <w:snapToGrid w:val="0"/>
        <w:spacing w:line="360" w:lineRule="auto"/>
        <w:ind w:firstLine="480" w:firstLineChars="200"/>
        <w:jc w:val="both"/>
        <w:rPr>
          <w:rFonts w:ascii="Times New Roman" w:hAnsi="Times New Roman" w:eastAsia="宋体" w:cs="Times New Roman"/>
          <w:bCs/>
          <w:kern w:val="2"/>
          <w:sz w:val="24"/>
          <w:szCs w:val="21"/>
          <w:highlight w:val="none"/>
          <w:lang w:val="en-US" w:eastAsia="zh-CN" w:bidi="ar-SA"/>
          <w14:ligatures w14:val="standardContextual"/>
        </w:rPr>
      </w:pPr>
      <w:r>
        <w:rPr>
          <w:rFonts w:ascii="Times New Roman" w:hAnsi="Times New Roman" w:eastAsia="宋体" w:cs="Times New Roman"/>
          <w:bCs/>
          <w:kern w:val="2"/>
          <w:sz w:val="24"/>
          <w:szCs w:val="21"/>
          <w:highlight w:val="none"/>
          <w:lang w:val="en-US" w:eastAsia="zh-CN" w:bidi="ar-SA"/>
          <w14:ligatures w14:val="standardContextual"/>
        </w:rPr>
        <w:t>水质控制目标为达到III类水质标准，以III类标准上限值COD</w:t>
      </w:r>
      <w:r>
        <w:rPr>
          <w:rFonts w:ascii="Times New Roman" w:hAnsi="Times New Roman" w:eastAsia="宋体" w:cs="Times New Roman"/>
          <w:bCs/>
          <w:kern w:val="2"/>
          <w:sz w:val="24"/>
          <w:szCs w:val="21"/>
          <w:highlight w:val="none"/>
          <w:vertAlign w:val="subscript"/>
          <w:lang w:val="en-US" w:eastAsia="zh-CN" w:bidi="ar-SA"/>
          <w14:ligatures w14:val="standardContextual"/>
        </w:rPr>
        <w:t xml:space="preserve">Cr </w:t>
      </w:r>
      <w:r>
        <w:rPr>
          <w:rFonts w:ascii="Times New Roman" w:hAnsi="Times New Roman" w:eastAsia="宋体" w:cs="Times New Roman"/>
          <w:bCs/>
          <w:kern w:val="2"/>
          <w:sz w:val="24"/>
          <w:szCs w:val="21"/>
          <w:highlight w:val="none"/>
          <w:lang w:val="en-US" w:eastAsia="zh-CN" w:bidi="ar-SA"/>
          <w14:ligatures w14:val="standardContextual"/>
        </w:rPr>
        <w:t>20mg/L、NH</w:t>
      </w:r>
      <w:r>
        <w:rPr>
          <w:rFonts w:ascii="Times New Roman" w:hAnsi="Times New Roman" w:eastAsia="宋体" w:cs="Times New Roman"/>
          <w:bCs/>
          <w:kern w:val="2"/>
          <w:sz w:val="24"/>
          <w:szCs w:val="21"/>
          <w:highlight w:val="none"/>
          <w:vertAlign w:val="subscript"/>
          <w:lang w:val="en-US" w:eastAsia="zh-CN" w:bidi="ar-SA"/>
          <w14:ligatures w14:val="standardContextual"/>
        </w:rPr>
        <w:t>3</w:t>
      </w:r>
      <w:r>
        <w:rPr>
          <w:rFonts w:ascii="Times New Roman" w:hAnsi="Times New Roman" w:eastAsia="宋体" w:cs="Times New Roman"/>
          <w:bCs/>
          <w:kern w:val="2"/>
          <w:sz w:val="24"/>
          <w:szCs w:val="21"/>
          <w:highlight w:val="none"/>
          <w:lang w:val="en-US" w:eastAsia="zh-CN" w:bidi="ar-SA"/>
          <w14:ligatures w14:val="standardContextual"/>
        </w:rPr>
        <w:t>-N 1.0mg/L、TP 0.2mg/L作为控制目标值。</w:t>
      </w:r>
    </w:p>
    <w:p>
      <w:pPr>
        <w:widowControl w:val="0"/>
        <w:adjustRightInd w:val="0"/>
        <w:snapToGrid w:val="0"/>
        <w:spacing w:line="360" w:lineRule="auto"/>
        <w:ind w:firstLine="482" w:firstLineChars="200"/>
        <w:jc w:val="both"/>
        <w:outlineLvl w:val="4"/>
        <w:rPr>
          <w:rFonts w:ascii="Times New Roman" w:hAnsi="Times New Roman" w:eastAsia="宋体" w:cs="Times New Roman"/>
          <w:b/>
          <w:bCs w:val="0"/>
          <w:kern w:val="2"/>
          <w:sz w:val="24"/>
          <w:szCs w:val="21"/>
          <w:highlight w:val="none"/>
          <w:lang w:val="en-US" w:eastAsia="zh-CN" w:bidi="ar-SA"/>
          <w14:ligatures w14:val="standardContextual"/>
        </w:rPr>
      </w:pPr>
      <w:r>
        <w:rPr>
          <w:rFonts w:ascii="Times New Roman" w:hAnsi="Times New Roman" w:eastAsia="宋体" w:cs="Times New Roman"/>
          <w:b/>
          <w:bCs w:val="0"/>
          <w:kern w:val="2"/>
          <w:sz w:val="24"/>
          <w:szCs w:val="21"/>
          <w:highlight w:val="none"/>
          <w:lang w:val="en-US" w:eastAsia="zh-CN" w:bidi="ar-SA"/>
          <w14:ligatures w14:val="standardContextual"/>
        </w:rPr>
        <w:t>4、河流容量计算方法及模式</w:t>
      </w:r>
    </w:p>
    <w:p>
      <w:pPr>
        <w:widowControl w:val="0"/>
        <w:adjustRightInd w:val="0"/>
        <w:snapToGrid w:val="0"/>
        <w:spacing w:line="360" w:lineRule="auto"/>
        <w:ind w:firstLine="480" w:firstLineChars="200"/>
        <w:jc w:val="both"/>
        <w:outlineLvl w:val="4"/>
        <w:rPr>
          <w:rFonts w:ascii="Times New Roman" w:hAnsi="Times New Roman" w:eastAsia="宋体" w:cs="Times New Roman"/>
          <w:bCs/>
          <w:kern w:val="2"/>
          <w:sz w:val="24"/>
          <w:szCs w:val="21"/>
          <w:highlight w:val="none"/>
          <w:lang w:val="en-US" w:eastAsia="zh-CN" w:bidi="ar-SA"/>
          <w14:ligatures w14:val="standardContextual"/>
        </w:rPr>
      </w:pPr>
      <w:r>
        <w:rPr>
          <w:rFonts w:hint="eastAsia" w:ascii="Times New Roman" w:hAnsi="Times New Roman" w:eastAsia="宋体" w:cs="Times New Roman"/>
          <w:bCs/>
          <w:kern w:val="2"/>
          <w:sz w:val="24"/>
          <w:szCs w:val="21"/>
          <w:highlight w:val="none"/>
          <w:lang w:val="en-US" w:eastAsia="zh-CN" w:bidi="ar-SA"/>
          <w14:ligatures w14:val="standardContextual"/>
        </w:rPr>
        <w:t>（略）</w:t>
      </w:r>
    </w:p>
    <w:p>
      <w:pPr>
        <w:widowControl w:val="0"/>
        <w:adjustRightInd w:val="0"/>
        <w:snapToGrid w:val="0"/>
        <w:spacing w:line="360" w:lineRule="auto"/>
        <w:ind w:firstLine="482" w:firstLineChars="200"/>
        <w:jc w:val="both"/>
        <w:outlineLvl w:val="4"/>
        <w:rPr>
          <w:rFonts w:ascii="Times New Roman" w:hAnsi="Times New Roman" w:eastAsia="宋体" w:cs="Times New Roman"/>
          <w:b/>
          <w:bCs w:val="0"/>
          <w:kern w:val="2"/>
          <w:sz w:val="24"/>
          <w:szCs w:val="21"/>
          <w:highlight w:val="none"/>
          <w:lang w:val="en-US" w:eastAsia="zh-CN" w:bidi="ar-SA"/>
          <w14:ligatures w14:val="standardContextual"/>
        </w:rPr>
      </w:pPr>
      <w:r>
        <w:rPr>
          <w:rFonts w:hint="eastAsia" w:ascii="Times New Roman" w:hAnsi="Times New Roman" w:eastAsia="宋体" w:cs="Times New Roman"/>
          <w:b/>
          <w:bCs w:val="0"/>
          <w:kern w:val="2"/>
          <w:sz w:val="24"/>
          <w:szCs w:val="21"/>
          <w:highlight w:val="none"/>
          <w:lang w:val="en-US" w:eastAsia="zh-CN" w:bidi="ar-SA"/>
          <w14:ligatures w14:val="standardContextual"/>
        </w:rPr>
        <w:t>5</w:t>
      </w:r>
      <w:r>
        <w:rPr>
          <w:rFonts w:ascii="Times New Roman" w:hAnsi="Times New Roman" w:eastAsia="宋体" w:cs="Times New Roman"/>
          <w:b/>
          <w:bCs w:val="0"/>
          <w:kern w:val="2"/>
          <w:sz w:val="24"/>
          <w:szCs w:val="21"/>
          <w:highlight w:val="none"/>
          <w:lang w:val="en-US" w:eastAsia="zh-CN" w:bidi="ar-SA"/>
          <w14:ligatures w14:val="standardContextual"/>
        </w:rPr>
        <w:t>、河流污染物背景值确定</w:t>
      </w:r>
    </w:p>
    <w:p>
      <w:pPr>
        <w:widowControl w:val="0"/>
        <w:adjustRightInd w:val="0"/>
        <w:snapToGrid w:val="0"/>
        <w:spacing w:line="360" w:lineRule="auto"/>
        <w:ind w:firstLine="480" w:firstLineChars="200"/>
        <w:jc w:val="both"/>
        <w:outlineLvl w:val="4"/>
        <w:rPr>
          <w:rFonts w:ascii="Times New Roman" w:hAnsi="Times New Roman" w:eastAsia="宋体" w:cs="Times New Roman"/>
          <w:bCs/>
          <w:kern w:val="2"/>
          <w:sz w:val="24"/>
          <w:szCs w:val="21"/>
          <w:highlight w:val="none"/>
          <w:lang w:val="en-US" w:eastAsia="zh-CN" w:bidi="ar-SA"/>
          <w14:ligatures w14:val="standardContextual"/>
        </w:rPr>
      </w:pPr>
      <w:r>
        <w:rPr>
          <w:rFonts w:hint="eastAsia" w:ascii="Times New Roman" w:hAnsi="Times New Roman" w:eastAsia="宋体" w:cs="Times New Roman"/>
          <w:bCs/>
          <w:kern w:val="2"/>
          <w:sz w:val="24"/>
          <w:szCs w:val="21"/>
          <w:highlight w:val="none"/>
          <w:lang w:val="en-US" w:eastAsia="zh-CN" w:bidi="ar-SA"/>
          <w14:ligatures w14:val="standardContextual"/>
        </w:rPr>
        <w:t>（略）</w:t>
      </w:r>
    </w:p>
    <w:p>
      <w:pPr>
        <w:widowControl w:val="0"/>
        <w:adjustRightInd w:val="0"/>
        <w:snapToGrid w:val="0"/>
        <w:spacing w:line="360" w:lineRule="auto"/>
        <w:ind w:firstLine="482" w:firstLineChars="200"/>
        <w:jc w:val="both"/>
        <w:outlineLvl w:val="4"/>
        <w:rPr>
          <w:rFonts w:ascii="Times New Roman" w:hAnsi="Times New Roman" w:eastAsia="宋体" w:cs="Times New Roman"/>
          <w:b/>
          <w:bCs w:val="0"/>
          <w:kern w:val="2"/>
          <w:sz w:val="24"/>
          <w:szCs w:val="21"/>
          <w:highlight w:val="none"/>
          <w:lang w:val="en-US" w:eastAsia="zh-CN" w:bidi="ar-SA"/>
          <w14:ligatures w14:val="standardContextual"/>
        </w:rPr>
      </w:pPr>
      <w:r>
        <w:rPr>
          <w:rFonts w:ascii="Times New Roman" w:hAnsi="Times New Roman" w:eastAsia="宋体" w:cs="Times New Roman"/>
          <w:b/>
          <w:bCs w:val="0"/>
          <w:kern w:val="2"/>
          <w:sz w:val="24"/>
          <w:szCs w:val="21"/>
          <w:highlight w:val="none"/>
          <w:lang w:val="en-US" w:eastAsia="zh-CN" w:bidi="ar-SA"/>
          <w14:ligatures w14:val="standardContextual"/>
        </w:rPr>
        <w:t>6、不均匀系数校正</w:t>
      </w:r>
    </w:p>
    <w:p>
      <w:pPr>
        <w:widowControl w:val="0"/>
        <w:adjustRightInd w:val="0"/>
        <w:snapToGrid w:val="0"/>
        <w:spacing w:line="360" w:lineRule="auto"/>
        <w:ind w:firstLine="480" w:firstLineChars="200"/>
        <w:jc w:val="both"/>
        <w:rPr>
          <w:rFonts w:ascii="Times New Roman" w:hAnsi="Times New Roman" w:eastAsia="宋体" w:cs="Times New Roman"/>
          <w:bCs/>
          <w:kern w:val="2"/>
          <w:sz w:val="24"/>
          <w:szCs w:val="21"/>
          <w:highlight w:val="none"/>
          <w:lang w:val="en-US" w:eastAsia="zh-CN" w:bidi="ar-SA"/>
          <w14:ligatures w14:val="standardContextual"/>
        </w:rPr>
      </w:pPr>
      <w:r>
        <w:rPr>
          <w:rFonts w:hint="eastAsia" w:ascii="Times New Roman" w:hAnsi="Times New Roman" w:eastAsia="宋体" w:cs="Times New Roman"/>
          <w:bCs/>
          <w:kern w:val="2"/>
          <w:sz w:val="24"/>
          <w:szCs w:val="21"/>
          <w:highlight w:val="none"/>
          <w:lang w:val="en-US" w:eastAsia="zh-CN" w:bidi="ar-SA"/>
          <w14:ligatures w14:val="standardContextual"/>
        </w:rPr>
        <w:t>（略）</w:t>
      </w:r>
    </w:p>
    <w:p>
      <w:pPr>
        <w:widowControl w:val="0"/>
        <w:adjustRightInd w:val="0"/>
        <w:snapToGrid w:val="0"/>
        <w:spacing w:line="360" w:lineRule="auto"/>
        <w:ind w:firstLine="482" w:firstLineChars="200"/>
        <w:jc w:val="both"/>
        <w:outlineLvl w:val="4"/>
        <w:rPr>
          <w:rFonts w:ascii="Times New Roman" w:hAnsi="Times New Roman" w:eastAsia="宋体" w:cs="Times New Roman"/>
          <w:b/>
          <w:bCs w:val="0"/>
          <w:kern w:val="2"/>
          <w:sz w:val="24"/>
          <w:szCs w:val="21"/>
          <w:highlight w:val="none"/>
          <w:lang w:val="en-US" w:eastAsia="zh-CN" w:bidi="ar-SA"/>
          <w14:ligatures w14:val="standardContextual"/>
        </w:rPr>
      </w:pPr>
      <w:r>
        <w:rPr>
          <w:rFonts w:ascii="Times New Roman" w:hAnsi="Times New Roman" w:eastAsia="宋体" w:cs="Times New Roman"/>
          <w:b/>
          <w:bCs w:val="0"/>
          <w:kern w:val="2"/>
          <w:sz w:val="24"/>
          <w:szCs w:val="21"/>
          <w:highlight w:val="none"/>
          <w:lang w:val="en-US" w:eastAsia="zh-CN" w:bidi="ar-SA"/>
          <w14:ligatures w14:val="standardContextual"/>
        </w:rPr>
        <w:t>7、水环境容量计算结果</w:t>
      </w:r>
    </w:p>
    <w:p>
      <w:pPr>
        <w:widowControl w:val="0"/>
        <w:adjustRightInd w:val="0"/>
        <w:snapToGrid w:val="0"/>
        <w:spacing w:line="360" w:lineRule="auto"/>
        <w:ind w:firstLine="480" w:firstLineChars="200"/>
        <w:jc w:val="both"/>
        <w:rPr>
          <w:rFonts w:ascii="Times New Roman" w:hAnsi="Times New Roman" w:eastAsia="宋体" w:cs="Times New Roman"/>
          <w:bCs/>
          <w:kern w:val="2"/>
          <w:sz w:val="24"/>
          <w:szCs w:val="21"/>
          <w:highlight w:val="none"/>
          <w:lang w:val="en-US" w:eastAsia="zh-CN" w:bidi="ar-SA"/>
          <w14:ligatures w14:val="standardContextual"/>
        </w:rPr>
      </w:pPr>
      <w:r>
        <w:rPr>
          <w:rFonts w:ascii="Times New Roman" w:hAnsi="Times New Roman" w:eastAsia="宋体" w:cs="Times New Roman"/>
          <w:bCs/>
          <w:kern w:val="2"/>
          <w:sz w:val="24"/>
          <w:szCs w:val="21"/>
          <w:highlight w:val="none"/>
          <w:lang w:val="en-US" w:eastAsia="zh-CN" w:bidi="ar-SA"/>
          <w14:ligatures w14:val="standardContextual"/>
        </w:rPr>
        <w:t>相关河流评价段COD</w:t>
      </w:r>
      <w:r>
        <w:rPr>
          <w:rFonts w:ascii="Times New Roman" w:hAnsi="Times New Roman" w:eastAsia="宋体" w:cs="Times New Roman"/>
          <w:bCs/>
          <w:kern w:val="2"/>
          <w:sz w:val="24"/>
          <w:szCs w:val="21"/>
          <w:highlight w:val="none"/>
          <w:vertAlign w:val="subscript"/>
          <w:lang w:val="en-US" w:eastAsia="zh-CN" w:bidi="ar-SA"/>
          <w14:ligatures w14:val="standardContextual"/>
        </w:rPr>
        <w:t>Cr</w:t>
      </w:r>
      <w:r>
        <w:rPr>
          <w:rFonts w:ascii="Times New Roman" w:hAnsi="Times New Roman" w:eastAsia="宋体" w:cs="Times New Roman"/>
          <w:bCs/>
          <w:kern w:val="2"/>
          <w:sz w:val="24"/>
          <w:szCs w:val="21"/>
          <w:highlight w:val="none"/>
          <w:lang w:val="en-US" w:eastAsia="zh-CN" w:bidi="ar-SA"/>
          <w14:ligatures w14:val="standardContextual"/>
        </w:rPr>
        <w:t>、NH</w:t>
      </w:r>
      <w:r>
        <w:rPr>
          <w:rFonts w:ascii="Times New Roman" w:hAnsi="Times New Roman" w:eastAsia="宋体" w:cs="Times New Roman"/>
          <w:bCs/>
          <w:kern w:val="2"/>
          <w:sz w:val="24"/>
          <w:szCs w:val="21"/>
          <w:highlight w:val="none"/>
          <w:vertAlign w:val="subscript"/>
          <w:lang w:val="en-US" w:eastAsia="zh-CN" w:bidi="ar-SA"/>
          <w14:ligatures w14:val="standardContextual"/>
        </w:rPr>
        <w:t>3</w:t>
      </w:r>
      <w:r>
        <w:rPr>
          <w:rFonts w:ascii="Times New Roman" w:hAnsi="Times New Roman" w:eastAsia="宋体" w:cs="Times New Roman"/>
          <w:bCs/>
          <w:kern w:val="2"/>
          <w:sz w:val="24"/>
          <w:szCs w:val="21"/>
          <w:highlight w:val="none"/>
          <w:lang w:val="en-US" w:eastAsia="zh-CN" w:bidi="ar-SA"/>
          <w14:ligatures w14:val="standardContextual"/>
        </w:rPr>
        <w:t>-N、TP的水环境容量计算结果见下表。</w:t>
      </w:r>
    </w:p>
    <w:p>
      <w:pPr>
        <w:widowControl w:val="0"/>
        <w:spacing w:before="156" w:beforeLines="50" w:line="240" w:lineRule="auto"/>
        <w:ind w:firstLine="480" w:firstLineChars="0"/>
        <w:jc w:val="center"/>
        <w:rPr>
          <w:rFonts w:ascii="Times New Roman" w:hAnsi="Times New Roman" w:eastAsia="黑体" w:cs="Times New Roman"/>
          <w:kern w:val="2"/>
          <w:sz w:val="21"/>
          <w:szCs w:val="22"/>
          <w:highlight w:val="none"/>
          <w:lang w:val="en-US" w:eastAsia="zh-CN" w:bidi="ar-SA"/>
          <w14:ligatures w14:val="standardContextual"/>
        </w:rPr>
      </w:pPr>
      <w:r>
        <w:rPr>
          <w:rFonts w:hint="eastAsia" w:ascii="Times New Roman" w:hAnsi="Times New Roman" w:eastAsia="黑体" w:cs="Times New Roman"/>
          <w:kern w:val="2"/>
          <w:sz w:val="21"/>
          <w:szCs w:val="22"/>
          <w:highlight w:val="none"/>
          <w:lang w:val="en-US" w:eastAsia="zh-CN" w:bidi="ar-SA"/>
          <w14:ligatures w14:val="standardContextual"/>
        </w:rPr>
        <w:t xml:space="preserve">表 </w:t>
      </w:r>
      <w:r>
        <w:rPr>
          <w:rFonts w:ascii="Times New Roman" w:hAnsi="Times New Roman" w:eastAsia="黑体" w:cs="Times New Roman"/>
          <w:kern w:val="2"/>
          <w:sz w:val="21"/>
          <w:szCs w:val="22"/>
          <w:highlight w:val="none"/>
          <w:lang w:val="en-US" w:eastAsia="zh-CN" w:bidi="ar-SA"/>
          <w14:ligatures w14:val="standardContextual"/>
        </w:rPr>
        <w:fldChar w:fldCharType="begin"/>
      </w:r>
      <w:r>
        <w:rPr>
          <w:rFonts w:ascii="Times New Roman" w:hAnsi="Times New Roman" w:eastAsia="黑体" w:cs="Times New Roman"/>
          <w:kern w:val="2"/>
          <w:sz w:val="21"/>
          <w:szCs w:val="22"/>
          <w:highlight w:val="none"/>
          <w:lang w:val="en-US" w:eastAsia="zh-CN" w:bidi="ar-SA"/>
          <w14:ligatures w14:val="standardContextual"/>
        </w:rPr>
        <w:instrText xml:space="preserve"> </w:instrText>
      </w:r>
      <w:r>
        <w:rPr>
          <w:rFonts w:hint="eastAsia" w:ascii="Times New Roman" w:hAnsi="Times New Roman" w:eastAsia="黑体" w:cs="Times New Roman"/>
          <w:kern w:val="2"/>
          <w:sz w:val="21"/>
          <w:szCs w:val="22"/>
          <w:highlight w:val="none"/>
          <w:lang w:val="en-US" w:eastAsia="zh-CN" w:bidi="ar-SA"/>
          <w14:ligatures w14:val="standardContextual"/>
        </w:rPr>
        <w:instrText xml:space="preserve">STYLEREF 2 \s</w:instrText>
      </w:r>
      <w:r>
        <w:rPr>
          <w:rFonts w:ascii="Times New Roman" w:hAnsi="Times New Roman" w:eastAsia="黑体" w:cs="Times New Roman"/>
          <w:kern w:val="2"/>
          <w:sz w:val="21"/>
          <w:szCs w:val="22"/>
          <w:highlight w:val="none"/>
          <w:lang w:val="en-US" w:eastAsia="zh-CN" w:bidi="ar-SA"/>
          <w14:ligatures w14:val="standardContextual"/>
        </w:rPr>
        <w:instrText xml:space="preserve"> </w:instrText>
      </w:r>
      <w:r>
        <w:rPr>
          <w:rFonts w:ascii="Times New Roman" w:hAnsi="Times New Roman" w:eastAsia="黑体" w:cs="Times New Roman"/>
          <w:kern w:val="2"/>
          <w:sz w:val="21"/>
          <w:szCs w:val="22"/>
          <w:highlight w:val="none"/>
          <w:lang w:val="en-US" w:eastAsia="zh-CN" w:bidi="ar-SA"/>
          <w14:ligatures w14:val="standardContextual"/>
        </w:rPr>
        <w:fldChar w:fldCharType="separate"/>
      </w:r>
      <w:r>
        <w:rPr>
          <w:rFonts w:ascii="Times New Roman" w:hAnsi="Times New Roman" w:eastAsia="黑体" w:cs="Times New Roman"/>
          <w:kern w:val="2"/>
          <w:sz w:val="21"/>
          <w:szCs w:val="22"/>
          <w:highlight w:val="none"/>
          <w:lang w:val="en-US" w:eastAsia="zh-CN" w:bidi="ar-SA"/>
          <w14:ligatures w14:val="standardContextual"/>
        </w:rPr>
        <w:t>8.3</w:t>
      </w:r>
      <w:r>
        <w:rPr>
          <w:rFonts w:ascii="Times New Roman" w:hAnsi="Times New Roman" w:eastAsia="黑体" w:cs="Times New Roman"/>
          <w:kern w:val="2"/>
          <w:sz w:val="21"/>
          <w:szCs w:val="22"/>
          <w:highlight w:val="none"/>
          <w:lang w:val="en-US" w:eastAsia="zh-CN" w:bidi="ar-SA"/>
          <w14:ligatures w14:val="standardContextual"/>
        </w:rPr>
        <w:fldChar w:fldCharType="end"/>
      </w:r>
      <w:r>
        <w:rPr>
          <w:rFonts w:ascii="Times New Roman" w:hAnsi="Times New Roman" w:eastAsia="黑体" w:cs="Times New Roman"/>
          <w:kern w:val="2"/>
          <w:sz w:val="21"/>
          <w:szCs w:val="22"/>
          <w:highlight w:val="none"/>
          <w:lang w:val="en-US" w:eastAsia="zh-CN" w:bidi="ar-SA"/>
          <w14:ligatures w14:val="standardContextual"/>
        </w:rPr>
        <w:noBreakHyphen/>
      </w:r>
      <w:r>
        <w:rPr>
          <w:rFonts w:ascii="Times New Roman" w:hAnsi="Times New Roman" w:eastAsia="黑体" w:cs="Times New Roman"/>
          <w:kern w:val="2"/>
          <w:sz w:val="21"/>
          <w:szCs w:val="22"/>
          <w:highlight w:val="none"/>
          <w:lang w:val="en-US" w:eastAsia="zh-CN" w:bidi="ar-SA"/>
          <w14:ligatures w14:val="standardContextual"/>
        </w:rPr>
        <w:fldChar w:fldCharType="begin"/>
      </w:r>
      <w:r>
        <w:rPr>
          <w:rFonts w:ascii="Times New Roman" w:hAnsi="Times New Roman" w:eastAsia="黑体" w:cs="Times New Roman"/>
          <w:kern w:val="2"/>
          <w:sz w:val="21"/>
          <w:szCs w:val="22"/>
          <w:highlight w:val="none"/>
          <w:lang w:val="en-US" w:eastAsia="zh-CN" w:bidi="ar-SA"/>
          <w14:ligatures w14:val="standardContextual"/>
        </w:rPr>
        <w:instrText xml:space="preserve"> </w:instrText>
      </w:r>
      <w:r>
        <w:rPr>
          <w:rFonts w:hint="eastAsia" w:ascii="Times New Roman" w:hAnsi="Times New Roman" w:eastAsia="黑体" w:cs="Times New Roman"/>
          <w:kern w:val="2"/>
          <w:sz w:val="21"/>
          <w:szCs w:val="22"/>
          <w:highlight w:val="none"/>
          <w:lang w:val="en-US" w:eastAsia="zh-CN" w:bidi="ar-SA"/>
          <w14:ligatures w14:val="standardContextual"/>
        </w:rPr>
        <w:instrText xml:space="preserve">SEQ 表 \* ARABIC \s 2</w:instrText>
      </w:r>
      <w:r>
        <w:rPr>
          <w:rFonts w:ascii="Times New Roman" w:hAnsi="Times New Roman" w:eastAsia="黑体" w:cs="Times New Roman"/>
          <w:kern w:val="2"/>
          <w:sz w:val="21"/>
          <w:szCs w:val="22"/>
          <w:highlight w:val="none"/>
          <w:lang w:val="en-US" w:eastAsia="zh-CN" w:bidi="ar-SA"/>
          <w14:ligatures w14:val="standardContextual"/>
        </w:rPr>
        <w:instrText xml:space="preserve"> </w:instrText>
      </w:r>
      <w:r>
        <w:rPr>
          <w:rFonts w:ascii="Times New Roman" w:hAnsi="Times New Roman" w:eastAsia="黑体" w:cs="Times New Roman"/>
          <w:kern w:val="2"/>
          <w:sz w:val="21"/>
          <w:szCs w:val="22"/>
          <w:highlight w:val="none"/>
          <w:lang w:val="en-US" w:eastAsia="zh-CN" w:bidi="ar-SA"/>
          <w14:ligatures w14:val="standardContextual"/>
        </w:rPr>
        <w:fldChar w:fldCharType="separate"/>
      </w:r>
      <w:r>
        <w:rPr>
          <w:rFonts w:ascii="Times New Roman" w:hAnsi="Times New Roman" w:eastAsia="黑体" w:cs="Times New Roman"/>
          <w:kern w:val="2"/>
          <w:sz w:val="21"/>
          <w:szCs w:val="22"/>
          <w:highlight w:val="none"/>
          <w:lang w:val="en-US" w:eastAsia="zh-CN" w:bidi="ar-SA"/>
          <w14:ligatures w14:val="standardContextual"/>
        </w:rPr>
        <w:t>1</w:t>
      </w:r>
      <w:r>
        <w:rPr>
          <w:rFonts w:ascii="Times New Roman" w:hAnsi="Times New Roman" w:eastAsia="黑体" w:cs="Times New Roman"/>
          <w:kern w:val="2"/>
          <w:sz w:val="21"/>
          <w:szCs w:val="22"/>
          <w:highlight w:val="none"/>
          <w:lang w:val="en-US" w:eastAsia="zh-CN" w:bidi="ar-SA"/>
          <w14:ligatures w14:val="standardContextual"/>
        </w:rPr>
        <w:fldChar w:fldCharType="end"/>
      </w:r>
      <w:r>
        <w:rPr>
          <w:rFonts w:ascii="Times New Roman" w:hAnsi="Times New Roman" w:eastAsia="黑体" w:cs="Times New Roman"/>
          <w:kern w:val="2"/>
          <w:sz w:val="21"/>
          <w:szCs w:val="22"/>
          <w:highlight w:val="none"/>
          <w:lang w:val="en-US" w:eastAsia="zh-CN" w:bidi="ar-SA"/>
          <w14:ligatures w14:val="standardContextual"/>
        </w:rPr>
        <w:t xml:space="preserve">  河流评价段水环境容量测算</w:t>
      </w:r>
    </w:p>
    <w:p>
      <w:pPr>
        <w:keepNext/>
        <w:keepLines/>
        <w:widowControl w:val="0"/>
        <w:spacing w:before="260" w:after="260" w:line="416" w:lineRule="auto"/>
        <w:ind w:firstLine="643" w:firstLineChars="200"/>
        <w:jc w:val="both"/>
        <w:outlineLvl w:val="2"/>
        <w:rPr>
          <w:rFonts w:ascii="Times New Roman" w:hAnsi="Times New Roman" w:eastAsia="宋体" w:cs="Times New Roman"/>
          <w:b/>
          <w:bCs/>
          <w:color w:val="2F5496"/>
          <w:kern w:val="2"/>
          <w:sz w:val="32"/>
          <w:szCs w:val="32"/>
          <w:highlight w:val="none"/>
          <w:lang w:val="en-US" w:eastAsia="zh-CN" w:bidi="ar-SA"/>
          <w14:ligatures w14:val="standardContextual"/>
        </w:rPr>
      </w:pPr>
      <w:r>
        <w:rPr>
          <w:rFonts w:hint="eastAsia" w:ascii="Times New Roman" w:hAnsi="Times New Roman" w:eastAsia="宋体" w:cs="Times New Roman"/>
          <w:b/>
          <w:bCs/>
          <w:color w:val="2F5496"/>
          <w:kern w:val="2"/>
          <w:sz w:val="32"/>
          <w:szCs w:val="32"/>
          <w:highlight w:val="none"/>
          <w:lang w:val="en-US" w:eastAsia="zh-CN" w:bidi="ar-SA"/>
          <w14:ligatures w14:val="standardContextual"/>
        </w:rPr>
        <w:t>9.3.2水环境容量与总量控制指标</w:t>
      </w:r>
    </w:p>
    <w:p>
      <w:pPr>
        <w:keepNext/>
        <w:keepLines/>
        <w:widowControl w:val="0"/>
        <w:spacing w:before="260" w:after="260" w:line="416" w:lineRule="auto"/>
        <w:ind w:firstLine="643" w:firstLineChars="200"/>
        <w:jc w:val="both"/>
        <w:outlineLvl w:val="2"/>
        <w:rPr>
          <w:rFonts w:ascii="Times New Roman" w:hAnsi="Times New Roman" w:eastAsia="宋体" w:cs="Times New Roman"/>
          <w:b/>
          <w:bCs/>
          <w:color w:val="2F5496"/>
          <w:kern w:val="2"/>
          <w:sz w:val="32"/>
          <w:szCs w:val="32"/>
          <w:highlight w:val="none"/>
          <w:lang w:val="en-US" w:eastAsia="zh-CN" w:bidi="ar-SA"/>
          <w14:ligatures w14:val="standardContextual"/>
        </w:rPr>
      </w:pPr>
      <w:r>
        <w:rPr>
          <w:rFonts w:hint="eastAsia" w:ascii="Times New Roman" w:hAnsi="Times New Roman" w:eastAsia="宋体" w:cs="Times New Roman"/>
          <w:b/>
          <w:bCs/>
          <w:color w:val="2F5496"/>
          <w:kern w:val="2"/>
          <w:sz w:val="32"/>
          <w:szCs w:val="32"/>
          <w:highlight w:val="none"/>
          <w:lang w:val="en-US" w:eastAsia="zh-CN" w:bidi="ar-SA"/>
          <w14:ligatures w14:val="standardContextual"/>
        </w:rPr>
        <w:t>9.3.3关于市域河道水质改善的建议</w:t>
      </w:r>
    </w:p>
    <w:p>
      <w:pPr>
        <w:keepNext/>
        <w:keepLines/>
        <w:widowControl w:val="0"/>
        <w:spacing w:before="260" w:after="260" w:line="416" w:lineRule="auto"/>
        <w:ind w:firstLine="643" w:firstLineChars="200"/>
        <w:jc w:val="both"/>
        <w:outlineLvl w:val="1"/>
        <w:rPr>
          <w:rFonts w:ascii="Calibri Light" w:hAnsi="Calibri Light" w:eastAsia="宋体" w:cs="Times New Roman"/>
          <w:b/>
          <w:bCs/>
          <w:color w:val="2F5496"/>
          <w:kern w:val="2"/>
          <w:sz w:val="32"/>
          <w:szCs w:val="32"/>
          <w:highlight w:val="none"/>
          <w:lang w:val="en-US" w:eastAsia="zh-CN" w:bidi="ar-SA"/>
          <w14:ligatures w14:val="standardContextual"/>
        </w:rPr>
      </w:pPr>
      <w:bookmarkStart w:id="86" w:name="_Toc152163930"/>
      <w:r>
        <w:rPr>
          <w:rFonts w:hint="eastAsia" w:ascii="Calibri Light" w:hAnsi="Calibri Light" w:eastAsia="宋体" w:cs="Times New Roman"/>
          <w:b/>
          <w:bCs/>
          <w:color w:val="2F5496"/>
          <w:kern w:val="2"/>
          <w:sz w:val="32"/>
          <w:szCs w:val="32"/>
          <w:highlight w:val="none"/>
          <w:lang w:val="en-US" w:eastAsia="zh-CN" w:bidi="ar-SA"/>
          <w14:ligatures w14:val="standardContextual"/>
        </w:rPr>
        <w:t>9.4</w:t>
      </w:r>
      <w:r>
        <w:rPr>
          <w:rFonts w:ascii="Calibri Light" w:hAnsi="Calibri Light" w:eastAsia="宋体" w:cs="Times New Roman"/>
          <w:b/>
          <w:bCs/>
          <w:color w:val="2F5496"/>
          <w:kern w:val="2"/>
          <w:sz w:val="32"/>
          <w:szCs w:val="32"/>
          <w:highlight w:val="none"/>
          <w:lang w:val="en-US" w:eastAsia="zh-CN" w:bidi="ar-SA"/>
          <w14:ligatures w14:val="standardContextual"/>
        </w:rPr>
        <w:t>资源环境承载状态评估</w:t>
      </w:r>
      <w:bookmarkEnd w:id="86"/>
    </w:p>
    <w:p>
      <w:pPr>
        <w:widowControl w:val="0"/>
        <w:adjustRightInd w:val="0"/>
        <w:snapToGrid w:val="0"/>
        <w:spacing w:line="360" w:lineRule="auto"/>
        <w:ind w:firstLine="480" w:firstLineChars="200"/>
        <w:jc w:val="both"/>
        <w:rPr>
          <w:rFonts w:hint="eastAsia"/>
          <w:highlight w:val="none"/>
        </w:rPr>
      </w:pPr>
      <w:r>
        <w:rPr>
          <w:rFonts w:hint="eastAsia" w:ascii="Times New Roman" w:hAnsi="Times New Roman" w:eastAsia="宋体" w:cs="Times New Roman"/>
          <w:bCs/>
          <w:kern w:val="2"/>
          <w:sz w:val="24"/>
          <w:szCs w:val="21"/>
          <w:highlight w:val="none"/>
          <w:lang w:val="en-US" w:eastAsia="zh-CN" w:bidi="ar-SA"/>
          <w14:ligatures w14:val="standardContextual"/>
        </w:rPr>
        <w:t>（略）</w:t>
      </w:r>
    </w:p>
    <w:p>
      <w:pPr>
        <w:rPr>
          <w:rFonts w:hint="eastAsia" w:eastAsia="宋体" w:cs="Times New Roman"/>
          <w:color w:val="7030A0"/>
          <w:highlight w:val="none"/>
        </w:rPr>
      </w:pPr>
      <w:r>
        <w:rPr>
          <w:rFonts w:hint="eastAsia" w:eastAsia="宋体" w:cs="Times New Roman"/>
          <w:color w:val="7030A0"/>
          <w:highlight w:val="none"/>
        </w:rPr>
        <w:br w:type="page"/>
      </w:r>
    </w:p>
    <w:p>
      <w:pPr>
        <w:rPr>
          <w:highlight w:val="none"/>
        </w:rPr>
      </w:pPr>
    </w:p>
    <w:p>
      <w:pPr>
        <w:keepNext/>
        <w:keepLines/>
        <w:widowControl w:val="0"/>
        <w:numPr>
          <w:ilvl w:val="0"/>
          <w:numId w:val="9"/>
        </w:numPr>
        <w:spacing w:before="163" w:beforeLines="0" w:after="163" w:afterLines="0" w:line="578" w:lineRule="auto"/>
        <w:ind w:left="440" w:hanging="440" w:firstLineChars="0"/>
        <w:jc w:val="both"/>
        <w:outlineLvl w:val="0"/>
        <w:rPr>
          <w:rFonts w:hint="eastAsia" w:ascii="Times New Roman" w:hAnsi="Times New Roman" w:eastAsia="黑体" w:cs="Times New Roman"/>
          <w:bCs/>
          <w:color w:val="7030A0"/>
          <w:kern w:val="44"/>
          <w:sz w:val="44"/>
          <w:szCs w:val="44"/>
          <w:highlight w:val="none"/>
          <w:lang w:val="en-US" w:eastAsia="zh-CN" w:bidi="ar-SA"/>
        </w:rPr>
      </w:pPr>
      <w:bookmarkStart w:id="87" w:name="_Toc154518182"/>
      <w:r>
        <w:rPr>
          <w:rFonts w:hint="eastAsia" w:ascii="Times New Roman" w:hAnsi="Times New Roman" w:eastAsia="黑体" w:cs="Times New Roman"/>
          <w:bCs/>
          <w:color w:val="7030A0"/>
          <w:kern w:val="44"/>
          <w:sz w:val="44"/>
          <w:szCs w:val="44"/>
          <w:highlight w:val="none"/>
          <w:lang w:val="en-US" w:eastAsia="zh-CN" w:bidi="ar-SA"/>
        </w:rPr>
        <w:t>不良环境影响减缓对策措施与协同降碳建议</w:t>
      </w:r>
      <w:bookmarkEnd w:id="87"/>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color w:val="7030A0"/>
          <w:kern w:val="2"/>
          <w:sz w:val="32"/>
          <w:szCs w:val="32"/>
          <w:highlight w:val="none"/>
          <w:lang w:val="en-US" w:eastAsia="zh-CN" w:bidi="ar-SA"/>
        </w:rPr>
      </w:pPr>
      <w:bookmarkStart w:id="88" w:name="_Toc151121609"/>
      <w:bookmarkStart w:id="89" w:name="_Toc154518183"/>
      <w:r>
        <w:rPr>
          <w:rFonts w:hint="eastAsia" w:ascii="Times New Roman" w:hAnsi="Times New Roman" w:eastAsia="黑体" w:cs="Times New Roman"/>
          <w:bCs/>
          <w:color w:val="7030A0"/>
          <w:kern w:val="2"/>
          <w:sz w:val="32"/>
          <w:szCs w:val="32"/>
          <w:highlight w:val="none"/>
          <w:lang w:val="en-US" w:eastAsia="zh-CN" w:bidi="ar-SA"/>
        </w:rPr>
        <w:t>资源节约与碳减排</w:t>
      </w:r>
      <w:bookmarkEnd w:id="88"/>
      <w:bookmarkEnd w:id="89"/>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水资源节约措施</w:t>
      </w:r>
    </w:p>
    <w:p>
      <w:pPr>
        <w:pStyle w:val="89"/>
        <w:ind w:firstLine="480"/>
        <w:rPr>
          <w:highlight w:val="none"/>
        </w:rPr>
      </w:pPr>
      <w:r>
        <w:rPr>
          <w:rFonts w:hint="eastAsia"/>
          <w:highlight w:val="none"/>
        </w:rPr>
        <w:t>规划区制定工业节水政策，建立工业节水机制，规范企业用水行为，鼓励工业节水，将工业节水纳入法制化管理，促进工业节水和加速工业节水改造。</w:t>
      </w:r>
    </w:p>
    <w:p>
      <w:pPr>
        <w:pStyle w:val="89"/>
        <w:ind w:firstLine="480"/>
        <w:rPr>
          <w:highlight w:val="none"/>
        </w:rPr>
      </w:pPr>
      <w:r>
        <w:rPr>
          <w:rFonts w:hint="eastAsia"/>
          <w:highlight w:val="none"/>
        </w:rPr>
        <w:t>工业企业要及时开展水平衡测试和查漏维修维护工作，强化对用水和节水的计量管理。生产用水和生活用水要分类计量，主要用水车间和主要用水设备的计量器具装备率应达到100%，控制点要实行在线监测，杜绝“跑冒滴漏”等浪费水的现象。</w:t>
      </w:r>
    </w:p>
    <w:p>
      <w:pPr>
        <w:pStyle w:val="89"/>
        <w:ind w:firstLine="480"/>
        <w:rPr>
          <w:highlight w:val="none"/>
        </w:rPr>
      </w:pPr>
      <w:r>
        <w:rPr>
          <w:rFonts w:hint="eastAsia"/>
          <w:highlight w:val="none"/>
        </w:rPr>
        <w:t>工业企业要积极推行清洁生产，实现废水减量化；促进废水循环利用和综合利用，实现废水资源化，尽量减少新鲜水耗量。</w:t>
      </w:r>
    </w:p>
    <w:p>
      <w:pPr>
        <w:pStyle w:val="89"/>
        <w:ind w:firstLine="480"/>
        <w:rPr>
          <w:highlight w:val="none"/>
        </w:rPr>
      </w:pPr>
      <w:r>
        <w:rPr>
          <w:rFonts w:hint="eastAsia"/>
          <w:highlight w:val="none"/>
        </w:rPr>
        <w:t>实施最严格水资源管理，健全取用水总量控制指标体系。对自备水源情况进行排查，严禁私自取水用于生产和商业用途。</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能源节约措施</w:t>
      </w:r>
    </w:p>
    <w:p>
      <w:pPr>
        <w:pStyle w:val="89"/>
        <w:ind w:firstLine="480"/>
        <w:rPr>
          <w:rFonts w:hint="eastAsia"/>
          <w:highlight w:val="none"/>
        </w:rPr>
      </w:pPr>
      <w:r>
        <w:rPr>
          <w:rFonts w:hint="eastAsia"/>
          <w:highlight w:val="none"/>
        </w:rPr>
        <w:t>应实施统筹规划，建议重点企业等按国家规定要求，组织开展节能评估工作，从结构节能、管理节能、技术节能三个方面挖掘节能潜力，提高能耗水平。</w:t>
      </w:r>
    </w:p>
    <w:p>
      <w:pPr>
        <w:pStyle w:val="89"/>
        <w:ind w:firstLine="480"/>
        <w:rPr>
          <w:rFonts w:hint="eastAsia"/>
          <w:highlight w:val="none"/>
        </w:rPr>
      </w:pPr>
      <w:r>
        <w:rPr>
          <w:rFonts w:hint="eastAsia"/>
          <w:highlight w:val="none"/>
        </w:rPr>
        <w:t>新引入项目应严格落实省、市十四五能耗双控指标的相关要求，积极实施节能措施，降低能耗。</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碳减排措施</w:t>
      </w:r>
    </w:p>
    <w:p>
      <w:pPr>
        <w:pStyle w:val="89"/>
        <w:ind w:firstLine="482"/>
        <w:outlineLvl w:val="4"/>
        <w:rPr>
          <w:b/>
          <w:bCs w:val="0"/>
          <w:highlight w:val="none"/>
        </w:rPr>
      </w:pPr>
      <w:r>
        <w:rPr>
          <w:rFonts w:hint="eastAsia"/>
          <w:b/>
          <w:bCs w:val="0"/>
          <w:highlight w:val="none"/>
        </w:rPr>
        <w:t>1、园区层面</w:t>
      </w:r>
    </w:p>
    <w:p>
      <w:pPr>
        <w:pStyle w:val="89"/>
        <w:ind w:firstLine="480"/>
        <w:rPr>
          <w:highlight w:val="none"/>
        </w:rPr>
      </w:pPr>
      <w:r>
        <w:rPr>
          <w:rFonts w:hint="eastAsia"/>
          <w:highlight w:val="none"/>
        </w:rPr>
        <w:t>从产业结构调整、能效提升、能源结构优化、碳捕集四个方面，推动园区深度碳减排。</w:t>
      </w:r>
    </w:p>
    <w:p>
      <w:pPr>
        <w:pStyle w:val="89"/>
        <w:ind w:firstLine="480"/>
        <w:rPr>
          <w:highlight w:val="none"/>
        </w:rPr>
      </w:pPr>
      <w:r>
        <w:rPr>
          <w:rFonts w:hint="eastAsia"/>
          <w:highlight w:val="none"/>
        </w:rPr>
        <w:t>优化产业结构，降低高耗能行业比例。在框定园区饱和容量与整体产能规模基础上，论证评估园区满负荷状况下的碳排放总量，并由此作出统一规划和实施计划。在具体规划内容方面，应当明确园区碳达峰时间表、碳达峰数值、减碳路线图、减碳实施措施等；</w:t>
      </w:r>
    </w:p>
    <w:p>
      <w:pPr>
        <w:pStyle w:val="89"/>
        <w:ind w:firstLine="480"/>
        <w:rPr>
          <w:highlight w:val="none"/>
        </w:rPr>
      </w:pPr>
      <w:r>
        <w:rPr>
          <w:rFonts w:hint="eastAsia"/>
          <w:highlight w:val="none"/>
        </w:rPr>
        <w:t>优化调整园区能源结构，能源结构优化重点可放在余热、风、光、氢等新能源，通过增加新能源在能源消费中的比例，减少化石类传统能源使用比重，从源头上进行涉碳减碳干预。</w:t>
      </w:r>
    </w:p>
    <w:p>
      <w:pPr>
        <w:pStyle w:val="89"/>
        <w:ind w:firstLine="480"/>
        <w:rPr>
          <w:highlight w:val="none"/>
        </w:rPr>
      </w:pPr>
      <w:r>
        <w:rPr>
          <w:rFonts w:hint="eastAsia"/>
          <w:highlight w:val="none"/>
        </w:rPr>
        <w:t>鼓励园区实施减污降碳协同治理和碳捕集、封存、综合利用工程试点、示范工作。工业上传统的CO</w:t>
      </w:r>
      <w:r>
        <w:rPr>
          <w:rFonts w:hint="eastAsia"/>
          <w:highlight w:val="none"/>
          <w:vertAlign w:val="subscript"/>
        </w:rPr>
        <w:t>2</w:t>
      </w:r>
      <w:r>
        <w:rPr>
          <w:rFonts w:hint="eastAsia"/>
          <w:highlight w:val="none"/>
        </w:rPr>
        <w:t>捕集技术主要有4种：吸收法、吸附法、低温蒸馏法和膜分离法。近年来，还研究开发出了许多新方法，如电化学法、酶法、光生物合成法、催化剂法等。</w:t>
      </w:r>
    </w:p>
    <w:p>
      <w:pPr>
        <w:pStyle w:val="89"/>
        <w:ind w:firstLine="482"/>
        <w:outlineLvl w:val="4"/>
        <w:rPr>
          <w:b/>
          <w:bCs w:val="0"/>
          <w:highlight w:val="none"/>
        </w:rPr>
      </w:pPr>
      <w:r>
        <w:rPr>
          <w:rFonts w:hint="eastAsia"/>
          <w:b/>
          <w:bCs w:val="0"/>
          <w:highlight w:val="none"/>
        </w:rPr>
        <w:t>2、项目层面</w:t>
      </w:r>
    </w:p>
    <w:p>
      <w:pPr>
        <w:pStyle w:val="89"/>
        <w:ind w:firstLine="480"/>
        <w:rPr>
          <w:highlight w:val="none"/>
        </w:rPr>
      </w:pPr>
      <w:r>
        <w:rPr>
          <w:rFonts w:hint="eastAsia"/>
          <w:highlight w:val="none"/>
        </w:rPr>
        <w:t>项目针对重点耗能工艺、重点耗能设备，采取有效节能措施；优先选用高效节能设备、节能灯具、节水器具等节能新产品。所采用的节能新技术、新工艺、新产品符合国家、行业及地方明文规定的要求。</w:t>
      </w:r>
    </w:p>
    <w:p>
      <w:pPr>
        <w:pStyle w:val="89"/>
        <w:ind w:firstLine="480"/>
        <w:rPr>
          <w:highlight w:val="none"/>
        </w:rPr>
      </w:pPr>
      <w:r>
        <w:rPr>
          <w:rFonts w:hint="eastAsia"/>
          <w:highlight w:val="none"/>
        </w:rPr>
        <w:t>项目通过采用各种先进技术，大量降低物料消耗、减少生产中各种污染物的产生和排放；工艺流程紧凑、合理、顺畅，最大限度的缩短中间环节物流运距，节约投资和运行成本，并在工艺设计、设备选型、建筑材料、电气系统、节能管理等各方面采用一系列节能措施。开展建设项目全过程分析，识别碳排放节点，重点预测碳排放主要工序或节点排放水平(内容包括核算建设项目生产运行阶段能源活动与工艺过程以及因使用外购的电力和热力导致的二氧化碳产生量、排放量，碳排放绩效情况，以及碳减排潜力分析等)。根据碳排放水平测算结果，分别从能源利用、原料使用、工艺优化、节能降碳技术、运输方式等方面提出碳减排措施。在环境影响报告书中明确碳排放主要工序的生产工艺、生产设施规模、资源能源消耗及综合利用情况、能效标准、节能降耗技术、减污降碳协同技术、清洁运输方式等内容，提出能源消费替代要求、碳排放量削减方案。</w:t>
      </w:r>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color w:val="7030A0"/>
          <w:kern w:val="2"/>
          <w:sz w:val="32"/>
          <w:szCs w:val="32"/>
          <w:highlight w:val="none"/>
          <w:lang w:val="en-US" w:eastAsia="zh-CN" w:bidi="ar-SA"/>
        </w:rPr>
      </w:pPr>
      <w:bookmarkStart w:id="90" w:name="_Toc151121610"/>
      <w:bookmarkStart w:id="91" w:name="_Toc154518184"/>
      <w:r>
        <w:rPr>
          <w:rFonts w:hint="eastAsia" w:ascii="Times New Roman" w:hAnsi="Times New Roman" w:eastAsia="黑体" w:cs="Times New Roman"/>
          <w:bCs/>
          <w:color w:val="7030A0"/>
          <w:kern w:val="2"/>
          <w:sz w:val="32"/>
          <w:szCs w:val="32"/>
          <w:highlight w:val="none"/>
          <w:lang w:val="en-US" w:eastAsia="zh-CN" w:bidi="ar-SA"/>
        </w:rPr>
        <w:t>生态环境保护与污染防治对策和措施</w:t>
      </w:r>
      <w:bookmarkEnd w:id="90"/>
      <w:bookmarkEnd w:id="91"/>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大气环境保护对策与减缓措施</w:t>
      </w:r>
    </w:p>
    <w:p>
      <w:pPr>
        <w:pStyle w:val="89"/>
        <w:ind w:firstLine="482"/>
        <w:outlineLvl w:val="4"/>
        <w:rPr>
          <w:rFonts w:hint="eastAsia"/>
          <w:b/>
          <w:bCs w:val="0"/>
          <w:highlight w:val="none"/>
        </w:rPr>
      </w:pPr>
      <w:r>
        <w:rPr>
          <w:rFonts w:hint="eastAsia"/>
          <w:b/>
          <w:bCs w:val="0"/>
          <w:highlight w:val="none"/>
        </w:rPr>
        <w:t>1、严格规划项目生态环境准入，实施源头防控</w:t>
      </w:r>
    </w:p>
    <w:p>
      <w:pPr>
        <w:pStyle w:val="89"/>
        <w:ind w:firstLine="480"/>
        <w:rPr>
          <w:rFonts w:hint="eastAsia"/>
          <w:highlight w:val="none"/>
        </w:rPr>
      </w:pPr>
      <w:r>
        <w:rPr>
          <w:rFonts w:hint="eastAsia"/>
          <w:highlight w:val="none"/>
        </w:rPr>
        <w:t>（1）严格规划项目生态环境准入要求</w:t>
      </w:r>
    </w:p>
    <w:p>
      <w:pPr>
        <w:pStyle w:val="89"/>
        <w:ind w:firstLine="480"/>
        <w:rPr>
          <w:rFonts w:hint="eastAsia"/>
          <w:highlight w:val="none"/>
        </w:rPr>
      </w:pPr>
      <w:r>
        <w:rPr>
          <w:rFonts w:hint="eastAsia"/>
          <w:highlight w:val="none"/>
        </w:rPr>
        <w:t>① 规划项目的工艺技术、建设规模应符合国家产业政策要求，鼓励采用能源转换率高、污染物排放强度低、环境风险小的工艺技术。</w:t>
      </w:r>
    </w:p>
    <w:p>
      <w:pPr>
        <w:pStyle w:val="89"/>
        <w:ind w:firstLine="480"/>
        <w:rPr>
          <w:rFonts w:hint="eastAsia"/>
          <w:highlight w:val="none"/>
        </w:rPr>
      </w:pPr>
      <w:r>
        <w:rPr>
          <w:rFonts w:hint="eastAsia"/>
          <w:highlight w:val="none"/>
        </w:rPr>
        <w:t>② 完善规划项目生态环境准入的环境管理体系，新建或改、扩建工业项</w:t>
      </w:r>
    </w:p>
    <w:p>
      <w:pPr>
        <w:pStyle w:val="89"/>
        <w:ind w:firstLine="480"/>
        <w:rPr>
          <w:rFonts w:hint="eastAsia"/>
          <w:highlight w:val="none"/>
        </w:rPr>
      </w:pPr>
      <w:r>
        <w:rPr>
          <w:rFonts w:hint="eastAsia"/>
          <w:highlight w:val="none"/>
        </w:rPr>
        <w:t>目，在符合生态空间管控要求的前提下，污染物排放强度及总量应进行控制。</w:t>
      </w:r>
    </w:p>
    <w:p>
      <w:pPr>
        <w:pStyle w:val="89"/>
        <w:ind w:firstLine="480"/>
        <w:rPr>
          <w:rFonts w:hint="eastAsia"/>
          <w:highlight w:val="none"/>
        </w:rPr>
      </w:pPr>
      <w:r>
        <w:rPr>
          <w:rFonts w:hint="eastAsia"/>
          <w:highlight w:val="none"/>
        </w:rPr>
        <w:t>③ 重视引入项目与周边环境的相容性，协调好园区与周边居住区和规划集中居住区的发展方向，避免与规划区发展相冲突。</w:t>
      </w:r>
    </w:p>
    <w:p>
      <w:pPr>
        <w:pStyle w:val="89"/>
        <w:ind w:firstLine="480"/>
        <w:rPr>
          <w:highlight w:val="none"/>
        </w:rPr>
      </w:pPr>
      <w:r>
        <w:rPr>
          <w:rFonts w:hint="eastAsia"/>
          <w:highlight w:val="none"/>
        </w:rPr>
        <w:t>（2）提高 VOCs 排放重点行业环保准入门槛，严格控制新增污染物排放量</w:t>
      </w:r>
    </w:p>
    <w:p>
      <w:pPr>
        <w:pStyle w:val="89"/>
        <w:ind w:firstLine="480"/>
        <w:rPr>
          <w:rFonts w:hint="eastAsia"/>
          <w:highlight w:val="none"/>
        </w:rPr>
      </w:pPr>
      <w:r>
        <w:rPr>
          <w:rFonts w:hint="eastAsia"/>
          <w:highlight w:val="none"/>
        </w:rPr>
        <w:t>严格落实《重点行业挥发性有机物综合治理方案》（环大气</w:t>
      </w:r>
      <w:r>
        <w:rPr>
          <w:rFonts w:hint="eastAsia" w:ascii="宋体" w:hAnsi="宋体"/>
          <w:highlight w:val="none"/>
        </w:rPr>
        <w:t>〔</w:t>
      </w:r>
      <w:r>
        <w:rPr>
          <w:rFonts w:hint="eastAsia"/>
          <w:highlight w:val="none"/>
        </w:rPr>
        <w:t>2019</w:t>
      </w:r>
      <w:r>
        <w:rPr>
          <w:rFonts w:hint="eastAsia" w:ascii="宋体" w:hAnsi="宋体"/>
          <w:highlight w:val="none"/>
        </w:rPr>
        <w:t>〕</w:t>
      </w:r>
      <w:r>
        <w:rPr>
          <w:rFonts w:hint="eastAsia"/>
          <w:highlight w:val="none"/>
        </w:rPr>
        <w:t>53号）、《四川省挥发性有机物污染防治实施方案（2018-2020 年》（川环发</w:t>
      </w:r>
      <w:r>
        <w:rPr>
          <w:rFonts w:hint="eastAsia" w:ascii="宋体" w:hAnsi="宋体"/>
          <w:highlight w:val="none"/>
        </w:rPr>
        <w:t>〔</w:t>
      </w:r>
      <w:r>
        <w:rPr>
          <w:rFonts w:hint="eastAsia"/>
          <w:highlight w:val="none"/>
        </w:rPr>
        <w:t>2018</w:t>
      </w:r>
      <w:r>
        <w:rPr>
          <w:rFonts w:hint="eastAsia" w:ascii="宋体" w:hAnsi="宋体"/>
          <w:highlight w:val="none"/>
        </w:rPr>
        <w:t>〕</w:t>
      </w:r>
      <w:r>
        <w:rPr>
          <w:rFonts w:hint="eastAsia"/>
          <w:highlight w:val="none"/>
        </w:rPr>
        <w:t>44 号）等文件要求，严格涉 VOCs建设项目环境影响评价，落实区域 VOCs总量控制要求。新、改、扩建涉 VOCs 排放项目，应从源头加强控制，使用低（无）VOCs含量的原辅材料，加强废气收集，安装高效治理设施。</w:t>
      </w:r>
    </w:p>
    <w:p>
      <w:pPr>
        <w:pStyle w:val="89"/>
        <w:ind w:firstLine="480"/>
        <w:rPr>
          <w:rFonts w:hint="eastAsia"/>
          <w:highlight w:val="none"/>
        </w:rPr>
      </w:pPr>
      <w:r>
        <w:rPr>
          <w:rFonts w:hint="eastAsia"/>
          <w:highlight w:val="none"/>
        </w:rPr>
        <w:t>（3）定期评估区域环境空气质量变化情况</w:t>
      </w:r>
    </w:p>
    <w:p>
      <w:pPr>
        <w:pStyle w:val="89"/>
        <w:ind w:firstLine="480"/>
        <w:rPr>
          <w:rFonts w:hint="eastAsia"/>
          <w:highlight w:val="none"/>
        </w:rPr>
      </w:pPr>
      <w:r>
        <w:rPr>
          <w:rFonts w:hint="eastAsia"/>
          <w:highlight w:val="none"/>
        </w:rPr>
        <w:t>建议按照规划环评跟踪监测计划的要求，定期跟踪评估区域环境空气质量的变化，以相应地对新增和扩增项目规划进行合理调整。规划区新增涉气排放行业许可或审批时，须严格执行审批程序。</w:t>
      </w:r>
    </w:p>
    <w:p>
      <w:pPr>
        <w:pStyle w:val="89"/>
        <w:ind w:firstLine="482"/>
        <w:outlineLvl w:val="4"/>
        <w:rPr>
          <w:rFonts w:hint="eastAsia"/>
          <w:b/>
          <w:bCs w:val="0"/>
          <w:highlight w:val="none"/>
        </w:rPr>
      </w:pPr>
      <w:r>
        <w:rPr>
          <w:rFonts w:hint="eastAsia"/>
          <w:b/>
          <w:bCs w:val="0"/>
          <w:highlight w:val="none"/>
        </w:rPr>
        <w:t>2、加强工业废气排放管理</w:t>
      </w:r>
    </w:p>
    <w:p>
      <w:pPr>
        <w:pStyle w:val="89"/>
        <w:ind w:firstLine="480"/>
        <w:rPr>
          <w:rFonts w:hint="eastAsia"/>
          <w:highlight w:val="none"/>
        </w:rPr>
      </w:pPr>
      <w:r>
        <w:rPr>
          <w:rFonts w:hint="eastAsia"/>
          <w:highlight w:val="none"/>
        </w:rPr>
        <w:t>（1）严格大气污染物排放限值要求</w:t>
      </w:r>
    </w:p>
    <w:p>
      <w:pPr>
        <w:pStyle w:val="89"/>
        <w:ind w:firstLine="480"/>
        <w:rPr>
          <w:rFonts w:hint="eastAsia"/>
          <w:highlight w:val="none"/>
        </w:rPr>
      </w:pPr>
      <w:r>
        <w:rPr>
          <w:rFonts w:hint="eastAsia"/>
          <w:highlight w:val="none"/>
        </w:rPr>
        <w:t>① 区域内大气污染排放源执行国家、省、行业排放标准中规定的大气污染物排放限值。</w:t>
      </w:r>
    </w:p>
    <w:p>
      <w:pPr>
        <w:pStyle w:val="89"/>
        <w:ind w:firstLine="480"/>
        <w:rPr>
          <w:rFonts w:hint="eastAsia"/>
          <w:highlight w:val="none"/>
        </w:rPr>
      </w:pPr>
      <w:r>
        <w:rPr>
          <w:rFonts w:hint="eastAsia"/>
          <w:highlight w:val="none"/>
        </w:rPr>
        <w:t>② 拟引入的硅基新材料项目应进一步强化脱硫、脱硝措施，达到同行业先进水平。</w:t>
      </w:r>
    </w:p>
    <w:p>
      <w:pPr>
        <w:pStyle w:val="89"/>
        <w:ind w:firstLine="480"/>
        <w:rPr>
          <w:rFonts w:hint="eastAsia"/>
          <w:highlight w:val="none"/>
        </w:rPr>
      </w:pPr>
      <w:r>
        <w:rPr>
          <w:rFonts w:hint="eastAsia"/>
          <w:highlight w:val="none"/>
        </w:rPr>
        <w:t>（2）加强企业废气治理设施监管，推进现有企业污染治理升级改造</w:t>
      </w:r>
    </w:p>
    <w:p>
      <w:pPr>
        <w:pStyle w:val="89"/>
        <w:numPr>
          <w:ilvl w:val="0"/>
          <w:numId w:val="10"/>
        </w:numPr>
        <w:ind w:firstLineChars="0"/>
        <w:rPr>
          <w:rFonts w:hint="eastAsia"/>
          <w:highlight w:val="none"/>
        </w:rPr>
      </w:pPr>
      <w:r>
        <w:rPr>
          <w:rFonts w:hint="eastAsia"/>
          <w:highlight w:val="none"/>
        </w:rPr>
        <w:t>有组织排放控制</w:t>
      </w:r>
    </w:p>
    <w:p>
      <w:pPr>
        <w:pStyle w:val="89"/>
        <w:ind w:firstLine="480"/>
        <w:rPr>
          <w:rFonts w:hint="eastAsia"/>
          <w:highlight w:val="none"/>
        </w:rPr>
      </w:pPr>
      <w:r>
        <w:rPr>
          <w:rFonts w:hint="eastAsia"/>
          <w:highlight w:val="none"/>
        </w:rPr>
        <w:t>① 环保设施应与其对应的生产工艺设备同步运转，保证在生产工艺设备运行波动情况下仍能正常运转，实现达标排放。</w:t>
      </w:r>
    </w:p>
    <w:p>
      <w:pPr>
        <w:pStyle w:val="89"/>
        <w:ind w:firstLine="480"/>
        <w:rPr>
          <w:rFonts w:hint="eastAsia"/>
          <w:highlight w:val="none"/>
        </w:rPr>
      </w:pPr>
      <w:r>
        <w:rPr>
          <w:rFonts w:hint="eastAsia"/>
          <w:highlight w:val="none"/>
        </w:rPr>
        <w:t>② 加强除尘设备巡检，消除设备隐患，保证正常运行。布袋除尘器应安装差压计，及时更换布袋除尘器滤袋，保证滤袋完整无破碎。电除尘器应定期检修维护极板、极丝、振打清灰装置。</w:t>
      </w:r>
    </w:p>
    <w:p>
      <w:pPr>
        <w:pStyle w:val="89"/>
        <w:ind w:firstLine="480"/>
        <w:rPr>
          <w:rFonts w:hint="eastAsia"/>
          <w:highlight w:val="none"/>
        </w:rPr>
      </w:pPr>
      <w:r>
        <w:rPr>
          <w:rFonts w:hint="eastAsia"/>
          <w:highlight w:val="none"/>
        </w:rPr>
        <w:t>③加强除臭设备巡检，消除设备隐患，保证正常运行。活性炭吸附装置定期更换活性炭，提高活性炭吸附率。</w:t>
      </w:r>
    </w:p>
    <w:p>
      <w:pPr>
        <w:pStyle w:val="89"/>
        <w:numPr>
          <w:ilvl w:val="0"/>
          <w:numId w:val="10"/>
        </w:numPr>
        <w:ind w:firstLineChars="0"/>
        <w:rPr>
          <w:rFonts w:hint="eastAsia"/>
          <w:highlight w:val="none"/>
        </w:rPr>
      </w:pPr>
      <w:r>
        <w:rPr>
          <w:rFonts w:hint="eastAsia"/>
          <w:highlight w:val="none"/>
        </w:rPr>
        <w:t>无组织排放控制</w:t>
      </w:r>
    </w:p>
    <w:p>
      <w:pPr>
        <w:pStyle w:val="89"/>
        <w:ind w:firstLine="480"/>
        <w:rPr>
          <w:rFonts w:hint="eastAsia"/>
          <w:highlight w:val="none"/>
        </w:rPr>
      </w:pPr>
      <w:r>
        <w:rPr>
          <w:rFonts w:hint="eastAsia"/>
          <w:highlight w:val="none"/>
        </w:rPr>
        <w:t>① 运输产生粉尘的物料，其车辆应采取密闭措施。厂区道路应硬化，并采取洒水、喷雾等降尘措施。运输车辆出厂前应清洗车轮。</w:t>
      </w:r>
    </w:p>
    <w:p>
      <w:pPr>
        <w:pStyle w:val="89"/>
        <w:ind w:firstLine="480"/>
        <w:rPr>
          <w:rFonts w:hint="eastAsia"/>
          <w:highlight w:val="none"/>
        </w:rPr>
      </w:pPr>
      <w:r>
        <w:rPr>
          <w:rFonts w:hint="eastAsia"/>
          <w:highlight w:val="none"/>
        </w:rPr>
        <w:t>② 产生粉尘的物料须采用封闭式料库储存。产生粉尘的物料转运点、落料点应采用清扫、吸尘、洒水等方式控制堆场扬尘。</w:t>
      </w:r>
    </w:p>
    <w:p>
      <w:pPr>
        <w:pStyle w:val="89"/>
        <w:ind w:firstLine="480"/>
        <w:rPr>
          <w:rFonts w:hint="eastAsia"/>
          <w:highlight w:val="none"/>
        </w:rPr>
      </w:pPr>
      <w:r>
        <w:rPr>
          <w:rFonts w:hint="eastAsia"/>
          <w:highlight w:val="none"/>
        </w:rPr>
        <w:t>③ 冶炼工序的操作应在厂房中进行。冶炼炉的加料口、出料口应设置集气罩，并配备除尘设施。</w:t>
      </w:r>
    </w:p>
    <w:p>
      <w:pPr>
        <w:pStyle w:val="89"/>
        <w:ind w:firstLine="480"/>
        <w:rPr>
          <w:rFonts w:hint="eastAsia"/>
          <w:highlight w:val="none"/>
        </w:rPr>
      </w:pPr>
      <w:r>
        <w:rPr>
          <w:rFonts w:hint="eastAsia"/>
          <w:highlight w:val="none"/>
        </w:rPr>
        <w:t>（3）扎实推进VOCs 治理突出问题排查整治</w:t>
      </w:r>
    </w:p>
    <w:p>
      <w:pPr>
        <w:pStyle w:val="89"/>
        <w:ind w:firstLine="480"/>
        <w:rPr>
          <w:rFonts w:hint="eastAsia"/>
          <w:highlight w:val="none"/>
        </w:rPr>
      </w:pPr>
      <w:r>
        <w:rPr>
          <w:rFonts w:hint="eastAsia"/>
          <w:highlight w:val="none"/>
        </w:rPr>
        <w:t>深化工艺废气VOCs 治理。推行全密闭生产工艺，加大无组织排放收集。鼓励企业将含 VOCs 废气送工艺加热炉、锅炉等直接燃烧处理。酸性水罐尾气应收集处理。</w:t>
      </w:r>
    </w:p>
    <w:p>
      <w:pPr>
        <w:pStyle w:val="89"/>
        <w:ind w:firstLine="480"/>
        <w:rPr>
          <w:rFonts w:hint="eastAsia"/>
          <w:highlight w:val="none"/>
        </w:rPr>
      </w:pPr>
      <w:r>
        <w:rPr>
          <w:rFonts w:hint="eastAsia"/>
          <w:highlight w:val="none"/>
        </w:rPr>
        <w:t>加强废水、循环水系统 VOCs 收集与处理。加大废水集输系统改造力度，重点区域现有企业通过采取密闭管道等措施逐步替代地漏、沟、渠、井等敞开式集输方式。全面加强废水系统高浓度 VOCs 废气收集与治理，集水井（池）、调节池、隔油池、气浮池、浓缩池等应采用密闭化工艺或密闭收集措施，配套建设燃烧等高效治污设施。生化池、曝气池等低浓度VOCs废气应密闭收集，实施脱臭等处理，确保达标排放。</w:t>
      </w:r>
    </w:p>
    <w:p>
      <w:pPr>
        <w:pStyle w:val="89"/>
        <w:ind w:firstLine="480"/>
        <w:rPr>
          <w:rFonts w:hint="eastAsia"/>
          <w:highlight w:val="none"/>
        </w:rPr>
      </w:pPr>
      <w:r>
        <w:rPr>
          <w:rFonts w:hint="eastAsia"/>
          <w:highlight w:val="none"/>
        </w:rPr>
        <w:t>（4）加强固定污染源排污许可管理</w:t>
      </w:r>
    </w:p>
    <w:p>
      <w:pPr>
        <w:pStyle w:val="89"/>
        <w:ind w:firstLine="480"/>
        <w:rPr>
          <w:rFonts w:hint="eastAsia"/>
          <w:highlight w:val="none"/>
        </w:rPr>
      </w:pPr>
      <w:r>
        <w:rPr>
          <w:rFonts w:hint="eastAsia"/>
          <w:highlight w:val="none"/>
        </w:rPr>
        <w:t>按照固定污染源爱物许可分类管理名录要求，完成涉及行业排污许可证核发工作。通过落实“摸、排、分、清”四项重点任务，将所有固定污染源全部纳入园区生态环境管理。加大依证监管和执法处罚力度，督促企业持证排污、按证排污，对无证排污单位依法依规责令停产停业。</w:t>
      </w:r>
    </w:p>
    <w:p>
      <w:pPr>
        <w:pStyle w:val="89"/>
        <w:ind w:firstLine="482"/>
        <w:outlineLvl w:val="4"/>
        <w:rPr>
          <w:rFonts w:hint="eastAsia"/>
          <w:b/>
          <w:bCs w:val="0"/>
          <w:highlight w:val="none"/>
        </w:rPr>
      </w:pPr>
      <w:r>
        <w:rPr>
          <w:rFonts w:hint="eastAsia"/>
          <w:b/>
          <w:bCs w:val="0"/>
          <w:highlight w:val="none"/>
        </w:rPr>
        <w:t>3、强化移动污染源控制</w:t>
      </w:r>
    </w:p>
    <w:p>
      <w:pPr>
        <w:pStyle w:val="89"/>
        <w:ind w:firstLine="480"/>
        <w:rPr>
          <w:rFonts w:hint="eastAsia"/>
          <w:highlight w:val="none"/>
        </w:rPr>
      </w:pPr>
      <w:r>
        <w:rPr>
          <w:rFonts w:hint="eastAsia"/>
          <w:highlight w:val="none"/>
        </w:rPr>
        <w:t>（1）优化调整货物运输结构</w:t>
      </w:r>
    </w:p>
    <w:p>
      <w:pPr>
        <w:pStyle w:val="89"/>
        <w:ind w:firstLine="480"/>
        <w:rPr>
          <w:rFonts w:hint="eastAsia"/>
          <w:highlight w:val="none"/>
        </w:rPr>
      </w:pPr>
      <w:r>
        <w:rPr>
          <w:rFonts w:hint="eastAsia"/>
          <w:highlight w:val="none"/>
        </w:rPr>
        <w:t>制定实施运输结构调整行动计划，条件成熟时启动公转铁建设项目，鼓励重点企业建设铁路专用线。</w:t>
      </w:r>
    </w:p>
    <w:p>
      <w:pPr>
        <w:pStyle w:val="89"/>
        <w:ind w:firstLine="480"/>
        <w:rPr>
          <w:rFonts w:hint="eastAsia"/>
          <w:highlight w:val="none"/>
        </w:rPr>
      </w:pPr>
      <w:r>
        <w:rPr>
          <w:rFonts w:hint="eastAsia"/>
          <w:highlight w:val="none"/>
        </w:rPr>
        <w:t>（2）强化道路扬尘治理</w:t>
      </w:r>
    </w:p>
    <w:p>
      <w:pPr>
        <w:pStyle w:val="89"/>
        <w:ind w:firstLine="480"/>
        <w:rPr>
          <w:rFonts w:hint="eastAsia"/>
          <w:highlight w:val="none"/>
        </w:rPr>
      </w:pPr>
      <w:r>
        <w:rPr>
          <w:rFonts w:hint="eastAsia"/>
          <w:highlight w:val="none"/>
        </w:rPr>
        <w:t>① 所有渣土运输车辆必须采取密闭措施，严禁超限超载运输，有效遏制渣土运输滴漏、洒落现象，防止扬尘二次污染。</w:t>
      </w:r>
    </w:p>
    <w:p>
      <w:pPr>
        <w:pStyle w:val="89"/>
        <w:ind w:firstLine="480"/>
        <w:rPr>
          <w:rFonts w:hint="eastAsia"/>
          <w:highlight w:val="none"/>
        </w:rPr>
      </w:pPr>
      <w:r>
        <w:rPr>
          <w:rFonts w:hint="eastAsia"/>
          <w:highlight w:val="none"/>
        </w:rPr>
        <w:t>② 积极推进油品升级，从源头削减污染物排放。</w:t>
      </w:r>
    </w:p>
    <w:p>
      <w:pPr>
        <w:pStyle w:val="89"/>
        <w:ind w:firstLine="480"/>
        <w:rPr>
          <w:rFonts w:hint="eastAsia"/>
          <w:highlight w:val="none"/>
        </w:rPr>
      </w:pPr>
      <w:r>
        <w:rPr>
          <w:rFonts w:hint="eastAsia"/>
          <w:highlight w:val="none"/>
        </w:rPr>
        <w:t>③ 提高道路保洁率和保洁质量，增配悬吸式道路清扫设备，逐年提高道路机械化清扫率，及时清扫散落在路面上的泥土和建筑材料，冲洗轮胎，定时洒水压尘，以减少运输过程中的扬尘。</w:t>
      </w:r>
    </w:p>
    <w:p>
      <w:pPr>
        <w:pStyle w:val="89"/>
        <w:ind w:firstLine="482"/>
        <w:outlineLvl w:val="4"/>
        <w:rPr>
          <w:rFonts w:hint="eastAsia"/>
          <w:b/>
          <w:bCs w:val="0"/>
          <w:highlight w:val="none"/>
        </w:rPr>
      </w:pPr>
      <w:r>
        <w:rPr>
          <w:rFonts w:hint="eastAsia"/>
          <w:b/>
          <w:bCs w:val="0"/>
          <w:highlight w:val="none"/>
        </w:rPr>
        <w:t>4、加强施工扬尘控制</w:t>
      </w:r>
    </w:p>
    <w:p>
      <w:pPr>
        <w:pStyle w:val="89"/>
        <w:ind w:firstLine="480"/>
        <w:rPr>
          <w:rFonts w:hint="eastAsia"/>
          <w:highlight w:val="none"/>
        </w:rPr>
      </w:pPr>
      <w:r>
        <w:rPr>
          <w:rFonts w:hint="eastAsia"/>
          <w:highlight w:val="none"/>
        </w:rPr>
        <w:t>（1）加强工业场地施工扬尘控制</w:t>
      </w:r>
    </w:p>
    <w:p>
      <w:pPr>
        <w:pStyle w:val="89"/>
        <w:ind w:firstLine="480"/>
        <w:rPr>
          <w:rFonts w:hint="eastAsia"/>
          <w:highlight w:val="none"/>
        </w:rPr>
      </w:pPr>
      <w:r>
        <w:rPr>
          <w:rFonts w:hint="eastAsia"/>
          <w:highlight w:val="none"/>
        </w:rPr>
        <w:t>工业场地施工工地应落实设置围挡及地面硬化要求，出入口设置冲洗设施，驶出车辆冲洗，沙石渣土车辆遮盖。堆场遮盖防尘网或喷洒抑尘剂，不得利用空地堆存建筑垃圾和渣土。开挖时，对作业面和土堆适当喷水，保持湿度减少扬尘量，开挖后的泥土和建筑垃圾要及时运走，以防长期堆放表面干燥而产生扬尘污染。风速过大时，应停止施工作业，并对堆存的建筑材料采取遮盖措施。</w:t>
      </w:r>
    </w:p>
    <w:p>
      <w:pPr>
        <w:pStyle w:val="89"/>
        <w:ind w:firstLine="480"/>
        <w:rPr>
          <w:rFonts w:hint="eastAsia"/>
          <w:highlight w:val="none"/>
        </w:rPr>
      </w:pPr>
      <w:r>
        <w:rPr>
          <w:rFonts w:hint="eastAsia"/>
          <w:highlight w:val="none"/>
        </w:rPr>
        <w:t>（2）加强开发活动的扬尘污染监管</w:t>
      </w:r>
    </w:p>
    <w:p>
      <w:pPr>
        <w:pStyle w:val="89"/>
        <w:ind w:firstLine="480"/>
        <w:rPr>
          <w:highlight w:val="none"/>
        </w:rPr>
      </w:pPr>
      <w:r>
        <w:rPr>
          <w:rFonts w:hint="eastAsia"/>
          <w:highlight w:val="none"/>
        </w:rPr>
        <w:t>加强各类开发活动和施工工地扬尘污染监管。建立健全扬尘环境管理制度和机制，加强文明施工管理，积极创建绿色工地。建立对违法违规企业的长效制约机制，对施工单位扬尘污染不良行为予以处罚和公示。</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地表水环境保护对策与减缓措施</w:t>
      </w:r>
    </w:p>
    <w:p>
      <w:pPr>
        <w:pStyle w:val="89"/>
        <w:ind w:firstLine="482"/>
        <w:rPr>
          <w:b/>
          <w:bCs w:val="0"/>
          <w:highlight w:val="none"/>
        </w:rPr>
      </w:pPr>
      <w:bookmarkStart w:id="92" w:name="_Toc15108"/>
      <w:r>
        <w:rPr>
          <w:rFonts w:hint="eastAsia"/>
          <w:b/>
          <w:bCs w:val="0"/>
          <w:highlight w:val="none"/>
        </w:rPr>
        <w:t>1、</w:t>
      </w:r>
      <w:r>
        <w:rPr>
          <w:b/>
          <w:bCs w:val="0"/>
          <w:highlight w:val="none"/>
        </w:rPr>
        <w:t>加强企业污水预处理能力</w:t>
      </w:r>
      <w:r>
        <w:rPr>
          <w:rFonts w:hint="eastAsia"/>
          <w:b/>
          <w:bCs w:val="0"/>
          <w:highlight w:val="none"/>
        </w:rPr>
        <w:t>，</w:t>
      </w:r>
      <w:r>
        <w:rPr>
          <w:b/>
          <w:bCs w:val="0"/>
          <w:highlight w:val="none"/>
        </w:rPr>
        <w:t>完善管网铺设，</w:t>
      </w:r>
      <w:r>
        <w:rPr>
          <w:rFonts w:hint="eastAsia"/>
          <w:b/>
          <w:bCs w:val="0"/>
          <w:highlight w:val="none"/>
        </w:rPr>
        <w:t>保障废水100%的纳管率</w:t>
      </w:r>
      <w:bookmarkEnd w:id="92"/>
    </w:p>
    <w:p>
      <w:pPr>
        <w:pStyle w:val="89"/>
        <w:ind w:firstLine="480"/>
        <w:rPr>
          <w:highlight w:val="none"/>
        </w:rPr>
      </w:pPr>
      <w:r>
        <w:rPr>
          <w:highlight w:val="none"/>
        </w:rPr>
        <w:t>工业废水需经厂内污水处理设施预处理后，在满足《污水综合排放标准》（GB8978-1996）以及相关行业的国家排放标准后，方可排入污水处理厂。</w:t>
      </w:r>
      <w:r>
        <w:rPr>
          <w:rFonts w:hint="eastAsia"/>
          <w:highlight w:val="none"/>
        </w:rPr>
        <w:t>规划区实现雨污分流，提高污水收集率；当地政府应</w:t>
      </w:r>
      <w:r>
        <w:rPr>
          <w:highlight w:val="none"/>
        </w:rPr>
        <w:t>有序推动污水管网铺设进度，优先保证社区住户和企业生产污废水全部收集处理。</w:t>
      </w:r>
      <w:bookmarkStart w:id="93" w:name="_Toc23907"/>
    </w:p>
    <w:p>
      <w:pPr>
        <w:pStyle w:val="89"/>
        <w:ind w:firstLine="482"/>
        <w:rPr>
          <w:b/>
          <w:bCs w:val="0"/>
          <w:highlight w:val="none"/>
        </w:rPr>
      </w:pPr>
      <w:r>
        <w:rPr>
          <w:rFonts w:hint="eastAsia"/>
          <w:b/>
          <w:bCs w:val="0"/>
          <w:highlight w:val="none"/>
        </w:rPr>
        <w:t>2、</w:t>
      </w:r>
      <w:r>
        <w:rPr>
          <w:b/>
          <w:bCs w:val="0"/>
          <w:highlight w:val="none"/>
        </w:rPr>
        <w:t>加快</w:t>
      </w:r>
      <w:r>
        <w:rPr>
          <w:rFonts w:hint="eastAsia"/>
          <w:b/>
          <w:bCs w:val="0"/>
          <w:highlight w:val="none"/>
        </w:rPr>
        <w:t>管网及百利新区污水处理厂</w:t>
      </w:r>
      <w:r>
        <w:rPr>
          <w:b/>
          <w:bCs w:val="0"/>
          <w:highlight w:val="none"/>
        </w:rPr>
        <w:t>建设</w:t>
      </w:r>
      <w:bookmarkEnd w:id="93"/>
    </w:p>
    <w:p>
      <w:pPr>
        <w:pStyle w:val="89"/>
        <w:ind w:firstLine="480"/>
        <w:rPr>
          <w:highlight w:val="none"/>
        </w:rPr>
      </w:pPr>
      <w:r>
        <w:rPr>
          <w:highlight w:val="none"/>
        </w:rPr>
        <w:t>目前，</w:t>
      </w:r>
      <w:r>
        <w:rPr>
          <w:rFonts w:hint="eastAsia"/>
          <w:highlight w:val="none"/>
        </w:rPr>
        <w:t>百利新区污水处理厂尚未建成</w:t>
      </w:r>
      <w:r>
        <w:rPr>
          <w:highlight w:val="none"/>
        </w:rPr>
        <w:t>，无法</w:t>
      </w:r>
      <w:r>
        <w:rPr>
          <w:rFonts w:hint="eastAsia"/>
          <w:highlight w:val="none"/>
        </w:rPr>
        <w:t>满足园区</w:t>
      </w:r>
      <w:r>
        <w:rPr>
          <w:highlight w:val="none"/>
        </w:rPr>
        <w:t>污水处理需求。根据规划，</w:t>
      </w:r>
      <w:r>
        <w:rPr>
          <w:rFonts w:hint="eastAsia"/>
          <w:highlight w:val="none"/>
        </w:rPr>
        <w:t>在建百利新区污水处理厂一期设计规模4000m</w:t>
      </w:r>
      <w:r>
        <w:rPr>
          <w:highlight w:val="none"/>
        </w:rPr>
        <w:t>³</w:t>
      </w:r>
      <w:r>
        <w:rPr>
          <w:rFonts w:hint="eastAsia"/>
          <w:highlight w:val="none"/>
        </w:rPr>
        <w:t>/d，规划二期处理规模4000m</w:t>
      </w:r>
      <w:r>
        <w:rPr>
          <w:highlight w:val="none"/>
        </w:rPr>
        <w:t>³</w:t>
      </w:r>
      <w:r>
        <w:rPr>
          <w:rFonts w:hint="eastAsia"/>
          <w:highlight w:val="none"/>
        </w:rPr>
        <w:t>/d，总处理规模8000m</w:t>
      </w:r>
      <w:r>
        <w:rPr>
          <w:highlight w:val="none"/>
        </w:rPr>
        <w:t>³</w:t>
      </w:r>
      <w:r>
        <w:rPr>
          <w:rFonts w:hint="eastAsia"/>
          <w:highlight w:val="none"/>
        </w:rPr>
        <w:t>/d，受纳水体为嘉陵江。</w:t>
      </w:r>
    </w:p>
    <w:p>
      <w:pPr>
        <w:pStyle w:val="89"/>
        <w:ind w:firstLine="482"/>
        <w:rPr>
          <w:b/>
          <w:bCs w:val="0"/>
          <w:highlight w:val="none"/>
        </w:rPr>
      </w:pPr>
      <w:bookmarkStart w:id="94" w:name="_Toc32338"/>
      <w:r>
        <w:rPr>
          <w:rFonts w:hint="eastAsia"/>
          <w:b/>
          <w:bCs w:val="0"/>
          <w:highlight w:val="none"/>
        </w:rPr>
        <w:t>3、废水处理对策及要求</w:t>
      </w:r>
    </w:p>
    <w:p>
      <w:pPr>
        <w:pStyle w:val="89"/>
        <w:ind w:firstLine="480"/>
        <w:rPr>
          <w:rFonts w:hint="eastAsia"/>
          <w:highlight w:val="none"/>
        </w:rPr>
      </w:pPr>
      <w:r>
        <w:rPr>
          <w:rFonts w:hint="eastAsia"/>
          <w:highlight w:val="none"/>
        </w:rPr>
        <w:t>根据规划，规划区内排水系统实行雨污分流，规划区雨水经雨水管网排入地表水体，规划区生产废水经园区自建的生产废水处理厂处理后，全部引致嘉陵江排放。</w:t>
      </w:r>
    </w:p>
    <w:p>
      <w:pPr>
        <w:pStyle w:val="89"/>
        <w:ind w:firstLine="480"/>
        <w:rPr>
          <w:rFonts w:hint="eastAsia"/>
          <w:highlight w:val="none"/>
        </w:rPr>
      </w:pPr>
      <w:r>
        <w:rPr>
          <w:rFonts w:hint="eastAsia"/>
          <w:highlight w:val="none"/>
        </w:rPr>
        <w:t>同时，园区废水处置应满足以下要求：</w:t>
      </w:r>
    </w:p>
    <w:p>
      <w:pPr>
        <w:pStyle w:val="89"/>
        <w:ind w:firstLine="480"/>
        <w:rPr>
          <w:rFonts w:hint="eastAsia"/>
          <w:highlight w:val="none"/>
        </w:rPr>
      </w:pPr>
      <w:r>
        <w:rPr>
          <w:rFonts w:hint="eastAsia"/>
          <w:highlight w:val="none"/>
        </w:rPr>
        <w:t>（1）实施雨污分流、清污分流制。</w:t>
      </w:r>
    </w:p>
    <w:p>
      <w:pPr>
        <w:pStyle w:val="89"/>
        <w:ind w:firstLine="480"/>
        <w:rPr>
          <w:rFonts w:hint="eastAsia"/>
          <w:highlight w:val="none"/>
        </w:rPr>
      </w:pPr>
      <w:r>
        <w:rPr>
          <w:rFonts w:hint="eastAsia"/>
          <w:highlight w:val="none"/>
        </w:rPr>
        <w:t>（2）加快推进配套管网等市政基础设施，确保市政环保基础设施先行。</w:t>
      </w:r>
    </w:p>
    <w:p>
      <w:pPr>
        <w:pStyle w:val="89"/>
        <w:ind w:firstLine="480"/>
        <w:rPr>
          <w:rFonts w:hint="eastAsia"/>
          <w:highlight w:val="none"/>
        </w:rPr>
      </w:pPr>
      <w:r>
        <w:rPr>
          <w:rFonts w:hint="eastAsia"/>
          <w:highlight w:val="none"/>
        </w:rPr>
        <w:t>（3）能够回用于生产的废水绝不外排，尽可能地实现一水多用和循环使用，强化企业内部园区间各企业的中水循环使用，构建循环经济。</w:t>
      </w:r>
    </w:p>
    <w:p>
      <w:pPr>
        <w:pStyle w:val="89"/>
        <w:ind w:firstLine="480"/>
        <w:rPr>
          <w:highlight w:val="none"/>
        </w:rPr>
      </w:pPr>
      <w:r>
        <w:rPr>
          <w:rFonts w:hint="eastAsia"/>
          <w:highlight w:val="none"/>
        </w:rPr>
        <w:t>（4）废水中的酸碱度、重金属及难降解的有机类有毒污染物以及废水中盐分浓度对废水的生化处理均有抑制作用，因此，废水无论在厂内处理或是在厂外处理均应做好预处理，包括废水的酸碱度调节、重金属离子的去除、盐度的降低及油份的去除、生化性能的改善等，确保达到行业排放标准后，方进入园区配套的工业污水处理厂进一步处理。</w:t>
      </w:r>
    </w:p>
    <w:bookmarkEnd w:id="94"/>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地下水污染防治对策</w:t>
      </w:r>
    </w:p>
    <w:p>
      <w:pPr>
        <w:pStyle w:val="89"/>
        <w:ind w:firstLine="482"/>
        <w:outlineLvl w:val="4"/>
        <w:rPr>
          <w:b/>
          <w:bCs w:val="0"/>
          <w:highlight w:val="none"/>
        </w:rPr>
      </w:pPr>
      <w:r>
        <w:rPr>
          <w:rFonts w:hint="eastAsia"/>
          <w:b/>
          <w:bCs w:val="0"/>
          <w:highlight w:val="none"/>
        </w:rPr>
        <w:t>1、防止地下水污染的控制措施原则</w:t>
      </w:r>
    </w:p>
    <w:p>
      <w:pPr>
        <w:pStyle w:val="89"/>
        <w:ind w:firstLine="480"/>
        <w:rPr>
          <w:highlight w:val="none"/>
        </w:rPr>
      </w:pPr>
      <w:r>
        <w:rPr>
          <w:rFonts w:hint="eastAsia"/>
          <w:highlight w:val="none"/>
        </w:rPr>
        <w:t>地下水污染防治措施坚持“源头控制、末端防治、污染监控、应急响应相结合”的原则，即采取主动控制和被动控制相结合的措施。</w:t>
      </w:r>
    </w:p>
    <w:p>
      <w:pPr>
        <w:pStyle w:val="89"/>
        <w:ind w:firstLine="480"/>
        <w:rPr>
          <w:highlight w:val="none"/>
        </w:rPr>
      </w:pPr>
      <w:r>
        <w:rPr>
          <w:rFonts w:hint="eastAsia"/>
          <w:highlight w:val="none"/>
        </w:rPr>
        <w:t>主动控制即从源头控制措施，主要包括在工艺、管道、设备、污水储存及处理构筑物采取相应措施，防止和降低污染物跑、冒、滴、漏，将污染物泄漏的环境风险事故降到最低程度；</w:t>
      </w:r>
    </w:p>
    <w:p>
      <w:pPr>
        <w:pStyle w:val="89"/>
        <w:ind w:firstLine="480"/>
        <w:rPr>
          <w:highlight w:val="none"/>
        </w:rPr>
      </w:pPr>
      <w:r>
        <w:rPr>
          <w:rFonts w:hint="eastAsia"/>
          <w:highlight w:val="none"/>
        </w:rPr>
        <w:t>被动控制即末端控制措施，主要包括厂内污染区地面的防渗措施和泄漏、渗漏污染物收集措施，即在污染区地面进行防渗处理，防止洒落地面的污染物渗入地下，并把滞留在地面的污染物收集起来，送回废水处理站处理后达标排放；</w:t>
      </w:r>
    </w:p>
    <w:p>
      <w:pPr>
        <w:pStyle w:val="89"/>
        <w:ind w:firstLine="480"/>
        <w:rPr>
          <w:highlight w:val="none"/>
        </w:rPr>
      </w:pPr>
      <w:r>
        <w:rPr>
          <w:rFonts w:hint="eastAsia"/>
          <w:highlight w:val="none"/>
        </w:rPr>
        <w:t>实施覆盖生产区的地下水污染监控系统，包括建立完善的监测制度、配备检测仪器和设备，设置地下水污染监控井，及时发现污染、及时控制；</w:t>
      </w:r>
    </w:p>
    <w:p>
      <w:pPr>
        <w:pStyle w:val="89"/>
        <w:ind w:firstLine="480"/>
        <w:rPr>
          <w:highlight w:val="none"/>
        </w:rPr>
      </w:pPr>
      <w:r>
        <w:rPr>
          <w:rFonts w:hint="eastAsia"/>
          <w:highlight w:val="none"/>
        </w:rPr>
        <w:t>应急响应措施，包括一旦发现地下水污染事故，立即启动应急预案、采取应急措施控制地下水污染，并使污染得到治理。</w:t>
      </w:r>
    </w:p>
    <w:p>
      <w:pPr>
        <w:pStyle w:val="89"/>
        <w:ind w:firstLine="482"/>
        <w:outlineLvl w:val="4"/>
        <w:rPr>
          <w:highlight w:val="none"/>
        </w:rPr>
      </w:pPr>
      <w:r>
        <w:rPr>
          <w:rFonts w:hint="eastAsia"/>
          <w:b/>
          <w:bCs w:val="0"/>
          <w:highlight w:val="none"/>
        </w:rPr>
        <w:t>2、防止地下水污染的主要措施</w:t>
      </w:r>
    </w:p>
    <w:p>
      <w:pPr>
        <w:pStyle w:val="89"/>
        <w:ind w:firstLine="480"/>
        <w:rPr>
          <w:highlight w:val="none"/>
        </w:rPr>
      </w:pPr>
      <w:r>
        <w:rPr>
          <w:rFonts w:hint="eastAsia"/>
          <w:highlight w:val="none"/>
        </w:rPr>
        <w:t>对区内排水管道系统和企业废水处理站池体及管道均做防渗处理。</w:t>
      </w:r>
    </w:p>
    <w:p>
      <w:pPr>
        <w:pStyle w:val="89"/>
        <w:ind w:firstLine="480"/>
        <w:rPr>
          <w:highlight w:val="none"/>
        </w:rPr>
      </w:pPr>
      <w:r>
        <w:rPr>
          <w:rFonts w:hint="eastAsia"/>
          <w:highlight w:val="none"/>
        </w:rPr>
        <w:t>企业装置区、罐区等的底板和围堰是用于防止污水外流、渗漏及收集污水的环境保护防线。存在地下水污染风险的项目生产车间产水源点，料液贮槽（罐）、中转容器，产水收集槽（池），成品罐区，固废暂存库地坪及墙体均做防渗处理。</w:t>
      </w:r>
    </w:p>
    <w:p>
      <w:pPr>
        <w:pStyle w:val="89"/>
        <w:ind w:firstLine="480"/>
        <w:rPr>
          <w:highlight w:val="none"/>
        </w:rPr>
      </w:pPr>
      <w:r>
        <w:rPr>
          <w:rFonts w:hint="eastAsia"/>
          <w:highlight w:val="none"/>
        </w:rPr>
        <w:t>定期进行检漏监测及检修。强化各相关工程的转弯、承插、对接等处的防渗，作好隐蔽工程记录，强化施工期防渗工程的环境监理。</w:t>
      </w:r>
    </w:p>
    <w:p>
      <w:pPr>
        <w:pStyle w:val="89"/>
        <w:ind w:firstLine="482"/>
        <w:outlineLvl w:val="4"/>
        <w:rPr>
          <w:b/>
          <w:bCs w:val="0"/>
          <w:highlight w:val="none"/>
        </w:rPr>
      </w:pPr>
      <w:r>
        <w:rPr>
          <w:rFonts w:hint="eastAsia"/>
          <w:b/>
          <w:bCs w:val="0"/>
          <w:highlight w:val="none"/>
        </w:rPr>
        <w:t>3、加强地下水环境的监控</w:t>
      </w:r>
    </w:p>
    <w:p>
      <w:pPr>
        <w:pStyle w:val="89"/>
        <w:ind w:firstLine="480"/>
        <w:rPr>
          <w:highlight w:val="none"/>
        </w:rPr>
      </w:pPr>
      <w:r>
        <w:rPr>
          <w:rFonts w:hint="eastAsia"/>
          <w:highlight w:val="none"/>
        </w:rPr>
        <w:t>每年定期对天府水厂和金马水厂水源进行监测，并在工业集中发展区内设置永久性地下水监测点位，定期抽取水样进行检测。确保区域地下水不因项目建设而受到影响。</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声环境保护对策与减缓措施</w:t>
      </w:r>
    </w:p>
    <w:p>
      <w:pPr>
        <w:pStyle w:val="89"/>
        <w:ind w:firstLine="480"/>
        <w:rPr>
          <w:highlight w:val="none"/>
        </w:rPr>
      </w:pPr>
      <w:r>
        <w:rPr>
          <w:rFonts w:hint="eastAsia"/>
          <w:highlight w:val="none"/>
        </w:rPr>
        <w:t>与工业区与居住区相邻的地方，应设置足够的隔离带（局部地段可增设屏障措施），或对周边近距离居住区等采用新型材质的隔声门窗等；对城市道路敏感地段（居住、综合服务配套区）实施限速、禁止鸣笛、限车流量，加大对有关防治建筑施工噪声的法律、法规的执法力度，防治建筑施工噪声对周边敏感点的影响。推广低噪施工设备，积极采取消声、隔声和吸声等有效措施，减少噪声扰民现象。</w:t>
      </w:r>
    </w:p>
    <w:p>
      <w:pPr>
        <w:pStyle w:val="89"/>
        <w:ind w:firstLine="480"/>
        <w:rPr>
          <w:highlight w:val="none"/>
        </w:rPr>
      </w:pPr>
      <w:r>
        <w:rPr>
          <w:rFonts w:hint="eastAsia"/>
          <w:highlight w:val="none"/>
        </w:rPr>
        <w:t>加强企业管理，选用低噪设备，降低源强；针对具体情况采取有效的减振、消声、隔声等措施；通过总图布置，合理布局，防止噪声叠加和干扰，实现厂界噪声达标。</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固废污染物防治对策与减缓措施</w:t>
      </w:r>
    </w:p>
    <w:p>
      <w:pPr>
        <w:pStyle w:val="89"/>
        <w:ind w:firstLine="482"/>
        <w:rPr>
          <w:b/>
          <w:bCs w:val="0"/>
          <w:highlight w:val="none"/>
        </w:rPr>
      </w:pPr>
      <w:r>
        <w:rPr>
          <w:rFonts w:hint="eastAsia"/>
          <w:b/>
          <w:bCs w:val="0"/>
          <w:highlight w:val="none"/>
        </w:rPr>
        <w:t>1、一般工业固废</w:t>
      </w:r>
    </w:p>
    <w:p>
      <w:pPr>
        <w:pStyle w:val="89"/>
        <w:ind w:firstLine="480"/>
        <w:rPr>
          <w:highlight w:val="none"/>
        </w:rPr>
      </w:pPr>
      <w:r>
        <w:rPr>
          <w:rFonts w:hint="eastAsia"/>
          <w:highlight w:val="none"/>
        </w:rPr>
        <w:t>入驻企业应本着“三化”的原则（资源化、无害化、减量化），采用清洁的生产工艺，从产品的源头及生产过程中控制固废的产生量，加强固废的资源化综合利用。入驻企业的工业固废堆放场参照《一般工业固体废物贮存和填埋污染控制标准》（GB18599-2020）中相关要求，其贮存过程可以满足相应防渗漏、防雨淋、防扬尘等环境保护要求。</w:t>
      </w:r>
    </w:p>
    <w:p>
      <w:pPr>
        <w:pStyle w:val="89"/>
        <w:ind w:firstLine="482"/>
        <w:rPr>
          <w:b/>
          <w:bCs w:val="0"/>
          <w:highlight w:val="none"/>
        </w:rPr>
      </w:pPr>
      <w:r>
        <w:rPr>
          <w:rFonts w:hint="eastAsia"/>
          <w:b/>
          <w:bCs w:val="0"/>
          <w:highlight w:val="none"/>
        </w:rPr>
        <w:t>2、危险废物</w:t>
      </w:r>
    </w:p>
    <w:p>
      <w:pPr>
        <w:pStyle w:val="89"/>
        <w:ind w:firstLine="480"/>
        <w:rPr>
          <w:highlight w:val="none"/>
        </w:rPr>
      </w:pPr>
      <w:r>
        <w:rPr>
          <w:rFonts w:hint="eastAsia"/>
          <w:highlight w:val="none"/>
        </w:rPr>
        <w:t>危险废物的种类和数量与拟引进项目的生产性质及工艺有关。本着“谁污染，谁治理”的原则，由企业按照国家有关规定进行安全处置，或送有资格的处置单位进行处置，严禁随意倾倒或混入生活垃圾和一般固废中。涉及危险废物的企业，危险废物暂存库应满足《危险废物贮存污染控制标准》（GB18597-2023）的有关规定。建议管委会建立危废管理机制，对企业危废的产生及处置情况进行监管，对重点排污企业的危废处置及堆放措施进行针对性的监管，危废应由各企业统一收集送至危废处理单位处置，建立年度固废处置专项台账，以满足区域危废管理要求。</w:t>
      </w:r>
    </w:p>
    <w:p>
      <w:pPr>
        <w:pStyle w:val="89"/>
        <w:ind w:firstLine="482"/>
        <w:rPr>
          <w:b/>
          <w:bCs w:val="0"/>
          <w:highlight w:val="none"/>
        </w:rPr>
      </w:pPr>
      <w:r>
        <w:rPr>
          <w:rFonts w:hint="eastAsia"/>
          <w:b/>
          <w:bCs w:val="0"/>
          <w:highlight w:val="none"/>
        </w:rPr>
        <w:t>3、生活垃圾</w:t>
      </w:r>
    </w:p>
    <w:p>
      <w:pPr>
        <w:pStyle w:val="89"/>
        <w:ind w:firstLine="480"/>
        <w:rPr>
          <w:highlight w:val="none"/>
        </w:rPr>
      </w:pPr>
      <w:r>
        <w:rPr>
          <w:rFonts w:hint="eastAsia"/>
          <w:highlight w:val="none"/>
        </w:rPr>
        <w:t>按照有关规划，在区内设有垃圾桶，生活垃圾采用“生活垃圾站—专用垃圾运输槽车—垃圾处理厂”的收集方式，由中节能(南部)环保能源有限公司负责清运至南部县生活垃圾焚烧发电厂进行焚烧处理。</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土壤环境保护措施</w:t>
      </w:r>
    </w:p>
    <w:p>
      <w:pPr>
        <w:pStyle w:val="89"/>
        <w:ind w:firstLine="482"/>
        <w:rPr>
          <w:b/>
          <w:bCs w:val="0"/>
          <w:highlight w:val="none"/>
        </w:rPr>
      </w:pPr>
      <w:bookmarkStart w:id="95" w:name="_Toc162"/>
      <w:r>
        <w:rPr>
          <w:rFonts w:hint="eastAsia"/>
          <w:b/>
          <w:bCs w:val="0"/>
          <w:highlight w:val="none"/>
        </w:rPr>
        <w:t>1、</w:t>
      </w:r>
      <w:r>
        <w:rPr>
          <w:b/>
          <w:bCs w:val="0"/>
          <w:highlight w:val="none"/>
        </w:rPr>
        <w:t>严格实施建设用地环境准入管理</w:t>
      </w:r>
      <w:bookmarkEnd w:id="95"/>
    </w:p>
    <w:p>
      <w:pPr>
        <w:pStyle w:val="89"/>
        <w:ind w:firstLine="480"/>
        <w:rPr>
          <w:highlight w:val="none"/>
        </w:rPr>
      </w:pPr>
      <w:r>
        <w:rPr>
          <w:highlight w:val="none"/>
        </w:rPr>
        <w:t>（1）严格规划项目用地环境准入管理</w:t>
      </w:r>
    </w:p>
    <w:p>
      <w:pPr>
        <w:pStyle w:val="89"/>
        <w:ind w:firstLine="480"/>
        <w:rPr>
          <w:highlight w:val="none"/>
        </w:rPr>
      </w:pPr>
      <w:r>
        <w:rPr>
          <w:rFonts w:hint="eastAsia"/>
          <w:highlight w:val="none"/>
        </w:rPr>
        <w:t>按照环评导则要求，识别土壤环境影响评价类别，进一步加强建设项目土壤环境影响评价内容的审查，严格用地审批管理。需开展土壤环境影响评价的建设项目，应进一步完善土壤环境影响评价内容，分析土壤污染源、污染物类型及污染途径，明确土壤污染影响及相应的土壤环境保护措施，并充分论证环境保护措施的可行性，将相关措施纳入“三同时”管理。园区内各企业应依法履行土壤污染防治义务，建立土壤污染隐患排查制度及完善的土壤环境监测计划，并严格落实。</w:t>
      </w:r>
    </w:p>
    <w:p>
      <w:pPr>
        <w:pStyle w:val="89"/>
        <w:ind w:firstLine="480"/>
        <w:rPr>
          <w:highlight w:val="none"/>
        </w:rPr>
      </w:pPr>
      <w:r>
        <w:rPr>
          <w:highlight w:val="none"/>
        </w:rPr>
        <w:t>（2）强化空间布局优化管理</w:t>
      </w:r>
    </w:p>
    <w:p>
      <w:pPr>
        <w:pStyle w:val="89"/>
        <w:ind w:firstLine="480"/>
        <w:rPr>
          <w:highlight w:val="none"/>
        </w:rPr>
      </w:pPr>
      <w:r>
        <w:rPr>
          <w:highlight w:val="none"/>
        </w:rPr>
        <w:t>严格执行相关行业企业布局选址要求，禁止在居民区、学校、医疗和养老机构等敏感区域周边布局重污染项目；结合区域功能定位和土壤污染防治需要，科学布局各类设施和场所。</w:t>
      </w:r>
    </w:p>
    <w:p>
      <w:pPr>
        <w:pStyle w:val="89"/>
        <w:ind w:firstLine="480"/>
        <w:rPr>
          <w:highlight w:val="none"/>
        </w:rPr>
      </w:pPr>
      <w:r>
        <w:rPr>
          <w:highlight w:val="none"/>
        </w:rPr>
        <w:t>（3）严格用地审批管理</w:t>
      </w:r>
    </w:p>
    <w:p>
      <w:pPr>
        <w:pStyle w:val="89"/>
        <w:ind w:firstLine="480"/>
        <w:rPr>
          <w:highlight w:val="none"/>
        </w:rPr>
      </w:pPr>
      <w:r>
        <w:rPr>
          <w:rFonts w:hint="eastAsia"/>
          <w:highlight w:val="none"/>
        </w:rPr>
        <w:t>园区</w:t>
      </w:r>
      <w:r>
        <w:rPr>
          <w:highlight w:val="none"/>
        </w:rPr>
        <w:t>应严格建设用地土壤环境管理要求，土地开发利用应符合规划用地性质和土壤环境质量要求，合理确定土地用途；不符合相应规划用地土壤环境质量要求的地块，应进行治理与修复，未经治理与修复或治理与修复后不能满足新的用地要求的，有关部门不得为其办理相应的规划、供地、建设等审批手续。</w:t>
      </w:r>
    </w:p>
    <w:p>
      <w:pPr>
        <w:pStyle w:val="89"/>
        <w:ind w:firstLine="482"/>
        <w:rPr>
          <w:b/>
          <w:bCs w:val="0"/>
          <w:highlight w:val="none"/>
        </w:rPr>
      </w:pPr>
      <w:bookmarkStart w:id="96" w:name="_Toc438"/>
      <w:r>
        <w:rPr>
          <w:rFonts w:hint="eastAsia"/>
          <w:b/>
          <w:bCs w:val="0"/>
          <w:highlight w:val="none"/>
        </w:rPr>
        <w:t>2、</w:t>
      </w:r>
      <w:r>
        <w:rPr>
          <w:b/>
          <w:bCs w:val="0"/>
          <w:highlight w:val="none"/>
        </w:rPr>
        <w:t>切实强化土壤污染防治</w:t>
      </w:r>
      <w:bookmarkEnd w:id="96"/>
    </w:p>
    <w:p>
      <w:pPr>
        <w:pStyle w:val="89"/>
        <w:ind w:firstLine="480"/>
        <w:rPr>
          <w:highlight w:val="none"/>
        </w:rPr>
      </w:pPr>
      <w:r>
        <w:rPr>
          <w:rFonts w:hint="eastAsia"/>
          <w:highlight w:val="none"/>
        </w:rPr>
        <w:t>规划实施后，</w:t>
      </w:r>
      <w:r>
        <w:rPr>
          <w:highlight w:val="none"/>
        </w:rPr>
        <w:t>根据</w:t>
      </w:r>
      <w:r>
        <w:rPr>
          <w:rFonts w:hint="eastAsia"/>
          <w:highlight w:val="none"/>
        </w:rPr>
        <w:t>广元市</w:t>
      </w:r>
      <w:r>
        <w:rPr>
          <w:highlight w:val="none"/>
        </w:rPr>
        <w:t>土壤污染重点监管单位名单，</w:t>
      </w:r>
      <w:r>
        <w:rPr>
          <w:rFonts w:hint="eastAsia"/>
          <w:highlight w:val="none"/>
        </w:rPr>
        <w:t>开展</w:t>
      </w:r>
      <w:r>
        <w:rPr>
          <w:highlight w:val="none"/>
        </w:rPr>
        <w:t>相关重点监管单位开展土壤监测，并做好监督性监测工作；在生产、使用、贮存、运输、回收、处置、排放有毒有害物质时，应采取有效措施，严格控制其排放，防止其渗漏、流失、扬散，避免污染土壤；及时向社会公开土壤污染隐患整改方案、污染地块土壤的土壤调查评估报告、风险管控或治理修复方案及其成效评估报告、污染物产生及排放情况、污染防治设施建设和运行情况；及时修改完善突发环境事件应急预案。</w:t>
      </w:r>
    </w:p>
    <w:p>
      <w:pPr>
        <w:pStyle w:val="89"/>
        <w:ind w:firstLine="480"/>
        <w:rPr>
          <w:highlight w:val="none"/>
        </w:rPr>
      </w:pPr>
      <w:r>
        <w:rPr>
          <w:highlight w:val="none"/>
        </w:rPr>
        <w:t>建议</w:t>
      </w:r>
      <w:r>
        <w:rPr>
          <w:rFonts w:hint="eastAsia"/>
          <w:highlight w:val="none"/>
        </w:rPr>
        <w:t>园区</w:t>
      </w:r>
      <w:r>
        <w:rPr>
          <w:highlight w:val="none"/>
        </w:rPr>
        <w:t>管委会参照《中华人民共和国土壤污染防治法》、《工矿用地土壤环境管理办法（试行）》等相关要求，指导现有及规划建设企业依法履行土壤污染防治义务，可开展以下工作：严格控制有毒有害物质排放；建立土壤污染隐患排查制度，保证持续有效防止有毒有害物质渗漏、流失、扬散；制定、实施自行监测方案；企业拆除设施、设备或者建筑物、构筑物前，制定包括应急措施在内的土壤污染防治工作方案，报生态环境、工业和信息化主管部门备案；建设和运行污水集中处理设施、固体废物处置设施时，依法采取措施防止土壤污染；企业终止生产经营活动前，参照污染地块土壤环境管理有关规定，开展土壤和地下水环境初步调查，编制调查报告。</w:t>
      </w:r>
    </w:p>
    <w:p>
      <w:pPr>
        <w:pStyle w:val="89"/>
        <w:ind w:firstLine="482"/>
        <w:rPr>
          <w:b/>
          <w:bCs w:val="0"/>
          <w:highlight w:val="none"/>
        </w:rPr>
      </w:pPr>
      <w:bookmarkStart w:id="97" w:name="_Toc2336"/>
      <w:r>
        <w:rPr>
          <w:rFonts w:hint="eastAsia"/>
          <w:b/>
          <w:bCs w:val="0"/>
          <w:highlight w:val="none"/>
        </w:rPr>
        <w:t>3、</w:t>
      </w:r>
      <w:r>
        <w:rPr>
          <w:b/>
          <w:bCs w:val="0"/>
          <w:highlight w:val="none"/>
        </w:rPr>
        <w:t>扎实推进土壤污染防治工作</w:t>
      </w:r>
      <w:bookmarkEnd w:id="97"/>
    </w:p>
    <w:p>
      <w:pPr>
        <w:pStyle w:val="89"/>
        <w:ind w:firstLine="480"/>
        <w:rPr>
          <w:highlight w:val="none"/>
        </w:rPr>
      </w:pPr>
      <w:r>
        <w:rPr>
          <w:highlight w:val="none"/>
        </w:rPr>
        <w:t>（1）开展土壤污染调查，掌握土壤环境质量状况</w:t>
      </w:r>
    </w:p>
    <w:p>
      <w:pPr>
        <w:pStyle w:val="89"/>
        <w:ind w:firstLine="480"/>
        <w:rPr>
          <w:highlight w:val="none"/>
        </w:rPr>
      </w:pPr>
      <w:r>
        <w:rPr>
          <w:rFonts w:hint="eastAsia"/>
          <w:highlight w:val="none"/>
        </w:rPr>
        <w:t>深入</w:t>
      </w:r>
      <w:r>
        <w:rPr>
          <w:highlight w:val="none"/>
        </w:rPr>
        <w:t>开展土壤环境质量调查，掌握重点行业企业污染地块分布及环境风险情况。</w:t>
      </w:r>
      <w:r>
        <w:rPr>
          <w:rFonts w:hint="eastAsia"/>
          <w:highlight w:val="none"/>
        </w:rPr>
        <w:t>建设土壤环境质量监测网络</w:t>
      </w:r>
      <w:r>
        <w:rPr>
          <w:highlight w:val="none"/>
        </w:rPr>
        <w:t>，</w:t>
      </w:r>
      <w:r>
        <w:rPr>
          <w:rFonts w:hint="eastAsia"/>
          <w:highlight w:val="none"/>
        </w:rPr>
        <w:t>建成完善的</w:t>
      </w:r>
      <w:r>
        <w:rPr>
          <w:highlight w:val="none"/>
        </w:rPr>
        <w:t>土壤环境质量监测网络，</w:t>
      </w:r>
      <w:r>
        <w:rPr>
          <w:rFonts w:hint="eastAsia"/>
          <w:highlight w:val="none"/>
        </w:rPr>
        <w:t>整合、优化</w:t>
      </w:r>
      <w:r>
        <w:rPr>
          <w:highlight w:val="none"/>
        </w:rPr>
        <w:t>土壤环境质量监测点位。提升土壤信息化管理水平，整合各部门相关数据和信息资料，</w:t>
      </w:r>
      <w:r>
        <w:rPr>
          <w:rFonts w:hint="eastAsia"/>
          <w:highlight w:val="none"/>
        </w:rPr>
        <w:t>建立土壤环境基础数据库</w:t>
      </w:r>
      <w:r>
        <w:rPr>
          <w:highlight w:val="none"/>
        </w:rPr>
        <w:t>，发挥土壤环境大数据在污染防治、城乡规划、土地利用、农业生产中的作用。</w:t>
      </w:r>
    </w:p>
    <w:p>
      <w:pPr>
        <w:pStyle w:val="89"/>
        <w:ind w:firstLine="480"/>
        <w:rPr>
          <w:highlight w:val="none"/>
        </w:rPr>
      </w:pPr>
      <w:r>
        <w:rPr>
          <w:highlight w:val="none"/>
        </w:rPr>
        <w:t>（2）</w:t>
      </w:r>
      <w:r>
        <w:rPr>
          <w:rFonts w:hint="eastAsia"/>
          <w:highlight w:val="none"/>
        </w:rPr>
        <w:t>推进土壤污染防治立法，加快推进制度建设</w:t>
      </w:r>
    </w:p>
    <w:p>
      <w:pPr>
        <w:pStyle w:val="89"/>
        <w:ind w:firstLine="480"/>
        <w:rPr>
          <w:highlight w:val="none"/>
        </w:rPr>
      </w:pPr>
      <w:r>
        <w:rPr>
          <w:rFonts w:hint="eastAsia"/>
          <w:highlight w:val="none"/>
        </w:rPr>
        <w:t>完善地方土壤污染防治技术标准体系</w:t>
      </w:r>
      <w:r>
        <w:rPr>
          <w:highlight w:val="none"/>
        </w:rPr>
        <w:t>，全面强化监管执法，明确监管重点。</w:t>
      </w:r>
      <w:r>
        <w:rPr>
          <w:rFonts w:hint="eastAsia"/>
          <w:highlight w:val="none"/>
        </w:rPr>
        <w:t>重点监测土壤中镉、汞、砷、铅、铬、锰、铜、钒、镍等重金属、多环芳烃、石油烃等有机污染物，重点监管有色金属矿采选、有色金属冶炼、石油和天然气开采、石油加工、化工原料及化学品制造、焦化、电镀、制革、汽车制造、铅蓄电池、危废处置等行业企业</w:t>
      </w:r>
      <w:r>
        <w:rPr>
          <w:highlight w:val="none"/>
        </w:rPr>
        <w:t>。</w:t>
      </w:r>
      <w:r>
        <w:rPr>
          <w:rFonts w:hint="eastAsia"/>
          <w:highlight w:val="none"/>
        </w:rPr>
        <w:t>加大执法力度。将土壤污染防治作为环境督查和环境执法的重要内容，利用环境监管网格，加强土壤环境日常监管，加强对排放重金属、有机污染物的工矿企业周边土壤以及污水、垃圾、危险废物等处理设施周边土壤的监控。加强土壤环境日常监管执法，落实行政司法衔接机制。</w:t>
      </w:r>
      <w:r>
        <w:rPr>
          <w:highlight w:val="none"/>
        </w:rPr>
        <w:t>加大执法力度，将土壤污染防治作为环境执法的重要内容，</w:t>
      </w:r>
      <w:r>
        <w:rPr>
          <w:rFonts w:hint="eastAsia"/>
          <w:highlight w:val="none"/>
        </w:rPr>
        <w:t>严厉打击非法排放有毒有害污染物、违法违规存放危险化学品、非法收购、运输、处置危险废物、不正常使用污染治理设施或者未经批准拆除、闲置土壤污染物处理设施、监测数据弄虚作假等环境违法行为</w:t>
      </w:r>
      <w:r>
        <w:rPr>
          <w:highlight w:val="none"/>
        </w:rPr>
        <w:t>。提高突发环境事件应急管理、技术支撑、处置救援能力建设。</w:t>
      </w:r>
    </w:p>
    <w:p>
      <w:pPr>
        <w:pStyle w:val="89"/>
        <w:ind w:firstLine="480"/>
        <w:rPr>
          <w:highlight w:val="none"/>
        </w:rPr>
      </w:pPr>
      <w:r>
        <w:rPr>
          <w:highlight w:val="none"/>
        </w:rPr>
        <w:t>（</w:t>
      </w:r>
      <w:r>
        <w:rPr>
          <w:rFonts w:hint="eastAsia"/>
          <w:highlight w:val="none"/>
        </w:rPr>
        <w:t>3</w:t>
      </w:r>
      <w:r>
        <w:rPr>
          <w:highlight w:val="none"/>
        </w:rPr>
        <w:t>）实施建设用地准入管理，防范人居环境风险</w:t>
      </w:r>
    </w:p>
    <w:p>
      <w:pPr>
        <w:pStyle w:val="89"/>
        <w:ind w:firstLine="480"/>
        <w:rPr>
          <w:highlight w:val="none"/>
        </w:rPr>
      </w:pPr>
      <w:r>
        <w:rPr>
          <w:highlight w:val="none"/>
        </w:rPr>
        <w:t>加强对建设用地土壤环境状况调查、风险评估、治理与修复活动的监管。结合土壤污染状况详查情况，根据建设用地土壤环境调查评估结果，逐步</w:t>
      </w:r>
      <w:r>
        <w:rPr>
          <w:rFonts w:hint="eastAsia"/>
          <w:highlight w:val="none"/>
        </w:rPr>
        <w:t>建立</w:t>
      </w:r>
      <w:r>
        <w:rPr>
          <w:highlight w:val="none"/>
        </w:rPr>
        <w:t>污染地块名录及其开发利用的负面清单。</w:t>
      </w:r>
    </w:p>
    <w:p>
      <w:pPr>
        <w:pStyle w:val="89"/>
        <w:ind w:firstLine="482"/>
        <w:rPr>
          <w:b/>
          <w:bCs w:val="0"/>
          <w:highlight w:val="none"/>
        </w:rPr>
      </w:pPr>
      <w:bookmarkStart w:id="98" w:name="_Toc5340"/>
      <w:r>
        <w:rPr>
          <w:rFonts w:hint="eastAsia"/>
          <w:b/>
          <w:bCs w:val="0"/>
          <w:highlight w:val="none"/>
        </w:rPr>
        <w:t>4、</w:t>
      </w:r>
      <w:r>
        <w:rPr>
          <w:b/>
          <w:bCs w:val="0"/>
          <w:highlight w:val="none"/>
        </w:rPr>
        <w:t>加强土壤环境监督管理</w:t>
      </w:r>
      <w:bookmarkEnd w:id="98"/>
    </w:p>
    <w:p>
      <w:pPr>
        <w:pStyle w:val="89"/>
        <w:ind w:firstLine="480"/>
        <w:rPr>
          <w:highlight w:val="none"/>
        </w:rPr>
      </w:pPr>
      <w:r>
        <w:rPr>
          <w:highlight w:val="none"/>
        </w:rPr>
        <w:t>（1）加强企业周边土壤环境监管</w:t>
      </w:r>
    </w:p>
    <w:p>
      <w:pPr>
        <w:pStyle w:val="89"/>
        <w:ind w:firstLine="480"/>
        <w:rPr>
          <w:highlight w:val="none"/>
        </w:rPr>
      </w:pPr>
      <w:r>
        <w:rPr>
          <w:highlight w:val="none"/>
        </w:rPr>
        <w:t>严格</w:t>
      </w:r>
      <w:r>
        <w:rPr>
          <w:rFonts w:hint="eastAsia"/>
          <w:highlight w:val="none"/>
        </w:rPr>
        <w:t>园区</w:t>
      </w:r>
      <w:r>
        <w:rPr>
          <w:highlight w:val="none"/>
        </w:rPr>
        <w:t>重点企业土壤环境管控，根据重点企业分布、规模和污染排放情况，确定土壤环境重点监管企业名单，对污染物排放量较大的企业、涉重金属排放企业实行动态管理，列入名单的企业每年要自行对其用地土壤进行环境监测，严格执行国家鼓励的有毒有害原料（产品）替代品名录，加强</w:t>
      </w:r>
      <w:r>
        <w:rPr>
          <w:rFonts w:hint="eastAsia"/>
          <w:highlight w:val="none"/>
        </w:rPr>
        <w:t>医药</w:t>
      </w:r>
      <w:r>
        <w:rPr>
          <w:highlight w:val="none"/>
        </w:rPr>
        <w:t>、</w:t>
      </w:r>
      <w:r>
        <w:rPr>
          <w:rFonts w:hint="eastAsia"/>
          <w:highlight w:val="none"/>
        </w:rPr>
        <w:t>表面处理</w:t>
      </w:r>
      <w:r>
        <w:rPr>
          <w:highlight w:val="none"/>
        </w:rPr>
        <w:t>等工业产品中有害物质控制。定期开展监督性监测，对企业用地进行调查和数据分析评价，完成污染地块风险筛查。</w:t>
      </w:r>
    </w:p>
    <w:p>
      <w:pPr>
        <w:pStyle w:val="89"/>
        <w:ind w:firstLine="480"/>
        <w:rPr>
          <w:highlight w:val="none"/>
        </w:rPr>
      </w:pPr>
      <w:r>
        <w:rPr>
          <w:highlight w:val="none"/>
        </w:rPr>
        <w:t>（</w:t>
      </w:r>
      <w:r>
        <w:rPr>
          <w:rFonts w:hint="eastAsia"/>
          <w:highlight w:val="none"/>
        </w:rPr>
        <w:t>2</w:t>
      </w:r>
      <w:r>
        <w:rPr>
          <w:highlight w:val="none"/>
        </w:rPr>
        <w:t>）规范危险废物产生单位行为</w:t>
      </w:r>
    </w:p>
    <w:p>
      <w:pPr>
        <w:pStyle w:val="89"/>
        <w:ind w:firstLine="480"/>
        <w:rPr>
          <w:highlight w:val="none"/>
        </w:rPr>
      </w:pPr>
      <w:r>
        <w:rPr>
          <w:rFonts w:hint="eastAsia"/>
          <w:highlight w:val="none"/>
        </w:rPr>
        <w:t>① 园区</w:t>
      </w:r>
      <w:r>
        <w:rPr>
          <w:highlight w:val="none"/>
        </w:rPr>
        <w:t>应进一步规范危险废物产生单位有关土壤污染防治工作，危险废物产生企业要根据土壤污染防治相关要求，编制并完善突发环境事件应急预案内容，并向所在地生态环境部门备案。严格危险废物经营许可审批。建设危险废物信息化监控平台，规范危险废物收集、贮存、转移和利用处置活动，强化对危险废物产生单位自行利用处置危险废物活动的管理。</w:t>
      </w:r>
    </w:p>
    <w:p>
      <w:pPr>
        <w:pStyle w:val="89"/>
        <w:ind w:firstLine="480"/>
        <w:rPr>
          <w:highlight w:val="none"/>
        </w:rPr>
      </w:pPr>
      <w:r>
        <w:rPr>
          <w:rFonts w:hint="eastAsia"/>
          <w:highlight w:val="none"/>
        </w:rPr>
        <w:t xml:space="preserve">② </w:t>
      </w:r>
      <w:r>
        <w:rPr>
          <w:highlight w:val="none"/>
        </w:rPr>
        <w:t>严厉打击非法处置危险废物违法犯罪活动。组织危险废物环境隐患专项排查整治，全面查清涉危单位生产经营重点环节、重点场所环境风险隐患，精准掌控涉危单位产生、贮存、运输、利用、处置等情况，建立危险废物监督管理台账。强化应急管理、生态环境、卫生健康、公安、交通运输等部门联合执法，以有色金属冶炼、食品饮料、汽修及零售、废弃资源综合利用为重点行业，以有色金属冶炼废物（HW48）、废矿物油与含矿物油废物（HW08）、其他废物（HW49）等为重点类别，以危险废物产生量大的企业为重点对象，创新采用大数据分析和产废量核查等措施，持续保持高压严打态势，严厉打击危险废物非法处置行为。</w:t>
      </w:r>
    </w:p>
    <w:p>
      <w:pPr>
        <w:pStyle w:val="89"/>
        <w:ind w:firstLine="480"/>
        <w:rPr>
          <w:highlight w:val="none"/>
        </w:rPr>
      </w:pPr>
      <w:r>
        <w:rPr>
          <w:highlight w:val="none"/>
        </w:rPr>
        <w:t>（</w:t>
      </w:r>
      <w:r>
        <w:rPr>
          <w:rFonts w:hint="eastAsia"/>
          <w:highlight w:val="none"/>
        </w:rPr>
        <w:t>3</w:t>
      </w:r>
      <w:r>
        <w:rPr>
          <w:highlight w:val="none"/>
        </w:rPr>
        <w:t>）深化污水污泥同步治理</w:t>
      </w:r>
    </w:p>
    <w:p>
      <w:pPr>
        <w:pStyle w:val="89"/>
        <w:ind w:firstLine="480"/>
        <w:rPr>
          <w:highlight w:val="none"/>
        </w:rPr>
      </w:pPr>
      <w:r>
        <w:rPr>
          <w:highlight w:val="none"/>
        </w:rPr>
        <w:t>严格监控重金属和持久性有机物等污染物指标，防范对土壤造成污染。规范污水处理厂污泥处理处置，杜绝违法倾倒污泥等现象，严禁将污泥直接用作肥料，禁止不达标污泥就地随意堆放。</w:t>
      </w:r>
    </w:p>
    <w:p>
      <w:pPr>
        <w:pStyle w:val="89"/>
        <w:ind w:firstLine="480"/>
        <w:rPr>
          <w:highlight w:val="none"/>
        </w:rPr>
      </w:pPr>
      <w:r>
        <w:rPr>
          <w:highlight w:val="none"/>
        </w:rPr>
        <w:t>（</w:t>
      </w:r>
      <w:r>
        <w:rPr>
          <w:rFonts w:hint="eastAsia"/>
          <w:highlight w:val="none"/>
        </w:rPr>
        <w:t>4</w:t>
      </w:r>
      <w:r>
        <w:rPr>
          <w:highlight w:val="none"/>
        </w:rPr>
        <w:t>）强化土壤治理与修复工程监管</w:t>
      </w:r>
    </w:p>
    <w:p>
      <w:pPr>
        <w:pStyle w:val="89"/>
        <w:ind w:firstLine="480"/>
        <w:rPr>
          <w:highlight w:val="none"/>
        </w:rPr>
      </w:pPr>
      <w:r>
        <w:rPr>
          <w:highlight w:val="none"/>
        </w:rPr>
        <w:t>防范建设用地新增污染，严格环境准入，排放重点污染物的建设项目，在开展环境影响评价时，重点提出防范土壤污染的具体措施，需要建设的土壤污染防治设施，要落实“三同时”，有关部门要做好风险管控、污染防治措施落实情况的监督管理工作。</w:t>
      </w:r>
    </w:p>
    <w:p>
      <w:pPr>
        <w:pStyle w:val="89"/>
        <w:ind w:firstLine="480"/>
        <w:rPr>
          <w:highlight w:val="none"/>
        </w:rPr>
      </w:pPr>
      <w:r>
        <w:rPr>
          <w:highlight w:val="none"/>
        </w:rPr>
        <w:t>（</w:t>
      </w:r>
      <w:r>
        <w:rPr>
          <w:rFonts w:hint="eastAsia"/>
          <w:highlight w:val="none"/>
        </w:rPr>
        <w:t>5</w:t>
      </w:r>
      <w:r>
        <w:rPr>
          <w:highlight w:val="none"/>
        </w:rPr>
        <w:t>）加强对未利用地的保护</w:t>
      </w:r>
    </w:p>
    <w:p>
      <w:pPr>
        <w:pStyle w:val="89"/>
        <w:ind w:firstLine="480"/>
        <w:rPr>
          <w:highlight w:val="none"/>
        </w:rPr>
      </w:pPr>
      <w:r>
        <w:rPr>
          <w:highlight w:val="none"/>
        </w:rPr>
        <w:t>加强经开区内未利用地的环境管理和保护，按照科学有序原则开发利用，依法严查各类非法排污、倾注有毒有害物质的环境违法行为，加大打击力度，定期开展巡查。</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植物绿化及生态恢复措施</w:t>
      </w:r>
    </w:p>
    <w:p>
      <w:pPr>
        <w:pStyle w:val="89"/>
        <w:ind w:firstLine="482"/>
        <w:rPr>
          <w:b/>
          <w:bCs w:val="0"/>
          <w:highlight w:val="none"/>
        </w:rPr>
      </w:pPr>
      <w:r>
        <w:rPr>
          <w:rFonts w:hint="eastAsia"/>
          <w:b/>
          <w:bCs w:val="0"/>
          <w:highlight w:val="none"/>
        </w:rPr>
        <w:t>1、</w:t>
      </w:r>
      <w:r>
        <w:rPr>
          <w:b/>
          <w:bCs w:val="0"/>
          <w:highlight w:val="none"/>
        </w:rPr>
        <w:t>水土流失防治措施</w:t>
      </w:r>
    </w:p>
    <w:p>
      <w:pPr>
        <w:pStyle w:val="89"/>
        <w:ind w:firstLine="480"/>
        <w:rPr>
          <w:highlight w:val="none"/>
        </w:rPr>
      </w:pPr>
      <w:r>
        <w:rPr>
          <w:highlight w:val="none"/>
        </w:rPr>
        <w:t>（1）预防和监督开发建设项目造成的水土流失，对城市周边和主要交通干线两侧的采石、取土等活动进行规范管理，坚决控制人为新增水土流失。</w:t>
      </w:r>
    </w:p>
    <w:p>
      <w:pPr>
        <w:pStyle w:val="89"/>
        <w:ind w:firstLine="480"/>
        <w:rPr>
          <w:highlight w:val="none"/>
        </w:rPr>
      </w:pPr>
      <w:r>
        <w:rPr>
          <w:highlight w:val="none"/>
        </w:rPr>
        <w:t>（2）实施河岸绿化，河道综合整治，建设绿色长廊，改善水生态环境，防治水土流失，美化人居环境。</w:t>
      </w:r>
    </w:p>
    <w:p>
      <w:pPr>
        <w:pStyle w:val="89"/>
        <w:ind w:firstLine="480"/>
        <w:rPr>
          <w:highlight w:val="none"/>
        </w:rPr>
      </w:pPr>
      <w:r>
        <w:rPr>
          <w:highlight w:val="none"/>
        </w:rPr>
        <w:t>（3）生产建设项目建设应保存和利用表土，封闭施工、遮盖运输，河网区应保持原有水系畅通，防止水系紊乱和河道淤积，综合利用地表径流。</w:t>
      </w:r>
    </w:p>
    <w:p>
      <w:pPr>
        <w:pStyle w:val="89"/>
        <w:ind w:firstLine="480"/>
        <w:rPr>
          <w:highlight w:val="none"/>
        </w:rPr>
      </w:pPr>
      <w:r>
        <w:rPr>
          <w:highlight w:val="none"/>
        </w:rPr>
        <w:t>（4）加强开发建设项目造成新增水土流失的预防监督，全面落实水土保持的“三同时”制度，控制人为造成的新的水土流失问题。必要时生产建设项目必须编报水土保持方案报告书，经审批后方可立项。</w:t>
      </w:r>
    </w:p>
    <w:p>
      <w:pPr>
        <w:pStyle w:val="89"/>
        <w:ind w:firstLine="482"/>
        <w:rPr>
          <w:b/>
          <w:bCs w:val="0"/>
          <w:highlight w:val="none"/>
        </w:rPr>
      </w:pPr>
      <w:bookmarkStart w:id="99" w:name="_Toc19067"/>
      <w:r>
        <w:rPr>
          <w:rFonts w:hint="eastAsia"/>
          <w:b/>
          <w:bCs w:val="0"/>
          <w:highlight w:val="none"/>
        </w:rPr>
        <w:t>2、</w:t>
      </w:r>
      <w:r>
        <w:rPr>
          <w:b/>
          <w:bCs w:val="0"/>
          <w:highlight w:val="none"/>
        </w:rPr>
        <w:t>优化绿化系统配置</w:t>
      </w:r>
      <w:bookmarkEnd w:id="99"/>
    </w:p>
    <w:p>
      <w:pPr>
        <w:pStyle w:val="89"/>
        <w:ind w:firstLine="480"/>
        <w:rPr>
          <w:highlight w:val="none"/>
        </w:rPr>
      </w:pPr>
      <w:r>
        <w:rPr>
          <w:highlight w:val="none"/>
        </w:rPr>
        <w:t>优化绿化系统配置，构建地带性植物群落。通过道路及绿化开敞空间将绿地景观系统渗透到各功能区，构筑与工业区相适应的、层次分明的大尺度生态绿地，形成富有特色的生态化绿地系统。优化绿化树种选择，考虑景观效果（速生与慢生搭配）的同时需充分考虑树种的降噪、滞尘、吸收污染物、固碳等生态功能。</w:t>
      </w:r>
    </w:p>
    <w:p>
      <w:pPr>
        <w:pStyle w:val="89"/>
        <w:ind w:firstLine="480"/>
        <w:rPr>
          <w:highlight w:val="none"/>
        </w:rPr>
      </w:pPr>
      <w:r>
        <w:rPr>
          <w:highlight w:val="none"/>
        </w:rPr>
        <w:t>建议在区内毗连住宅区的道路周边设置防护林带。在防护绿地等景观功能较弱的区域以乡土树种为主构建乔-灌-草搭配的近自然地带性植物群落，充分利用群落中的空间生态位，增加群落郁闭度。正确认识杂草的生态作用，在公园内适当保留自然恢复的区域。</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施工期的环保措施</w:t>
      </w:r>
    </w:p>
    <w:p>
      <w:pPr>
        <w:pStyle w:val="89"/>
        <w:ind w:firstLine="480"/>
        <w:rPr>
          <w:highlight w:val="none"/>
        </w:rPr>
      </w:pPr>
      <w:r>
        <w:rPr>
          <w:rFonts w:hint="eastAsia"/>
          <w:highlight w:val="none"/>
        </w:rPr>
        <w:t>施工期应按照“先挡护后挖填，分段施工，弃土压实，排水先行，当年开挖，当年绿化”的原则，积极落实相关水保措施。对开挖场地和料场采用防雨水冲刷材料覆盖、遮挡；禁止雨天进行挖填施工；施工现场的临时弃渣有序堆置，并设遮盖、挡护措施及临时排水措施</w:t>
      </w:r>
      <w:r>
        <w:rPr>
          <w:highlight w:val="none"/>
        </w:rPr>
        <w:t>，以防止水土流入河道和随机器设备带入道路及城区，进而污染区域环境。</w:t>
      </w:r>
      <w:r>
        <w:rPr>
          <w:rFonts w:hint="eastAsia"/>
          <w:highlight w:val="none"/>
        </w:rPr>
        <w:t>对开发建设过程中剥离的表土，应当单独收集和存放，符合条件的应当优先用于土地复垦、土壤改良、造地和绿化等。禁止将重金属或者其他有毒有害物质含量超标的工业固体废物、生活垃圾或者污染土壤用于土地复垦。园区开发建设必须满足《土壤污染防治法》、成都市土壤污染防治行动计划工作方案等相关要求，避免对土壤环境产生不利影响。施工结束后，施工单位应及时撤出施工营地，拆除临时设施，清理施工迹地，恢复地貌原状。</w:t>
      </w:r>
    </w:p>
    <w:p>
      <w:pPr>
        <w:pStyle w:val="89"/>
        <w:ind w:firstLine="480"/>
        <w:rPr>
          <w:highlight w:val="none"/>
        </w:rPr>
      </w:pPr>
      <w:r>
        <w:rPr>
          <w:rFonts w:hint="eastAsia"/>
          <w:highlight w:val="none"/>
        </w:rPr>
        <w:t>后续开发应将扬尘控制作为规划区环境综合整治的重要内容，开展扬尘综合整治，加强监督管理，划定扬尘污染控制区，控制施工扬尘和渣土遗撒，开展裸露地面治理，提高绿化覆盖率，加强道路清扫保洁。推进建筑工地绿色施工。施工现场必须全封闭设置围挡，施工现场作业道路、作业区、生活区必须进行地面硬化，定期洒水，及时清扫地面尘土，并严格管理产生扬尘的机械设备，基础设施工程建设时应加安全网，将扬尘的影响减少到最低。</w:t>
      </w:r>
      <w:r>
        <w:rPr>
          <w:highlight w:val="none"/>
        </w:rPr>
        <w:t>入区工业项目在施工期噪声执行《建筑施工场界噪声限值》（GB1523-2011）中的相关标准</w:t>
      </w:r>
      <w:r>
        <w:rPr>
          <w:rFonts w:hint="eastAsia"/>
          <w:highlight w:val="none"/>
        </w:rPr>
        <w:t>。</w:t>
      </w:r>
    </w:p>
    <w:p>
      <w:pPr>
        <w:pStyle w:val="89"/>
        <w:ind w:firstLine="480"/>
        <w:rPr>
          <w:highlight w:val="none"/>
        </w:rPr>
      </w:pPr>
      <w:r>
        <w:rPr>
          <w:rFonts w:hint="eastAsia"/>
          <w:highlight w:val="none"/>
        </w:rPr>
        <w:t>做好各企业施工期应记录好防渗工程防渗结构、材料类型、材料厚度等信息。</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移民搬迁对策措施</w:t>
      </w:r>
    </w:p>
    <w:p>
      <w:pPr>
        <w:pStyle w:val="89"/>
        <w:ind w:firstLine="480"/>
        <w:rPr>
          <w:highlight w:val="none"/>
        </w:rPr>
      </w:pPr>
      <w:r>
        <w:rPr>
          <w:rFonts w:hint="eastAsia"/>
          <w:highlight w:val="none"/>
        </w:rPr>
        <w:t>随规划实施，园区需要搬迁人口，需要注意搬迁时的环境保护：</w:t>
      </w:r>
    </w:p>
    <w:p>
      <w:pPr>
        <w:pStyle w:val="89"/>
        <w:ind w:firstLine="480"/>
        <w:rPr>
          <w:highlight w:val="none"/>
        </w:rPr>
      </w:pPr>
      <w:r>
        <w:rPr>
          <w:rFonts w:hint="eastAsia"/>
          <w:highlight w:val="none"/>
        </w:rPr>
        <w:t>（1）若实施统一集中安置，则对新安置小区的选址进行充分论证，确保拆迁安置居民“搬得动、安得下、生活质量不降低”。</w:t>
      </w:r>
    </w:p>
    <w:p>
      <w:pPr>
        <w:pStyle w:val="89"/>
        <w:ind w:firstLine="480"/>
        <w:rPr>
          <w:highlight w:val="none"/>
        </w:rPr>
      </w:pPr>
      <w:r>
        <w:rPr>
          <w:rFonts w:hint="eastAsia"/>
          <w:highlight w:val="none"/>
        </w:rPr>
        <w:t>（2）集中安置区实施雨污分流，生活污水纳入污水处理厂集中处置。从而提高移民的生活环境，同时避免居民安置带来的环境污染。</w:t>
      </w:r>
    </w:p>
    <w:p>
      <w:pPr>
        <w:pStyle w:val="89"/>
        <w:ind w:firstLine="480"/>
        <w:rPr>
          <w:highlight w:val="none"/>
        </w:rPr>
      </w:pPr>
      <w:r>
        <w:rPr>
          <w:rFonts w:hint="eastAsia"/>
          <w:highlight w:val="none"/>
        </w:rPr>
        <w:t>（3）根据当地社会经济情况，制定有利于拆迁安置的优惠政策，通过农民新村建设和帮助移民重新就业，农家剩余劳动力和待业青年可以就近进厂务工，解决家中就业问题，增加农民群众的经济收入，使移民的生活水平和生活质量在原有基础上有所提高。</w:t>
      </w:r>
    </w:p>
    <w:p>
      <w:pPr>
        <w:pStyle w:val="89"/>
        <w:ind w:firstLine="480"/>
        <w:rPr>
          <w:highlight w:val="none"/>
        </w:rPr>
      </w:pPr>
      <w:r>
        <w:rPr>
          <w:rFonts w:hint="eastAsia"/>
          <w:highlight w:val="none"/>
        </w:rPr>
        <w:t>（4）建立有效的监管机制，确保征地拆迁补偿费落实到位，并分发到户、到人。拆迁安置，征地补偿等严格按照当地政府制定的有关政策执行。</w:t>
      </w:r>
    </w:p>
    <w:p>
      <w:pPr>
        <w:pStyle w:val="89"/>
        <w:ind w:firstLine="480"/>
        <w:rPr>
          <w:highlight w:val="none"/>
        </w:rPr>
      </w:pPr>
      <w:r>
        <w:rPr>
          <w:rFonts w:hint="eastAsia"/>
          <w:highlight w:val="none"/>
        </w:rPr>
        <w:t>（5）对拆迁安置过程中的旧房拆除、安置房屋、道路、公用设施的修建等施工中要有计划、有组织、分步骤地合理进行，在施工中采用严格防尘、防污染等措施，防止施工中造成对环境的污染和生态的破坏。</w:t>
      </w:r>
    </w:p>
    <w:p>
      <w:pPr>
        <w:pStyle w:val="89"/>
        <w:ind w:firstLine="480"/>
        <w:rPr>
          <w:highlight w:val="none"/>
        </w:rPr>
      </w:pPr>
      <w:r>
        <w:rPr>
          <w:rFonts w:hint="eastAsia"/>
          <w:highlight w:val="none"/>
        </w:rPr>
        <w:t>（6）拆迁应以不降低居民原有的生活标准并有所提高为原则，以开发性安置为主，积极创造就业机会，保持移民生活创收活动有序和稳定，将拆迁所造成的损失降到最低。</w:t>
      </w:r>
    </w:p>
    <w:p>
      <w:pPr>
        <w:keepNext/>
        <w:keepLines/>
        <w:widowControl w:val="0"/>
        <w:numPr>
          <w:ilvl w:val="2"/>
          <w:numId w:val="9"/>
        </w:numPr>
        <w:spacing w:line="480" w:lineRule="auto"/>
        <w:ind w:left="720" w:hanging="720" w:firstLineChars="0"/>
        <w:jc w:val="both"/>
        <w:outlineLvl w:val="2"/>
        <w:rPr>
          <w:rFonts w:hint="eastAsia" w:ascii="Times New Roman" w:hAnsi="Times New Roman" w:eastAsia="黑体" w:cs="Times New Roman"/>
          <w:bCs/>
          <w:color w:val="7030A0"/>
          <w:kern w:val="2"/>
          <w:sz w:val="28"/>
          <w:szCs w:val="32"/>
          <w:highlight w:val="none"/>
          <w:lang w:val="en-US" w:eastAsia="zh-CN" w:bidi="ar-SA"/>
        </w:rPr>
      </w:pPr>
      <w:r>
        <w:rPr>
          <w:rFonts w:hint="eastAsia" w:ascii="Times New Roman" w:hAnsi="Times New Roman" w:eastAsia="黑体" w:cs="Times New Roman"/>
          <w:bCs/>
          <w:color w:val="7030A0"/>
          <w:kern w:val="2"/>
          <w:sz w:val="28"/>
          <w:szCs w:val="32"/>
          <w:highlight w:val="none"/>
          <w:lang w:val="en-US" w:eastAsia="zh-CN" w:bidi="ar-SA"/>
        </w:rPr>
        <w:t>环境监管措施</w:t>
      </w:r>
    </w:p>
    <w:p>
      <w:pPr>
        <w:pStyle w:val="89"/>
        <w:ind w:firstLine="482"/>
        <w:rPr>
          <w:b/>
          <w:bCs w:val="0"/>
          <w:highlight w:val="none"/>
        </w:rPr>
      </w:pPr>
      <w:r>
        <w:rPr>
          <w:rFonts w:hint="eastAsia"/>
          <w:b/>
          <w:bCs w:val="0"/>
          <w:highlight w:val="none"/>
        </w:rPr>
        <w:t>1、强化监督管理</w:t>
      </w:r>
    </w:p>
    <w:p>
      <w:pPr>
        <w:pStyle w:val="89"/>
        <w:ind w:firstLine="480"/>
        <w:rPr>
          <w:highlight w:val="none"/>
        </w:rPr>
      </w:pPr>
      <w:r>
        <w:rPr>
          <w:rFonts w:hint="eastAsia"/>
          <w:highlight w:val="none"/>
        </w:rPr>
        <w:t>健全规划管理机构，以行政、法律、经济等多种手段提高规划的管理水平，严格执行规划，依法管理，明确规划、建设的审批和修改办法、程序，做到有法可依、有法必依。</w:t>
      </w:r>
    </w:p>
    <w:p>
      <w:pPr>
        <w:pStyle w:val="89"/>
        <w:ind w:firstLine="480"/>
        <w:rPr>
          <w:highlight w:val="none"/>
        </w:rPr>
      </w:pPr>
      <w:r>
        <w:rPr>
          <w:rFonts w:hint="eastAsia"/>
          <w:highlight w:val="none"/>
        </w:rPr>
        <w:t>落实科学发展观和正确的政绩观，加强统一领导和部门协调。建立各级部门和政府目标责任制、问责制、行政责任追究制和行政监察制，对因决策失误造成重大环境事故、严重干扰正常环境执法的领导干部和公职人员，要追究责任。建立入区企业环境保护目标责任制和考核制度，企业法定代表人对本单位环境保护负责。加大对违法排污企业的打击力度，严重破坏环境的，由政府给予处罚。</w:t>
      </w:r>
    </w:p>
    <w:p>
      <w:pPr>
        <w:pStyle w:val="89"/>
        <w:ind w:firstLine="482"/>
        <w:rPr>
          <w:b/>
          <w:bCs w:val="0"/>
          <w:highlight w:val="none"/>
        </w:rPr>
      </w:pPr>
      <w:r>
        <w:rPr>
          <w:rFonts w:hint="eastAsia"/>
          <w:b/>
          <w:bCs w:val="0"/>
          <w:highlight w:val="none"/>
        </w:rPr>
        <w:t>2、实施总量控制及排污许可证制度</w:t>
      </w:r>
    </w:p>
    <w:p>
      <w:pPr>
        <w:pStyle w:val="89"/>
        <w:ind w:firstLine="480"/>
        <w:rPr>
          <w:highlight w:val="none"/>
        </w:rPr>
      </w:pPr>
      <w:r>
        <w:rPr>
          <w:rFonts w:hint="eastAsia"/>
          <w:highlight w:val="none"/>
        </w:rPr>
        <w:t>在入区项目审批过程中，实行总量控制制度。严格按照总量指标安排入区项目。加强建设项目中后期的管理力度，强化验收环节管理，做好重点建设项目施工过程中的环境监管。</w:t>
      </w:r>
    </w:p>
    <w:p>
      <w:pPr>
        <w:pStyle w:val="89"/>
        <w:ind w:firstLine="480"/>
        <w:rPr>
          <w:highlight w:val="none"/>
        </w:rPr>
      </w:pPr>
      <w:r>
        <w:rPr>
          <w:rFonts w:hint="eastAsia"/>
          <w:highlight w:val="none"/>
        </w:rPr>
        <w:t>积极推行排污许可证制度。入园重点管理行业、重点排污单位必须申领排污许可证。现有以及新入驻的企业事业单位应当按照《固定污染源排污许可分类管理名录》规定，在实施时限内申请排污许可证，禁止无证排污或不按证排污。此外，环保部门加强日常监管，对达标排放但总量超过控制指标的，当地政府下达限期治理要求，并收回排污许可证。</w:t>
      </w:r>
    </w:p>
    <w:p>
      <w:pPr>
        <w:pStyle w:val="89"/>
        <w:ind w:firstLine="482"/>
        <w:rPr>
          <w:b/>
          <w:bCs w:val="0"/>
          <w:highlight w:val="none"/>
        </w:rPr>
      </w:pPr>
      <w:r>
        <w:rPr>
          <w:rFonts w:hint="eastAsia"/>
          <w:b/>
          <w:bCs w:val="0"/>
          <w:highlight w:val="none"/>
        </w:rPr>
        <w:t>3、严格执行环境影响评价和“三同时”制度</w:t>
      </w:r>
    </w:p>
    <w:p>
      <w:pPr>
        <w:pStyle w:val="89"/>
        <w:ind w:firstLine="480"/>
        <w:rPr>
          <w:highlight w:val="none"/>
        </w:rPr>
      </w:pPr>
      <w:r>
        <w:rPr>
          <w:rFonts w:hint="eastAsia"/>
          <w:highlight w:val="none"/>
        </w:rPr>
        <w:t>入区企业必须严格执行环境影响评价制度和环保“三同时”制度，对不符合清洁生产和环境要求的项目，坚决执行“环保一票否决制”。</w:t>
      </w:r>
    </w:p>
    <w:p>
      <w:pPr>
        <w:pStyle w:val="89"/>
        <w:ind w:firstLine="480"/>
        <w:rPr>
          <w:highlight w:val="none"/>
        </w:rPr>
      </w:pPr>
      <w:r>
        <w:rPr>
          <w:rFonts w:hint="eastAsia"/>
          <w:highlight w:val="none"/>
        </w:rPr>
        <w:t>在规划区建设过程中，必须按循环经济理念，高起点规划、高标准，建设生态工业园和循环经济工业园。设定规划区的入园门槛和招商引资行业目录，严格限制非本规划区产业定位方向的项目入园，对不符合国家产业政策、环保政策和技术政策明令禁止的项目以及可能造成重大环境污染或生态破坏的建设项目，园区主管部门一律不得核准、备案和审批。促进企业的集约化、规模化和资源节约化，走新型工业化道路。</w:t>
      </w:r>
    </w:p>
    <w:p>
      <w:pPr>
        <w:pStyle w:val="89"/>
        <w:ind w:firstLine="482"/>
        <w:rPr>
          <w:b/>
          <w:bCs w:val="0"/>
          <w:highlight w:val="none"/>
        </w:rPr>
      </w:pPr>
      <w:r>
        <w:rPr>
          <w:rFonts w:hint="eastAsia"/>
          <w:b/>
          <w:bCs w:val="0"/>
          <w:highlight w:val="none"/>
        </w:rPr>
        <w:t>4、落实跟踪监测制度</w:t>
      </w:r>
    </w:p>
    <w:p>
      <w:pPr>
        <w:pStyle w:val="89"/>
        <w:ind w:firstLine="480"/>
        <w:rPr>
          <w:highlight w:val="none"/>
        </w:rPr>
      </w:pPr>
      <w:r>
        <w:rPr>
          <w:rFonts w:hint="eastAsia"/>
          <w:highlight w:val="none"/>
        </w:rPr>
        <w:t>管委会环保机构负责园区的环境监督管理，落实跟踪监测制度，制订环境监控计划，对区内外环境实施跟踪监控，重点做好入区企业排污口监控。及时调整规划区环保对策措施，实现规划区内外的可持续发展。此外，入区企业也应建立环境管理机构，配备专职环保人员，健全环境管理制度，做好排污口规范化工作和生产厂区内废水管网建设，定期检查和维护环保和消防等安全设施。</w:t>
      </w:r>
    </w:p>
    <w:p>
      <w:pPr>
        <w:pStyle w:val="89"/>
        <w:ind w:firstLine="482"/>
        <w:rPr>
          <w:b/>
          <w:bCs w:val="0"/>
          <w:highlight w:val="none"/>
        </w:rPr>
      </w:pPr>
      <w:r>
        <w:rPr>
          <w:rFonts w:hint="eastAsia"/>
          <w:b/>
          <w:bCs w:val="0"/>
          <w:highlight w:val="none"/>
        </w:rPr>
        <w:t>5、污染源监控</w:t>
      </w:r>
    </w:p>
    <w:p>
      <w:pPr>
        <w:pStyle w:val="89"/>
        <w:ind w:firstLine="480"/>
        <w:rPr>
          <w:highlight w:val="none"/>
        </w:rPr>
      </w:pPr>
      <w:r>
        <w:rPr>
          <w:rFonts w:hint="eastAsia"/>
          <w:highlight w:val="none"/>
        </w:rPr>
        <w:t>入区企业全部实现达标排放，重点水污染源和重点大气污染源根据实际情况安装污染源自动监控系统，实施动态监测。</w:t>
      </w:r>
    </w:p>
    <w:p>
      <w:pPr>
        <w:pStyle w:val="89"/>
        <w:ind w:firstLine="482"/>
        <w:rPr>
          <w:b/>
          <w:bCs w:val="0"/>
          <w:highlight w:val="none"/>
        </w:rPr>
      </w:pPr>
      <w:r>
        <w:rPr>
          <w:rFonts w:hint="eastAsia"/>
          <w:b/>
          <w:bCs w:val="0"/>
          <w:highlight w:val="none"/>
        </w:rPr>
        <w:t>6、清洁生产审核</w:t>
      </w:r>
    </w:p>
    <w:p>
      <w:pPr>
        <w:pStyle w:val="89"/>
        <w:ind w:firstLine="480"/>
        <w:rPr>
          <w:rFonts w:hint="eastAsia"/>
          <w:highlight w:val="none"/>
        </w:rPr>
      </w:pPr>
      <w:r>
        <w:rPr>
          <w:rFonts w:hint="eastAsia"/>
          <w:highlight w:val="none"/>
        </w:rPr>
        <w:t>对规划区内企业鼓励实施清洁生产审核。确保园区企业强制性清洁生产审核率达到100%。</w:t>
      </w:r>
    </w:p>
    <w:p>
      <w:pPr>
        <w:rPr>
          <w:rFonts w:hint="eastAsia"/>
          <w:highlight w:val="none"/>
        </w:rPr>
      </w:pPr>
      <w:r>
        <w:rPr>
          <w:rFonts w:hint="eastAsia"/>
          <w:highlight w:val="none"/>
        </w:rPr>
        <w:br w:type="page"/>
      </w:r>
    </w:p>
    <w:p>
      <w:pPr>
        <w:keepNext/>
        <w:keepLines/>
        <w:widowControl w:val="0"/>
        <w:numPr>
          <w:ilvl w:val="0"/>
          <w:numId w:val="9"/>
        </w:numPr>
        <w:spacing w:before="163" w:beforeLines="0" w:after="163" w:afterLines="0" w:line="578" w:lineRule="auto"/>
        <w:ind w:left="440" w:hanging="440" w:firstLineChars="0"/>
        <w:jc w:val="both"/>
        <w:outlineLvl w:val="0"/>
        <w:rPr>
          <w:rFonts w:hint="eastAsia" w:ascii="Times New Roman" w:hAnsi="Times New Roman" w:eastAsia="黑体" w:cs="Times New Roman"/>
          <w:bCs/>
          <w:color w:val="7030A0"/>
          <w:kern w:val="44"/>
          <w:sz w:val="44"/>
          <w:szCs w:val="44"/>
          <w:highlight w:val="none"/>
          <w:lang w:val="en-US" w:eastAsia="zh-CN" w:bidi="ar-SA"/>
        </w:rPr>
      </w:pPr>
      <w:r>
        <w:rPr>
          <w:rFonts w:hint="eastAsia" w:ascii="Times New Roman" w:hAnsi="Times New Roman" w:eastAsia="黑体" w:cs="Times New Roman"/>
          <w:bCs/>
          <w:color w:val="7030A0"/>
          <w:kern w:val="44"/>
          <w:sz w:val="44"/>
          <w:szCs w:val="44"/>
          <w:highlight w:val="none"/>
          <w:lang w:val="en-US" w:eastAsia="zh-CN" w:bidi="ar-SA"/>
        </w:rPr>
        <w:t>评价结论</w:t>
      </w:r>
      <w:bookmarkEnd w:id="26"/>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color w:val="7030A0"/>
          <w:kern w:val="2"/>
          <w:sz w:val="32"/>
          <w:szCs w:val="32"/>
          <w:highlight w:val="none"/>
          <w:lang w:val="en-US" w:eastAsia="zh-CN" w:bidi="ar-SA"/>
        </w:rPr>
      </w:pPr>
      <w:bookmarkStart w:id="100" w:name="_Toc154518203"/>
      <w:r>
        <w:rPr>
          <w:rFonts w:hint="eastAsia" w:ascii="Times New Roman" w:hAnsi="Times New Roman" w:eastAsia="黑体" w:cs="Times New Roman"/>
          <w:bCs/>
          <w:color w:val="7030A0"/>
          <w:kern w:val="2"/>
          <w:sz w:val="32"/>
          <w:szCs w:val="32"/>
          <w:highlight w:val="none"/>
          <w:lang w:val="en-US" w:eastAsia="zh-CN" w:bidi="ar-SA"/>
        </w:rPr>
        <w:t>规划背景及主要内容</w:t>
      </w:r>
      <w:bookmarkEnd w:id="100"/>
    </w:p>
    <w:p>
      <w:pPr>
        <w:pStyle w:val="89"/>
        <w:ind w:firstLine="480"/>
        <w:rPr>
          <w:highlight w:val="none"/>
        </w:rPr>
      </w:pPr>
      <w:r>
        <w:rPr>
          <w:rFonts w:hint="eastAsia"/>
          <w:highlight w:val="none"/>
        </w:rPr>
        <w:t>根据《四川省“十四五”制造业高质量发展规划》《四川省开发区发展规划（2023—2027年）》《广元市“十四五”新型工业化发展规划（修订）》和《苍溪县国民经济和社会发展第十四个五年规划和二〇三五年远景目标纲要》等要求，为加快把苍溪县百利工业园区建设成为全国硅基新材料产业绿色发展基地核心区，特编制和实施本产业发展规划。</w:t>
      </w:r>
    </w:p>
    <w:p>
      <w:pPr>
        <w:pStyle w:val="89"/>
        <w:ind w:firstLine="480"/>
        <w:rPr>
          <w:highlight w:val="none"/>
        </w:rPr>
      </w:pPr>
      <w:r>
        <w:rPr>
          <w:rFonts w:hint="eastAsia"/>
          <w:highlight w:val="none"/>
        </w:rPr>
        <w:t>2023年6月，苍溪县人民政府以苍府函〔2023〕72号文出具了关于设立百利工业园区的批复，同意设立百利工业园区，重点发展硅基新材料、轻纺产业，协同布局装备制造产业。苍溪县百利工业园区北至百利镇镇江村老君堂接赵家山片区，东至嘉陵江岸线范围内，南至嘉陵江元山子沟口，西至兰海高速东侧，总规划面积688.81公顷。</w:t>
      </w:r>
    </w:p>
    <w:p>
      <w:pPr>
        <w:pStyle w:val="89"/>
        <w:ind w:firstLine="480"/>
        <w:rPr>
          <w:highlight w:val="none"/>
        </w:rPr>
      </w:pPr>
      <w:r>
        <w:rPr>
          <w:rFonts w:hint="eastAsia"/>
          <w:highlight w:val="none"/>
        </w:rPr>
        <w:t>根据苍溪县国土空间总体规划和全县三线划定成果，本次规划百利工业园区（先期启动区）范围为城市开发边界范围内136.64公顷。本次国土空间详细规划的规划范围与城镇开发边界所确定的范围一致，规划范围面积为136.64公顷。西至张家湾东侧山脚，北侧至百利大桥北侧嘉陵江湿地公园，东至嘉陵江岸线范围以内，南至嘉陵江元山子沟口。园区以打造硅基新材料产业集群为引领,建成园区为全国硅基新材料产业绿色发展基地核心区。发挥新型工业主导作用，突破发展硅基新材料，培育发展以超薄电子工业玻璃、光伏玻璃、高性能玻璃纤维以及电子级玻璃纤维为主的新型产业，加快形成百利工业园区发展新亮点，构建特色鲜明的现代化产业体系。规划期限2024-2030年。</w:t>
      </w:r>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color w:val="7030A0"/>
          <w:kern w:val="2"/>
          <w:sz w:val="32"/>
          <w:szCs w:val="32"/>
          <w:highlight w:val="none"/>
          <w:lang w:val="en-US" w:eastAsia="zh-CN" w:bidi="ar-SA"/>
        </w:rPr>
      </w:pPr>
      <w:bookmarkStart w:id="101" w:name="_Toc154518204"/>
      <w:r>
        <w:rPr>
          <w:rFonts w:hint="eastAsia" w:ascii="Times New Roman" w:hAnsi="Times New Roman" w:eastAsia="黑体" w:cs="Times New Roman"/>
          <w:bCs/>
          <w:color w:val="7030A0"/>
          <w:kern w:val="2"/>
          <w:sz w:val="32"/>
          <w:szCs w:val="32"/>
          <w:highlight w:val="none"/>
          <w:lang w:val="en-US" w:eastAsia="zh-CN" w:bidi="ar-SA"/>
        </w:rPr>
        <w:t>生态环境现状与存在的问题</w:t>
      </w:r>
      <w:bookmarkEnd w:id="101"/>
    </w:p>
    <w:p>
      <w:pPr>
        <w:pStyle w:val="89"/>
        <w:ind w:firstLine="480"/>
        <w:rPr>
          <w:highlight w:val="none"/>
        </w:rPr>
      </w:pPr>
      <w:r>
        <w:rPr>
          <w:rFonts w:hint="eastAsia"/>
          <w:highlight w:val="none"/>
        </w:rPr>
        <w:t>（1）大气环境</w:t>
      </w:r>
    </w:p>
    <w:p>
      <w:pPr>
        <w:pStyle w:val="89"/>
        <w:ind w:firstLine="480"/>
        <w:rPr>
          <w:highlight w:val="none"/>
        </w:rPr>
      </w:pPr>
      <w:r>
        <w:rPr>
          <w:rFonts w:hint="eastAsia"/>
          <w:highlight w:val="none"/>
        </w:rPr>
        <w:t>园区位于广元市苍溪县，属于达标区。</w:t>
      </w:r>
    </w:p>
    <w:p>
      <w:pPr>
        <w:pStyle w:val="89"/>
        <w:ind w:firstLine="480"/>
        <w:rPr>
          <w:highlight w:val="none"/>
        </w:rPr>
      </w:pPr>
      <w:r>
        <w:rPr>
          <w:rFonts w:hint="eastAsia"/>
          <w:highlight w:val="none"/>
        </w:rPr>
        <w:t>大气环境质量变化趋势：苍溪县NO</w:t>
      </w:r>
      <w:r>
        <w:rPr>
          <w:rFonts w:hint="eastAsia"/>
          <w:highlight w:val="none"/>
          <w:vertAlign w:val="subscript"/>
        </w:rPr>
        <w:t>2</w:t>
      </w:r>
      <w:r>
        <w:rPr>
          <w:rFonts w:hint="eastAsia"/>
          <w:highlight w:val="none"/>
        </w:rPr>
        <w:t>、PM</w:t>
      </w:r>
      <w:r>
        <w:rPr>
          <w:rFonts w:hint="eastAsia"/>
          <w:highlight w:val="none"/>
          <w:vertAlign w:val="subscript"/>
        </w:rPr>
        <w:t>10</w:t>
      </w:r>
      <w:r>
        <w:rPr>
          <w:rFonts w:hint="eastAsia"/>
          <w:highlight w:val="none"/>
        </w:rPr>
        <w:t>、PM</w:t>
      </w:r>
      <w:r>
        <w:rPr>
          <w:rFonts w:hint="eastAsia"/>
          <w:highlight w:val="none"/>
          <w:vertAlign w:val="subscript"/>
        </w:rPr>
        <w:t>2.5</w:t>
      </w:r>
      <w:r>
        <w:rPr>
          <w:rFonts w:hint="eastAsia"/>
          <w:highlight w:val="none"/>
        </w:rPr>
        <w:t>呈现逐年下降趋势；SO</w:t>
      </w:r>
      <w:r>
        <w:rPr>
          <w:rFonts w:hint="eastAsia"/>
          <w:highlight w:val="none"/>
          <w:vertAlign w:val="subscript"/>
        </w:rPr>
        <w:t>2</w:t>
      </w:r>
      <w:r>
        <w:rPr>
          <w:rFonts w:hint="eastAsia"/>
          <w:highlight w:val="none"/>
        </w:rPr>
        <w:t>、O</w:t>
      </w:r>
      <w:r>
        <w:rPr>
          <w:rFonts w:hint="eastAsia"/>
          <w:highlight w:val="none"/>
          <w:vertAlign w:val="subscript"/>
        </w:rPr>
        <w:t>3</w:t>
      </w:r>
      <w:r>
        <w:rPr>
          <w:rFonts w:hint="eastAsia"/>
          <w:highlight w:val="none"/>
        </w:rPr>
        <w:t>呈现上升趋势；CO自2021年达到1 mg/m</w:t>
      </w:r>
      <w:r>
        <w:rPr>
          <w:rFonts w:hint="eastAsia"/>
          <w:highlight w:val="none"/>
          <w:vertAlign w:val="superscript"/>
        </w:rPr>
        <w:t>3</w:t>
      </w:r>
      <w:r>
        <w:rPr>
          <w:rFonts w:hint="eastAsia"/>
          <w:highlight w:val="none"/>
        </w:rPr>
        <w:t>后保持稳定。</w:t>
      </w:r>
    </w:p>
    <w:p>
      <w:pPr>
        <w:pStyle w:val="89"/>
        <w:ind w:firstLine="480"/>
        <w:rPr>
          <w:highlight w:val="none"/>
        </w:rPr>
      </w:pPr>
      <w:r>
        <w:rPr>
          <w:rFonts w:hint="eastAsia"/>
          <w:highlight w:val="none"/>
        </w:rPr>
        <w:t>（2）地表水环境</w:t>
      </w:r>
    </w:p>
    <w:p>
      <w:pPr>
        <w:adjustRightInd w:val="0"/>
        <w:snapToGrid w:val="0"/>
        <w:ind w:firstLine="480"/>
        <w:rPr>
          <w:highlight w:val="none"/>
        </w:rPr>
      </w:pPr>
      <w:r>
        <w:rPr>
          <w:rFonts w:hint="eastAsia"/>
          <w:highlight w:val="none"/>
        </w:rPr>
        <w:t>沙溪国控断面：各污染物年均浓度均满足《地表水环境质量标准》（GB3838-2002）中Ⅱ类水标准。其中，总氮呈现明显下降趋势；高锰酸盐指数、化学需氧量、氨氮、总磷等主要污染指标基本持平，呈现波动变化；五日生化需氧量呈现上升趋势。</w:t>
      </w:r>
    </w:p>
    <w:p>
      <w:pPr>
        <w:pStyle w:val="89"/>
        <w:ind w:firstLine="480"/>
        <w:rPr>
          <w:highlight w:val="none"/>
        </w:rPr>
      </w:pPr>
      <w:r>
        <w:rPr>
          <w:rFonts w:hint="eastAsia"/>
          <w:bCs w:val="0"/>
          <w:highlight w:val="none"/>
        </w:rPr>
        <w:t>金银渡省控断面：</w:t>
      </w:r>
      <w:r>
        <w:rPr>
          <w:rFonts w:hint="eastAsia"/>
          <w:highlight w:val="none"/>
        </w:rPr>
        <w:t>各污染物年均浓度满足《地表水环境质量标准》（GB3838-2002）中Ⅲ类水标准。高锰酸盐指数、化学需氧量、总磷、五日生化需氧量呈现下降趋势；水质氨氮指标基本持平；总氮指标变化较大，呈现先升后降的趋势。2022年总氮年均浓度最高，为1.19mg/m</w:t>
      </w:r>
      <w:r>
        <w:rPr>
          <w:rFonts w:hint="eastAsia"/>
          <w:highlight w:val="none"/>
          <w:vertAlign w:val="superscript"/>
        </w:rPr>
        <w:t>3</w:t>
      </w:r>
      <w:r>
        <w:rPr>
          <w:rFonts w:hint="eastAsia"/>
          <w:highlight w:val="none"/>
        </w:rPr>
        <w:t>；2023年总氮年均浓度下降为1.13mg/m</w:t>
      </w:r>
      <w:r>
        <w:rPr>
          <w:rFonts w:hint="eastAsia"/>
          <w:highlight w:val="none"/>
          <w:vertAlign w:val="superscript"/>
        </w:rPr>
        <w:t>3</w:t>
      </w:r>
      <w:r>
        <w:rPr>
          <w:rFonts w:hint="eastAsia"/>
          <w:highlight w:val="none"/>
        </w:rPr>
        <w:t>。</w:t>
      </w:r>
    </w:p>
    <w:p>
      <w:pPr>
        <w:pStyle w:val="89"/>
        <w:ind w:firstLine="480"/>
        <w:rPr>
          <w:highlight w:val="none"/>
        </w:rPr>
      </w:pPr>
      <w:r>
        <w:rPr>
          <w:rFonts w:hint="eastAsia"/>
          <w:highlight w:val="none"/>
        </w:rPr>
        <w:t>（3）声环境</w:t>
      </w:r>
    </w:p>
    <w:p>
      <w:pPr>
        <w:pStyle w:val="89"/>
        <w:ind w:firstLine="480"/>
        <w:rPr>
          <w:highlight w:val="none"/>
        </w:rPr>
      </w:pPr>
      <w:r>
        <w:rPr>
          <w:rFonts w:hint="eastAsia"/>
          <w:highlight w:val="none"/>
        </w:rPr>
        <w:t>苍溪县各功能区域均满足《声环境质量标准》（GB3096-2008）相应功能区标准。</w:t>
      </w:r>
    </w:p>
    <w:p>
      <w:pPr>
        <w:pStyle w:val="89"/>
        <w:ind w:firstLine="480"/>
        <w:rPr>
          <w:highlight w:val="none"/>
        </w:rPr>
      </w:pPr>
      <w:r>
        <w:rPr>
          <w:rFonts w:hint="eastAsia"/>
          <w:highlight w:val="none"/>
        </w:rPr>
        <w:t>声环境质量变化趋势：近5年来各声功能区维持平稳；道路交通噪声有所波动，变化趋势不明显。</w:t>
      </w:r>
    </w:p>
    <w:p>
      <w:pPr>
        <w:pStyle w:val="89"/>
        <w:ind w:firstLine="480"/>
        <w:rPr>
          <w:rFonts w:hint="eastAsia"/>
          <w:highlight w:val="none"/>
        </w:rPr>
      </w:pPr>
      <w:r>
        <w:rPr>
          <w:rFonts w:hint="eastAsia"/>
          <w:highlight w:val="none"/>
        </w:rPr>
        <w:t>总体而言，根据苍溪县环境质量报告书，各环境要素均能达标，区域环境质量良好。</w:t>
      </w:r>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color w:val="7030A0"/>
          <w:kern w:val="2"/>
          <w:sz w:val="32"/>
          <w:szCs w:val="32"/>
          <w:highlight w:val="none"/>
          <w:lang w:val="en-US" w:eastAsia="zh-CN" w:bidi="ar-SA"/>
        </w:rPr>
      </w:pPr>
      <w:bookmarkStart w:id="102" w:name="_Toc154518207"/>
      <w:r>
        <w:rPr>
          <w:rFonts w:hint="eastAsia" w:ascii="Times New Roman" w:hAnsi="Times New Roman" w:eastAsia="黑体" w:cs="Times New Roman"/>
          <w:bCs/>
          <w:color w:val="7030A0"/>
          <w:kern w:val="2"/>
          <w:sz w:val="32"/>
          <w:szCs w:val="32"/>
          <w:highlight w:val="none"/>
          <w:lang w:val="en-US" w:eastAsia="zh-CN" w:bidi="ar-SA"/>
        </w:rPr>
        <w:t>规划实施制约因素与优化调整建议</w:t>
      </w:r>
      <w:bookmarkEnd w:id="102"/>
    </w:p>
    <w:p>
      <w:pPr>
        <w:pStyle w:val="89"/>
        <w:ind w:firstLine="482"/>
        <w:rPr>
          <w:b/>
          <w:bCs w:val="0"/>
          <w:highlight w:val="none"/>
        </w:rPr>
      </w:pPr>
      <w:r>
        <w:rPr>
          <w:rFonts w:hint="eastAsia"/>
          <w:b/>
          <w:bCs w:val="0"/>
          <w:highlight w:val="none"/>
        </w:rPr>
        <w:t>1</w:t>
      </w:r>
      <w:r>
        <w:rPr>
          <w:b/>
          <w:bCs w:val="0"/>
          <w:highlight w:val="none"/>
        </w:rPr>
        <w:t>、</w:t>
      </w:r>
      <w:r>
        <w:rPr>
          <w:rFonts w:hint="eastAsia"/>
          <w:b/>
          <w:bCs w:val="0"/>
          <w:highlight w:val="none"/>
        </w:rPr>
        <w:t>规划区用地紧张，对产业发展形成制约</w:t>
      </w:r>
    </w:p>
    <w:p>
      <w:pPr>
        <w:pStyle w:val="89"/>
        <w:ind w:firstLine="480"/>
        <w:rPr>
          <w:rFonts w:hint="eastAsia"/>
          <w:highlight w:val="none"/>
        </w:rPr>
      </w:pPr>
      <w:r>
        <w:rPr>
          <w:rFonts w:hint="eastAsia"/>
          <w:highlight w:val="none"/>
        </w:rPr>
        <w:t>本次以国土空间中城镇开发区范围内136.63公顷进行城镇化改造，建设“百利工业园先期启动区”。规划区域内地块较为分散，本次主导产业上下游关系紧密，对用地规模有一定需求，规划范围内部分用地为已建胡家梁社区，适宜工业开发的用地紧缺，对产业发展形成制约。</w:t>
      </w:r>
    </w:p>
    <w:p>
      <w:pPr>
        <w:pStyle w:val="89"/>
        <w:ind w:firstLine="482"/>
        <w:rPr>
          <w:b/>
          <w:highlight w:val="none"/>
        </w:rPr>
      </w:pPr>
      <w:r>
        <w:rPr>
          <w:rFonts w:hint="eastAsia"/>
          <w:b/>
          <w:highlight w:val="none"/>
        </w:rPr>
        <w:t>对策措施：</w:t>
      </w:r>
    </w:p>
    <w:p>
      <w:pPr>
        <w:pStyle w:val="89"/>
        <w:ind w:firstLine="480"/>
        <w:rPr>
          <w:rFonts w:hint="eastAsia"/>
          <w:highlight w:val="none"/>
        </w:rPr>
      </w:pPr>
      <w:r>
        <w:rPr>
          <w:rFonts w:hint="eastAsia"/>
          <w:highlight w:val="none"/>
        </w:rPr>
        <w:t>保留现状胡家梁社区居住区，并控制与周边工业项目距离，控制工业发展规模。</w:t>
      </w:r>
    </w:p>
    <w:p>
      <w:pPr>
        <w:pStyle w:val="89"/>
        <w:ind w:firstLine="482"/>
        <w:rPr>
          <w:rFonts w:hint="eastAsia"/>
          <w:b/>
          <w:bCs w:val="0"/>
          <w:highlight w:val="none"/>
        </w:rPr>
      </w:pPr>
      <w:r>
        <w:rPr>
          <w:rFonts w:hint="eastAsia"/>
          <w:b/>
          <w:bCs w:val="0"/>
          <w:highlight w:val="none"/>
        </w:rPr>
        <w:t>2、基础设施建设欠完善，对规划实施形成制约</w:t>
      </w:r>
    </w:p>
    <w:p>
      <w:pPr>
        <w:pStyle w:val="89"/>
        <w:ind w:firstLine="480"/>
        <w:rPr>
          <w:rFonts w:hint="eastAsia"/>
          <w:highlight w:val="none"/>
        </w:rPr>
      </w:pPr>
      <w:r>
        <w:rPr>
          <w:rFonts w:hint="eastAsia"/>
          <w:highlight w:val="none"/>
        </w:rPr>
        <w:t>本次规划范围内暂无集中式供水工程，无工业集中式污水处理厂。规划主导产业对燃气需求较高，需配套建设燃气管网。</w:t>
      </w:r>
    </w:p>
    <w:p>
      <w:pPr>
        <w:pStyle w:val="89"/>
        <w:ind w:firstLine="482"/>
        <w:rPr>
          <w:b/>
          <w:bCs w:val="0"/>
          <w:highlight w:val="none"/>
        </w:rPr>
      </w:pPr>
      <w:r>
        <w:rPr>
          <w:rFonts w:hint="eastAsia"/>
          <w:b/>
          <w:bCs w:val="0"/>
          <w:highlight w:val="none"/>
        </w:rPr>
        <w:t>对策措施：</w:t>
      </w:r>
    </w:p>
    <w:p>
      <w:pPr>
        <w:pStyle w:val="89"/>
        <w:ind w:firstLine="480"/>
        <w:rPr>
          <w:highlight w:val="none"/>
        </w:rPr>
      </w:pPr>
      <w:r>
        <w:rPr>
          <w:rFonts w:hint="eastAsia"/>
          <w:highlight w:val="none"/>
        </w:rPr>
        <w:t>加快百利新城污水处理厂改造工作，完善规划区能源供应基础设施。</w:t>
      </w:r>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color w:val="7030A0"/>
          <w:kern w:val="2"/>
          <w:sz w:val="32"/>
          <w:szCs w:val="32"/>
          <w:highlight w:val="none"/>
          <w:lang w:val="en-US" w:eastAsia="zh-CN" w:bidi="ar-SA"/>
        </w:rPr>
      </w:pPr>
      <w:bookmarkStart w:id="103" w:name="_Toc154518208"/>
      <w:r>
        <w:rPr>
          <w:rFonts w:hint="eastAsia" w:ascii="Times New Roman" w:hAnsi="Times New Roman" w:eastAsia="黑体" w:cs="Times New Roman"/>
          <w:bCs/>
          <w:color w:val="7030A0"/>
          <w:kern w:val="2"/>
          <w:sz w:val="32"/>
          <w:szCs w:val="32"/>
          <w:highlight w:val="none"/>
          <w:lang w:val="en-US" w:eastAsia="zh-CN" w:bidi="ar-SA"/>
        </w:rPr>
        <w:t>环境管理改进对策和建议</w:t>
      </w:r>
      <w:bookmarkEnd w:id="103"/>
    </w:p>
    <w:p>
      <w:pPr>
        <w:adjustRightInd w:val="0"/>
        <w:ind w:firstLine="480"/>
        <w:rPr>
          <w:highlight w:val="none"/>
        </w:rPr>
      </w:pPr>
      <w:r>
        <w:rPr>
          <w:rFonts w:hint="eastAsia"/>
          <w:highlight w:val="none"/>
        </w:rPr>
        <w:t>本规划</w:t>
      </w:r>
      <w:r>
        <w:rPr>
          <w:highlight w:val="none"/>
        </w:rPr>
        <w:t>实施后，从环境角度主要应注意以下问题：</w:t>
      </w:r>
    </w:p>
    <w:p>
      <w:pPr>
        <w:adjustRightInd w:val="0"/>
        <w:ind w:firstLine="480"/>
        <w:rPr>
          <w:highlight w:val="none"/>
        </w:rPr>
      </w:pPr>
      <w:r>
        <w:rPr>
          <w:rFonts w:hint="eastAsia"/>
          <w:highlight w:val="none"/>
        </w:rPr>
        <w:t>（1）严格落实长江经济带“共抓大保护，不搞大开发”的总体要求，坚持生态优先、绿色发展，严格执行《中华人民共和国长江保护法》、《四川省沱江流域水环境保护条例》等相关要求，坚持统筹协调、科学规划，严格落实“三线一单”生态环境分区管控要求，协同推动区域经济高质量发展和生态环境高水平保护。</w:t>
      </w:r>
    </w:p>
    <w:p>
      <w:pPr>
        <w:adjustRightInd w:val="0"/>
        <w:ind w:firstLine="480"/>
        <w:rPr>
          <w:highlight w:val="none"/>
        </w:rPr>
      </w:pPr>
      <w:r>
        <w:rPr>
          <w:rFonts w:hint="eastAsia"/>
          <w:highlight w:val="none"/>
        </w:rPr>
        <w:t>（2）强化本轮规划与国土空间规划等相关规划的衔接，进一步优化园区功能布局、发展规模，统筹协调好周边场镇等与本园区的发展方向及用地布局，确保产业发展与生态环境保护、人居环境安全相协调。</w:t>
      </w:r>
    </w:p>
    <w:p>
      <w:pPr>
        <w:adjustRightInd w:val="0"/>
        <w:ind w:firstLine="480"/>
        <w:rPr>
          <w:highlight w:val="none"/>
        </w:rPr>
      </w:pPr>
      <w:r>
        <w:rPr>
          <w:rFonts w:hint="eastAsia"/>
          <w:highlight w:val="none"/>
        </w:rPr>
        <w:t>（3）严守环境质量底线。认真落实《报告书》提出的各项生态保护、污染防治和环境影响减缓措施。强化区域锦水河等流域污染整治工作，确保区域地表水环境质量不断改善，规划目标如期实现。严格落实区域空气质量限期达标方案的各项治污措施，切实改善大气环境质量，确保区域环境空气质量限时达标。按照《报告书》提出的规划优化调整建议、生态环境准入清单，做好规划区的项目引入和规划建设工作。</w:t>
      </w:r>
    </w:p>
    <w:p>
      <w:pPr>
        <w:adjustRightInd w:val="0"/>
        <w:ind w:firstLine="480"/>
        <w:rPr>
          <w:highlight w:val="none"/>
        </w:rPr>
      </w:pPr>
      <w:r>
        <w:rPr>
          <w:rFonts w:hint="eastAsia"/>
          <w:highlight w:val="none"/>
        </w:rPr>
        <w:t>（4）按照环保与市政基础设施先行建设的原则，加快实施污水处理厂配套管网建设，为规划实施创造环境条件。加强对固体废物（特别是危险废物）的收集、暂存、转运、处置及综合利用过程的管理，采取有效、可靠的防范措施，防止产生二次污染。</w:t>
      </w:r>
    </w:p>
    <w:p>
      <w:pPr>
        <w:adjustRightInd w:val="0"/>
        <w:ind w:firstLine="480"/>
        <w:rPr>
          <w:highlight w:val="none"/>
        </w:rPr>
      </w:pPr>
      <w:r>
        <w:rPr>
          <w:rFonts w:hint="eastAsia"/>
          <w:highlight w:val="none"/>
        </w:rPr>
        <w:t>（5）强化规划区环境风险管控。健全园区环境风险多级防控体系。完善园区环境风险应急预案，定期开展环境风险应急演练。落实园区内企业事故废水收集处置措施，设置截断设施、事故应急池等环境风险防控设施，杜绝事故废水入河，确保环境安全。严格落实石盘滩灌渠保护要求，确保供水安全。</w:t>
      </w:r>
    </w:p>
    <w:p>
      <w:pPr>
        <w:adjustRightInd w:val="0"/>
        <w:ind w:firstLine="480"/>
        <w:rPr>
          <w:highlight w:val="none"/>
        </w:rPr>
      </w:pPr>
      <w:r>
        <w:rPr>
          <w:rFonts w:hint="eastAsia"/>
          <w:highlight w:val="none"/>
        </w:rPr>
        <w:t>（6）地方政府应加强对园区日常监管。健全园区环境管理制度，强化生态环境保护，加大监督力度。认真落实环境监测管理计划，做好长期跟踪监测与管理。依法依规做好环境信息公开工作。</w:t>
      </w:r>
    </w:p>
    <w:p>
      <w:pPr>
        <w:adjustRightInd w:val="0"/>
        <w:ind w:firstLine="480"/>
        <w:rPr>
          <w:highlight w:val="none"/>
        </w:rPr>
      </w:pPr>
      <w:r>
        <w:rPr>
          <w:rFonts w:hint="eastAsia"/>
          <w:highlight w:val="none"/>
        </w:rPr>
        <w:t>（7）拟入园建设项目应结合规划环评和审查意见严格做好环境影响评价工作，加强与规划环评的联动，项目环评内容可依法简化，重点开展工程分析、污染物允许排放量测算和环保措施的可行性论证等内容，强化环境监测和环境保护相关措施的落实。规划环评中规划协调性分析、环境现状、污染源调查等符合要求的资料可供建设项目环评共享。</w:t>
      </w:r>
    </w:p>
    <w:p>
      <w:pPr>
        <w:ind w:firstLine="480"/>
        <w:rPr>
          <w:highlight w:val="none"/>
        </w:rPr>
      </w:pPr>
      <w:r>
        <w:rPr>
          <w:rFonts w:hint="eastAsia"/>
          <w:highlight w:val="none"/>
        </w:rPr>
        <w:t>（8）园区管委会应根据园区发展情况，并结合城市发展规划及相关产业规划、政策要求，依法及时开展规划环境影响跟踪评价，确保区域环境质量持续改善，环境风险可控。</w:t>
      </w:r>
    </w:p>
    <w:p>
      <w:pPr>
        <w:keepNext/>
        <w:keepLines/>
        <w:widowControl w:val="0"/>
        <w:numPr>
          <w:ilvl w:val="1"/>
          <w:numId w:val="9"/>
        </w:numPr>
        <w:spacing w:line="480" w:lineRule="auto"/>
        <w:ind w:left="576" w:hanging="576" w:firstLineChars="0"/>
        <w:jc w:val="both"/>
        <w:outlineLvl w:val="1"/>
        <w:rPr>
          <w:rFonts w:hint="eastAsia" w:ascii="Times New Roman" w:hAnsi="Times New Roman" w:eastAsia="黑体" w:cs="Times New Roman"/>
          <w:bCs/>
          <w:color w:val="7030A0"/>
          <w:kern w:val="2"/>
          <w:sz w:val="32"/>
          <w:szCs w:val="32"/>
          <w:highlight w:val="none"/>
          <w:lang w:val="en-US" w:eastAsia="zh-CN" w:bidi="ar-SA"/>
        </w:rPr>
      </w:pPr>
      <w:bookmarkStart w:id="104" w:name="_Toc154518209"/>
      <w:r>
        <w:rPr>
          <w:rFonts w:hint="eastAsia" w:ascii="Times New Roman" w:hAnsi="Times New Roman" w:eastAsia="黑体" w:cs="Times New Roman"/>
          <w:bCs/>
          <w:color w:val="7030A0"/>
          <w:kern w:val="2"/>
          <w:sz w:val="32"/>
          <w:szCs w:val="32"/>
          <w:highlight w:val="none"/>
          <w:lang w:val="en-US" w:eastAsia="zh-CN" w:bidi="ar-SA"/>
        </w:rPr>
        <w:t>总体评价结论</w:t>
      </w:r>
      <w:bookmarkEnd w:id="104"/>
    </w:p>
    <w:p>
      <w:pPr>
        <w:pStyle w:val="89"/>
        <w:spacing w:beforeAutospacing="0"/>
        <w:ind w:firstLine="480"/>
        <w:rPr>
          <w:highlight w:val="none"/>
        </w:rPr>
      </w:pPr>
      <w:r>
        <w:rPr>
          <w:rFonts w:hint="eastAsia"/>
          <w:highlight w:val="none"/>
        </w:rPr>
        <w:t>苍溪县百利工业园区（先期启动区）产业发展规划（2024—2030年）实施旨在充分依托当地企业聚集优势，促进产业、经济发展，与上、下层相关规划是相容的。规划实施后是合理的，区域大气、地表水环境容量可支撑规划区发展，规划环评提出的减缓措施可有效减缓因规划区开发建设造成对区域环境的不良影响，有效节约资源、能源，有利于“三废”治理，规划环境目标可达。</w:t>
      </w:r>
    </w:p>
    <w:p>
      <w:pPr>
        <w:pStyle w:val="89"/>
        <w:ind w:firstLine="480"/>
        <w:rPr>
          <w:highlight w:val="none"/>
        </w:rPr>
      </w:pPr>
      <w:r>
        <w:rPr>
          <w:rFonts w:hint="eastAsia"/>
          <w:highlight w:val="none"/>
        </w:rPr>
        <w:t>总体而言，在切实加强对规划区企业污染物治理及达标排放监管，实施污染物排放总量控制，落实报告提出的准入条件和环境门槛，落实风险防范措施及应急预案后，从环境保护角度来看，本规划的实施是可行的。</w:t>
      </w:r>
    </w:p>
    <w:p>
      <w:pPr>
        <w:pStyle w:val="58"/>
        <w:rPr>
          <w:highlight w:val="none"/>
        </w:rPr>
      </w:pPr>
    </w:p>
    <w:sectPr>
      <w:headerReference r:id="rId29" w:type="first"/>
      <w:footerReference r:id="rId32" w:type="first"/>
      <w:footerReference r:id="rId30" w:type="default"/>
      <w:headerReference r:id="rId28" w:type="even"/>
      <w:footerReference r:id="rId31" w:type="even"/>
      <w:pgSz w:w="11906" w:h="16838"/>
      <w:pgMar w:top="1418" w:right="1418" w:bottom="1418" w:left="1418" w:header="851" w:footer="992" w:gutter="0"/>
      <w:pgNumType w:chapStyle="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lv">
    <w:altName w:val="Arial"/>
    <w:panose1 w:val="020B060402020203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汉仪书宋二KW">
    <w:altName w:val="宋体"/>
    <w:panose1 w:val="00000000000000000000"/>
    <w:charset w:val="86"/>
    <w:family w:val="roma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方正仿宋简体">
    <w:altName w:val="微软雅黑"/>
    <w:panose1 w:val="03000509000000000000"/>
    <w:charset w:val="86"/>
    <w:family w:val="script"/>
    <w:pitch w:val="default"/>
    <w:sig w:usb0="00000000" w:usb1="00000000" w:usb2="00000010" w:usb3="00000000" w:csb0="00040000" w:csb1="00000000"/>
  </w:font>
  <w:font w:name="Wingdings 3">
    <w:altName w:val="Symbol"/>
    <w:panose1 w:val="05040102010807070707"/>
    <w:charset w:val="02"/>
    <w:family w:val="roman"/>
    <w:pitch w:val="default"/>
    <w:sig w:usb0="00000000" w:usb1="00000000" w:usb2="00000000" w:usb3="00000000" w:csb0="80000000" w:csb1="00000000"/>
  </w:font>
  <w:font w:name="TimesNewRoman">
    <w:altName w:val="Times New Roman"/>
    <w:panose1 w:val="00000000000000000000"/>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jc w:val="center"/>
    </w:pPr>
  </w:p>
  <w:p>
    <w:pPr>
      <w:pStyle w:val="24"/>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heme="minorEastAsia" w:cstheme="minorBidi"/>
        <w:kern w:val="2"/>
        <w:sz w:val="24"/>
        <w:szCs w:val="22"/>
        <w:lang w:val="en-US" w:eastAsia="zh-CN" w:bidi="ar-SA"/>
      </w:rPr>
      <w:id w:val="-1004355406"/>
      <w:docPartObj>
        <w:docPartGallery w:val="autotext"/>
      </w:docPartObj>
    </w:sdtPr>
    <w:sdtEndPr>
      <w:rPr>
        <w:rFonts w:ascii="Times New Roman" w:hAnsi="Times New Roman" w:eastAsiaTheme="minorEastAsia" w:cstheme="minorBidi"/>
        <w:kern w:val="2"/>
        <w:sz w:val="24"/>
        <w:szCs w:val="22"/>
        <w:lang w:val="en-US" w:eastAsia="zh-CN" w:bidi="ar-SA"/>
      </w:rPr>
    </w:sdtEndPr>
    <w:sdtContent>
      <w:p>
        <w:pPr>
          <w:pStyle w:val="24"/>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6410799"/>
      <w:docPartObj>
        <w:docPartGallery w:val="autotext"/>
      </w:docPartObj>
    </w:sdtPr>
    <w:sdtContent>
      <w:p>
        <w:pPr>
          <w:pStyle w:val="24"/>
          <w:ind w:firstLine="360"/>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1-6</w:t>
        </w:r>
        <w:r>
          <w:rPr>
            <w:sz w:val="21"/>
            <w:szCs w:val="21"/>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2506413"/>
      <w:docPartObj>
        <w:docPartGallery w:val="autotext"/>
      </w:docPartObj>
    </w:sdtPr>
    <w:sdtContent>
      <w:p>
        <w:pPr>
          <w:pStyle w:val="24"/>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0092607"/>
      <w:docPartObj>
        <w:docPartGallery w:val="autotext"/>
      </w:docPartObj>
    </w:sdtPr>
    <w:sdtContent>
      <w:p>
        <w:pPr>
          <w:pStyle w:val="24"/>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828318"/>
      <w:docPartObj>
        <w:docPartGallery w:val="autotext"/>
      </w:docPartObj>
    </w:sdtPr>
    <w:sdtContent>
      <w:p>
        <w:pPr>
          <w:pStyle w:val="24"/>
          <w:ind w:firstLine="360"/>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1-6</w:t>
        </w:r>
        <w:r>
          <w:rPr>
            <w:sz w:val="21"/>
            <w:szCs w:val="21"/>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0" w:firstLineChars="0"/>
      <w:jc w:val="both"/>
      <w:rPr>
        <w:color w:val="FFFFFF" w:themeColor="background1"/>
        <w14:textFill>
          <w14:solidFill>
            <w14:schemeClr w14:val="bg1"/>
          </w14:solidFill>
        </w14:textFil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4" w:space="1"/>
      </w:pBdr>
      <w:spacing w:line="240" w:lineRule="auto"/>
      <w:ind w:firstLine="0" w:firstLineChars="0"/>
    </w:pPr>
    <w:r>
      <w:rPr>
        <w:rFonts w:hint="eastAsia"/>
      </w:rPr>
      <w:t>苍溪县百利工业园区(先期启动区)产业发展规划（2024—2030年）</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4" w:space="1"/>
      </w:pBdr>
      <w:spacing w:line="240" w:lineRule="auto"/>
      <w:ind w:firstLine="0" w:firstLineChars="0"/>
    </w:pPr>
    <w:r>
      <w:rPr>
        <w:rFonts w:hint="eastAsia"/>
      </w:rPr>
      <w:t>苍溪县百利工业园区(先期启动区)产业发展规划（2024—2030年）</w:t>
    </w:r>
    <w:r>
      <w:t xml:space="preserve"> </w:t>
    </w:r>
    <w:r>
      <w:rPr>
        <w:rFonts w:hint="eastAsia"/>
      </w:rPr>
      <w:t xml:space="preserve">  </w:t>
    </w:r>
    <w:r>
      <w:t xml:space="preserve">                             </w:t>
    </w:r>
    <w:r>
      <w:rPr>
        <w:rFonts w:hint="eastAsia"/>
      </w:rPr>
      <w:t xml:space="preserve">  </w:t>
    </w:r>
    <w:r>
      <w:rPr>
        <w:rFonts w:hint="eastAsia"/>
      </w:rPr>
      <w:tab/>
    </w:r>
    <w:r>
      <w:t xml:space="preserve">  1 </w:t>
    </w:r>
    <w:r>
      <w:rPr>
        <w:rFonts w:hint="eastAsia"/>
      </w:rPr>
      <w:t>总则</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4" w:space="1"/>
      </w:pBdr>
      <w:spacing w:line="240" w:lineRule="auto"/>
      <w:ind w:firstLine="0" w:firstLineChars="0"/>
    </w:pPr>
    <w:r>
      <w:rPr>
        <w:rFonts w:hint="eastAsia"/>
      </w:rPr>
      <w:t>苍溪县百利工业园区(先期启动区)产业发展规划（2024—2030年）</w:t>
    </w:r>
    <w:r>
      <w:t xml:space="preserve"> </w:t>
    </w:r>
    <w:r>
      <w:rPr>
        <w:rFonts w:hint="eastAsia"/>
      </w:rPr>
      <w:t xml:space="preserve">  </w:t>
    </w:r>
    <w:r>
      <w:t xml:space="preserve">                             </w:t>
    </w:r>
    <w:r>
      <w:rPr>
        <w:rFonts w:hint="eastAsia"/>
      </w:rPr>
      <w:t xml:space="preserve">  </w:t>
    </w:r>
    <w:r>
      <w:rPr>
        <w:rFonts w:hint="eastAsia"/>
      </w:rPr>
      <w:tab/>
    </w:r>
    <w:r>
      <w:t xml:space="preserve"> </w:t>
    </w:r>
  </w:p>
  <w:p>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D37C0B"/>
    <w:multiLevelType w:val="singleLevel"/>
    <w:tmpl w:val="19D37C0B"/>
    <w:lvl w:ilvl="0" w:tentative="0">
      <w:start w:val="1"/>
      <w:numFmt w:val="decimal"/>
      <w:suff w:val="nothing"/>
      <w:lvlText w:val="（%1）"/>
      <w:lvlJc w:val="left"/>
      <w:pPr>
        <w:ind w:left="6" w:firstLine="420"/>
      </w:pPr>
      <w:rPr>
        <w:rFonts w:hint="default"/>
      </w:rPr>
    </w:lvl>
  </w:abstractNum>
  <w:abstractNum w:abstractNumId="1">
    <w:nsid w:val="2D4864C4"/>
    <w:multiLevelType w:val="multilevel"/>
    <w:tmpl w:val="2D4864C4"/>
    <w:lvl w:ilvl="0" w:tentative="0">
      <w:start w:val="1"/>
      <w:numFmt w:val="decimal"/>
      <w:lvlText w:val="表2.4-%1."/>
      <w:lvlJc w:val="left"/>
      <w:pPr>
        <w:ind w:left="777" w:hanging="420"/>
      </w:pPr>
      <w:rPr>
        <w:rFonts w:hint="default" w:ascii="Times New Roman" w:hAnsi="Times New Roman" w:cs="Times New Roman"/>
        <w:i w:val="0"/>
        <w:iCs w:val="0"/>
        <w:sz w:val="21"/>
        <w:szCs w:val="21"/>
      </w:rPr>
    </w:lvl>
    <w:lvl w:ilvl="1" w:tentative="0">
      <w:start w:val="1"/>
      <w:numFmt w:val="lowerLetter"/>
      <w:lvlText w:val="%2)"/>
      <w:lvlJc w:val="left"/>
      <w:pPr>
        <w:ind w:left="1197" w:hanging="420"/>
      </w:pPr>
    </w:lvl>
    <w:lvl w:ilvl="2" w:tentative="0">
      <w:start w:val="1"/>
      <w:numFmt w:val="lowerRoman"/>
      <w:lvlText w:val="%3."/>
      <w:lvlJc w:val="right"/>
      <w:pPr>
        <w:ind w:left="1617" w:hanging="420"/>
      </w:pPr>
    </w:lvl>
    <w:lvl w:ilvl="3" w:tentative="0">
      <w:start w:val="1"/>
      <w:numFmt w:val="decimal"/>
      <w:lvlText w:val="%4."/>
      <w:lvlJc w:val="left"/>
      <w:pPr>
        <w:ind w:left="2037" w:hanging="420"/>
      </w:pPr>
    </w:lvl>
    <w:lvl w:ilvl="4" w:tentative="0">
      <w:start w:val="1"/>
      <w:numFmt w:val="lowerLetter"/>
      <w:lvlText w:val="%5)"/>
      <w:lvlJc w:val="left"/>
      <w:pPr>
        <w:ind w:left="2457" w:hanging="420"/>
      </w:pPr>
    </w:lvl>
    <w:lvl w:ilvl="5" w:tentative="0">
      <w:start w:val="1"/>
      <w:numFmt w:val="lowerRoman"/>
      <w:lvlText w:val="%6."/>
      <w:lvlJc w:val="right"/>
      <w:pPr>
        <w:ind w:left="2877" w:hanging="420"/>
      </w:pPr>
    </w:lvl>
    <w:lvl w:ilvl="6" w:tentative="0">
      <w:start w:val="1"/>
      <w:numFmt w:val="decimal"/>
      <w:lvlText w:val="%7."/>
      <w:lvlJc w:val="left"/>
      <w:pPr>
        <w:ind w:left="3297" w:hanging="420"/>
      </w:pPr>
    </w:lvl>
    <w:lvl w:ilvl="7" w:tentative="0">
      <w:start w:val="1"/>
      <w:numFmt w:val="lowerLetter"/>
      <w:lvlText w:val="%8)"/>
      <w:lvlJc w:val="left"/>
      <w:pPr>
        <w:ind w:left="3717" w:hanging="420"/>
      </w:pPr>
    </w:lvl>
    <w:lvl w:ilvl="8" w:tentative="0">
      <w:start w:val="1"/>
      <w:numFmt w:val="lowerRoman"/>
      <w:lvlText w:val="%9."/>
      <w:lvlJc w:val="right"/>
      <w:pPr>
        <w:ind w:left="4137" w:hanging="420"/>
      </w:pPr>
    </w:lvl>
  </w:abstractNum>
  <w:abstractNum w:abstractNumId="2">
    <w:nsid w:val="38D627DD"/>
    <w:multiLevelType w:val="singleLevel"/>
    <w:tmpl w:val="38D627DD"/>
    <w:lvl w:ilvl="0" w:tentative="0">
      <w:start w:val="1"/>
      <w:numFmt w:val="decimal"/>
      <w:suff w:val="nothing"/>
      <w:lvlText w:val="（%1）"/>
      <w:lvlJc w:val="left"/>
      <w:pPr>
        <w:ind w:left="6" w:firstLine="420"/>
      </w:pPr>
      <w:rPr>
        <w:rFonts w:hint="default"/>
      </w:rPr>
    </w:lvl>
  </w:abstractNum>
  <w:abstractNum w:abstractNumId="3">
    <w:nsid w:val="393D2204"/>
    <w:multiLevelType w:val="multilevel"/>
    <w:tmpl w:val="393D2204"/>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4">
    <w:nsid w:val="4A502AD5"/>
    <w:multiLevelType w:val="multilevel"/>
    <w:tmpl w:val="4A502AD5"/>
    <w:lvl w:ilvl="0" w:tentative="0">
      <w:start w:val="1"/>
      <w:numFmt w:val="decimal"/>
      <w:pStyle w:val="2"/>
      <w:lvlText w:val="%1"/>
      <w:lvlJc w:val="left"/>
      <w:pPr>
        <w:ind w:left="420" w:hanging="420"/>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1004" w:hanging="720"/>
      </w:pPr>
      <w:rPr>
        <w:rFonts w:hint="eastAsia"/>
      </w:rPr>
    </w:lvl>
    <w:lvl w:ilvl="3" w:tentative="0">
      <w:start w:val="1"/>
      <w:numFmt w:val="decimal"/>
      <w:pStyle w:val="5"/>
      <w:lvlText w:val="%1.%2.%3.%4"/>
      <w:lvlJc w:val="left"/>
      <w:pPr>
        <w:ind w:left="1290"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5">
    <w:nsid w:val="595A1600"/>
    <w:multiLevelType w:val="singleLevel"/>
    <w:tmpl w:val="595A1600"/>
    <w:lvl w:ilvl="0" w:tentative="0">
      <w:start w:val="1"/>
      <w:numFmt w:val="decimal"/>
      <w:suff w:val="nothing"/>
      <w:lvlText w:val="（%1）"/>
      <w:lvlJc w:val="left"/>
      <w:pPr>
        <w:ind w:left="6" w:firstLine="420"/>
      </w:pPr>
      <w:rPr>
        <w:rFonts w:hint="default"/>
      </w:rPr>
    </w:lvl>
  </w:abstractNum>
  <w:abstractNum w:abstractNumId="6">
    <w:nsid w:val="5992AC95"/>
    <w:multiLevelType w:val="singleLevel"/>
    <w:tmpl w:val="5992AC95"/>
    <w:lvl w:ilvl="0" w:tentative="0">
      <w:start w:val="1"/>
      <w:numFmt w:val="decimal"/>
      <w:suff w:val="nothing"/>
      <w:lvlText w:val="（%1）"/>
      <w:lvlJc w:val="left"/>
      <w:pPr>
        <w:ind w:left="6" w:firstLine="420"/>
      </w:pPr>
      <w:rPr>
        <w:rFonts w:hint="default"/>
        <w:lang w:val="en-US"/>
      </w:rPr>
    </w:lvl>
  </w:abstractNum>
  <w:abstractNum w:abstractNumId="7">
    <w:nsid w:val="5A9D2651"/>
    <w:multiLevelType w:val="singleLevel"/>
    <w:tmpl w:val="5A9D2651"/>
    <w:lvl w:ilvl="0" w:tentative="0">
      <w:start w:val="1"/>
      <w:numFmt w:val="decimal"/>
      <w:suff w:val="nothing"/>
      <w:lvlText w:val="（%1）"/>
      <w:lvlJc w:val="left"/>
    </w:lvl>
  </w:abstractNum>
  <w:abstractNum w:abstractNumId="8">
    <w:nsid w:val="785F2995"/>
    <w:multiLevelType w:val="multilevel"/>
    <w:tmpl w:val="785F2995"/>
    <w:lvl w:ilvl="0" w:tentative="0">
      <w:start w:val="3"/>
      <w:numFmt w:val="decimal"/>
      <w:lvlText w:val="%1"/>
      <w:lvlJc w:val="left"/>
      <w:pPr>
        <w:ind w:left="432" w:hanging="432"/>
      </w:pPr>
      <w:rPr>
        <w:rFonts w:hint="eastAsia"/>
      </w:rPr>
    </w:lvl>
    <w:lvl w:ilvl="1" w:tentative="0">
      <w:start w:val="1"/>
      <w:numFmt w:val="decimal"/>
      <w:lvlText w:val="%1.%2"/>
      <w:lvlJc w:val="left"/>
      <w:pPr>
        <w:ind w:left="576" w:hanging="576"/>
      </w:pPr>
      <w:rPr>
        <w:rFonts w:hint="eastAsia"/>
        <w:color w:val="7030A0"/>
      </w:rPr>
    </w:lvl>
    <w:lvl w:ilvl="2" w:tentative="0">
      <w:start w:val="1"/>
      <w:numFmt w:val="decimal"/>
      <w:lvlText w:val="%1.%2.%3"/>
      <w:lvlJc w:val="left"/>
      <w:pPr>
        <w:ind w:left="720" w:hanging="720"/>
      </w:pPr>
      <w:rPr>
        <w:rFonts w:hint="default" w:ascii="Times New Roman" w:hAnsi="Times New Roman" w:cs="Times New Roman"/>
        <w:b w:val="0"/>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9">
    <w:nsid w:val="7E304A98"/>
    <w:multiLevelType w:val="multilevel"/>
    <w:tmpl w:val="7E304A98"/>
    <w:lvl w:ilvl="0" w:tentative="0">
      <w:start w:val="1"/>
      <w:numFmt w:val="decimal"/>
      <w:lvlText w:val="图2-%1."/>
      <w:lvlJc w:val="left"/>
      <w:pPr>
        <w:ind w:left="780" w:hanging="420"/>
      </w:pPr>
      <w:rPr>
        <w:rFonts w:hint="eastAsia"/>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4"/>
  </w:num>
  <w:num w:numId="2">
    <w:abstractNumId w:val="6"/>
  </w:num>
  <w:num w:numId="3">
    <w:abstractNumId w:val="2"/>
  </w:num>
  <w:num w:numId="4">
    <w:abstractNumId w:val="0"/>
  </w:num>
  <w:num w:numId="5">
    <w:abstractNumId w:val="7"/>
  </w:num>
  <w:num w:numId="6">
    <w:abstractNumId w:val="5"/>
  </w:num>
  <w:num w:numId="7">
    <w:abstractNumId w:val="1"/>
  </w:num>
  <w:num w:numId="8">
    <w:abstractNumId w:val="9"/>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wMGNjZDVlM2I2YzhkMWQ2NDA4MzE0YjI0OGQyMjcifQ=="/>
  </w:docVars>
  <w:rsids>
    <w:rsidRoot w:val="00D120A2"/>
    <w:rsid w:val="0000032B"/>
    <w:rsid w:val="0000062B"/>
    <w:rsid w:val="000006A8"/>
    <w:rsid w:val="00000FDD"/>
    <w:rsid w:val="00001317"/>
    <w:rsid w:val="0000136C"/>
    <w:rsid w:val="00001605"/>
    <w:rsid w:val="00001CB3"/>
    <w:rsid w:val="000020ED"/>
    <w:rsid w:val="000021D2"/>
    <w:rsid w:val="00002943"/>
    <w:rsid w:val="00003510"/>
    <w:rsid w:val="0000367E"/>
    <w:rsid w:val="0000374E"/>
    <w:rsid w:val="000038A4"/>
    <w:rsid w:val="0000403D"/>
    <w:rsid w:val="00004218"/>
    <w:rsid w:val="000049EF"/>
    <w:rsid w:val="00004E23"/>
    <w:rsid w:val="00006D1B"/>
    <w:rsid w:val="000077D7"/>
    <w:rsid w:val="00007822"/>
    <w:rsid w:val="0000798F"/>
    <w:rsid w:val="00007EBE"/>
    <w:rsid w:val="0001064E"/>
    <w:rsid w:val="00011344"/>
    <w:rsid w:val="0001185D"/>
    <w:rsid w:val="00011E31"/>
    <w:rsid w:val="0001238A"/>
    <w:rsid w:val="00012510"/>
    <w:rsid w:val="000125C4"/>
    <w:rsid w:val="000126D7"/>
    <w:rsid w:val="0001289B"/>
    <w:rsid w:val="00012FA9"/>
    <w:rsid w:val="0001378D"/>
    <w:rsid w:val="0001415F"/>
    <w:rsid w:val="0001477F"/>
    <w:rsid w:val="00014F51"/>
    <w:rsid w:val="00015696"/>
    <w:rsid w:val="00015BAA"/>
    <w:rsid w:val="0001689D"/>
    <w:rsid w:val="00016E16"/>
    <w:rsid w:val="00017D63"/>
    <w:rsid w:val="00017FD3"/>
    <w:rsid w:val="0002012A"/>
    <w:rsid w:val="000202EE"/>
    <w:rsid w:val="00021F39"/>
    <w:rsid w:val="00022016"/>
    <w:rsid w:val="00022236"/>
    <w:rsid w:val="000225C8"/>
    <w:rsid w:val="000228BC"/>
    <w:rsid w:val="00022D1E"/>
    <w:rsid w:val="00022E23"/>
    <w:rsid w:val="00023155"/>
    <w:rsid w:val="00023A4C"/>
    <w:rsid w:val="00023CA9"/>
    <w:rsid w:val="0002446B"/>
    <w:rsid w:val="0002498C"/>
    <w:rsid w:val="00024FCB"/>
    <w:rsid w:val="000254DE"/>
    <w:rsid w:val="00025565"/>
    <w:rsid w:val="000256D3"/>
    <w:rsid w:val="0002594F"/>
    <w:rsid w:val="00025ECA"/>
    <w:rsid w:val="00026662"/>
    <w:rsid w:val="00026C76"/>
    <w:rsid w:val="00026DF1"/>
    <w:rsid w:val="00027C56"/>
    <w:rsid w:val="00027D45"/>
    <w:rsid w:val="00030D3C"/>
    <w:rsid w:val="00031041"/>
    <w:rsid w:val="00031326"/>
    <w:rsid w:val="00031E88"/>
    <w:rsid w:val="00031EA8"/>
    <w:rsid w:val="00033164"/>
    <w:rsid w:val="00033514"/>
    <w:rsid w:val="00035718"/>
    <w:rsid w:val="000361DB"/>
    <w:rsid w:val="00036333"/>
    <w:rsid w:val="00037C91"/>
    <w:rsid w:val="000404A9"/>
    <w:rsid w:val="000408A4"/>
    <w:rsid w:val="00041066"/>
    <w:rsid w:val="00041215"/>
    <w:rsid w:val="00041F43"/>
    <w:rsid w:val="000425A1"/>
    <w:rsid w:val="0004299A"/>
    <w:rsid w:val="00042F41"/>
    <w:rsid w:val="00043432"/>
    <w:rsid w:val="000434C2"/>
    <w:rsid w:val="000437E3"/>
    <w:rsid w:val="00043EE4"/>
    <w:rsid w:val="00044AAA"/>
    <w:rsid w:val="00044EA9"/>
    <w:rsid w:val="00045249"/>
    <w:rsid w:val="00046B2E"/>
    <w:rsid w:val="00046BBF"/>
    <w:rsid w:val="00047207"/>
    <w:rsid w:val="00047285"/>
    <w:rsid w:val="0004731A"/>
    <w:rsid w:val="00047A0C"/>
    <w:rsid w:val="00047F6A"/>
    <w:rsid w:val="00050078"/>
    <w:rsid w:val="00050614"/>
    <w:rsid w:val="00051362"/>
    <w:rsid w:val="000513A6"/>
    <w:rsid w:val="0005180C"/>
    <w:rsid w:val="00051BBA"/>
    <w:rsid w:val="00051FB0"/>
    <w:rsid w:val="00052651"/>
    <w:rsid w:val="000527F7"/>
    <w:rsid w:val="00052B29"/>
    <w:rsid w:val="00052B83"/>
    <w:rsid w:val="00053636"/>
    <w:rsid w:val="000536F0"/>
    <w:rsid w:val="00053E80"/>
    <w:rsid w:val="00053FDF"/>
    <w:rsid w:val="00054031"/>
    <w:rsid w:val="0005434B"/>
    <w:rsid w:val="00054C1B"/>
    <w:rsid w:val="00055287"/>
    <w:rsid w:val="000559C5"/>
    <w:rsid w:val="00055D3E"/>
    <w:rsid w:val="00056112"/>
    <w:rsid w:val="000563CC"/>
    <w:rsid w:val="00056F5B"/>
    <w:rsid w:val="00056FD2"/>
    <w:rsid w:val="0005717F"/>
    <w:rsid w:val="000572E9"/>
    <w:rsid w:val="00057CCC"/>
    <w:rsid w:val="000603F8"/>
    <w:rsid w:val="0006054A"/>
    <w:rsid w:val="0006094F"/>
    <w:rsid w:val="00060E17"/>
    <w:rsid w:val="00060F93"/>
    <w:rsid w:val="00061665"/>
    <w:rsid w:val="00061754"/>
    <w:rsid w:val="00061BC9"/>
    <w:rsid w:val="00061EDF"/>
    <w:rsid w:val="000628FB"/>
    <w:rsid w:val="00062C59"/>
    <w:rsid w:val="00063458"/>
    <w:rsid w:val="000638F4"/>
    <w:rsid w:val="00065D1F"/>
    <w:rsid w:val="00066024"/>
    <w:rsid w:val="000664D7"/>
    <w:rsid w:val="000668FE"/>
    <w:rsid w:val="0006690D"/>
    <w:rsid w:val="0006720D"/>
    <w:rsid w:val="0006765B"/>
    <w:rsid w:val="000676A7"/>
    <w:rsid w:val="000677C0"/>
    <w:rsid w:val="00070008"/>
    <w:rsid w:val="000712D5"/>
    <w:rsid w:val="00071B18"/>
    <w:rsid w:val="000721B5"/>
    <w:rsid w:val="0007228C"/>
    <w:rsid w:val="00073F9E"/>
    <w:rsid w:val="000740FC"/>
    <w:rsid w:val="000741FA"/>
    <w:rsid w:val="000744D3"/>
    <w:rsid w:val="00074EC8"/>
    <w:rsid w:val="000755BC"/>
    <w:rsid w:val="0007624E"/>
    <w:rsid w:val="00076E73"/>
    <w:rsid w:val="000777F3"/>
    <w:rsid w:val="000778BC"/>
    <w:rsid w:val="00080416"/>
    <w:rsid w:val="00080518"/>
    <w:rsid w:val="00080AB0"/>
    <w:rsid w:val="00080EE7"/>
    <w:rsid w:val="0008108E"/>
    <w:rsid w:val="00081A26"/>
    <w:rsid w:val="00081E02"/>
    <w:rsid w:val="00082B1C"/>
    <w:rsid w:val="00082D63"/>
    <w:rsid w:val="000833BC"/>
    <w:rsid w:val="00084C29"/>
    <w:rsid w:val="00086047"/>
    <w:rsid w:val="0008626D"/>
    <w:rsid w:val="00086733"/>
    <w:rsid w:val="0008674F"/>
    <w:rsid w:val="00086C15"/>
    <w:rsid w:val="000879C0"/>
    <w:rsid w:val="000879EE"/>
    <w:rsid w:val="000908DA"/>
    <w:rsid w:val="00090CAA"/>
    <w:rsid w:val="0009146A"/>
    <w:rsid w:val="000915AE"/>
    <w:rsid w:val="00091753"/>
    <w:rsid w:val="00091DF1"/>
    <w:rsid w:val="00091E1D"/>
    <w:rsid w:val="00092553"/>
    <w:rsid w:val="00092632"/>
    <w:rsid w:val="000929D0"/>
    <w:rsid w:val="0009338F"/>
    <w:rsid w:val="000936F8"/>
    <w:rsid w:val="000943A5"/>
    <w:rsid w:val="00094D53"/>
    <w:rsid w:val="00095A4C"/>
    <w:rsid w:val="00096907"/>
    <w:rsid w:val="000A0474"/>
    <w:rsid w:val="000A0DD4"/>
    <w:rsid w:val="000A1222"/>
    <w:rsid w:val="000A1488"/>
    <w:rsid w:val="000A1962"/>
    <w:rsid w:val="000A26E9"/>
    <w:rsid w:val="000A3699"/>
    <w:rsid w:val="000A3F6D"/>
    <w:rsid w:val="000A427C"/>
    <w:rsid w:val="000A4378"/>
    <w:rsid w:val="000A4484"/>
    <w:rsid w:val="000A45E4"/>
    <w:rsid w:val="000A4897"/>
    <w:rsid w:val="000A5C24"/>
    <w:rsid w:val="000A72CD"/>
    <w:rsid w:val="000A7B35"/>
    <w:rsid w:val="000A7D9F"/>
    <w:rsid w:val="000B0196"/>
    <w:rsid w:val="000B03ED"/>
    <w:rsid w:val="000B0CAE"/>
    <w:rsid w:val="000B206D"/>
    <w:rsid w:val="000B335F"/>
    <w:rsid w:val="000B3B95"/>
    <w:rsid w:val="000B44A1"/>
    <w:rsid w:val="000B4554"/>
    <w:rsid w:val="000B47B8"/>
    <w:rsid w:val="000B4D1F"/>
    <w:rsid w:val="000B5148"/>
    <w:rsid w:val="000B533F"/>
    <w:rsid w:val="000B6AB5"/>
    <w:rsid w:val="000B6DAC"/>
    <w:rsid w:val="000B6EE8"/>
    <w:rsid w:val="000B6FF8"/>
    <w:rsid w:val="000B7901"/>
    <w:rsid w:val="000B7F1C"/>
    <w:rsid w:val="000C084E"/>
    <w:rsid w:val="000C09B8"/>
    <w:rsid w:val="000C0F07"/>
    <w:rsid w:val="000C1467"/>
    <w:rsid w:val="000C1F2B"/>
    <w:rsid w:val="000C20AB"/>
    <w:rsid w:val="000C2BFC"/>
    <w:rsid w:val="000C3A84"/>
    <w:rsid w:val="000C4B8F"/>
    <w:rsid w:val="000C4BD3"/>
    <w:rsid w:val="000C57DD"/>
    <w:rsid w:val="000C5CA2"/>
    <w:rsid w:val="000C6631"/>
    <w:rsid w:val="000C6D7A"/>
    <w:rsid w:val="000C6E06"/>
    <w:rsid w:val="000C6FB0"/>
    <w:rsid w:val="000C76A6"/>
    <w:rsid w:val="000C7962"/>
    <w:rsid w:val="000C7B23"/>
    <w:rsid w:val="000C7BC0"/>
    <w:rsid w:val="000C7E42"/>
    <w:rsid w:val="000D01F1"/>
    <w:rsid w:val="000D0343"/>
    <w:rsid w:val="000D036C"/>
    <w:rsid w:val="000D0A88"/>
    <w:rsid w:val="000D0CFA"/>
    <w:rsid w:val="000D0F8C"/>
    <w:rsid w:val="000D10E9"/>
    <w:rsid w:val="000D1346"/>
    <w:rsid w:val="000D19FD"/>
    <w:rsid w:val="000D1ACF"/>
    <w:rsid w:val="000D1DB4"/>
    <w:rsid w:val="000D1F0E"/>
    <w:rsid w:val="000D28D2"/>
    <w:rsid w:val="000D347E"/>
    <w:rsid w:val="000D3C38"/>
    <w:rsid w:val="000D3D4C"/>
    <w:rsid w:val="000D47E6"/>
    <w:rsid w:val="000D527F"/>
    <w:rsid w:val="000D5738"/>
    <w:rsid w:val="000D5F11"/>
    <w:rsid w:val="000D6178"/>
    <w:rsid w:val="000D6501"/>
    <w:rsid w:val="000D6CD5"/>
    <w:rsid w:val="000D75D8"/>
    <w:rsid w:val="000E002A"/>
    <w:rsid w:val="000E01C9"/>
    <w:rsid w:val="000E03AE"/>
    <w:rsid w:val="000E050B"/>
    <w:rsid w:val="000E139A"/>
    <w:rsid w:val="000E13EC"/>
    <w:rsid w:val="000E1659"/>
    <w:rsid w:val="000E1730"/>
    <w:rsid w:val="000E1DA8"/>
    <w:rsid w:val="000E2D8B"/>
    <w:rsid w:val="000E31A9"/>
    <w:rsid w:val="000E3514"/>
    <w:rsid w:val="000E3622"/>
    <w:rsid w:val="000E3E94"/>
    <w:rsid w:val="000E465A"/>
    <w:rsid w:val="000E47DB"/>
    <w:rsid w:val="000E4B94"/>
    <w:rsid w:val="000E5B9A"/>
    <w:rsid w:val="000E60A5"/>
    <w:rsid w:val="000E65DC"/>
    <w:rsid w:val="000E6966"/>
    <w:rsid w:val="000E6DB4"/>
    <w:rsid w:val="000E70A2"/>
    <w:rsid w:val="000E71B3"/>
    <w:rsid w:val="000E77CC"/>
    <w:rsid w:val="000F05D3"/>
    <w:rsid w:val="000F075F"/>
    <w:rsid w:val="000F0DE5"/>
    <w:rsid w:val="000F0E65"/>
    <w:rsid w:val="000F1469"/>
    <w:rsid w:val="000F17E4"/>
    <w:rsid w:val="000F19AC"/>
    <w:rsid w:val="000F360C"/>
    <w:rsid w:val="000F3F54"/>
    <w:rsid w:val="000F3FEC"/>
    <w:rsid w:val="000F4E42"/>
    <w:rsid w:val="000F4F0C"/>
    <w:rsid w:val="000F5648"/>
    <w:rsid w:val="000F60CA"/>
    <w:rsid w:val="000F621E"/>
    <w:rsid w:val="000F651C"/>
    <w:rsid w:val="001009EF"/>
    <w:rsid w:val="001013E4"/>
    <w:rsid w:val="00101D9E"/>
    <w:rsid w:val="00101EEF"/>
    <w:rsid w:val="001022FB"/>
    <w:rsid w:val="00102D62"/>
    <w:rsid w:val="0010312F"/>
    <w:rsid w:val="00103228"/>
    <w:rsid w:val="001038C8"/>
    <w:rsid w:val="00103C32"/>
    <w:rsid w:val="00103F56"/>
    <w:rsid w:val="00104543"/>
    <w:rsid w:val="00105063"/>
    <w:rsid w:val="001054F3"/>
    <w:rsid w:val="00105A2B"/>
    <w:rsid w:val="00105B16"/>
    <w:rsid w:val="00105BD4"/>
    <w:rsid w:val="00105DBA"/>
    <w:rsid w:val="001061D4"/>
    <w:rsid w:val="00106ADA"/>
    <w:rsid w:val="00106BF6"/>
    <w:rsid w:val="00106E09"/>
    <w:rsid w:val="00106F36"/>
    <w:rsid w:val="0010701C"/>
    <w:rsid w:val="00107096"/>
    <w:rsid w:val="00107A9F"/>
    <w:rsid w:val="00107ACC"/>
    <w:rsid w:val="001100B9"/>
    <w:rsid w:val="00110B90"/>
    <w:rsid w:val="00110EAB"/>
    <w:rsid w:val="00111039"/>
    <w:rsid w:val="00111909"/>
    <w:rsid w:val="00111F9E"/>
    <w:rsid w:val="00112FE3"/>
    <w:rsid w:val="0011397E"/>
    <w:rsid w:val="001140BF"/>
    <w:rsid w:val="001146EF"/>
    <w:rsid w:val="00114D37"/>
    <w:rsid w:val="00115362"/>
    <w:rsid w:val="00115A42"/>
    <w:rsid w:val="00115D56"/>
    <w:rsid w:val="00115E4D"/>
    <w:rsid w:val="00116C16"/>
    <w:rsid w:val="00116E2A"/>
    <w:rsid w:val="0011709A"/>
    <w:rsid w:val="00117662"/>
    <w:rsid w:val="00117830"/>
    <w:rsid w:val="00117C5E"/>
    <w:rsid w:val="001200CD"/>
    <w:rsid w:val="00120E5D"/>
    <w:rsid w:val="00120E8C"/>
    <w:rsid w:val="00121588"/>
    <w:rsid w:val="00121989"/>
    <w:rsid w:val="00121ACC"/>
    <w:rsid w:val="00121B3F"/>
    <w:rsid w:val="00121D40"/>
    <w:rsid w:val="00121E79"/>
    <w:rsid w:val="00121EE0"/>
    <w:rsid w:val="001225FB"/>
    <w:rsid w:val="001227E3"/>
    <w:rsid w:val="001234DD"/>
    <w:rsid w:val="001236F6"/>
    <w:rsid w:val="00123701"/>
    <w:rsid w:val="0012462B"/>
    <w:rsid w:val="001246B8"/>
    <w:rsid w:val="00124ED3"/>
    <w:rsid w:val="001257C0"/>
    <w:rsid w:val="00125DE0"/>
    <w:rsid w:val="00126E25"/>
    <w:rsid w:val="00127196"/>
    <w:rsid w:val="00130026"/>
    <w:rsid w:val="0013025C"/>
    <w:rsid w:val="001302B2"/>
    <w:rsid w:val="0013048B"/>
    <w:rsid w:val="001307F4"/>
    <w:rsid w:val="00130913"/>
    <w:rsid w:val="00130C46"/>
    <w:rsid w:val="00130DE3"/>
    <w:rsid w:val="00130DEA"/>
    <w:rsid w:val="0013107C"/>
    <w:rsid w:val="00131DBE"/>
    <w:rsid w:val="001322A9"/>
    <w:rsid w:val="0013294E"/>
    <w:rsid w:val="00132E9D"/>
    <w:rsid w:val="001332B7"/>
    <w:rsid w:val="00133ACA"/>
    <w:rsid w:val="00133D91"/>
    <w:rsid w:val="001350C4"/>
    <w:rsid w:val="001354A4"/>
    <w:rsid w:val="0013579D"/>
    <w:rsid w:val="00135D43"/>
    <w:rsid w:val="00136D25"/>
    <w:rsid w:val="00136F7D"/>
    <w:rsid w:val="001377F8"/>
    <w:rsid w:val="00137C3A"/>
    <w:rsid w:val="00137CF6"/>
    <w:rsid w:val="0014002A"/>
    <w:rsid w:val="00140202"/>
    <w:rsid w:val="0014042F"/>
    <w:rsid w:val="00140AF3"/>
    <w:rsid w:val="00141413"/>
    <w:rsid w:val="00141FE8"/>
    <w:rsid w:val="00142329"/>
    <w:rsid w:val="001432DF"/>
    <w:rsid w:val="00143759"/>
    <w:rsid w:val="001439B7"/>
    <w:rsid w:val="0014476F"/>
    <w:rsid w:val="001447C7"/>
    <w:rsid w:val="00144FDA"/>
    <w:rsid w:val="0014554C"/>
    <w:rsid w:val="00145FC1"/>
    <w:rsid w:val="00146442"/>
    <w:rsid w:val="0014738E"/>
    <w:rsid w:val="001476CD"/>
    <w:rsid w:val="00147C29"/>
    <w:rsid w:val="001506BC"/>
    <w:rsid w:val="001511C2"/>
    <w:rsid w:val="001515A4"/>
    <w:rsid w:val="00151D5B"/>
    <w:rsid w:val="00151F65"/>
    <w:rsid w:val="001522C0"/>
    <w:rsid w:val="0015257D"/>
    <w:rsid w:val="001525D8"/>
    <w:rsid w:val="00152ABD"/>
    <w:rsid w:val="00152B3C"/>
    <w:rsid w:val="00152D08"/>
    <w:rsid w:val="0015303D"/>
    <w:rsid w:val="00153149"/>
    <w:rsid w:val="001537AB"/>
    <w:rsid w:val="00153DE6"/>
    <w:rsid w:val="0015402A"/>
    <w:rsid w:val="001541A3"/>
    <w:rsid w:val="00154BCD"/>
    <w:rsid w:val="00154F9E"/>
    <w:rsid w:val="001553F6"/>
    <w:rsid w:val="00155560"/>
    <w:rsid w:val="00155884"/>
    <w:rsid w:val="00156004"/>
    <w:rsid w:val="00157146"/>
    <w:rsid w:val="00157C48"/>
    <w:rsid w:val="00157D2A"/>
    <w:rsid w:val="00160726"/>
    <w:rsid w:val="00160872"/>
    <w:rsid w:val="00160C4C"/>
    <w:rsid w:val="0016144C"/>
    <w:rsid w:val="001618D2"/>
    <w:rsid w:val="00161D1C"/>
    <w:rsid w:val="001627FB"/>
    <w:rsid w:val="0016288F"/>
    <w:rsid w:val="00162A2B"/>
    <w:rsid w:val="00163F0C"/>
    <w:rsid w:val="00164BF3"/>
    <w:rsid w:val="0016542D"/>
    <w:rsid w:val="001667AD"/>
    <w:rsid w:val="00166CE1"/>
    <w:rsid w:val="00167367"/>
    <w:rsid w:val="001673B2"/>
    <w:rsid w:val="00167517"/>
    <w:rsid w:val="00167536"/>
    <w:rsid w:val="00167A04"/>
    <w:rsid w:val="001706CD"/>
    <w:rsid w:val="00170AAF"/>
    <w:rsid w:val="00170DB7"/>
    <w:rsid w:val="00171579"/>
    <w:rsid w:val="00171688"/>
    <w:rsid w:val="00171CAC"/>
    <w:rsid w:val="00171D01"/>
    <w:rsid w:val="00171F03"/>
    <w:rsid w:val="0017290B"/>
    <w:rsid w:val="00172A65"/>
    <w:rsid w:val="001736BA"/>
    <w:rsid w:val="00174192"/>
    <w:rsid w:val="001744EB"/>
    <w:rsid w:val="001764FB"/>
    <w:rsid w:val="00176615"/>
    <w:rsid w:val="001766F2"/>
    <w:rsid w:val="0017689A"/>
    <w:rsid w:val="001768ED"/>
    <w:rsid w:val="00177377"/>
    <w:rsid w:val="001778EC"/>
    <w:rsid w:val="00177E13"/>
    <w:rsid w:val="00180133"/>
    <w:rsid w:val="00180B6A"/>
    <w:rsid w:val="00180EB4"/>
    <w:rsid w:val="001816FD"/>
    <w:rsid w:val="001820E5"/>
    <w:rsid w:val="00182270"/>
    <w:rsid w:val="001822B9"/>
    <w:rsid w:val="00182682"/>
    <w:rsid w:val="001826C2"/>
    <w:rsid w:val="0018344E"/>
    <w:rsid w:val="0018350E"/>
    <w:rsid w:val="0018406C"/>
    <w:rsid w:val="00184496"/>
    <w:rsid w:val="00184E2A"/>
    <w:rsid w:val="00184E85"/>
    <w:rsid w:val="001852E9"/>
    <w:rsid w:val="00185C1C"/>
    <w:rsid w:val="00186054"/>
    <w:rsid w:val="00186300"/>
    <w:rsid w:val="00186C56"/>
    <w:rsid w:val="001873D0"/>
    <w:rsid w:val="00187F2B"/>
    <w:rsid w:val="0019016D"/>
    <w:rsid w:val="00191723"/>
    <w:rsid w:val="00191A80"/>
    <w:rsid w:val="00191BDC"/>
    <w:rsid w:val="00191CAF"/>
    <w:rsid w:val="00191E86"/>
    <w:rsid w:val="001924E8"/>
    <w:rsid w:val="00192BA9"/>
    <w:rsid w:val="001945B9"/>
    <w:rsid w:val="001949D2"/>
    <w:rsid w:val="00194BB4"/>
    <w:rsid w:val="00194BC6"/>
    <w:rsid w:val="00194C60"/>
    <w:rsid w:val="00195E26"/>
    <w:rsid w:val="0019633B"/>
    <w:rsid w:val="00196AB5"/>
    <w:rsid w:val="00196B64"/>
    <w:rsid w:val="00196D61"/>
    <w:rsid w:val="0019757C"/>
    <w:rsid w:val="001A0045"/>
    <w:rsid w:val="001A0552"/>
    <w:rsid w:val="001A1E64"/>
    <w:rsid w:val="001A2768"/>
    <w:rsid w:val="001A2816"/>
    <w:rsid w:val="001A323C"/>
    <w:rsid w:val="001A340F"/>
    <w:rsid w:val="001A3851"/>
    <w:rsid w:val="001A39DB"/>
    <w:rsid w:val="001A3B5D"/>
    <w:rsid w:val="001A3C89"/>
    <w:rsid w:val="001A4FE9"/>
    <w:rsid w:val="001A50BF"/>
    <w:rsid w:val="001A5897"/>
    <w:rsid w:val="001A5ADC"/>
    <w:rsid w:val="001A6430"/>
    <w:rsid w:val="001A6FAD"/>
    <w:rsid w:val="001A7D00"/>
    <w:rsid w:val="001B004A"/>
    <w:rsid w:val="001B0271"/>
    <w:rsid w:val="001B0E3D"/>
    <w:rsid w:val="001B0E62"/>
    <w:rsid w:val="001B1046"/>
    <w:rsid w:val="001B1CA0"/>
    <w:rsid w:val="001B1F90"/>
    <w:rsid w:val="001B1FBE"/>
    <w:rsid w:val="001B3342"/>
    <w:rsid w:val="001B3B01"/>
    <w:rsid w:val="001B3DCB"/>
    <w:rsid w:val="001B4915"/>
    <w:rsid w:val="001B5455"/>
    <w:rsid w:val="001B563E"/>
    <w:rsid w:val="001B56E8"/>
    <w:rsid w:val="001B5976"/>
    <w:rsid w:val="001B59F0"/>
    <w:rsid w:val="001B6C0C"/>
    <w:rsid w:val="001B6ED5"/>
    <w:rsid w:val="001B72DB"/>
    <w:rsid w:val="001B734C"/>
    <w:rsid w:val="001B78E5"/>
    <w:rsid w:val="001C09D0"/>
    <w:rsid w:val="001C0B50"/>
    <w:rsid w:val="001C2535"/>
    <w:rsid w:val="001C2922"/>
    <w:rsid w:val="001C2A5A"/>
    <w:rsid w:val="001C2CA4"/>
    <w:rsid w:val="001C3096"/>
    <w:rsid w:val="001C356C"/>
    <w:rsid w:val="001C3FF1"/>
    <w:rsid w:val="001C40C8"/>
    <w:rsid w:val="001C42EA"/>
    <w:rsid w:val="001C4302"/>
    <w:rsid w:val="001C4690"/>
    <w:rsid w:val="001C499E"/>
    <w:rsid w:val="001C4CFC"/>
    <w:rsid w:val="001C5098"/>
    <w:rsid w:val="001C5671"/>
    <w:rsid w:val="001C6104"/>
    <w:rsid w:val="001C620F"/>
    <w:rsid w:val="001C6788"/>
    <w:rsid w:val="001C7054"/>
    <w:rsid w:val="001C77B0"/>
    <w:rsid w:val="001D03CA"/>
    <w:rsid w:val="001D09A5"/>
    <w:rsid w:val="001D0AF1"/>
    <w:rsid w:val="001D0B4C"/>
    <w:rsid w:val="001D0B9A"/>
    <w:rsid w:val="001D19DB"/>
    <w:rsid w:val="001D1DBE"/>
    <w:rsid w:val="001D2468"/>
    <w:rsid w:val="001D26FD"/>
    <w:rsid w:val="001D2783"/>
    <w:rsid w:val="001D2853"/>
    <w:rsid w:val="001D2EB5"/>
    <w:rsid w:val="001D2EE4"/>
    <w:rsid w:val="001D3D3A"/>
    <w:rsid w:val="001D4054"/>
    <w:rsid w:val="001D47FF"/>
    <w:rsid w:val="001D4BE9"/>
    <w:rsid w:val="001D4EDE"/>
    <w:rsid w:val="001D4F99"/>
    <w:rsid w:val="001D5A20"/>
    <w:rsid w:val="001D5B69"/>
    <w:rsid w:val="001D6A6E"/>
    <w:rsid w:val="001D6C19"/>
    <w:rsid w:val="001D72FB"/>
    <w:rsid w:val="001D7537"/>
    <w:rsid w:val="001D7FF2"/>
    <w:rsid w:val="001E045C"/>
    <w:rsid w:val="001E1CB9"/>
    <w:rsid w:val="001E2F88"/>
    <w:rsid w:val="001E3AA4"/>
    <w:rsid w:val="001E4201"/>
    <w:rsid w:val="001E4B5B"/>
    <w:rsid w:val="001E4BC0"/>
    <w:rsid w:val="001E5E1E"/>
    <w:rsid w:val="001E70A8"/>
    <w:rsid w:val="001E75AD"/>
    <w:rsid w:val="001E7B4E"/>
    <w:rsid w:val="001F0CE2"/>
    <w:rsid w:val="001F120F"/>
    <w:rsid w:val="001F18F3"/>
    <w:rsid w:val="001F1AF4"/>
    <w:rsid w:val="001F1B1B"/>
    <w:rsid w:val="001F2729"/>
    <w:rsid w:val="001F3070"/>
    <w:rsid w:val="001F3ED0"/>
    <w:rsid w:val="001F3F47"/>
    <w:rsid w:val="001F455E"/>
    <w:rsid w:val="001F465B"/>
    <w:rsid w:val="001F5810"/>
    <w:rsid w:val="001F6951"/>
    <w:rsid w:val="001F6970"/>
    <w:rsid w:val="001F773A"/>
    <w:rsid w:val="002006E0"/>
    <w:rsid w:val="00200857"/>
    <w:rsid w:val="00200DF2"/>
    <w:rsid w:val="00201F06"/>
    <w:rsid w:val="00202105"/>
    <w:rsid w:val="002022AB"/>
    <w:rsid w:val="00202B7E"/>
    <w:rsid w:val="0020303F"/>
    <w:rsid w:val="0020320E"/>
    <w:rsid w:val="00204867"/>
    <w:rsid w:val="0020502F"/>
    <w:rsid w:val="0020529C"/>
    <w:rsid w:val="002057AB"/>
    <w:rsid w:val="002059B3"/>
    <w:rsid w:val="00205C21"/>
    <w:rsid w:val="0020623B"/>
    <w:rsid w:val="0020799C"/>
    <w:rsid w:val="00207B4E"/>
    <w:rsid w:val="00207C41"/>
    <w:rsid w:val="00207D74"/>
    <w:rsid w:val="002101CA"/>
    <w:rsid w:val="00210847"/>
    <w:rsid w:val="00210B8A"/>
    <w:rsid w:val="00210D45"/>
    <w:rsid w:val="00210FD4"/>
    <w:rsid w:val="0021182B"/>
    <w:rsid w:val="0021203B"/>
    <w:rsid w:val="00212EEB"/>
    <w:rsid w:val="00213129"/>
    <w:rsid w:val="002131FD"/>
    <w:rsid w:val="002132E5"/>
    <w:rsid w:val="00213EC2"/>
    <w:rsid w:val="00215466"/>
    <w:rsid w:val="002155BB"/>
    <w:rsid w:val="00215A0A"/>
    <w:rsid w:val="00215AEF"/>
    <w:rsid w:val="002161A5"/>
    <w:rsid w:val="002161F2"/>
    <w:rsid w:val="00216317"/>
    <w:rsid w:val="002178CB"/>
    <w:rsid w:val="00217B7E"/>
    <w:rsid w:val="00217CD9"/>
    <w:rsid w:val="00220C33"/>
    <w:rsid w:val="00220CA1"/>
    <w:rsid w:val="0022152E"/>
    <w:rsid w:val="00221935"/>
    <w:rsid w:val="00221B7C"/>
    <w:rsid w:val="0022341B"/>
    <w:rsid w:val="002235DC"/>
    <w:rsid w:val="00223801"/>
    <w:rsid w:val="00225083"/>
    <w:rsid w:val="00225B30"/>
    <w:rsid w:val="00226370"/>
    <w:rsid w:val="00226B66"/>
    <w:rsid w:val="00226D77"/>
    <w:rsid w:val="00227290"/>
    <w:rsid w:val="00227309"/>
    <w:rsid w:val="0022782E"/>
    <w:rsid w:val="0022791D"/>
    <w:rsid w:val="00227A6E"/>
    <w:rsid w:val="00227D14"/>
    <w:rsid w:val="002303B1"/>
    <w:rsid w:val="002311EC"/>
    <w:rsid w:val="0023161F"/>
    <w:rsid w:val="0023193D"/>
    <w:rsid w:val="00231DAA"/>
    <w:rsid w:val="002329A6"/>
    <w:rsid w:val="002333B4"/>
    <w:rsid w:val="0023358B"/>
    <w:rsid w:val="00233713"/>
    <w:rsid w:val="002338B6"/>
    <w:rsid w:val="00233BF9"/>
    <w:rsid w:val="00234148"/>
    <w:rsid w:val="0023428A"/>
    <w:rsid w:val="00234937"/>
    <w:rsid w:val="00234B39"/>
    <w:rsid w:val="002355EE"/>
    <w:rsid w:val="00235CB8"/>
    <w:rsid w:val="0023602C"/>
    <w:rsid w:val="0023632C"/>
    <w:rsid w:val="00236711"/>
    <w:rsid w:val="00236C37"/>
    <w:rsid w:val="00236CE0"/>
    <w:rsid w:val="00237447"/>
    <w:rsid w:val="00237BE9"/>
    <w:rsid w:val="00237C08"/>
    <w:rsid w:val="00237D18"/>
    <w:rsid w:val="00237DAF"/>
    <w:rsid w:val="00237ED7"/>
    <w:rsid w:val="00240284"/>
    <w:rsid w:val="002407C1"/>
    <w:rsid w:val="0024104E"/>
    <w:rsid w:val="00241558"/>
    <w:rsid w:val="00241725"/>
    <w:rsid w:val="00242308"/>
    <w:rsid w:val="00242963"/>
    <w:rsid w:val="00242F8D"/>
    <w:rsid w:val="002433BA"/>
    <w:rsid w:val="0024369B"/>
    <w:rsid w:val="002436D4"/>
    <w:rsid w:val="0024467A"/>
    <w:rsid w:val="00244ACA"/>
    <w:rsid w:val="00244B9F"/>
    <w:rsid w:val="002450D9"/>
    <w:rsid w:val="002457FC"/>
    <w:rsid w:val="00245D0A"/>
    <w:rsid w:val="002474BB"/>
    <w:rsid w:val="00247548"/>
    <w:rsid w:val="002476CD"/>
    <w:rsid w:val="002509CB"/>
    <w:rsid w:val="002517BD"/>
    <w:rsid w:val="00251A1B"/>
    <w:rsid w:val="00251AC1"/>
    <w:rsid w:val="00252BBE"/>
    <w:rsid w:val="00252BE2"/>
    <w:rsid w:val="00253100"/>
    <w:rsid w:val="00253342"/>
    <w:rsid w:val="002542BC"/>
    <w:rsid w:val="002544F1"/>
    <w:rsid w:val="00254612"/>
    <w:rsid w:val="0025463F"/>
    <w:rsid w:val="002546E7"/>
    <w:rsid w:val="00254857"/>
    <w:rsid w:val="00254859"/>
    <w:rsid w:val="00254C6B"/>
    <w:rsid w:val="00254D75"/>
    <w:rsid w:val="00254E42"/>
    <w:rsid w:val="00254F63"/>
    <w:rsid w:val="00254FDD"/>
    <w:rsid w:val="00254FE6"/>
    <w:rsid w:val="002552DC"/>
    <w:rsid w:val="00255442"/>
    <w:rsid w:val="002556D1"/>
    <w:rsid w:val="00255DDD"/>
    <w:rsid w:val="002560C2"/>
    <w:rsid w:val="0025651D"/>
    <w:rsid w:val="00256560"/>
    <w:rsid w:val="00256589"/>
    <w:rsid w:val="00260727"/>
    <w:rsid w:val="00260AD4"/>
    <w:rsid w:val="0026180C"/>
    <w:rsid w:val="00261B50"/>
    <w:rsid w:val="00261C1B"/>
    <w:rsid w:val="00261C32"/>
    <w:rsid w:val="0026215A"/>
    <w:rsid w:val="00263CBF"/>
    <w:rsid w:val="00264C5E"/>
    <w:rsid w:val="002655C5"/>
    <w:rsid w:val="00265722"/>
    <w:rsid w:val="002659B1"/>
    <w:rsid w:val="00265AD6"/>
    <w:rsid w:val="00265AE0"/>
    <w:rsid w:val="00265EF8"/>
    <w:rsid w:val="00266050"/>
    <w:rsid w:val="00266248"/>
    <w:rsid w:val="0026637B"/>
    <w:rsid w:val="00266574"/>
    <w:rsid w:val="002670B1"/>
    <w:rsid w:val="00267DE7"/>
    <w:rsid w:val="00271B15"/>
    <w:rsid w:val="00271B91"/>
    <w:rsid w:val="0027219C"/>
    <w:rsid w:val="00272A8B"/>
    <w:rsid w:val="00272E93"/>
    <w:rsid w:val="00273501"/>
    <w:rsid w:val="00273C29"/>
    <w:rsid w:val="00273E5E"/>
    <w:rsid w:val="00274D14"/>
    <w:rsid w:val="0027502D"/>
    <w:rsid w:val="002756DE"/>
    <w:rsid w:val="00275B7B"/>
    <w:rsid w:val="00275DDF"/>
    <w:rsid w:val="0027624E"/>
    <w:rsid w:val="00276E6B"/>
    <w:rsid w:val="00276FE1"/>
    <w:rsid w:val="002773F2"/>
    <w:rsid w:val="00277A80"/>
    <w:rsid w:val="002801F1"/>
    <w:rsid w:val="00281C3B"/>
    <w:rsid w:val="00281E04"/>
    <w:rsid w:val="00281ED9"/>
    <w:rsid w:val="00281F48"/>
    <w:rsid w:val="00282A75"/>
    <w:rsid w:val="00282F78"/>
    <w:rsid w:val="00283685"/>
    <w:rsid w:val="00283BBE"/>
    <w:rsid w:val="00283ED8"/>
    <w:rsid w:val="002841F7"/>
    <w:rsid w:val="0028443D"/>
    <w:rsid w:val="0028472E"/>
    <w:rsid w:val="002855D8"/>
    <w:rsid w:val="00285BA7"/>
    <w:rsid w:val="002860F1"/>
    <w:rsid w:val="00286EFA"/>
    <w:rsid w:val="002879DD"/>
    <w:rsid w:val="00287BFB"/>
    <w:rsid w:val="00287FB2"/>
    <w:rsid w:val="0029019D"/>
    <w:rsid w:val="002909DC"/>
    <w:rsid w:val="00290D49"/>
    <w:rsid w:val="00290EA5"/>
    <w:rsid w:val="00291209"/>
    <w:rsid w:val="00291269"/>
    <w:rsid w:val="00291499"/>
    <w:rsid w:val="00292071"/>
    <w:rsid w:val="00292447"/>
    <w:rsid w:val="00292927"/>
    <w:rsid w:val="002930C2"/>
    <w:rsid w:val="002932A3"/>
    <w:rsid w:val="002939BE"/>
    <w:rsid w:val="00293A5D"/>
    <w:rsid w:val="00293B03"/>
    <w:rsid w:val="002940E5"/>
    <w:rsid w:val="002954EB"/>
    <w:rsid w:val="002955B9"/>
    <w:rsid w:val="002957AF"/>
    <w:rsid w:val="00295C6B"/>
    <w:rsid w:val="00295E03"/>
    <w:rsid w:val="00295EE5"/>
    <w:rsid w:val="00296082"/>
    <w:rsid w:val="00296747"/>
    <w:rsid w:val="00297850"/>
    <w:rsid w:val="0029796E"/>
    <w:rsid w:val="00297FB6"/>
    <w:rsid w:val="002A030A"/>
    <w:rsid w:val="002A0AD0"/>
    <w:rsid w:val="002A0E5E"/>
    <w:rsid w:val="002A1352"/>
    <w:rsid w:val="002A1C0B"/>
    <w:rsid w:val="002A1DBB"/>
    <w:rsid w:val="002A39EE"/>
    <w:rsid w:val="002A4AD4"/>
    <w:rsid w:val="002A5121"/>
    <w:rsid w:val="002A5327"/>
    <w:rsid w:val="002A57B1"/>
    <w:rsid w:val="002A5904"/>
    <w:rsid w:val="002A5EDC"/>
    <w:rsid w:val="002A6236"/>
    <w:rsid w:val="002A6AB2"/>
    <w:rsid w:val="002A7359"/>
    <w:rsid w:val="002A7431"/>
    <w:rsid w:val="002A7B8A"/>
    <w:rsid w:val="002A7FFB"/>
    <w:rsid w:val="002B041B"/>
    <w:rsid w:val="002B04FC"/>
    <w:rsid w:val="002B0704"/>
    <w:rsid w:val="002B15B2"/>
    <w:rsid w:val="002B244A"/>
    <w:rsid w:val="002B2487"/>
    <w:rsid w:val="002B295A"/>
    <w:rsid w:val="002B2A0E"/>
    <w:rsid w:val="002B2A88"/>
    <w:rsid w:val="002B30D3"/>
    <w:rsid w:val="002B3C2D"/>
    <w:rsid w:val="002B3F0B"/>
    <w:rsid w:val="002B4C25"/>
    <w:rsid w:val="002B4D06"/>
    <w:rsid w:val="002B5735"/>
    <w:rsid w:val="002B603F"/>
    <w:rsid w:val="002B627D"/>
    <w:rsid w:val="002B7052"/>
    <w:rsid w:val="002B7428"/>
    <w:rsid w:val="002B7503"/>
    <w:rsid w:val="002C051C"/>
    <w:rsid w:val="002C0C29"/>
    <w:rsid w:val="002C0D11"/>
    <w:rsid w:val="002C1D29"/>
    <w:rsid w:val="002C1E09"/>
    <w:rsid w:val="002C23EE"/>
    <w:rsid w:val="002C3674"/>
    <w:rsid w:val="002C3EB4"/>
    <w:rsid w:val="002C4AEB"/>
    <w:rsid w:val="002C553F"/>
    <w:rsid w:val="002C687B"/>
    <w:rsid w:val="002C6F54"/>
    <w:rsid w:val="002C7465"/>
    <w:rsid w:val="002D0A69"/>
    <w:rsid w:val="002D0E9A"/>
    <w:rsid w:val="002D125F"/>
    <w:rsid w:val="002D16D0"/>
    <w:rsid w:val="002D18B8"/>
    <w:rsid w:val="002D2125"/>
    <w:rsid w:val="002D220D"/>
    <w:rsid w:val="002D2A76"/>
    <w:rsid w:val="002D30C3"/>
    <w:rsid w:val="002D33E5"/>
    <w:rsid w:val="002D33F8"/>
    <w:rsid w:val="002D3D7B"/>
    <w:rsid w:val="002D41D3"/>
    <w:rsid w:val="002D5665"/>
    <w:rsid w:val="002D5EFA"/>
    <w:rsid w:val="002D64C3"/>
    <w:rsid w:val="002D66AF"/>
    <w:rsid w:val="002D67EF"/>
    <w:rsid w:val="002D6B0A"/>
    <w:rsid w:val="002D6C45"/>
    <w:rsid w:val="002D6D98"/>
    <w:rsid w:val="002D74AD"/>
    <w:rsid w:val="002D7747"/>
    <w:rsid w:val="002D7AE1"/>
    <w:rsid w:val="002D7CC1"/>
    <w:rsid w:val="002E01D9"/>
    <w:rsid w:val="002E058A"/>
    <w:rsid w:val="002E1A10"/>
    <w:rsid w:val="002E1C35"/>
    <w:rsid w:val="002E22C3"/>
    <w:rsid w:val="002E239C"/>
    <w:rsid w:val="002E27F8"/>
    <w:rsid w:val="002E2AB2"/>
    <w:rsid w:val="002E3A55"/>
    <w:rsid w:val="002E3E18"/>
    <w:rsid w:val="002E50B3"/>
    <w:rsid w:val="002E5F05"/>
    <w:rsid w:val="002E5F4B"/>
    <w:rsid w:val="002E633D"/>
    <w:rsid w:val="002E6AF9"/>
    <w:rsid w:val="002E6C0E"/>
    <w:rsid w:val="002E6E83"/>
    <w:rsid w:val="002E7271"/>
    <w:rsid w:val="002E7654"/>
    <w:rsid w:val="002E7793"/>
    <w:rsid w:val="002E79D5"/>
    <w:rsid w:val="002E7A23"/>
    <w:rsid w:val="002E7D23"/>
    <w:rsid w:val="002E7DAF"/>
    <w:rsid w:val="002F031A"/>
    <w:rsid w:val="002F0344"/>
    <w:rsid w:val="002F0348"/>
    <w:rsid w:val="002F055C"/>
    <w:rsid w:val="002F15EE"/>
    <w:rsid w:val="002F18D5"/>
    <w:rsid w:val="002F1B1D"/>
    <w:rsid w:val="002F22F0"/>
    <w:rsid w:val="002F2535"/>
    <w:rsid w:val="002F2654"/>
    <w:rsid w:val="002F2DED"/>
    <w:rsid w:val="002F2E5F"/>
    <w:rsid w:val="002F37DE"/>
    <w:rsid w:val="002F474F"/>
    <w:rsid w:val="002F4A01"/>
    <w:rsid w:val="002F52AC"/>
    <w:rsid w:val="002F53EA"/>
    <w:rsid w:val="002F557C"/>
    <w:rsid w:val="002F5CBE"/>
    <w:rsid w:val="002F68A4"/>
    <w:rsid w:val="002F68D5"/>
    <w:rsid w:val="002F6A97"/>
    <w:rsid w:val="002F72D8"/>
    <w:rsid w:val="002F762E"/>
    <w:rsid w:val="0030144D"/>
    <w:rsid w:val="00301899"/>
    <w:rsid w:val="003019FE"/>
    <w:rsid w:val="00302045"/>
    <w:rsid w:val="00302518"/>
    <w:rsid w:val="003028C7"/>
    <w:rsid w:val="003031FC"/>
    <w:rsid w:val="00304AA7"/>
    <w:rsid w:val="003053C6"/>
    <w:rsid w:val="0030632C"/>
    <w:rsid w:val="003068C5"/>
    <w:rsid w:val="00306D1F"/>
    <w:rsid w:val="0030708B"/>
    <w:rsid w:val="0030770D"/>
    <w:rsid w:val="00307B17"/>
    <w:rsid w:val="00307E57"/>
    <w:rsid w:val="003114AF"/>
    <w:rsid w:val="00312085"/>
    <w:rsid w:val="003120B2"/>
    <w:rsid w:val="00312221"/>
    <w:rsid w:val="0031291E"/>
    <w:rsid w:val="00312A42"/>
    <w:rsid w:val="00312A94"/>
    <w:rsid w:val="00312AD3"/>
    <w:rsid w:val="00312AEE"/>
    <w:rsid w:val="00313152"/>
    <w:rsid w:val="0031316B"/>
    <w:rsid w:val="00313670"/>
    <w:rsid w:val="00313690"/>
    <w:rsid w:val="00313A64"/>
    <w:rsid w:val="00313CD2"/>
    <w:rsid w:val="00314224"/>
    <w:rsid w:val="00314365"/>
    <w:rsid w:val="00314B88"/>
    <w:rsid w:val="00314F62"/>
    <w:rsid w:val="00315814"/>
    <w:rsid w:val="0031616E"/>
    <w:rsid w:val="00316668"/>
    <w:rsid w:val="00316812"/>
    <w:rsid w:val="00316960"/>
    <w:rsid w:val="00317625"/>
    <w:rsid w:val="0031779E"/>
    <w:rsid w:val="00317B84"/>
    <w:rsid w:val="0032188F"/>
    <w:rsid w:val="00321C16"/>
    <w:rsid w:val="003229F8"/>
    <w:rsid w:val="00322B26"/>
    <w:rsid w:val="00322B38"/>
    <w:rsid w:val="00323520"/>
    <w:rsid w:val="00323CAC"/>
    <w:rsid w:val="00324497"/>
    <w:rsid w:val="00325F60"/>
    <w:rsid w:val="00327657"/>
    <w:rsid w:val="0032798E"/>
    <w:rsid w:val="003300A0"/>
    <w:rsid w:val="0033021C"/>
    <w:rsid w:val="00330562"/>
    <w:rsid w:val="003309F1"/>
    <w:rsid w:val="00331000"/>
    <w:rsid w:val="00331840"/>
    <w:rsid w:val="00331C7E"/>
    <w:rsid w:val="00331D6F"/>
    <w:rsid w:val="00332674"/>
    <w:rsid w:val="003327C7"/>
    <w:rsid w:val="003350EA"/>
    <w:rsid w:val="003352F8"/>
    <w:rsid w:val="00335F50"/>
    <w:rsid w:val="00336110"/>
    <w:rsid w:val="00337273"/>
    <w:rsid w:val="003377B8"/>
    <w:rsid w:val="00337C0E"/>
    <w:rsid w:val="00341530"/>
    <w:rsid w:val="0034181D"/>
    <w:rsid w:val="00341A15"/>
    <w:rsid w:val="00341FE2"/>
    <w:rsid w:val="00342D89"/>
    <w:rsid w:val="003430F2"/>
    <w:rsid w:val="00343A16"/>
    <w:rsid w:val="00343E75"/>
    <w:rsid w:val="00344639"/>
    <w:rsid w:val="00344D8D"/>
    <w:rsid w:val="003451AE"/>
    <w:rsid w:val="00346DAC"/>
    <w:rsid w:val="003474BD"/>
    <w:rsid w:val="003476B2"/>
    <w:rsid w:val="00347C89"/>
    <w:rsid w:val="00350243"/>
    <w:rsid w:val="00350751"/>
    <w:rsid w:val="00350E6A"/>
    <w:rsid w:val="00350FDD"/>
    <w:rsid w:val="0035194D"/>
    <w:rsid w:val="003525EC"/>
    <w:rsid w:val="00352D61"/>
    <w:rsid w:val="00352EC8"/>
    <w:rsid w:val="00353048"/>
    <w:rsid w:val="00353326"/>
    <w:rsid w:val="003536B7"/>
    <w:rsid w:val="00354457"/>
    <w:rsid w:val="00354DFB"/>
    <w:rsid w:val="003559CF"/>
    <w:rsid w:val="00355B3A"/>
    <w:rsid w:val="003564BF"/>
    <w:rsid w:val="00360883"/>
    <w:rsid w:val="00361D72"/>
    <w:rsid w:val="00362B6C"/>
    <w:rsid w:val="00363209"/>
    <w:rsid w:val="00363CF3"/>
    <w:rsid w:val="00364628"/>
    <w:rsid w:val="00364AA4"/>
    <w:rsid w:val="00364B1F"/>
    <w:rsid w:val="00364D22"/>
    <w:rsid w:val="00364F3E"/>
    <w:rsid w:val="003650B9"/>
    <w:rsid w:val="003650E7"/>
    <w:rsid w:val="00365504"/>
    <w:rsid w:val="00365907"/>
    <w:rsid w:val="00365AC4"/>
    <w:rsid w:val="003660C0"/>
    <w:rsid w:val="0036665E"/>
    <w:rsid w:val="003670A3"/>
    <w:rsid w:val="0036719E"/>
    <w:rsid w:val="003677C7"/>
    <w:rsid w:val="0037056C"/>
    <w:rsid w:val="0037118F"/>
    <w:rsid w:val="003718DB"/>
    <w:rsid w:val="003719AF"/>
    <w:rsid w:val="00371DEC"/>
    <w:rsid w:val="00371E61"/>
    <w:rsid w:val="00373235"/>
    <w:rsid w:val="003736CE"/>
    <w:rsid w:val="0037433C"/>
    <w:rsid w:val="00374C5D"/>
    <w:rsid w:val="00374D16"/>
    <w:rsid w:val="00375201"/>
    <w:rsid w:val="0037551D"/>
    <w:rsid w:val="00375884"/>
    <w:rsid w:val="00376CED"/>
    <w:rsid w:val="00376EDE"/>
    <w:rsid w:val="003770FA"/>
    <w:rsid w:val="00377150"/>
    <w:rsid w:val="00377172"/>
    <w:rsid w:val="0037721D"/>
    <w:rsid w:val="0037734E"/>
    <w:rsid w:val="00377658"/>
    <w:rsid w:val="003801F0"/>
    <w:rsid w:val="00381CAE"/>
    <w:rsid w:val="003820BE"/>
    <w:rsid w:val="00382753"/>
    <w:rsid w:val="00382BF9"/>
    <w:rsid w:val="003832F9"/>
    <w:rsid w:val="003839A7"/>
    <w:rsid w:val="00383AEB"/>
    <w:rsid w:val="00383EC0"/>
    <w:rsid w:val="003842B2"/>
    <w:rsid w:val="003845AE"/>
    <w:rsid w:val="00384A79"/>
    <w:rsid w:val="003853EB"/>
    <w:rsid w:val="003858EC"/>
    <w:rsid w:val="00385B0B"/>
    <w:rsid w:val="00386F5A"/>
    <w:rsid w:val="00387045"/>
    <w:rsid w:val="0038761C"/>
    <w:rsid w:val="0038795B"/>
    <w:rsid w:val="003900B6"/>
    <w:rsid w:val="003905CF"/>
    <w:rsid w:val="003908C0"/>
    <w:rsid w:val="00390F23"/>
    <w:rsid w:val="00391C57"/>
    <w:rsid w:val="00391DBC"/>
    <w:rsid w:val="00391F00"/>
    <w:rsid w:val="003927E9"/>
    <w:rsid w:val="00392974"/>
    <w:rsid w:val="00392F5E"/>
    <w:rsid w:val="00394D02"/>
    <w:rsid w:val="0039507E"/>
    <w:rsid w:val="0039511F"/>
    <w:rsid w:val="00395EDA"/>
    <w:rsid w:val="00395F15"/>
    <w:rsid w:val="003961BD"/>
    <w:rsid w:val="003966ED"/>
    <w:rsid w:val="00396751"/>
    <w:rsid w:val="00397046"/>
    <w:rsid w:val="0039719A"/>
    <w:rsid w:val="003972E5"/>
    <w:rsid w:val="003977E4"/>
    <w:rsid w:val="003A01D6"/>
    <w:rsid w:val="003A0836"/>
    <w:rsid w:val="003A0AFF"/>
    <w:rsid w:val="003A1079"/>
    <w:rsid w:val="003A1AF7"/>
    <w:rsid w:val="003A2005"/>
    <w:rsid w:val="003A3396"/>
    <w:rsid w:val="003A3B86"/>
    <w:rsid w:val="003A411B"/>
    <w:rsid w:val="003A4240"/>
    <w:rsid w:val="003A48A2"/>
    <w:rsid w:val="003A4CDA"/>
    <w:rsid w:val="003A4DE3"/>
    <w:rsid w:val="003A4E01"/>
    <w:rsid w:val="003A5221"/>
    <w:rsid w:val="003A52F0"/>
    <w:rsid w:val="003A54D4"/>
    <w:rsid w:val="003A611C"/>
    <w:rsid w:val="003A6A3F"/>
    <w:rsid w:val="003A6FA6"/>
    <w:rsid w:val="003A78D9"/>
    <w:rsid w:val="003A7BFA"/>
    <w:rsid w:val="003B0EEC"/>
    <w:rsid w:val="003B1718"/>
    <w:rsid w:val="003B1741"/>
    <w:rsid w:val="003B2691"/>
    <w:rsid w:val="003B2922"/>
    <w:rsid w:val="003B2A57"/>
    <w:rsid w:val="003B2D58"/>
    <w:rsid w:val="003B2F44"/>
    <w:rsid w:val="003B3CA4"/>
    <w:rsid w:val="003B4A95"/>
    <w:rsid w:val="003B52B9"/>
    <w:rsid w:val="003B5B6C"/>
    <w:rsid w:val="003B5C80"/>
    <w:rsid w:val="003B65EA"/>
    <w:rsid w:val="003B6C16"/>
    <w:rsid w:val="003B7611"/>
    <w:rsid w:val="003C01A8"/>
    <w:rsid w:val="003C03A2"/>
    <w:rsid w:val="003C1398"/>
    <w:rsid w:val="003C17CA"/>
    <w:rsid w:val="003C1846"/>
    <w:rsid w:val="003C1A40"/>
    <w:rsid w:val="003C28A2"/>
    <w:rsid w:val="003C2BB5"/>
    <w:rsid w:val="003C2EAD"/>
    <w:rsid w:val="003C2F93"/>
    <w:rsid w:val="003C3840"/>
    <w:rsid w:val="003C4214"/>
    <w:rsid w:val="003C5831"/>
    <w:rsid w:val="003C5C92"/>
    <w:rsid w:val="003C63D1"/>
    <w:rsid w:val="003C6791"/>
    <w:rsid w:val="003C747D"/>
    <w:rsid w:val="003C7CC6"/>
    <w:rsid w:val="003C7FD6"/>
    <w:rsid w:val="003D03B9"/>
    <w:rsid w:val="003D0620"/>
    <w:rsid w:val="003D0D77"/>
    <w:rsid w:val="003D0FDB"/>
    <w:rsid w:val="003D1022"/>
    <w:rsid w:val="003D10F8"/>
    <w:rsid w:val="003D1125"/>
    <w:rsid w:val="003D11FC"/>
    <w:rsid w:val="003D1230"/>
    <w:rsid w:val="003D1973"/>
    <w:rsid w:val="003D1AFD"/>
    <w:rsid w:val="003D1BA1"/>
    <w:rsid w:val="003D2D0F"/>
    <w:rsid w:val="003D35D3"/>
    <w:rsid w:val="003D3E02"/>
    <w:rsid w:val="003D3ECF"/>
    <w:rsid w:val="003D41B5"/>
    <w:rsid w:val="003D44FF"/>
    <w:rsid w:val="003D45A9"/>
    <w:rsid w:val="003D4C11"/>
    <w:rsid w:val="003D54EE"/>
    <w:rsid w:val="003D5F68"/>
    <w:rsid w:val="003D60AF"/>
    <w:rsid w:val="003D6E6F"/>
    <w:rsid w:val="003D6EE2"/>
    <w:rsid w:val="003D70CD"/>
    <w:rsid w:val="003D73A5"/>
    <w:rsid w:val="003D75E2"/>
    <w:rsid w:val="003E0304"/>
    <w:rsid w:val="003E041D"/>
    <w:rsid w:val="003E08FE"/>
    <w:rsid w:val="003E0DDF"/>
    <w:rsid w:val="003E169D"/>
    <w:rsid w:val="003E2634"/>
    <w:rsid w:val="003E2AD0"/>
    <w:rsid w:val="003E3AF8"/>
    <w:rsid w:val="003E417E"/>
    <w:rsid w:val="003E48DE"/>
    <w:rsid w:val="003E52C5"/>
    <w:rsid w:val="003E5D04"/>
    <w:rsid w:val="003E6DC2"/>
    <w:rsid w:val="003E6DD8"/>
    <w:rsid w:val="003E700E"/>
    <w:rsid w:val="003F06B6"/>
    <w:rsid w:val="003F0BC8"/>
    <w:rsid w:val="003F1641"/>
    <w:rsid w:val="003F250B"/>
    <w:rsid w:val="003F3F10"/>
    <w:rsid w:val="003F4317"/>
    <w:rsid w:val="003F5B6B"/>
    <w:rsid w:val="003F5F7D"/>
    <w:rsid w:val="003F6EC4"/>
    <w:rsid w:val="003F7F34"/>
    <w:rsid w:val="004001B3"/>
    <w:rsid w:val="00400245"/>
    <w:rsid w:val="00400316"/>
    <w:rsid w:val="004007B1"/>
    <w:rsid w:val="0040084C"/>
    <w:rsid w:val="00400D31"/>
    <w:rsid w:val="00401C1F"/>
    <w:rsid w:val="00401F23"/>
    <w:rsid w:val="00402320"/>
    <w:rsid w:val="004023AA"/>
    <w:rsid w:val="00402653"/>
    <w:rsid w:val="00402731"/>
    <w:rsid w:val="00402831"/>
    <w:rsid w:val="004032C9"/>
    <w:rsid w:val="0040388E"/>
    <w:rsid w:val="00403AFE"/>
    <w:rsid w:val="00403ECD"/>
    <w:rsid w:val="00404275"/>
    <w:rsid w:val="00404AAA"/>
    <w:rsid w:val="004053F1"/>
    <w:rsid w:val="0040550F"/>
    <w:rsid w:val="004055CE"/>
    <w:rsid w:val="00405EC5"/>
    <w:rsid w:val="0040663C"/>
    <w:rsid w:val="00406A43"/>
    <w:rsid w:val="00406A90"/>
    <w:rsid w:val="00406C55"/>
    <w:rsid w:val="00407326"/>
    <w:rsid w:val="00407C96"/>
    <w:rsid w:val="0041030B"/>
    <w:rsid w:val="00410426"/>
    <w:rsid w:val="00410E70"/>
    <w:rsid w:val="004114ED"/>
    <w:rsid w:val="00411D5D"/>
    <w:rsid w:val="00411DBF"/>
    <w:rsid w:val="0041208F"/>
    <w:rsid w:val="0041242C"/>
    <w:rsid w:val="00413432"/>
    <w:rsid w:val="00414B5C"/>
    <w:rsid w:val="00415648"/>
    <w:rsid w:val="00416CB1"/>
    <w:rsid w:val="00416FBE"/>
    <w:rsid w:val="00417298"/>
    <w:rsid w:val="00417E14"/>
    <w:rsid w:val="0042023A"/>
    <w:rsid w:val="00420368"/>
    <w:rsid w:val="004205C9"/>
    <w:rsid w:val="0042089C"/>
    <w:rsid w:val="00420AD5"/>
    <w:rsid w:val="00420C76"/>
    <w:rsid w:val="0042195D"/>
    <w:rsid w:val="00422625"/>
    <w:rsid w:val="004228AF"/>
    <w:rsid w:val="00422D8B"/>
    <w:rsid w:val="0042456B"/>
    <w:rsid w:val="00424A4A"/>
    <w:rsid w:val="0042514D"/>
    <w:rsid w:val="004258E9"/>
    <w:rsid w:val="0042635A"/>
    <w:rsid w:val="00426E28"/>
    <w:rsid w:val="00426FE7"/>
    <w:rsid w:val="00427A8C"/>
    <w:rsid w:val="00430734"/>
    <w:rsid w:val="00430A42"/>
    <w:rsid w:val="00430B15"/>
    <w:rsid w:val="00430DE8"/>
    <w:rsid w:val="00431142"/>
    <w:rsid w:val="0043175B"/>
    <w:rsid w:val="00431766"/>
    <w:rsid w:val="00431D73"/>
    <w:rsid w:val="00431E18"/>
    <w:rsid w:val="00431F8D"/>
    <w:rsid w:val="004321FC"/>
    <w:rsid w:val="00432522"/>
    <w:rsid w:val="0043306D"/>
    <w:rsid w:val="004336C3"/>
    <w:rsid w:val="00434E3D"/>
    <w:rsid w:val="004351AD"/>
    <w:rsid w:val="00435316"/>
    <w:rsid w:val="0043543B"/>
    <w:rsid w:val="00435F5D"/>
    <w:rsid w:val="004363C9"/>
    <w:rsid w:val="00436BFB"/>
    <w:rsid w:val="00436FFB"/>
    <w:rsid w:val="004375A6"/>
    <w:rsid w:val="00437663"/>
    <w:rsid w:val="0044122D"/>
    <w:rsid w:val="004416FC"/>
    <w:rsid w:val="00441FB5"/>
    <w:rsid w:val="004423DC"/>
    <w:rsid w:val="00442E84"/>
    <w:rsid w:val="004433FC"/>
    <w:rsid w:val="004443EE"/>
    <w:rsid w:val="00446159"/>
    <w:rsid w:val="004464CF"/>
    <w:rsid w:val="00446546"/>
    <w:rsid w:val="00446F20"/>
    <w:rsid w:val="004471BD"/>
    <w:rsid w:val="004474E1"/>
    <w:rsid w:val="00447D9F"/>
    <w:rsid w:val="004501C3"/>
    <w:rsid w:val="00450242"/>
    <w:rsid w:val="00450261"/>
    <w:rsid w:val="00451300"/>
    <w:rsid w:val="004513D5"/>
    <w:rsid w:val="00451421"/>
    <w:rsid w:val="0045284D"/>
    <w:rsid w:val="00452990"/>
    <w:rsid w:val="00452B6F"/>
    <w:rsid w:val="00452C19"/>
    <w:rsid w:val="00452C63"/>
    <w:rsid w:val="00452FB5"/>
    <w:rsid w:val="00454090"/>
    <w:rsid w:val="00454348"/>
    <w:rsid w:val="00454624"/>
    <w:rsid w:val="00454631"/>
    <w:rsid w:val="0045497C"/>
    <w:rsid w:val="00454CA8"/>
    <w:rsid w:val="00454FCD"/>
    <w:rsid w:val="004557B2"/>
    <w:rsid w:val="0045692D"/>
    <w:rsid w:val="0045727C"/>
    <w:rsid w:val="00457B0C"/>
    <w:rsid w:val="00457DB7"/>
    <w:rsid w:val="00460022"/>
    <w:rsid w:val="00460991"/>
    <w:rsid w:val="004609A8"/>
    <w:rsid w:val="00460A48"/>
    <w:rsid w:val="00460BC7"/>
    <w:rsid w:val="004611A5"/>
    <w:rsid w:val="00461B15"/>
    <w:rsid w:val="00462A64"/>
    <w:rsid w:val="00462AD4"/>
    <w:rsid w:val="004632F2"/>
    <w:rsid w:val="00463594"/>
    <w:rsid w:val="004635B0"/>
    <w:rsid w:val="004635D8"/>
    <w:rsid w:val="00463ADC"/>
    <w:rsid w:val="00463BEF"/>
    <w:rsid w:val="00463DEE"/>
    <w:rsid w:val="00464A4B"/>
    <w:rsid w:val="004654C0"/>
    <w:rsid w:val="00465540"/>
    <w:rsid w:val="004659A9"/>
    <w:rsid w:val="00466736"/>
    <w:rsid w:val="00466935"/>
    <w:rsid w:val="00466AA1"/>
    <w:rsid w:val="0046756F"/>
    <w:rsid w:val="00467ADD"/>
    <w:rsid w:val="00467B9F"/>
    <w:rsid w:val="00470278"/>
    <w:rsid w:val="00470856"/>
    <w:rsid w:val="00470FAE"/>
    <w:rsid w:val="0047120E"/>
    <w:rsid w:val="004713C5"/>
    <w:rsid w:val="00471AC2"/>
    <w:rsid w:val="004732BB"/>
    <w:rsid w:val="00474FA7"/>
    <w:rsid w:val="00475602"/>
    <w:rsid w:val="004757F1"/>
    <w:rsid w:val="00476E93"/>
    <w:rsid w:val="00477339"/>
    <w:rsid w:val="004775C5"/>
    <w:rsid w:val="004778CC"/>
    <w:rsid w:val="00480691"/>
    <w:rsid w:val="00481911"/>
    <w:rsid w:val="004825FA"/>
    <w:rsid w:val="00482A10"/>
    <w:rsid w:val="00483018"/>
    <w:rsid w:val="004842B9"/>
    <w:rsid w:val="0048480D"/>
    <w:rsid w:val="00484BD6"/>
    <w:rsid w:val="00484C22"/>
    <w:rsid w:val="00484F52"/>
    <w:rsid w:val="00486146"/>
    <w:rsid w:val="00486475"/>
    <w:rsid w:val="00487108"/>
    <w:rsid w:val="00487F56"/>
    <w:rsid w:val="00490313"/>
    <w:rsid w:val="004906F0"/>
    <w:rsid w:val="004916B2"/>
    <w:rsid w:val="00491745"/>
    <w:rsid w:val="00491B2F"/>
    <w:rsid w:val="00491C74"/>
    <w:rsid w:val="00492114"/>
    <w:rsid w:val="0049270B"/>
    <w:rsid w:val="00492F26"/>
    <w:rsid w:val="004935D6"/>
    <w:rsid w:val="004936C8"/>
    <w:rsid w:val="00493845"/>
    <w:rsid w:val="00493A73"/>
    <w:rsid w:val="00494FAE"/>
    <w:rsid w:val="0049651A"/>
    <w:rsid w:val="00496906"/>
    <w:rsid w:val="0049759C"/>
    <w:rsid w:val="004979FD"/>
    <w:rsid w:val="00497D37"/>
    <w:rsid w:val="00497F14"/>
    <w:rsid w:val="004A0EDB"/>
    <w:rsid w:val="004A0FDE"/>
    <w:rsid w:val="004A0FDF"/>
    <w:rsid w:val="004A1283"/>
    <w:rsid w:val="004A1FC9"/>
    <w:rsid w:val="004A1FF8"/>
    <w:rsid w:val="004A27D5"/>
    <w:rsid w:val="004A2846"/>
    <w:rsid w:val="004A34EF"/>
    <w:rsid w:val="004A3602"/>
    <w:rsid w:val="004A37D5"/>
    <w:rsid w:val="004A3932"/>
    <w:rsid w:val="004A394E"/>
    <w:rsid w:val="004A3A0A"/>
    <w:rsid w:val="004A40EF"/>
    <w:rsid w:val="004A4454"/>
    <w:rsid w:val="004A4688"/>
    <w:rsid w:val="004A4CB1"/>
    <w:rsid w:val="004A5A60"/>
    <w:rsid w:val="004A62FA"/>
    <w:rsid w:val="004A6385"/>
    <w:rsid w:val="004A6E7A"/>
    <w:rsid w:val="004A7125"/>
    <w:rsid w:val="004A7822"/>
    <w:rsid w:val="004A782E"/>
    <w:rsid w:val="004A7CF8"/>
    <w:rsid w:val="004B08C1"/>
    <w:rsid w:val="004B0B11"/>
    <w:rsid w:val="004B0DD5"/>
    <w:rsid w:val="004B212A"/>
    <w:rsid w:val="004B23E0"/>
    <w:rsid w:val="004B299E"/>
    <w:rsid w:val="004B2D06"/>
    <w:rsid w:val="004B2D9B"/>
    <w:rsid w:val="004B3F57"/>
    <w:rsid w:val="004B40B3"/>
    <w:rsid w:val="004B4CAB"/>
    <w:rsid w:val="004B4F26"/>
    <w:rsid w:val="004B4F50"/>
    <w:rsid w:val="004B5235"/>
    <w:rsid w:val="004B62E2"/>
    <w:rsid w:val="004B6778"/>
    <w:rsid w:val="004B6802"/>
    <w:rsid w:val="004B6BAD"/>
    <w:rsid w:val="004B6E34"/>
    <w:rsid w:val="004B7293"/>
    <w:rsid w:val="004B732A"/>
    <w:rsid w:val="004B7798"/>
    <w:rsid w:val="004B7D1B"/>
    <w:rsid w:val="004B7F13"/>
    <w:rsid w:val="004C03FE"/>
    <w:rsid w:val="004C0F00"/>
    <w:rsid w:val="004C1045"/>
    <w:rsid w:val="004C18A4"/>
    <w:rsid w:val="004C1DF6"/>
    <w:rsid w:val="004C2A40"/>
    <w:rsid w:val="004C2C13"/>
    <w:rsid w:val="004C30A7"/>
    <w:rsid w:val="004C355E"/>
    <w:rsid w:val="004C3F87"/>
    <w:rsid w:val="004C4DEE"/>
    <w:rsid w:val="004C586C"/>
    <w:rsid w:val="004C5A2B"/>
    <w:rsid w:val="004C5D05"/>
    <w:rsid w:val="004C65A6"/>
    <w:rsid w:val="004C6AEB"/>
    <w:rsid w:val="004C6BBC"/>
    <w:rsid w:val="004C7808"/>
    <w:rsid w:val="004C7A79"/>
    <w:rsid w:val="004C7D9C"/>
    <w:rsid w:val="004D022D"/>
    <w:rsid w:val="004D0265"/>
    <w:rsid w:val="004D0401"/>
    <w:rsid w:val="004D0442"/>
    <w:rsid w:val="004D08E9"/>
    <w:rsid w:val="004D0E20"/>
    <w:rsid w:val="004D0F25"/>
    <w:rsid w:val="004D104C"/>
    <w:rsid w:val="004D1195"/>
    <w:rsid w:val="004D25F3"/>
    <w:rsid w:val="004D2C62"/>
    <w:rsid w:val="004D3193"/>
    <w:rsid w:val="004D357A"/>
    <w:rsid w:val="004D3969"/>
    <w:rsid w:val="004D3C57"/>
    <w:rsid w:val="004D4356"/>
    <w:rsid w:val="004D4443"/>
    <w:rsid w:val="004D467B"/>
    <w:rsid w:val="004D46C9"/>
    <w:rsid w:val="004D4D70"/>
    <w:rsid w:val="004D4DF7"/>
    <w:rsid w:val="004D529C"/>
    <w:rsid w:val="004D6499"/>
    <w:rsid w:val="004D6FB3"/>
    <w:rsid w:val="004D7B4D"/>
    <w:rsid w:val="004E0680"/>
    <w:rsid w:val="004E1516"/>
    <w:rsid w:val="004E18C9"/>
    <w:rsid w:val="004E1B20"/>
    <w:rsid w:val="004E1BD9"/>
    <w:rsid w:val="004E23AE"/>
    <w:rsid w:val="004E2F29"/>
    <w:rsid w:val="004E302B"/>
    <w:rsid w:val="004E3104"/>
    <w:rsid w:val="004E338B"/>
    <w:rsid w:val="004E3774"/>
    <w:rsid w:val="004E37F9"/>
    <w:rsid w:val="004E3889"/>
    <w:rsid w:val="004E438A"/>
    <w:rsid w:val="004E4752"/>
    <w:rsid w:val="004E4A2C"/>
    <w:rsid w:val="004E4F1A"/>
    <w:rsid w:val="004E54E9"/>
    <w:rsid w:val="004E5688"/>
    <w:rsid w:val="004E5827"/>
    <w:rsid w:val="004E5AC3"/>
    <w:rsid w:val="004E68AC"/>
    <w:rsid w:val="004E6E91"/>
    <w:rsid w:val="004E70F8"/>
    <w:rsid w:val="004F01D6"/>
    <w:rsid w:val="004F0254"/>
    <w:rsid w:val="004F09AA"/>
    <w:rsid w:val="004F1BF8"/>
    <w:rsid w:val="004F2117"/>
    <w:rsid w:val="004F2496"/>
    <w:rsid w:val="004F279D"/>
    <w:rsid w:val="004F2A61"/>
    <w:rsid w:val="004F34EF"/>
    <w:rsid w:val="004F37C1"/>
    <w:rsid w:val="004F42D5"/>
    <w:rsid w:val="004F51A7"/>
    <w:rsid w:val="004F5692"/>
    <w:rsid w:val="004F5C4D"/>
    <w:rsid w:val="004F6049"/>
    <w:rsid w:val="004F65C3"/>
    <w:rsid w:val="00500195"/>
    <w:rsid w:val="00500637"/>
    <w:rsid w:val="0050078E"/>
    <w:rsid w:val="005008AC"/>
    <w:rsid w:val="0050140C"/>
    <w:rsid w:val="00501AAA"/>
    <w:rsid w:val="0050242C"/>
    <w:rsid w:val="005025E3"/>
    <w:rsid w:val="0050281F"/>
    <w:rsid w:val="0050482F"/>
    <w:rsid w:val="00504921"/>
    <w:rsid w:val="0050497F"/>
    <w:rsid w:val="005056AD"/>
    <w:rsid w:val="00505C9C"/>
    <w:rsid w:val="00505ED7"/>
    <w:rsid w:val="0050609C"/>
    <w:rsid w:val="00506AB1"/>
    <w:rsid w:val="00507426"/>
    <w:rsid w:val="00507818"/>
    <w:rsid w:val="00507B24"/>
    <w:rsid w:val="00510118"/>
    <w:rsid w:val="00511220"/>
    <w:rsid w:val="00511EC0"/>
    <w:rsid w:val="00511ED5"/>
    <w:rsid w:val="005123BD"/>
    <w:rsid w:val="005125DE"/>
    <w:rsid w:val="005133E3"/>
    <w:rsid w:val="005135B4"/>
    <w:rsid w:val="005138CD"/>
    <w:rsid w:val="00513947"/>
    <w:rsid w:val="005139ED"/>
    <w:rsid w:val="005145E5"/>
    <w:rsid w:val="00514A9C"/>
    <w:rsid w:val="00515158"/>
    <w:rsid w:val="0051617F"/>
    <w:rsid w:val="005163F2"/>
    <w:rsid w:val="005164A1"/>
    <w:rsid w:val="005165FD"/>
    <w:rsid w:val="0051667E"/>
    <w:rsid w:val="0051695B"/>
    <w:rsid w:val="00517D75"/>
    <w:rsid w:val="0052098F"/>
    <w:rsid w:val="00520CDD"/>
    <w:rsid w:val="0052152B"/>
    <w:rsid w:val="00521F24"/>
    <w:rsid w:val="00521FAE"/>
    <w:rsid w:val="005221F6"/>
    <w:rsid w:val="005234C4"/>
    <w:rsid w:val="005234D8"/>
    <w:rsid w:val="005235F2"/>
    <w:rsid w:val="005238FD"/>
    <w:rsid w:val="00523D26"/>
    <w:rsid w:val="00524499"/>
    <w:rsid w:val="005251DE"/>
    <w:rsid w:val="00525810"/>
    <w:rsid w:val="00525CE5"/>
    <w:rsid w:val="0052667C"/>
    <w:rsid w:val="00526BF6"/>
    <w:rsid w:val="00526C08"/>
    <w:rsid w:val="00527533"/>
    <w:rsid w:val="00527EE5"/>
    <w:rsid w:val="00531B89"/>
    <w:rsid w:val="00532394"/>
    <w:rsid w:val="005323F4"/>
    <w:rsid w:val="00532958"/>
    <w:rsid w:val="00533216"/>
    <w:rsid w:val="00533DA4"/>
    <w:rsid w:val="00533FD6"/>
    <w:rsid w:val="00534633"/>
    <w:rsid w:val="00534766"/>
    <w:rsid w:val="00534AB6"/>
    <w:rsid w:val="00534D0F"/>
    <w:rsid w:val="005351CD"/>
    <w:rsid w:val="005361EE"/>
    <w:rsid w:val="00536735"/>
    <w:rsid w:val="00536B57"/>
    <w:rsid w:val="00536B7D"/>
    <w:rsid w:val="00536C14"/>
    <w:rsid w:val="00536D83"/>
    <w:rsid w:val="0053775C"/>
    <w:rsid w:val="005377BC"/>
    <w:rsid w:val="0053784E"/>
    <w:rsid w:val="00537EC5"/>
    <w:rsid w:val="00540954"/>
    <w:rsid w:val="00540EA0"/>
    <w:rsid w:val="005411F5"/>
    <w:rsid w:val="0054167C"/>
    <w:rsid w:val="005419DD"/>
    <w:rsid w:val="005427A3"/>
    <w:rsid w:val="00542AD1"/>
    <w:rsid w:val="00544DCD"/>
    <w:rsid w:val="00545EDB"/>
    <w:rsid w:val="00545FB4"/>
    <w:rsid w:val="0054678E"/>
    <w:rsid w:val="00546C12"/>
    <w:rsid w:val="00547386"/>
    <w:rsid w:val="00547484"/>
    <w:rsid w:val="00547B63"/>
    <w:rsid w:val="00550296"/>
    <w:rsid w:val="0055039F"/>
    <w:rsid w:val="005503F2"/>
    <w:rsid w:val="00550B0E"/>
    <w:rsid w:val="00550D69"/>
    <w:rsid w:val="005510A3"/>
    <w:rsid w:val="00551580"/>
    <w:rsid w:val="005517DD"/>
    <w:rsid w:val="0055186A"/>
    <w:rsid w:val="00551AD3"/>
    <w:rsid w:val="00552149"/>
    <w:rsid w:val="0055302B"/>
    <w:rsid w:val="0055333C"/>
    <w:rsid w:val="005533E1"/>
    <w:rsid w:val="00553A87"/>
    <w:rsid w:val="00553AFE"/>
    <w:rsid w:val="00554642"/>
    <w:rsid w:val="005547E7"/>
    <w:rsid w:val="00554916"/>
    <w:rsid w:val="005549B1"/>
    <w:rsid w:val="00554A21"/>
    <w:rsid w:val="00554A3E"/>
    <w:rsid w:val="00555462"/>
    <w:rsid w:val="00556E8C"/>
    <w:rsid w:val="005572E0"/>
    <w:rsid w:val="00557937"/>
    <w:rsid w:val="00560011"/>
    <w:rsid w:val="00560BFC"/>
    <w:rsid w:val="005613E6"/>
    <w:rsid w:val="005619B7"/>
    <w:rsid w:val="00562761"/>
    <w:rsid w:val="00562931"/>
    <w:rsid w:val="00563C2D"/>
    <w:rsid w:val="00563FE5"/>
    <w:rsid w:val="005649CE"/>
    <w:rsid w:val="00565217"/>
    <w:rsid w:val="00565B2C"/>
    <w:rsid w:val="005663A8"/>
    <w:rsid w:val="005666C5"/>
    <w:rsid w:val="00566AB6"/>
    <w:rsid w:val="00567059"/>
    <w:rsid w:val="00567633"/>
    <w:rsid w:val="0056766F"/>
    <w:rsid w:val="00567759"/>
    <w:rsid w:val="00567905"/>
    <w:rsid w:val="00570454"/>
    <w:rsid w:val="00571219"/>
    <w:rsid w:val="005715FE"/>
    <w:rsid w:val="0057198F"/>
    <w:rsid w:val="00571E94"/>
    <w:rsid w:val="00572403"/>
    <w:rsid w:val="005724CD"/>
    <w:rsid w:val="005724D8"/>
    <w:rsid w:val="0057310A"/>
    <w:rsid w:val="0057312C"/>
    <w:rsid w:val="00573D69"/>
    <w:rsid w:val="00573FCE"/>
    <w:rsid w:val="0057425A"/>
    <w:rsid w:val="0057471D"/>
    <w:rsid w:val="0057491D"/>
    <w:rsid w:val="00574C2B"/>
    <w:rsid w:val="005758E5"/>
    <w:rsid w:val="00575C75"/>
    <w:rsid w:val="005762D9"/>
    <w:rsid w:val="00576820"/>
    <w:rsid w:val="00576B4E"/>
    <w:rsid w:val="00580447"/>
    <w:rsid w:val="005804F9"/>
    <w:rsid w:val="005815F5"/>
    <w:rsid w:val="00581860"/>
    <w:rsid w:val="00581BDE"/>
    <w:rsid w:val="005838D7"/>
    <w:rsid w:val="00583A75"/>
    <w:rsid w:val="00583C17"/>
    <w:rsid w:val="00583D4B"/>
    <w:rsid w:val="00584424"/>
    <w:rsid w:val="0058506C"/>
    <w:rsid w:val="00585687"/>
    <w:rsid w:val="005857C8"/>
    <w:rsid w:val="00585934"/>
    <w:rsid w:val="005865E3"/>
    <w:rsid w:val="00586C93"/>
    <w:rsid w:val="00586EB5"/>
    <w:rsid w:val="00587328"/>
    <w:rsid w:val="00587848"/>
    <w:rsid w:val="005879DB"/>
    <w:rsid w:val="00587D4F"/>
    <w:rsid w:val="005901D7"/>
    <w:rsid w:val="0059089F"/>
    <w:rsid w:val="00590FEF"/>
    <w:rsid w:val="005915F4"/>
    <w:rsid w:val="00591856"/>
    <w:rsid w:val="005919A4"/>
    <w:rsid w:val="0059243F"/>
    <w:rsid w:val="0059279D"/>
    <w:rsid w:val="00592A20"/>
    <w:rsid w:val="00593841"/>
    <w:rsid w:val="00594B06"/>
    <w:rsid w:val="0059542D"/>
    <w:rsid w:val="00596862"/>
    <w:rsid w:val="00597380"/>
    <w:rsid w:val="00597451"/>
    <w:rsid w:val="0059768C"/>
    <w:rsid w:val="005A0524"/>
    <w:rsid w:val="005A0D3E"/>
    <w:rsid w:val="005A118F"/>
    <w:rsid w:val="005A202D"/>
    <w:rsid w:val="005A2E6F"/>
    <w:rsid w:val="005A3293"/>
    <w:rsid w:val="005A33B4"/>
    <w:rsid w:val="005A344E"/>
    <w:rsid w:val="005A36BF"/>
    <w:rsid w:val="005A372D"/>
    <w:rsid w:val="005A382E"/>
    <w:rsid w:val="005A4E17"/>
    <w:rsid w:val="005A4E69"/>
    <w:rsid w:val="005A593A"/>
    <w:rsid w:val="005A5F27"/>
    <w:rsid w:val="005A63B2"/>
    <w:rsid w:val="005A6733"/>
    <w:rsid w:val="005A67E5"/>
    <w:rsid w:val="005A6957"/>
    <w:rsid w:val="005A6EC5"/>
    <w:rsid w:val="005A6EDB"/>
    <w:rsid w:val="005A7BD3"/>
    <w:rsid w:val="005B01BE"/>
    <w:rsid w:val="005B028E"/>
    <w:rsid w:val="005B030E"/>
    <w:rsid w:val="005B0A62"/>
    <w:rsid w:val="005B0E4C"/>
    <w:rsid w:val="005B10F6"/>
    <w:rsid w:val="005B12CF"/>
    <w:rsid w:val="005B139D"/>
    <w:rsid w:val="005B152D"/>
    <w:rsid w:val="005B22B8"/>
    <w:rsid w:val="005B275E"/>
    <w:rsid w:val="005B2779"/>
    <w:rsid w:val="005B2B7A"/>
    <w:rsid w:val="005B30CD"/>
    <w:rsid w:val="005B3741"/>
    <w:rsid w:val="005B3970"/>
    <w:rsid w:val="005B3988"/>
    <w:rsid w:val="005B3BFB"/>
    <w:rsid w:val="005B3CAE"/>
    <w:rsid w:val="005B3CF7"/>
    <w:rsid w:val="005B40B7"/>
    <w:rsid w:val="005B43C8"/>
    <w:rsid w:val="005B43DC"/>
    <w:rsid w:val="005B45C8"/>
    <w:rsid w:val="005B49FD"/>
    <w:rsid w:val="005B4C34"/>
    <w:rsid w:val="005B58CB"/>
    <w:rsid w:val="005B6C8C"/>
    <w:rsid w:val="005B6E07"/>
    <w:rsid w:val="005B7ECA"/>
    <w:rsid w:val="005B7F5D"/>
    <w:rsid w:val="005C07FF"/>
    <w:rsid w:val="005C1508"/>
    <w:rsid w:val="005C1687"/>
    <w:rsid w:val="005C193E"/>
    <w:rsid w:val="005C21B5"/>
    <w:rsid w:val="005C2781"/>
    <w:rsid w:val="005C2DDA"/>
    <w:rsid w:val="005C3270"/>
    <w:rsid w:val="005C35B5"/>
    <w:rsid w:val="005C378B"/>
    <w:rsid w:val="005C3A19"/>
    <w:rsid w:val="005C3A77"/>
    <w:rsid w:val="005C3BDF"/>
    <w:rsid w:val="005C3F2E"/>
    <w:rsid w:val="005C4B4E"/>
    <w:rsid w:val="005C4CC7"/>
    <w:rsid w:val="005C51C8"/>
    <w:rsid w:val="005C5220"/>
    <w:rsid w:val="005C5235"/>
    <w:rsid w:val="005C5835"/>
    <w:rsid w:val="005C5C21"/>
    <w:rsid w:val="005C6007"/>
    <w:rsid w:val="005C61FD"/>
    <w:rsid w:val="005D0AB1"/>
    <w:rsid w:val="005D0E76"/>
    <w:rsid w:val="005D2306"/>
    <w:rsid w:val="005D2EAB"/>
    <w:rsid w:val="005D39DF"/>
    <w:rsid w:val="005D429E"/>
    <w:rsid w:val="005D54B0"/>
    <w:rsid w:val="005D5810"/>
    <w:rsid w:val="005D5A9B"/>
    <w:rsid w:val="005D5CE9"/>
    <w:rsid w:val="005D5FB9"/>
    <w:rsid w:val="005D6233"/>
    <w:rsid w:val="005D6363"/>
    <w:rsid w:val="005D64C5"/>
    <w:rsid w:val="005D6570"/>
    <w:rsid w:val="005D7E70"/>
    <w:rsid w:val="005E066F"/>
    <w:rsid w:val="005E0A50"/>
    <w:rsid w:val="005E0A89"/>
    <w:rsid w:val="005E0E5A"/>
    <w:rsid w:val="005E19EB"/>
    <w:rsid w:val="005E1A1C"/>
    <w:rsid w:val="005E2D4E"/>
    <w:rsid w:val="005E2EC9"/>
    <w:rsid w:val="005E3596"/>
    <w:rsid w:val="005E3CC5"/>
    <w:rsid w:val="005E499E"/>
    <w:rsid w:val="005E49E9"/>
    <w:rsid w:val="005E54B4"/>
    <w:rsid w:val="005E55DF"/>
    <w:rsid w:val="005E57C4"/>
    <w:rsid w:val="005E5EAA"/>
    <w:rsid w:val="005E6138"/>
    <w:rsid w:val="005E662E"/>
    <w:rsid w:val="005E68F3"/>
    <w:rsid w:val="005E6E37"/>
    <w:rsid w:val="005E7177"/>
    <w:rsid w:val="005E7327"/>
    <w:rsid w:val="005E7477"/>
    <w:rsid w:val="005E78C2"/>
    <w:rsid w:val="005E7C41"/>
    <w:rsid w:val="005F017C"/>
    <w:rsid w:val="005F09DB"/>
    <w:rsid w:val="005F0D70"/>
    <w:rsid w:val="005F1208"/>
    <w:rsid w:val="005F1472"/>
    <w:rsid w:val="005F1F6D"/>
    <w:rsid w:val="005F2603"/>
    <w:rsid w:val="005F3F7C"/>
    <w:rsid w:val="005F43B6"/>
    <w:rsid w:val="005F4BC9"/>
    <w:rsid w:val="005F5AA3"/>
    <w:rsid w:val="005F5B4B"/>
    <w:rsid w:val="005F5CBE"/>
    <w:rsid w:val="005F60D9"/>
    <w:rsid w:val="005F6478"/>
    <w:rsid w:val="005F65E9"/>
    <w:rsid w:val="005F6E1F"/>
    <w:rsid w:val="005F76B7"/>
    <w:rsid w:val="005F772F"/>
    <w:rsid w:val="005F7CA9"/>
    <w:rsid w:val="0060034D"/>
    <w:rsid w:val="00600F3B"/>
    <w:rsid w:val="00601EF1"/>
    <w:rsid w:val="0060267A"/>
    <w:rsid w:val="006026C8"/>
    <w:rsid w:val="0060302D"/>
    <w:rsid w:val="0060308F"/>
    <w:rsid w:val="00604189"/>
    <w:rsid w:val="00604354"/>
    <w:rsid w:val="00605413"/>
    <w:rsid w:val="006059BE"/>
    <w:rsid w:val="00605D04"/>
    <w:rsid w:val="00606981"/>
    <w:rsid w:val="006073A6"/>
    <w:rsid w:val="00607D62"/>
    <w:rsid w:val="00610A9E"/>
    <w:rsid w:val="00610D78"/>
    <w:rsid w:val="00610E1A"/>
    <w:rsid w:val="00611413"/>
    <w:rsid w:val="006118BB"/>
    <w:rsid w:val="00612334"/>
    <w:rsid w:val="0061248B"/>
    <w:rsid w:val="0061261F"/>
    <w:rsid w:val="006128B4"/>
    <w:rsid w:val="00612CCF"/>
    <w:rsid w:val="00612EFE"/>
    <w:rsid w:val="00613576"/>
    <w:rsid w:val="00613B26"/>
    <w:rsid w:val="0061418F"/>
    <w:rsid w:val="00614338"/>
    <w:rsid w:val="00614B7A"/>
    <w:rsid w:val="0061543A"/>
    <w:rsid w:val="006156D9"/>
    <w:rsid w:val="006157A0"/>
    <w:rsid w:val="006158FB"/>
    <w:rsid w:val="0061593A"/>
    <w:rsid w:val="00615B01"/>
    <w:rsid w:val="00616308"/>
    <w:rsid w:val="0061635E"/>
    <w:rsid w:val="006172FD"/>
    <w:rsid w:val="006174D4"/>
    <w:rsid w:val="00617A18"/>
    <w:rsid w:val="00617C9C"/>
    <w:rsid w:val="00620D0E"/>
    <w:rsid w:val="006221C6"/>
    <w:rsid w:val="00622533"/>
    <w:rsid w:val="00622711"/>
    <w:rsid w:val="00623454"/>
    <w:rsid w:val="00623E62"/>
    <w:rsid w:val="0062432A"/>
    <w:rsid w:val="00624330"/>
    <w:rsid w:val="006246DC"/>
    <w:rsid w:val="00624A68"/>
    <w:rsid w:val="00624EBB"/>
    <w:rsid w:val="0062572E"/>
    <w:rsid w:val="00626442"/>
    <w:rsid w:val="00626683"/>
    <w:rsid w:val="00627D71"/>
    <w:rsid w:val="00627DC1"/>
    <w:rsid w:val="00627EC0"/>
    <w:rsid w:val="006300BF"/>
    <w:rsid w:val="00630183"/>
    <w:rsid w:val="00630CFA"/>
    <w:rsid w:val="00631A73"/>
    <w:rsid w:val="00631B12"/>
    <w:rsid w:val="00631B7C"/>
    <w:rsid w:val="006322A7"/>
    <w:rsid w:val="00632691"/>
    <w:rsid w:val="00632F46"/>
    <w:rsid w:val="006339AE"/>
    <w:rsid w:val="006342FD"/>
    <w:rsid w:val="00634713"/>
    <w:rsid w:val="00634CDA"/>
    <w:rsid w:val="00634E7B"/>
    <w:rsid w:val="006363AE"/>
    <w:rsid w:val="00636647"/>
    <w:rsid w:val="00636E8B"/>
    <w:rsid w:val="00637C24"/>
    <w:rsid w:val="00640861"/>
    <w:rsid w:val="00640AA3"/>
    <w:rsid w:val="00641158"/>
    <w:rsid w:val="00641976"/>
    <w:rsid w:val="00641EB1"/>
    <w:rsid w:val="006420AA"/>
    <w:rsid w:val="006421E8"/>
    <w:rsid w:val="006428B1"/>
    <w:rsid w:val="00643D83"/>
    <w:rsid w:val="00643E0C"/>
    <w:rsid w:val="00644000"/>
    <w:rsid w:val="006442D4"/>
    <w:rsid w:val="00644532"/>
    <w:rsid w:val="0064495D"/>
    <w:rsid w:val="00644AF6"/>
    <w:rsid w:val="00644E61"/>
    <w:rsid w:val="006450D3"/>
    <w:rsid w:val="00645692"/>
    <w:rsid w:val="006456D6"/>
    <w:rsid w:val="00646142"/>
    <w:rsid w:val="006462EE"/>
    <w:rsid w:val="00646781"/>
    <w:rsid w:val="0064720B"/>
    <w:rsid w:val="0064783D"/>
    <w:rsid w:val="00647DC3"/>
    <w:rsid w:val="00647DC5"/>
    <w:rsid w:val="006500DC"/>
    <w:rsid w:val="00650DF0"/>
    <w:rsid w:val="00650E29"/>
    <w:rsid w:val="00651033"/>
    <w:rsid w:val="006528C3"/>
    <w:rsid w:val="006531B8"/>
    <w:rsid w:val="006536FC"/>
    <w:rsid w:val="0065447E"/>
    <w:rsid w:val="00654595"/>
    <w:rsid w:val="00654651"/>
    <w:rsid w:val="00654DC1"/>
    <w:rsid w:val="00655441"/>
    <w:rsid w:val="00655B1C"/>
    <w:rsid w:val="00656320"/>
    <w:rsid w:val="00656DA7"/>
    <w:rsid w:val="00657383"/>
    <w:rsid w:val="00657DCF"/>
    <w:rsid w:val="00660417"/>
    <w:rsid w:val="00660F7F"/>
    <w:rsid w:val="00661019"/>
    <w:rsid w:val="00661432"/>
    <w:rsid w:val="0066183E"/>
    <w:rsid w:val="00661BB1"/>
    <w:rsid w:val="00661DD0"/>
    <w:rsid w:val="00662CD4"/>
    <w:rsid w:val="00663232"/>
    <w:rsid w:val="00663450"/>
    <w:rsid w:val="006640C3"/>
    <w:rsid w:val="00665697"/>
    <w:rsid w:val="006658DB"/>
    <w:rsid w:val="006659DE"/>
    <w:rsid w:val="006664C6"/>
    <w:rsid w:val="00667958"/>
    <w:rsid w:val="00667EC1"/>
    <w:rsid w:val="00670B77"/>
    <w:rsid w:val="00670C6B"/>
    <w:rsid w:val="0067154A"/>
    <w:rsid w:val="00671F13"/>
    <w:rsid w:val="00672013"/>
    <w:rsid w:val="00672CC0"/>
    <w:rsid w:val="006736B6"/>
    <w:rsid w:val="00674053"/>
    <w:rsid w:val="00674693"/>
    <w:rsid w:val="0067518F"/>
    <w:rsid w:val="00675FFD"/>
    <w:rsid w:val="0067601C"/>
    <w:rsid w:val="0067653C"/>
    <w:rsid w:val="0067690E"/>
    <w:rsid w:val="006769FA"/>
    <w:rsid w:val="00676ED4"/>
    <w:rsid w:val="006804E7"/>
    <w:rsid w:val="006806B1"/>
    <w:rsid w:val="00680C2D"/>
    <w:rsid w:val="00680CCD"/>
    <w:rsid w:val="00680F66"/>
    <w:rsid w:val="00680FE6"/>
    <w:rsid w:val="00681B4B"/>
    <w:rsid w:val="00681C21"/>
    <w:rsid w:val="00681C6F"/>
    <w:rsid w:val="00681E39"/>
    <w:rsid w:val="00682147"/>
    <w:rsid w:val="00682378"/>
    <w:rsid w:val="00682C72"/>
    <w:rsid w:val="0068374D"/>
    <w:rsid w:val="00683823"/>
    <w:rsid w:val="0068394E"/>
    <w:rsid w:val="00683F5A"/>
    <w:rsid w:val="00684C98"/>
    <w:rsid w:val="00684F5C"/>
    <w:rsid w:val="0068506E"/>
    <w:rsid w:val="006859F5"/>
    <w:rsid w:val="0068645C"/>
    <w:rsid w:val="006865AE"/>
    <w:rsid w:val="0068718C"/>
    <w:rsid w:val="0068729C"/>
    <w:rsid w:val="006872FA"/>
    <w:rsid w:val="0068735F"/>
    <w:rsid w:val="00687382"/>
    <w:rsid w:val="006902BC"/>
    <w:rsid w:val="00690A69"/>
    <w:rsid w:val="00690BEE"/>
    <w:rsid w:val="0069103E"/>
    <w:rsid w:val="00691432"/>
    <w:rsid w:val="00691E2E"/>
    <w:rsid w:val="006924F9"/>
    <w:rsid w:val="00692674"/>
    <w:rsid w:val="00693040"/>
    <w:rsid w:val="00693376"/>
    <w:rsid w:val="00693D94"/>
    <w:rsid w:val="0069412A"/>
    <w:rsid w:val="006942B0"/>
    <w:rsid w:val="0069443B"/>
    <w:rsid w:val="006949B9"/>
    <w:rsid w:val="00694A03"/>
    <w:rsid w:val="00694A9B"/>
    <w:rsid w:val="00694CE0"/>
    <w:rsid w:val="00694CFD"/>
    <w:rsid w:val="00695CB3"/>
    <w:rsid w:val="00696456"/>
    <w:rsid w:val="00696494"/>
    <w:rsid w:val="0069663F"/>
    <w:rsid w:val="00697699"/>
    <w:rsid w:val="006A042C"/>
    <w:rsid w:val="006A0717"/>
    <w:rsid w:val="006A0AC0"/>
    <w:rsid w:val="006A0E59"/>
    <w:rsid w:val="006A1731"/>
    <w:rsid w:val="006A21B8"/>
    <w:rsid w:val="006A23B6"/>
    <w:rsid w:val="006A2483"/>
    <w:rsid w:val="006A34C9"/>
    <w:rsid w:val="006A432F"/>
    <w:rsid w:val="006A44A0"/>
    <w:rsid w:val="006A507F"/>
    <w:rsid w:val="006A50C2"/>
    <w:rsid w:val="006A6ACC"/>
    <w:rsid w:val="006A741A"/>
    <w:rsid w:val="006B0006"/>
    <w:rsid w:val="006B0464"/>
    <w:rsid w:val="006B0632"/>
    <w:rsid w:val="006B0668"/>
    <w:rsid w:val="006B0C25"/>
    <w:rsid w:val="006B136D"/>
    <w:rsid w:val="006B1B24"/>
    <w:rsid w:val="006B1E1B"/>
    <w:rsid w:val="006B20C9"/>
    <w:rsid w:val="006B2413"/>
    <w:rsid w:val="006B28B3"/>
    <w:rsid w:val="006B29CE"/>
    <w:rsid w:val="006B34BC"/>
    <w:rsid w:val="006B364B"/>
    <w:rsid w:val="006B3876"/>
    <w:rsid w:val="006B3CA2"/>
    <w:rsid w:val="006B3D09"/>
    <w:rsid w:val="006B4BC9"/>
    <w:rsid w:val="006B5367"/>
    <w:rsid w:val="006B6F7D"/>
    <w:rsid w:val="006B7582"/>
    <w:rsid w:val="006B7BB8"/>
    <w:rsid w:val="006C0ADB"/>
    <w:rsid w:val="006C1379"/>
    <w:rsid w:val="006C164B"/>
    <w:rsid w:val="006C20CA"/>
    <w:rsid w:val="006C212D"/>
    <w:rsid w:val="006C2631"/>
    <w:rsid w:val="006C2B3D"/>
    <w:rsid w:val="006C2CA9"/>
    <w:rsid w:val="006C2ED5"/>
    <w:rsid w:val="006C3054"/>
    <w:rsid w:val="006C36BF"/>
    <w:rsid w:val="006C3E71"/>
    <w:rsid w:val="006C4090"/>
    <w:rsid w:val="006C40D0"/>
    <w:rsid w:val="006C4275"/>
    <w:rsid w:val="006C45E4"/>
    <w:rsid w:val="006C4BF5"/>
    <w:rsid w:val="006C4C68"/>
    <w:rsid w:val="006C593A"/>
    <w:rsid w:val="006C5B7B"/>
    <w:rsid w:val="006C5CA4"/>
    <w:rsid w:val="006C5E7C"/>
    <w:rsid w:val="006C62C5"/>
    <w:rsid w:val="006C69C0"/>
    <w:rsid w:val="006C7222"/>
    <w:rsid w:val="006C7522"/>
    <w:rsid w:val="006C7704"/>
    <w:rsid w:val="006C774D"/>
    <w:rsid w:val="006C7CA6"/>
    <w:rsid w:val="006C7F4B"/>
    <w:rsid w:val="006D054F"/>
    <w:rsid w:val="006D09B4"/>
    <w:rsid w:val="006D0A45"/>
    <w:rsid w:val="006D0D13"/>
    <w:rsid w:val="006D156A"/>
    <w:rsid w:val="006D2187"/>
    <w:rsid w:val="006D237F"/>
    <w:rsid w:val="006D24B8"/>
    <w:rsid w:val="006D2AEA"/>
    <w:rsid w:val="006D2C89"/>
    <w:rsid w:val="006D2DBE"/>
    <w:rsid w:val="006D365B"/>
    <w:rsid w:val="006D4CAB"/>
    <w:rsid w:val="006D54A7"/>
    <w:rsid w:val="006D5918"/>
    <w:rsid w:val="006D5BA0"/>
    <w:rsid w:val="006D5D67"/>
    <w:rsid w:val="006D67E8"/>
    <w:rsid w:val="006D6A55"/>
    <w:rsid w:val="006E0014"/>
    <w:rsid w:val="006E0810"/>
    <w:rsid w:val="006E14BD"/>
    <w:rsid w:val="006E17FF"/>
    <w:rsid w:val="006E1EB3"/>
    <w:rsid w:val="006E1F6C"/>
    <w:rsid w:val="006E40BD"/>
    <w:rsid w:val="006E4C13"/>
    <w:rsid w:val="006E5855"/>
    <w:rsid w:val="006E5978"/>
    <w:rsid w:val="006E5ACF"/>
    <w:rsid w:val="006E5E24"/>
    <w:rsid w:val="006E5F4A"/>
    <w:rsid w:val="006E5FC8"/>
    <w:rsid w:val="006E62AF"/>
    <w:rsid w:val="006E6A7F"/>
    <w:rsid w:val="006E6E17"/>
    <w:rsid w:val="006F1335"/>
    <w:rsid w:val="006F1444"/>
    <w:rsid w:val="006F17E5"/>
    <w:rsid w:val="006F2D46"/>
    <w:rsid w:val="006F2E69"/>
    <w:rsid w:val="006F32B5"/>
    <w:rsid w:val="006F337A"/>
    <w:rsid w:val="006F33D2"/>
    <w:rsid w:val="006F3834"/>
    <w:rsid w:val="006F3875"/>
    <w:rsid w:val="006F387E"/>
    <w:rsid w:val="006F38F8"/>
    <w:rsid w:val="006F3BF1"/>
    <w:rsid w:val="006F3E22"/>
    <w:rsid w:val="006F425F"/>
    <w:rsid w:val="006F49B4"/>
    <w:rsid w:val="006F4B93"/>
    <w:rsid w:val="006F520F"/>
    <w:rsid w:val="006F540C"/>
    <w:rsid w:val="006F5AB9"/>
    <w:rsid w:val="006F5BDF"/>
    <w:rsid w:val="006F7958"/>
    <w:rsid w:val="006F7EDD"/>
    <w:rsid w:val="007001D9"/>
    <w:rsid w:val="007005FF"/>
    <w:rsid w:val="00700623"/>
    <w:rsid w:val="00700FB7"/>
    <w:rsid w:val="00700FCC"/>
    <w:rsid w:val="007012CC"/>
    <w:rsid w:val="00701479"/>
    <w:rsid w:val="0070151F"/>
    <w:rsid w:val="00701808"/>
    <w:rsid w:val="00701822"/>
    <w:rsid w:val="00702854"/>
    <w:rsid w:val="0070297D"/>
    <w:rsid w:val="00703269"/>
    <w:rsid w:val="00703F5F"/>
    <w:rsid w:val="0070425D"/>
    <w:rsid w:val="007048D7"/>
    <w:rsid w:val="00705257"/>
    <w:rsid w:val="00705920"/>
    <w:rsid w:val="00705C18"/>
    <w:rsid w:val="00706205"/>
    <w:rsid w:val="0070625C"/>
    <w:rsid w:val="007066D9"/>
    <w:rsid w:val="00706943"/>
    <w:rsid w:val="00706DF0"/>
    <w:rsid w:val="007074C8"/>
    <w:rsid w:val="00707E63"/>
    <w:rsid w:val="00710CDF"/>
    <w:rsid w:val="00711995"/>
    <w:rsid w:val="007124EA"/>
    <w:rsid w:val="0071267F"/>
    <w:rsid w:val="0071285A"/>
    <w:rsid w:val="00712885"/>
    <w:rsid w:val="007128EA"/>
    <w:rsid w:val="007130AE"/>
    <w:rsid w:val="00713128"/>
    <w:rsid w:val="00713D2F"/>
    <w:rsid w:val="007145B0"/>
    <w:rsid w:val="00715B42"/>
    <w:rsid w:val="0071685D"/>
    <w:rsid w:val="00716A56"/>
    <w:rsid w:val="00717096"/>
    <w:rsid w:val="00717A12"/>
    <w:rsid w:val="0072005A"/>
    <w:rsid w:val="0072009D"/>
    <w:rsid w:val="00720B3B"/>
    <w:rsid w:val="00720D00"/>
    <w:rsid w:val="00720E4D"/>
    <w:rsid w:val="0072102D"/>
    <w:rsid w:val="007214BF"/>
    <w:rsid w:val="007218A5"/>
    <w:rsid w:val="00721C80"/>
    <w:rsid w:val="00722A9E"/>
    <w:rsid w:val="00723388"/>
    <w:rsid w:val="00723884"/>
    <w:rsid w:val="00723FF1"/>
    <w:rsid w:val="00724441"/>
    <w:rsid w:val="0072464A"/>
    <w:rsid w:val="00725082"/>
    <w:rsid w:val="0072513E"/>
    <w:rsid w:val="0072533C"/>
    <w:rsid w:val="007254D3"/>
    <w:rsid w:val="00725883"/>
    <w:rsid w:val="00725C89"/>
    <w:rsid w:val="00725C99"/>
    <w:rsid w:val="0072675B"/>
    <w:rsid w:val="007268AA"/>
    <w:rsid w:val="00726F1B"/>
    <w:rsid w:val="00726F6C"/>
    <w:rsid w:val="007270AD"/>
    <w:rsid w:val="007271F4"/>
    <w:rsid w:val="00727229"/>
    <w:rsid w:val="0072763D"/>
    <w:rsid w:val="0072774C"/>
    <w:rsid w:val="00727BD9"/>
    <w:rsid w:val="00727F8C"/>
    <w:rsid w:val="0073021B"/>
    <w:rsid w:val="007304CE"/>
    <w:rsid w:val="007307AD"/>
    <w:rsid w:val="00730ABB"/>
    <w:rsid w:val="00730DB4"/>
    <w:rsid w:val="00732076"/>
    <w:rsid w:val="00732952"/>
    <w:rsid w:val="00732BE7"/>
    <w:rsid w:val="00732DDA"/>
    <w:rsid w:val="0073303F"/>
    <w:rsid w:val="0073369A"/>
    <w:rsid w:val="00733C73"/>
    <w:rsid w:val="0073413B"/>
    <w:rsid w:val="00734231"/>
    <w:rsid w:val="00734725"/>
    <w:rsid w:val="00734D9B"/>
    <w:rsid w:val="0073544A"/>
    <w:rsid w:val="00735502"/>
    <w:rsid w:val="0073572F"/>
    <w:rsid w:val="0073577F"/>
    <w:rsid w:val="007357A3"/>
    <w:rsid w:val="007360FD"/>
    <w:rsid w:val="00736101"/>
    <w:rsid w:val="0073640A"/>
    <w:rsid w:val="00736EDD"/>
    <w:rsid w:val="00736F6F"/>
    <w:rsid w:val="00737087"/>
    <w:rsid w:val="00737270"/>
    <w:rsid w:val="00737521"/>
    <w:rsid w:val="007402D4"/>
    <w:rsid w:val="007409BD"/>
    <w:rsid w:val="007415F2"/>
    <w:rsid w:val="00741775"/>
    <w:rsid w:val="0074182D"/>
    <w:rsid w:val="00741AB4"/>
    <w:rsid w:val="00741B64"/>
    <w:rsid w:val="0074259D"/>
    <w:rsid w:val="00743B0F"/>
    <w:rsid w:val="00744664"/>
    <w:rsid w:val="00744C24"/>
    <w:rsid w:val="00745068"/>
    <w:rsid w:val="00745CB8"/>
    <w:rsid w:val="00745EE5"/>
    <w:rsid w:val="00746520"/>
    <w:rsid w:val="007472F3"/>
    <w:rsid w:val="00747998"/>
    <w:rsid w:val="0075034B"/>
    <w:rsid w:val="0075046D"/>
    <w:rsid w:val="00750F6B"/>
    <w:rsid w:val="00751A39"/>
    <w:rsid w:val="00751D08"/>
    <w:rsid w:val="00752323"/>
    <w:rsid w:val="0075282B"/>
    <w:rsid w:val="0075315F"/>
    <w:rsid w:val="0075323E"/>
    <w:rsid w:val="007534BA"/>
    <w:rsid w:val="00753F3D"/>
    <w:rsid w:val="00753FE1"/>
    <w:rsid w:val="0075426C"/>
    <w:rsid w:val="007544FD"/>
    <w:rsid w:val="007545F2"/>
    <w:rsid w:val="007549F8"/>
    <w:rsid w:val="00754CEC"/>
    <w:rsid w:val="0075560D"/>
    <w:rsid w:val="007556A1"/>
    <w:rsid w:val="00756174"/>
    <w:rsid w:val="00756DBB"/>
    <w:rsid w:val="00757248"/>
    <w:rsid w:val="00760458"/>
    <w:rsid w:val="007605AC"/>
    <w:rsid w:val="00760DE9"/>
    <w:rsid w:val="0076124A"/>
    <w:rsid w:val="00761531"/>
    <w:rsid w:val="007615D3"/>
    <w:rsid w:val="007617CA"/>
    <w:rsid w:val="00762C11"/>
    <w:rsid w:val="00762C1E"/>
    <w:rsid w:val="00762D4E"/>
    <w:rsid w:val="0076314D"/>
    <w:rsid w:val="0076316E"/>
    <w:rsid w:val="007635F0"/>
    <w:rsid w:val="00763954"/>
    <w:rsid w:val="00763EE4"/>
    <w:rsid w:val="00764C26"/>
    <w:rsid w:val="007652E9"/>
    <w:rsid w:val="00765EB8"/>
    <w:rsid w:val="00766657"/>
    <w:rsid w:val="00766E9D"/>
    <w:rsid w:val="00767F95"/>
    <w:rsid w:val="007705E2"/>
    <w:rsid w:val="00770A79"/>
    <w:rsid w:val="00770E93"/>
    <w:rsid w:val="00772081"/>
    <w:rsid w:val="00772AF4"/>
    <w:rsid w:val="00773035"/>
    <w:rsid w:val="007734C9"/>
    <w:rsid w:val="00773597"/>
    <w:rsid w:val="007735FF"/>
    <w:rsid w:val="007740DB"/>
    <w:rsid w:val="00774645"/>
    <w:rsid w:val="00774676"/>
    <w:rsid w:val="0077477F"/>
    <w:rsid w:val="00774C7B"/>
    <w:rsid w:val="0077521F"/>
    <w:rsid w:val="0077558A"/>
    <w:rsid w:val="0077744A"/>
    <w:rsid w:val="00780553"/>
    <w:rsid w:val="007807C1"/>
    <w:rsid w:val="0078177A"/>
    <w:rsid w:val="00781FD7"/>
    <w:rsid w:val="007825D6"/>
    <w:rsid w:val="007827C2"/>
    <w:rsid w:val="00782A36"/>
    <w:rsid w:val="00782F22"/>
    <w:rsid w:val="00783478"/>
    <w:rsid w:val="0078381B"/>
    <w:rsid w:val="00783A3A"/>
    <w:rsid w:val="00783C85"/>
    <w:rsid w:val="00783CE2"/>
    <w:rsid w:val="00784269"/>
    <w:rsid w:val="00784D18"/>
    <w:rsid w:val="00784D6B"/>
    <w:rsid w:val="00784E07"/>
    <w:rsid w:val="00784F4E"/>
    <w:rsid w:val="00785A32"/>
    <w:rsid w:val="007861FD"/>
    <w:rsid w:val="00786BD7"/>
    <w:rsid w:val="00787152"/>
    <w:rsid w:val="00787A11"/>
    <w:rsid w:val="00790A2E"/>
    <w:rsid w:val="00790A4B"/>
    <w:rsid w:val="00790A51"/>
    <w:rsid w:val="00790C7B"/>
    <w:rsid w:val="00791224"/>
    <w:rsid w:val="00791C74"/>
    <w:rsid w:val="007927DE"/>
    <w:rsid w:val="007933AE"/>
    <w:rsid w:val="0079400E"/>
    <w:rsid w:val="007947B0"/>
    <w:rsid w:val="0079597F"/>
    <w:rsid w:val="007961E2"/>
    <w:rsid w:val="00796366"/>
    <w:rsid w:val="0079702C"/>
    <w:rsid w:val="007A00EB"/>
    <w:rsid w:val="007A0254"/>
    <w:rsid w:val="007A0434"/>
    <w:rsid w:val="007A0587"/>
    <w:rsid w:val="007A07F2"/>
    <w:rsid w:val="007A0A33"/>
    <w:rsid w:val="007A112F"/>
    <w:rsid w:val="007A1C48"/>
    <w:rsid w:val="007A1CF7"/>
    <w:rsid w:val="007A26EE"/>
    <w:rsid w:val="007A2970"/>
    <w:rsid w:val="007A29DD"/>
    <w:rsid w:val="007A2F23"/>
    <w:rsid w:val="007A3D36"/>
    <w:rsid w:val="007A44F8"/>
    <w:rsid w:val="007A47A6"/>
    <w:rsid w:val="007A4EAB"/>
    <w:rsid w:val="007A4F1B"/>
    <w:rsid w:val="007A5AB7"/>
    <w:rsid w:val="007A5AE7"/>
    <w:rsid w:val="007A62EC"/>
    <w:rsid w:val="007A63E9"/>
    <w:rsid w:val="007A6568"/>
    <w:rsid w:val="007A680B"/>
    <w:rsid w:val="007A6B5B"/>
    <w:rsid w:val="007A6BA8"/>
    <w:rsid w:val="007A75FA"/>
    <w:rsid w:val="007A7ACD"/>
    <w:rsid w:val="007A7ECE"/>
    <w:rsid w:val="007B0229"/>
    <w:rsid w:val="007B0FE0"/>
    <w:rsid w:val="007B2EDD"/>
    <w:rsid w:val="007B3AB4"/>
    <w:rsid w:val="007B3B87"/>
    <w:rsid w:val="007B3CD8"/>
    <w:rsid w:val="007B3D54"/>
    <w:rsid w:val="007B3DA0"/>
    <w:rsid w:val="007B46A1"/>
    <w:rsid w:val="007B4940"/>
    <w:rsid w:val="007B497A"/>
    <w:rsid w:val="007B517E"/>
    <w:rsid w:val="007B5493"/>
    <w:rsid w:val="007B5643"/>
    <w:rsid w:val="007B5700"/>
    <w:rsid w:val="007B5D0B"/>
    <w:rsid w:val="007B60D4"/>
    <w:rsid w:val="007B61C6"/>
    <w:rsid w:val="007B704D"/>
    <w:rsid w:val="007C0BA4"/>
    <w:rsid w:val="007C1765"/>
    <w:rsid w:val="007C21D7"/>
    <w:rsid w:val="007C2565"/>
    <w:rsid w:val="007C3062"/>
    <w:rsid w:val="007C3ACE"/>
    <w:rsid w:val="007C41C7"/>
    <w:rsid w:val="007C438A"/>
    <w:rsid w:val="007C4E9F"/>
    <w:rsid w:val="007C56CA"/>
    <w:rsid w:val="007C5FD5"/>
    <w:rsid w:val="007C6E85"/>
    <w:rsid w:val="007C7CDC"/>
    <w:rsid w:val="007C7EBB"/>
    <w:rsid w:val="007C7FD6"/>
    <w:rsid w:val="007D05BB"/>
    <w:rsid w:val="007D061E"/>
    <w:rsid w:val="007D0956"/>
    <w:rsid w:val="007D0BA8"/>
    <w:rsid w:val="007D1378"/>
    <w:rsid w:val="007D14A4"/>
    <w:rsid w:val="007D178D"/>
    <w:rsid w:val="007D1871"/>
    <w:rsid w:val="007D22DD"/>
    <w:rsid w:val="007D233F"/>
    <w:rsid w:val="007D2971"/>
    <w:rsid w:val="007D2F3F"/>
    <w:rsid w:val="007D326A"/>
    <w:rsid w:val="007D33CB"/>
    <w:rsid w:val="007D47BC"/>
    <w:rsid w:val="007D4A47"/>
    <w:rsid w:val="007D4E84"/>
    <w:rsid w:val="007D5410"/>
    <w:rsid w:val="007D59F9"/>
    <w:rsid w:val="007D6B58"/>
    <w:rsid w:val="007D6CC3"/>
    <w:rsid w:val="007D7D88"/>
    <w:rsid w:val="007E0505"/>
    <w:rsid w:val="007E1E35"/>
    <w:rsid w:val="007E2285"/>
    <w:rsid w:val="007E2B8C"/>
    <w:rsid w:val="007E2D0F"/>
    <w:rsid w:val="007E36A2"/>
    <w:rsid w:val="007E4DFF"/>
    <w:rsid w:val="007E4E54"/>
    <w:rsid w:val="007E5033"/>
    <w:rsid w:val="007E601B"/>
    <w:rsid w:val="007E610C"/>
    <w:rsid w:val="007E6B93"/>
    <w:rsid w:val="007E75D1"/>
    <w:rsid w:val="007E76A1"/>
    <w:rsid w:val="007E7A7C"/>
    <w:rsid w:val="007E7F96"/>
    <w:rsid w:val="007F12A1"/>
    <w:rsid w:val="007F1C7E"/>
    <w:rsid w:val="007F1EFB"/>
    <w:rsid w:val="007F20A7"/>
    <w:rsid w:val="007F2825"/>
    <w:rsid w:val="007F2A5E"/>
    <w:rsid w:val="007F2E83"/>
    <w:rsid w:val="007F38EE"/>
    <w:rsid w:val="007F3B16"/>
    <w:rsid w:val="007F4377"/>
    <w:rsid w:val="007F43A2"/>
    <w:rsid w:val="007F441A"/>
    <w:rsid w:val="007F53D8"/>
    <w:rsid w:val="007F587B"/>
    <w:rsid w:val="007F641C"/>
    <w:rsid w:val="007F684D"/>
    <w:rsid w:val="007F721C"/>
    <w:rsid w:val="007F79F6"/>
    <w:rsid w:val="00800B17"/>
    <w:rsid w:val="00800B8B"/>
    <w:rsid w:val="00800E74"/>
    <w:rsid w:val="00800F5D"/>
    <w:rsid w:val="00802A75"/>
    <w:rsid w:val="00802F93"/>
    <w:rsid w:val="0080356F"/>
    <w:rsid w:val="008039F1"/>
    <w:rsid w:val="008043B7"/>
    <w:rsid w:val="008050B1"/>
    <w:rsid w:val="008057A8"/>
    <w:rsid w:val="008058FB"/>
    <w:rsid w:val="00805AEC"/>
    <w:rsid w:val="008066FC"/>
    <w:rsid w:val="00806906"/>
    <w:rsid w:val="00806B11"/>
    <w:rsid w:val="00806DE2"/>
    <w:rsid w:val="00810130"/>
    <w:rsid w:val="008117D6"/>
    <w:rsid w:val="00811833"/>
    <w:rsid w:val="00812276"/>
    <w:rsid w:val="008122B5"/>
    <w:rsid w:val="008126DC"/>
    <w:rsid w:val="00812B73"/>
    <w:rsid w:val="00812E69"/>
    <w:rsid w:val="008133AF"/>
    <w:rsid w:val="008138FD"/>
    <w:rsid w:val="00813B45"/>
    <w:rsid w:val="00814105"/>
    <w:rsid w:val="00814201"/>
    <w:rsid w:val="00814C64"/>
    <w:rsid w:val="00815081"/>
    <w:rsid w:val="00815EE1"/>
    <w:rsid w:val="008160B2"/>
    <w:rsid w:val="008161B4"/>
    <w:rsid w:val="008161FB"/>
    <w:rsid w:val="0081664F"/>
    <w:rsid w:val="00817BFE"/>
    <w:rsid w:val="008205DC"/>
    <w:rsid w:val="00822FC7"/>
    <w:rsid w:val="00823073"/>
    <w:rsid w:val="00823434"/>
    <w:rsid w:val="00823BDF"/>
    <w:rsid w:val="00824461"/>
    <w:rsid w:val="00824566"/>
    <w:rsid w:val="00824B73"/>
    <w:rsid w:val="008251AC"/>
    <w:rsid w:val="008263D6"/>
    <w:rsid w:val="00826764"/>
    <w:rsid w:val="00826DCE"/>
    <w:rsid w:val="00827269"/>
    <w:rsid w:val="00827884"/>
    <w:rsid w:val="00827D1A"/>
    <w:rsid w:val="008301FB"/>
    <w:rsid w:val="00830415"/>
    <w:rsid w:val="008309C6"/>
    <w:rsid w:val="0083249D"/>
    <w:rsid w:val="008326BB"/>
    <w:rsid w:val="00832902"/>
    <w:rsid w:val="00832E43"/>
    <w:rsid w:val="008339C8"/>
    <w:rsid w:val="00834148"/>
    <w:rsid w:val="00834589"/>
    <w:rsid w:val="00834A7F"/>
    <w:rsid w:val="00835280"/>
    <w:rsid w:val="008359D3"/>
    <w:rsid w:val="00835AB8"/>
    <w:rsid w:val="00835CD8"/>
    <w:rsid w:val="0083620A"/>
    <w:rsid w:val="00836542"/>
    <w:rsid w:val="00836A3E"/>
    <w:rsid w:val="008372E0"/>
    <w:rsid w:val="00837594"/>
    <w:rsid w:val="00837A08"/>
    <w:rsid w:val="008411B0"/>
    <w:rsid w:val="00841470"/>
    <w:rsid w:val="00841548"/>
    <w:rsid w:val="00842293"/>
    <w:rsid w:val="008429C8"/>
    <w:rsid w:val="00842C1A"/>
    <w:rsid w:val="0084365F"/>
    <w:rsid w:val="00843D8C"/>
    <w:rsid w:val="00843DBA"/>
    <w:rsid w:val="008449C5"/>
    <w:rsid w:val="008449E5"/>
    <w:rsid w:val="00845117"/>
    <w:rsid w:val="0084597A"/>
    <w:rsid w:val="008469C0"/>
    <w:rsid w:val="008469E1"/>
    <w:rsid w:val="00846A5B"/>
    <w:rsid w:val="00847569"/>
    <w:rsid w:val="008502A8"/>
    <w:rsid w:val="008505F9"/>
    <w:rsid w:val="00850C3A"/>
    <w:rsid w:val="00850CBC"/>
    <w:rsid w:val="00850F94"/>
    <w:rsid w:val="0085113C"/>
    <w:rsid w:val="0085123B"/>
    <w:rsid w:val="008513C8"/>
    <w:rsid w:val="00851AAA"/>
    <w:rsid w:val="008522AA"/>
    <w:rsid w:val="00852BB5"/>
    <w:rsid w:val="00852DC9"/>
    <w:rsid w:val="0085368D"/>
    <w:rsid w:val="00853C50"/>
    <w:rsid w:val="00854487"/>
    <w:rsid w:val="00854C36"/>
    <w:rsid w:val="00854DC9"/>
    <w:rsid w:val="00854E10"/>
    <w:rsid w:val="00855410"/>
    <w:rsid w:val="0085586F"/>
    <w:rsid w:val="00855C8F"/>
    <w:rsid w:val="00855D7C"/>
    <w:rsid w:val="0085630B"/>
    <w:rsid w:val="008575CC"/>
    <w:rsid w:val="00857873"/>
    <w:rsid w:val="0086024D"/>
    <w:rsid w:val="008606A1"/>
    <w:rsid w:val="0086115F"/>
    <w:rsid w:val="00861428"/>
    <w:rsid w:val="008616F2"/>
    <w:rsid w:val="00861A47"/>
    <w:rsid w:val="00864025"/>
    <w:rsid w:val="00864E31"/>
    <w:rsid w:val="00865ACA"/>
    <w:rsid w:val="00865B7D"/>
    <w:rsid w:val="00866011"/>
    <w:rsid w:val="008666A6"/>
    <w:rsid w:val="00867012"/>
    <w:rsid w:val="008672D9"/>
    <w:rsid w:val="00867CC0"/>
    <w:rsid w:val="00867D3A"/>
    <w:rsid w:val="00870110"/>
    <w:rsid w:val="00870213"/>
    <w:rsid w:val="008711D2"/>
    <w:rsid w:val="0087133E"/>
    <w:rsid w:val="00871B52"/>
    <w:rsid w:val="00873100"/>
    <w:rsid w:val="00873422"/>
    <w:rsid w:val="008734E8"/>
    <w:rsid w:val="00874167"/>
    <w:rsid w:val="00874764"/>
    <w:rsid w:val="0087498F"/>
    <w:rsid w:val="0087501E"/>
    <w:rsid w:val="00875278"/>
    <w:rsid w:val="008756F3"/>
    <w:rsid w:val="00875944"/>
    <w:rsid w:val="00876D2D"/>
    <w:rsid w:val="008770B4"/>
    <w:rsid w:val="00877682"/>
    <w:rsid w:val="008777BC"/>
    <w:rsid w:val="008778DC"/>
    <w:rsid w:val="00877CDA"/>
    <w:rsid w:val="00880114"/>
    <w:rsid w:val="00880CD7"/>
    <w:rsid w:val="00880D3E"/>
    <w:rsid w:val="0088164F"/>
    <w:rsid w:val="00881D50"/>
    <w:rsid w:val="00881E18"/>
    <w:rsid w:val="00881FCB"/>
    <w:rsid w:val="008825DF"/>
    <w:rsid w:val="00882D82"/>
    <w:rsid w:val="00882ED3"/>
    <w:rsid w:val="00883FBE"/>
    <w:rsid w:val="008845C9"/>
    <w:rsid w:val="008850C2"/>
    <w:rsid w:val="008850DC"/>
    <w:rsid w:val="008855A1"/>
    <w:rsid w:val="00886661"/>
    <w:rsid w:val="00886883"/>
    <w:rsid w:val="00886D2E"/>
    <w:rsid w:val="008874D4"/>
    <w:rsid w:val="008877BB"/>
    <w:rsid w:val="00887D53"/>
    <w:rsid w:val="00890192"/>
    <w:rsid w:val="0089025E"/>
    <w:rsid w:val="008912E6"/>
    <w:rsid w:val="00891CED"/>
    <w:rsid w:val="008923DB"/>
    <w:rsid w:val="00892A53"/>
    <w:rsid w:val="008934F1"/>
    <w:rsid w:val="00893FD6"/>
    <w:rsid w:val="00894418"/>
    <w:rsid w:val="00894C78"/>
    <w:rsid w:val="0089533F"/>
    <w:rsid w:val="00895378"/>
    <w:rsid w:val="00895C92"/>
    <w:rsid w:val="00895EC2"/>
    <w:rsid w:val="00896559"/>
    <w:rsid w:val="00896619"/>
    <w:rsid w:val="00896815"/>
    <w:rsid w:val="0089686D"/>
    <w:rsid w:val="008969C8"/>
    <w:rsid w:val="00896F98"/>
    <w:rsid w:val="00897419"/>
    <w:rsid w:val="00897C0C"/>
    <w:rsid w:val="00897C5B"/>
    <w:rsid w:val="008A0E52"/>
    <w:rsid w:val="008A1218"/>
    <w:rsid w:val="008A1E06"/>
    <w:rsid w:val="008A217E"/>
    <w:rsid w:val="008A25E8"/>
    <w:rsid w:val="008A2A82"/>
    <w:rsid w:val="008A3072"/>
    <w:rsid w:val="008A35D4"/>
    <w:rsid w:val="008A379B"/>
    <w:rsid w:val="008A4146"/>
    <w:rsid w:val="008A45CF"/>
    <w:rsid w:val="008A4E57"/>
    <w:rsid w:val="008A4F87"/>
    <w:rsid w:val="008A51A3"/>
    <w:rsid w:val="008A60AA"/>
    <w:rsid w:val="008A63D5"/>
    <w:rsid w:val="008A65A1"/>
    <w:rsid w:val="008A6654"/>
    <w:rsid w:val="008A686F"/>
    <w:rsid w:val="008A6DE4"/>
    <w:rsid w:val="008A750D"/>
    <w:rsid w:val="008A7D81"/>
    <w:rsid w:val="008A7FE1"/>
    <w:rsid w:val="008B048B"/>
    <w:rsid w:val="008B0643"/>
    <w:rsid w:val="008B0E11"/>
    <w:rsid w:val="008B1106"/>
    <w:rsid w:val="008B12B5"/>
    <w:rsid w:val="008B1FA9"/>
    <w:rsid w:val="008B20D7"/>
    <w:rsid w:val="008B2A0E"/>
    <w:rsid w:val="008B31A1"/>
    <w:rsid w:val="008B33E9"/>
    <w:rsid w:val="008B3C01"/>
    <w:rsid w:val="008B3EC8"/>
    <w:rsid w:val="008B45B0"/>
    <w:rsid w:val="008B4DF3"/>
    <w:rsid w:val="008B5332"/>
    <w:rsid w:val="008B541C"/>
    <w:rsid w:val="008B5778"/>
    <w:rsid w:val="008B5F2B"/>
    <w:rsid w:val="008B6E81"/>
    <w:rsid w:val="008B7B12"/>
    <w:rsid w:val="008C000F"/>
    <w:rsid w:val="008C00FA"/>
    <w:rsid w:val="008C062C"/>
    <w:rsid w:val="008C211A"/>
    <w:rsid w:val="008C2A22"/>
    <w:rsid w:val="008C301B"/>
    <w:rsid w:val="008C346A"/>
    <w:rsid w:val="008C3C67"/>
    <w:rsid w:val="008C3EC6"/>
    <w:rsid w:val="008C49E2"/>
    <w:rsid w:val="008C4E2B"/>
    <w:rsid w:val="008C4E33"/>
    <w:rsid w:val="008C4E99"/>
    <w:rsid w:val="008C5025"/>
    <w:rsid w:val="008C56C4"/>
    <w:rsid w:val="008C5BC0"/>
    <w:rsid w:val="008C6143"/>
    <w:rsid w:val="008C6B55"/>
    <w:rsid w:val="008C6FCB"/>
    <w:rsid w:val="008C7051"/>
    <w:rsid w:val="008C76E2"/>
    <w:rsid w:val="008C7CFF"/>
    <w:rsid w:val="008D2267"/>
    <w:rsid w:val="008D2ACA"/>
    <w:rsid w:val="008D4F8E"/>
    <w:rsid w:val="008D591B"/>
    <w:rsid w:val="008D63F5"/>
    <w:rsid w:val="008D66A2"/>
    <w:rsid w:val="008D6B0D"/>
    <w:rsid w:val="008D711D"/>
    <w:rsid w:val="008D78FA"/>
    <w:rsid w:val="008D7DBA"/>
    <w:rsid w:val="008D7EA3"/>
    <w:rsid w:val="008E00B4"/>
    <w:rsid w:val="008E00C4"/>
    <w:rsid w:val="008E01FF"/>
    <w:rsid w:val="008E07DF"/>
    <w:rsid w:val="008E0B0A"/>
    <w:rsid w:val="008E0F73"/>
    <w:rsid w:val="008E17D3"/>
    <w:rsid w:val="008E30CA"/>
    <w:rsid w:val="008E3341"/>
    <w:rsid w:val="008E33F2"/>
    <w:rsid w:val="008E36EB"/>
    <w:rsid w:val="008E37E8"/>
    <w:rsid w:val="008E3921"/>
    <w:rsid w:val="008E3D96"/>
    <w:rsid w:val="008E3EF6"/>
    <w:rsid w:val="008E44AE"/>
    <w:rsid w:val="008E4C78"/>
    <w:rsid w:val="008E4F63"/>
    <w:rsid w:val="008E5B62"/>
    <w:rsid w:val="008E654E"/>
    <w:rsid w:val="008E670D"/>
    <w:rsid w:val="008E72BF"/>
    <w:rsid w:val="008E7619"/>
    <w:rsid w:val="008F021A"/>
    <w:rsid w:val="008F13D4"/>
    <w:rsid w:val="008F1925"/>
    <w:rsid w:val="008F2B09"/>
    <w:rsid w:val="008F2B0F"/>
    <w:rsid w:val="008F2C89"/>
    <w:rsid w:val="008F2EC4"/>
    <w:rsid w:val="008F3804"/>
    <w:rsid w:val="008F3DB1"/>
    <w:rsid w:val="008F416B"/>
    <w:rsid w:val="008F41D1"/>
    <w:rsid w:val="008F4D5B"/>
    <w:rsid w:val="008F518C"/>
    <w:rsid w:val="008F5376"/>
    <w:rsid w:val="008F6603"/>
    <w:rsid w:val="008F6A4D"/>
    <w:rsid w:val="008F72C6"/>
    <w:rsid w:val="008F7A3D"/>
    <w:rsid w:val="00900A1B"/>
    <w:rsid w:val="00900A58"/>
    <w:rsid w:val="00901DBA"/>
    <w:rsid w:val="00901E33"/>
    <w:rsid w:val="00902397"/>
    <w:rsid w:val="00902428"/>
    <w:rsid w:val="0090259C"/>
    <w:rsid w:val="00902945"/>
    <w:rsid w:val="00902A93"/>
    <w:rsid w:val="00902CBA"/>
    <w:rsid w:val="00903315"/>
    <w:rsid w:val="009039E3"/>
    <w:rsid w:val="00903C72"/>
    <w:rsid w:val="00903F7B"/>
    <w:rsid w:val="00903FF9"/>
    <w:rsid w:val="0090407F"/>
    <w:rsid w:val="009042C9"/>
    <w:rsid w:val="009045AD"/>
    <w:rsid w:val="009045E5"/>
    <w:rsid w:val="00904EDA"/>
    <w:rsid w:val="0090508E"/>
    <w:rsid w:val="009050C8"/>
    <w:rsid w:val="009052B1"/>
    <w:rsid w:val="00905814"/>
    <w:rsid w:val="00905B6A"/>
    <w:rsid w:val="00905C7E"/>
    <w:rsid w:val="0091017A"/>
    <w:rsid w:val="00910BFC"/>
    <w:rsid w:val="0091215B"/>
    <w:rsid w:val="00912678"/>
    <w:rsid w:val="00912A06"/>
    <w:rsid w:val="00912E21"/>
    <w:rsid w:val="00912F32"/>
    <w:rsid w:val="009135D9"/>
    <w:rsid w:val="00914810"/>
    <w:rsid w:val="00914C96"/>
    <w:rsid w:val="00915204"/>
    <w:rsid w:val="009152E5"/>
    <w:rsid w:val="00915E60"/>
    <w:rsid w:val="00915E78"/>
    <w:rsid w:val="00916522"/>
    <w:rsid w:val="00916806"/>
    <w:rsid w:val="0091683A"/>
    <w:rsid w:val="00916C64"/>
    <w:rsid w:val="009172FC"/>
    <w:rsid w:val="009179BD"/>
    <w:rsid w:val="009206BB"/>
    <w:rsid w:val="00920A96"/>
    <w:rsid w:val="009210A6"/>
    <w:rsid w:val="009217DA"/>
    <w:rsid w:val="009219EA"/>
    <w:rsid w:val="00921D5C"/>
    <w:rsid w:val="00923058"/>
    <w:rsid w:val="00923305"/>
    <w:rsid w:val="00923699"/>
    <w:rsid w:val="00924666"/>
    <w:rsid w:val="00924834"/>
    <w:rsid w:val="00924A8B"/>
    <w:rsid w:val="00924BB3"/>
    <w:rsid w:val="009255C7"/>
    <w:rsid w:val="0092563C"/>
    <w:rsid w:val="009266A2"/>
    <w:rsid w:val="0092694E"/>
    <w:rsid w:val="00926B88"/>
    <w:rsid w:val="00926CD1"/>
    <w:rsid w:val="00927290"/>
    <w:rsid w:val="00927555"/>
    <w:rsid w:val="00927932"/>
    <w:rsid w:val="00930781"/>
    <w:rsid w:val="00930F2A"/>
    <w:rsid w:val="0093142C"/>
    <w:rsid w:val="00931D02"/>
    <w:rsid w:val="0093206B"/>
    <w:rsid w:val="0093217B"/>
    <w:rsid w:val="009321FF"/>
    <w:rsid w:val="0093249B"/>
    <w:rsid w:val="00932507"/>
    <w:rsid w:val="00932BF6"/>
    <w:rsid w:val="009330E3"/>
    <w:rsid w:val="009332AD"/>
    <w:rsid w:val="00934F2C"/>
    <w:rsid w:val="00935305"/>
    <w:rsid w:val="00935608"/>
    <w:rsid w:val="0093580A"/>
    <w:rsid w:val="00935C52"/>
    <w:rsid w:val="009361FF"/>
    <w:rsid w:val="009365DF"/>
    <w:rsid w:val="00936C10"/>
    <w:rsid w:val="00937343"/>
    <w:rsid w:val="00937A3B"/>
    <w:rsid w:val="0094046D"/>
    <w:rsid w:val="0094050C"/>
    <w:rsid w:val="00940B16"/>
    <w:rsid w:val="009413D4"/>
    <w:rsid w:val="009416D1"/>
    <w:rsid w:val="00941A50"/>
    <w:rsid w:val="00942146"/>
    <w:rsid w:val="009430E2"/>
    <w:rsid w:val="009430E7"/>
    <w:rsid w:val="00943835"/>
    <w:rsid w:val="00943D99"/>
    <w:rsid w:val="00943F81"/>
    <w:rsid w:val="0094482A"/>
    <w:rsid w:val="00944B09"/>
    <w:rsid w:val="00944B96"/>
    <w:rsid w:val="00945059"/>
    <w:rsid w:val="0094550F"/>
    <w:rsid w:val="00945B7E"/>
    <w:rsid w:val="0094691D"/>
    <w:rsid w:val="00946BA3"/>
    <w:rsid w:val="00947208"/>
    <w:rsid w:val="00950F31"/>
    <w:rsid w:val="00951058"/>
    <w:rsid w:val="0095136A"/>
    <w:rsid w:val="00951497"/>
    <w:rsid w:val="00951845"/>
    <w:rsid w:val="00952318"/>
    <w:rsid w:val="00952CBD"/>
    <w:rsid w:val="00953056"/>
    <w:rsid w:val="0095379E"/>
    <w:rsid w:val="00953A6C"/>
    <w:rsid w:val="0095451D"/>
    <w:rsid w:val="00955230"/>
    <w:rsid w:val="00955595"/>
    <w:rsid w:val="00955773"/>
    <w:rsid w:val="00955D8C"/>
    <w:rsid w:val="00955F8F"/>
    <w:rsid w:val="00956B47"/>
    <w:rsid w:val="00956E68"/>
    <w:rsid w:val="00956F54"/>
    <w:rsid w:val="00957EFC"/>
    <w:rsid w:val="009600CB"/>
    <w:rsid w:val="00960727"/>
    <w:rsid w:val="00961C21"/>
    <w:rsid w:val="00961CAA"/>
    <w:rsid w:val="00961D4B"/>
    <w:rsid w:val="0096221B"/>
    <w:rsid w:val="009622C1"/>
    <w:rsid w:val="009625B2"/>
    <w:rsid w:val="009633DE"/>
    <w:rsid w:val="0096367C"/>
    <w:rsid w:val="0096399A"/>
    <w:rsid w:val="00963A86"/>
    <w:rsid w:val="00963FF8"/>
    <w:rsid w:val="009640E7"/>
    <w:rsid w:val="00964AC7"/>
    <w:rsid w:val="00964D8F"/>
    <w:rsid w:val="009668CE"/>
    <w:rsid w:val="00966D65"/>
    <w:rsid w:val="00966E04"/>
    <w:rsid w:val="009672A6"/>
    <w:rsid w:val="00967CAD"/>
    <w:rsid w:val="00967DAC"/>
    <w:rsid w:val="00967DEE"/>
    <w:rsid w:val="00967E3D"/>
    <w:rsid w:val="00967F78"/>
    <w:rsid w:val="00970C46"/>
    <w:rsid w:val="009714CD"/>
    <w:rsid w:val="00971FE5"/>
    <w:rsid w:val="00972D78"/>
    <w:rsid w:val="00972ED2"/>
    <w:rsid w:val="00973375"/>
    <w:rsid w:val="009738DA"/>
    <w:rsid w:val="0097392E"/>
    <w:rsid w:val="00973948"/>
    <w:rsid w:val="009754C6"/>
    <w:rsid w:val="00975A7B"/>
    <w:rsid w:val="00975CF1"/>
    <w:rsid w:val="00975E7E"/>
    <w:rsid w:val="00976040"/>
    <w:rsid w:val="009770CE"/>
    <w:rsid w:val="0097736D"/>
    <w:rsid w:val="009775BE"/>
    <w:rsid w:val="00977888"/>
    <w:rsid w:val="00977915"/>
    <w:rsid w:val="00980134"/>
    <w:rsid w:val="00980F77"/>
    <w:rsid w:val="00980FC9"/>
    <w:rsid w:val="009814A1"/>
    <w:rsid w:val="00981779"/>
    <w:rsid w:val="00981958"/>
    <w:rsid w:val="009819EC"/>
    <w:rsid w:val="00981E61"/>
    <w:rsid w:val="00981EA0"/>
    <w:rsid w:val="009825A1"/>
    <w:rsid w:val="009827AF"/>
    <w:rsid w:val="00982B7D"/>
    <w:rsid w:val="00982D64"/>
    <w:rsid w:val="009833BC"/>
    <w:rsid w:val="009837E1"/>
    <w:rsid w:val="00983ED2"/>
    <w:rsid w:val="0098428B"/>
    <w:rsid w:val="00984EAC"/>
    <w:rsid w:val="00985485"/>
    <w:rsid w:val="009854D1"/>
    <w:rsid w:val="0098648C"/>
    <w:rsid w:val="009864D4"/>
    <w:rsid w:val="00986994"/>
    <w:rsid w:val="00990432"/>
    <w:rsid w:val="009909EA"/>
    <w:rsid w:val="00990F32"/>
    <w:rsid w:val="00991492"/>
    <w:rsid w:val="00991A07"/>
    <w:rsid w:val="00992DB2"/>
    <w:rsid w:val="00992EA0"/>
    <w:rsid w:val="00992F44"/>
    <w:rsid w:val="00993FDA"/>
    <w:rsid w:val="00994157"/>
    <w:rsid w:val="009946D6"/>
    <w:rsid w:val="00995F39"/>
    <w:rsid w:val="00996C47"/>
    <w:rsid w:val="00996D80"/>
    <w:rsid w:val="00997426"/>
    <w:rsid w:val="00997991"/>
    <w:rsid w:val="00997FA5"/>
    <w:rsid w:val="009A052C"/>
    <w:rsid w:val="009A0541"/>
    <w:rsid w:val="009A0ED7"/>
    <w:rsid w:val="009A1F9E"/>
    <w:rsid w:val="009A21B0"/>
    <w:rsid w:val="009A2430"/>
    <w:rsid w:val="009A2856"/>
    <w:rsid w:val="009A2A9C"/>
    <w:rsid w:val="009A2EC4"/>
    <w:rsid w:val="009A2F33"/>
    <w:rsid w:val="009A33FD"/>
    <w:rsid w:val="009A3615"/>
    <w:rsid w:val="009A3D1E"/>
    <w:rsid w:val="009A4226"/>
    <w:rsid w:val="009A5216"/>
    <w:rsid w:val="009A5270"/>
    <w:rsid w:val="009A5D76"/>
    <w:rsid w:val="009A620B"/>
    <w:rsid w:val="009A75C7"/>
    <w:rsid w:val="009A76AF"/>
    <w:rsid w:val="009A7D8B"/>
    <w:rsid w:val="009B0927"/>
    <w:rsid w:val="009B0B87"/>
    <w:rsid w:val="009B1016"/>
    <w:rsid w:val="009B1567"/>
    <w:rsid w:val="009B19B7"/>
    <w:rsid w:val="009B1A5A"/>
    <w:rsid w:val="009B1F68"/>
    <w:rsid w:val="009B33BC"/>
    <w:rsid w:val="009B3699"/>
    <w:rsid w:val="009B4A13"/>
    <w:rsid w:val="009B4B3A"/>
    <w:rsid w:val="009B5755"/>
    <w:rsid w:val="009B5DC6"/>
    <w:rsid w:val="009B5E6D"/>
    <w:rsid w:val="009B6D1C"/>
    <w:rsid w:val="009B6FC6"/>
    <w:rsid w:val="009B7632"/>
    <w:rsid w:val="009C009A"/>
    <w:rsid w:val="009C02FB"/>
    <w:rsid w:val="009C085F"/>
    <w:rsid w:val="009C18C5"/>
    <w:rsid w:val="009C3C4F"/>
    <w:rsid w:val="009C401E"/>
    <w:rsid w:val="009C425F"/>
    <w:rsid w:val="009C4321"/>
    <w:rsid w:val="009C44B3"/>
    <w:rsid w:val="009C4AFF"/>
    <w:rsid w:val="009C56BD"/>
    <w:rsid w:val="009C58CB"/>
    <w:rsid w:val="009C6B33"/>
    <w:rsid w:val="009C78EF"/>
    <w:rsid w:val="009D0C30"/>
    <w:rsid w:val="009D0D44"/>
    <w:rsid w:val="009D16C4"/>
    <w:rsid w:val="009D191D"/>
    <w:rsid w:val="009D1B17"/>
    <w:rsid w:val="009D1D1D"/>
    <w:rsid w:val="009D2658"/>
    <w:rsid w:val="009D2B38"/>
    <w:rsid w:val="009D31E9"/>
    <w:rsid w:val="009D3941"/>
    <w:rsid w:val="009D39B7"/>
    <w:rsid w:val="009D400F"/>
    <w:rsid w:val="009D4161"/>
    <w:rsid w:val="009D4604"/>
    <w:rsid w:val="009D46A3"/>
    <w:rsid w:val="009D46D4"/>
    <w:rsid w:val="009D48C9"/>
    <w:rsid w:val="009D4F08"/>
    <w:rsid w:val="009D4F41"/>
    <w:rsid w:val="009D50E0"/>
    <w:rsid w:val="009D5390"/>
    <w:rsid w:val="009D58AE"/>
    <w:rsid w:val="009D5918"/>
    <w:rsid w:val="009D6189"/>
    <w:rsid w:val="009D62E8"/>
    <w:rsid w:val="009D6AC5"/>
    <w:rsid w:val="009D6D1B"/>
    <w:rsid w:val="009D6F52"/>
    <w:rsid w:val="009D7E4B"/>
    <w:rsid w:val="009E0583"/>
    <w:rsid w:val="009E0BAB"/>
    <w:rsid w:val="009E1C48"/>
    <w:rsid w:val="009E1CA5"/>
    <w:rsid w:val="009E1F9B"/>
    <w:rsid w:val="009E2170"/>
    <w:rsid w:val="009E3B9C"/>
    <w:rsid w:val="009E3EEA"/>
    <w:rsid w:val="009E3FC3"/>
    <w:rsid w:val="009E4051"/>
    <w:rsid w:val="009E419E"/>
    <w:rsid w:val="009E4EA0"/>
    <w:rsid w:val="009E5138"/>
    <w:rsid w:val="009E5D6A"/>
    <w:rsid w:val="009E5ED3"/>
    <w:rsid w:val="009E5FAC"/>
    <w:rsid w:val="009E64E2"/>
    <w:rsid w:val="009E750A"/>
    <w:rsid w:val="009E7DB0"/>
    <w:rsid w:val="009F0546"/>
    <w:rsid w:val="009F0549"/>
    <w:rsid w:val="009F0F94"/>
    <w:rsid w:val="009F1258"/>
    <w:rsid w:val="009F1299"/>
    <w:rsid w:val="009F1AD3"/>
    <w:rsid w:val="009F1E16"/>
    <w:rsid w:val="009F2056"/>
    <w:rsid w:val="009F2B37"/>
    <w:rsid w:val="009F2C97"/>
    <w:rsid w:val="009F353B"/>
    <w:rsid w:val="009F3A80"/>
    <w:rsid w:val="009F3B97"/>
    <w:rsid w:val="009F3CB0"/>
    <w:rsid w:val="009F41E6"/>
    <w:rsid w:val="009F4220"/>
    <w:rsid w:val="009F459D"/>
    <w:rsid w:val="009F4958"/>
    <w:rsid w:val="009F5462"/>
    <w:rsid w:val="009F593C"/>
    <w:rsid w:val="009F5AA2"/>
    <w:rsid w:val="009F5ACE"/>
    <w:rsid w:val="009F5F3A"/>
    <w:rsid w:val="009F62F2"/>
    <w:rsid w:val="009F68DE"/>
    <w:rsid w:val="009F69DD"/>
    <w:rsid w:val="009F7EA2"/>
    <w:rsid w:val="00A001A1"/>
    <w:rsid w:val="00A003CC"/>
    <w:rsid w:val="00A0048D"/>
    <w:rsid w:val="00A009A7"/>
    <w:rsid w:val="00A00AA5"/>
    <w:rsid w:val="00A02307"/>
    <w:rsid w:val="00A02403"/>
    <w:rsid w:val="00A02657"/>
    <w:rsid w:val="00A026FE"/>
    <w:rsid w:val="00A02A97"/>
    <w:rsid w:val="00A0310F"/>
    <w:rsid w:val="00A0399E"/>
    <w:rsid w:val="00A03B38"/>
    <w:rsid w:val="00A03D07"/>
    <w:rsid w:val="00A043BE"/>
    <w:rsid w:val="00A0440B"/>
    <w:rsid w:val="00A05557"/>
    <w:rsid w:val="00A05A6E"/>
    <w:rsid w:val="00A05E8A"/>
    <w:rsid w:val="00A06637"/>
    <w:rsid w:val="00A06AC3"/>
    <w:rsid w:val="00A070A9"/>
    <w:rsid w:val="00A076FD"/>
    <w:rsid w:val="00A0782E"/>
    <w:rsid w:val="00A078AC"/>
    <w:rsid w:val="00A1082A"/>
    <w:rsid w:val="00A10A74"/>
    <w:rsid w:val="00A11146"/>
    <w:rsid w:val="00A11570"/>
    <w:rsid w:val="00A125A7"/>
    <w:rsid w:val="00A127E0"/>
    <w:rsid w:val="00A12FF2"/>
    <w:rsid w:val="00A135E7"/>
    <w:rsid w:val="00A13B90"/>
    <w:rsid w:val="00A1484A"/>
    <w:rsid w:val="00A14EF2"/>
    <w:rsid w:val="00A1514F"/>
    <w:rsid w:val="00A15563"/>
    <w:rsid w:val="00A15984"/>
    <w:rsid w:val="00A163B7"/>
    <w:rsid w:val="00A163E5"/>
    <w:rsid w:val="00A165B5"/>
    <w:rsid w:val="00A16AE8"/>
    <w:rsid w:val="00A16F82"/>
    <w:rsid w:val="00A17023"/>
    <w:rsid w:val="00A17A23"/>
    <w:rsid w:val="00A17E12"/>
    <w:rsid w:val="00A17E68"/>
    <w:rsid w:val="00A2104B"/>
    <w:rsid w:val="00A211FE"/>
    <w:rsid w:val="00A21543"/>
    <w:rsid w:val="00A21673"/>
    <w:rsid w:val="00A22085"/>
    <w:rsid w:val="00A22BED"/>
    <w:rsid w:val="00A22EA0"/>
    <w:rsid w:val="00A23725"/>
    <w:rsid w:val="00A24275"/>
    <w:rsid w:val="00A245E6"/>
    <w:rsid w:val="00A249DF"/>
    <w:rsid w:val="00A250F4"/>
    <w:rsid w:val="00A25388"/>
    <w:rsid w:val="00A25563"/>
    <w:rsid w:val="00A25621"/>
    <w:rsid w:val="00A25674"/>
    <w:rsid w:val="00A25B09"/>
    <w:rsid w:val="00A267B8"/>
    <w:rsid w:val="00A26CE3"/>
    <w:rsid w:val="00A2779E"/>
    <w:rsid w:val="00A278D8"/>
    <w:rsid w:val="00A30C63"/>
    <w:rsid w:val="00A31056"/>
    <w:rsid w:val="00A3131B"/>
    <w:rsid w:val="00A31390"/>
    <w:rsid w:val="00A31CDD"/>
    <w:rsid w:val="00A320F8"/>
    <w:rsid w:val="00A32DF1"/>
    <w:rsid w:val="00A33606"/>
    <w:rsid w:val="00A33B19"/>
    <w:rsid w:val="00A33C87"/>
    <w:rsid w:val="00A34379"/>
    <w:rsid w:val="00A343A0"/>
    <w:rsid w:val="00A34FAC"/>
    <w:rsid w:val="00A350C0"/>
    <w:rsid w:val="00A35344"/>
    <w:rsid w:val="00A361AE"/>
    <w:rsid w:val="00A36498"/>
    <w:rsid w:val="00A364D8"/>
    <w:rsid w:val="00A36F0B"/>
    <w:rsid w:val="00A3732B"/>
    <w:rsid w:val="00A377BD"/>
    <w:rsid w:val="00A37EED"/>
    <w:rsid w:val="00A401EB"/>
    <w:rsid w:val="00A4047D"/>
    <w:rsid w:val="00A407CD"/>
    <w:rsid w:val="00A40ACB"/>
    <w:rsid w:val="00A40DD4"/>
    <w:rsid w:val="00A418DF"/>
    <w:rsid w:val="00A421C5"/>
    <w:rsid w:val="00A42934"/>
    <w:rsid w:val="00A42B9A"/>
    <w:rsid w:val="00A42E7A"/>
    <w:rsid w:val="00A433E4"/>
    <w:rsid w:val="00A434A9"/>
    <w:rsid w:val="00A44E93"/>
    <w:rsid w:val="00A44FF1"/>
    <w:rsid w:val="00A45DFC"/>
    <w:rsid w:val="00A462C9"/>
    <w:rsid w:val="00A46317"/>
    <w:rsid w:val="00A46B00"/>
    <w:rsid w:val="00A46B2F"/>
    <w:rsid w:val="00A46B34"/>
    <w:rsid w:val="00A46ED3"/>
    <w:rsid w:val="00A4760E"/>
    <w:rsid w:val="00A47BC8"/>
    <w:rsid w:val="00A47C84"/>
    <w:rsid w:val="00A47FA1"/>
    <w:rsid w:val="00A505B6"/>
    <w:rsid w:val="00A5088E"/>
    <w:rsid w:val="00A50E0B"/>
    <w:rsid w:val="00A511D1"/>
    <w:rsid w:val="00A5124E"/>
    <w:rsid w:val="00A51CF3"/>
    <w:rsid w:val="00A5266F"/>
    <w:rsid w:val="00A53295"/>
    <w:rsid w:val="00A53879"/>
    <w:rsid w:val="00A53FA8"/>
    <w:rsid w:val="00A5514E"/>
    <w:rsid w:val="00A56033"/>
    <w:rsid w:val="00A56D2A"/>
    <w:rsid w:val="00A57140"/>
    <w:rsid w:val="00A5763B"/>
    <w:rsid w:val="00A579B9"/>
    <w:rsid w:val="00A57B29"/>
    <w:rsid w:val="00A57CAD"/>
    <w:rsid w:val="00A604D8"/>
    <w:rsid w:val="00A60579"/>
    <w:rsid w:val="00A60726"/>
    <w:rsid w:val="00A6074D"/>
    <w:rsid w:val="00A60804"/>
    <w:rsid w:val="00A6081F"/>
    <w:rsid w:val="00A60D75"/>
    <w:rsid w:val="00A61351"/>
    <w:rsid w:val="00A6234B"/>
    <w:rsid w:val="00A63020"/>
    <w:rsid w:val="00A646DF"/>
    <w:rsid w:val="00A652ED"/>
    <w:rsid w:val="00A657A8"/>
    <w:rsid w:val="00A666D8"/>
    <w:rsid w:val="00A670F7"/>
    <w:rsid w:val="00A67816"/>
    <w:rsid w:val="00A67A8D"/>
    <w:rsid w:val="00A706EE"/>
    <w:rsid w:val="00A70C21"/>
    <w:rsid w:val="00A70C30"/>
    <w:rsid w:val="00A70DFC"/>
    <w:rsid w:val="00A71E3E"/>
    <w:rsid w:val="00A71FF1"/>
    <w:rsid w:val="00A725D5"/>
    <w:rsid w:val="00A7397C"/>
    <w:rsid w:val="00A7401C"/>
    <w:rsid w:val="00A742A8"/>
    <w:rsid w:val="00A74773"/>
    <w:rsid w:val="00A75151"/>
    <w:rsid w:val="00A7532C"/>
    <w:rsid w:val="00A7541C"/>
    <w:rsid w:val="00A75451"/>
    <w:rsid w:val="00A759EA"/>
    <w:rsid w:val="00A75D7D"/>
    <w:rsid w:val="00A7744C"/>
    <w:rsid w:val="00A7763F"/>
    <w:rsid w:val="00A80D8B"/>
    <w:rsid w:val="00A81BDC"/>
    <w:rsid w:val="00A825D9"/>
    <w:rsid w:val="00A82BC7"/>
    <w:rsid w:val="00A83C02"/>
    <w:rsid w:val="00A841FD"/>
    <w:rsid w:val="00A84582"/>
    <w:rsid w:val="00A848CD"/>
    <w:rsid w:val="00A84C82"/>
    <w:rsid w:val="00A85B10"/>
    <w:rsid w:val="00A862F2"/>
    <w:rsid w:val="00A87A5E"/>
    <w:rsid w:val="00A87CB4"/>
    <w:rsid w:val="00A87DA0"/>
    <w:rsid w:val="00A87DC3"/>
    <w:rsid w:val="00A90484"/>
    <w:rsid w:val="00A91136"/>
    <w:rsid w:val="00A914CD"/>
    <w:rsid w:val="00A91544"/>
    <w:rsid w:val="00A91B17"/>
    <w:rsid w:val="00A933DF"/>
    <w:rsid w:val="00A938B4"/>
    <w:rsid w:val="00A93B77"/>
    <w:rsid w:val="00A93C46"/>
    <w:rsid w:val="00A94504"/>
    <w:rsid w:val="00A94E7A"/>
    <w:rsid w:val="00A958CC"/>
    <w:rsid w:val="00A959FB"/>
    <w:rsid w:val="00A964B7"/>
    <w:rsid w:val="00A96675"/>
    <w:rsid w:val="00A96BF5"/>
    <w:rsid w:val="00A9766E"/>
    <w:rsid w:val="00A97C4D"/>
    <w:rsid w:val="00AA0DBC"/>
    <w:rsid w:val="00AA0E3F"/>
    <w:rsid w:val="00AA1A6A"/>
    <w:rsid w:val="00AA1F67"/>
    <w:rsid w:val="00AA2131"/>
    <w:rsid w:val="00AA24D1"/>
    <w:rsid w:val="00AA2675"/>
    <w:rsid w:val="00AA2CB6"/>
    <w:rsid w:val="00AA3EEA"/>
    <w:rsid w:val="00AA4280"/>
    <w:rsid w:val="00AA4762"/>
    <w:rsid w:val="00AA48C2"/>
    <w:rsid w:val="00AA4CF1"/>
    <w:rsid w:val="00AA5587"/>
    <w:rsid w:val="00AA5739"/>
    <w:rsid w:val="00AA690C"/>
    <w:rsid w:val="00AA6ABF"/>
    <w:rsid w:val="00AA755F"/>
    <w:rsid w:val="00AA78D5"/>
    <w:rsid w:val="00AA7CDD"/>
    <w:rsid w:val="00AA7F3B"/>
    <w:rsid w:val="00AB0506"/>
    <w:rsid w:val="00AB0C45"/>
    <w:rsid w:val="00AB2192"/>
    <w:rsid w:val="00AB26D9"/>
    <w:rsid w:val="00AB2A15"/>
    <w:rsid w:val="00AB3069"/>
    <w:rsid w:val="00AB3357"/>
    <w:rsid w:val="00AB3C10"/>
    <w:rsid w:val="00AB3EB0"/>
    <w:rsid w:val="00AB4BAC"/>
    <w:rsid w:val="00AB5281"/>
    <w:rsid w:val="00AB59F1"/>
    <w:rsid w:val="00AB5B76"/>
    <w:rsid w:val="00AB622A"/>
    <w:rsid w:val="00AB64FB"/>
    <w:rsid w:val="00AB671C"/>
    <w:rsid w:val="00AB6C9D"/>
    <w:rsid w:val="00AB6CAD"/>
    <w:rsid w:val="00AB6DFD"/>
    <w:rsid w:val="00AB704C"/>
    <w:rsid w:val="00AB7F34"/>
    <w:rsid w:val="00AC082B"/>
    <w:rsid w:val="00AC0AA2"/>
    <w:rsid w:val="00AC0D0C"/>
    <w:rsid w:val="00AC1295"/>
    <w:rsid w:val="00AC14C2"/>
    <w:rsid w:val="00AC188D"/>
    <w:rsid w:val="00AC1AC8"/>
    <w:rsid w:val="00AC216B"/>
    <w:rsid w:val="00AC2171"/>
    <w:rsid w:val="00AC21AA"/>
    <w:rsid w:val="00AC2C6F"/>
    <w:rsid w:val="00AC37D9"/>
    <w:rsid w:val="00AC380D"/>
    <w:rsid w:val="00AC3E8F"/>
    <w:rsid w:val="00AC5708"/>
    <w:rsid w:val="00AC5BBA"/>
    <w:rsid w:val="00AC5F49"/>
    <w:rsid w:val="00AC6A92"/>
    <w:rsid w:val="00AC6B85"/>
    <w:rsid w:val="00AC6F39"/>
    <w:rsid w:val="00AC74B8"/>
    <w:rsid w:val="00AC7A0A"/>
    <w:rsid w:val="00AD02CB"/>
    <w:rsid w:val="00AD053D"/>
    <w:rsid w:val="00AD0628"/>
    <w:rsid w:val="00AD189B"/>
    <w:rsid w:val="00AD21A6"/>
    <w:rsid w:val="00AD21AB"/>
    <w:rsid w:val="00AD3030"/>
    <w:rsid w:val="00AD344E"/>
    <w:rsid w:val="00AD3CAF"/>
    <w:rsid w:val="00AD3E64"/>
    <w:rsid w:val="00AD44C0"/>
    <w:rsid w:val="00AD4C51"/>
    <w:rsid w:val="00AD51B0"/>
    <w:rsid w:val="00AD58A4"/>
    <w:rsid w:val="00AD5EC2"/>
    <w:rsid w:val="00AD620A"/>
    <w:rsid w:val="00AD676A"/>
    <w:rsid w:val="00AD6906"/>
    <w:rsid w:val="00AD6B86"/>
    <w:rsid w:val="00AD6C06"/>
    <w:rsid w:val="00AD7136"/>
    <w:rsid w:val="00AD7880"/>
    <w:rsid w:val="00AD7913"/>
    <w:rsid w:val="00AE00E1"/>
    <w:rsid w:val="00AE022D"/>
    <w:rsid w:val="00AE061E"/>
    <w:rsid w:val="00AE0691"/>
    <w:rsid w:val="00AE078D"/>
    <w:rsid w:val="00AE1357"/>
    <w:rsid w:val="00AE31B0"/>
    <w:rsid w:val="00AE31C4"/>
    <w:rsid w:val="00AE32F3"/>
    <w:rsid w:val="00AE37FA"/>
    <w:rsid w:val="00AE4608"/>
    <w:rsid w:val="00AE4B17"/>
    <w:rsid w:val="00AE5C43"/>
    <w:rsid w:val="00AE609E"/>
    <w:rsid w:val="00AE6334"/>
    <w:rsid w:val="00AE67F2"/>
    <w:rsid w:val="00AE6F5A"/>
    <w:rsid w:val="00AE7EB3"/>
    <w:rsid w:val="00AE7EDF"/>
    <w:rsid w:val="00AF0968"/>
    <w:rsid w:val="00AF0DE0"/>
    <w:rsid w:val="00AF1047"/>
    <w:rsid w:val="00AF1067"/>
    <w:rsid w:val="00AF17C6"/>
    <w:rsid w:val="00AF198C"/>
    <w:rsid w:val="00AF1A92"/>
    <w:rsid w:val="00AF1EB7"/>
    <w:rsid w:val="00AF3A94"/>
    <w:rsid w:val="00AF404B"/>
    <w:rsid w:val="00AF4080"/>
    <w:rsid w:val="00AF4FBD"/>
    <w:rsid w:val="00AF537E"/>
    <w:rsid w:val="00AF67E1"/>
    <w:rsid w:val="00AF6DDF"/>
    <w:rsid w:val="00AF718F"/>
    <w:rsid w:val="00AF7E5A"/>
    <w:rsid w:val="00B017C5"/>
    <w:rsid w:val="00B01FBA"/>
    <w:rsid w:val="00B021F2"/>
    <w:rsid w:val="00B02372"/>
    <w:rsid w:val="00B026C9"/>
    <w:rsid w:val="00B02D6A"/>
    <w:rsid w:val="00B03288"/>
    <w:rsid w:val="00B036BB"/>
    <w:rsid w:val="00B03929"/>
    <w:rsid w:val="00B03DF3"/>
    <w:rsid w:val="00B043EE"/>
    <w:rsid w:val="00B0457D"/>
    <w:rsid w:val="00B048E5"/>
    <w:rsid w:val="00B04A5B"/>
    <w:rsid w:val="00B04F8E"/>
    <w:rsid w:val="00B06A48"/>
    <w:rsid w:val="00B079B8"/>
    <w:rsid w:val="00B07A5A"/>
    <w:rsid w:val="00B07B99"/>
    <w:rsid w:val="00B1003A"/>
    <w:rsid w:val="00B10498"/>
    <w:rsid w:val="00B10DC5"/>
    <w:rsid w:val="00B10FE6"/>
    <w:rsid w:val="00B110FB"/>
    <w:rsid w:val="00B111F8"/>
    <w:rsid w:val="00B1199B"/>
    <w:rsid w:val="00B12C58"/>
    <w:rsid w:val="00B12E6C"/>
    <w:rsid w:val="00B12EB8"/>
    <w:rsid w:val="00B13028"/>
    <w:rsid w:val="00B13393"/>
    <w:rsid w:val="00B13967"/>
    <w:rsid w:val="00B13A07"/>
    <w:rsid w:val="00B13ED5"/>
    <w:rsid w:val="00B14293"/>
    <w:rsid w:val="00B14319"/>
    <w:rsid w:val="00B1490B"/>
    <w:rsid w:val="00B14FAE"/>
    <w:rsid w:val="00B157D5"/>
    <w:rsid w:val="00B15938"/>
    <w:rsid w:val="00B15B68"/>
    <w:rsid w:val="00B15D00"/>
    <w:rsid w:val="00B15F30"/>
    <w:rsid w:val="00B165D9"/>
    <w:rsid w:val="00B170E4"/>
    <w:rsid w:val="00B17809"/>
    <w:rsid w:val="00B1780A"/>
    <w:rsid w:val="00B17992"/>
    <w:rsid w:val="00B17E94"/>
    <w:rsid w:val="00B20DAD"/>
    <w:rsid w:val="00B217E0"/>
    <w:rsid w:val="00B21A8B"/>
    <w:rsid w:val="00B21F5D"/>
    <w:rsid w:val="00B21FBA"/>
    <w:rsid w:val="00B2254E"/>
    <w:rsid w:val="00B22B4C"/>
    <w:rsid w:val="00B22B7E"/>
    <w:rsid w:val="00B22D04"/>
    <w:rsid w:val="00B235DF"/>
    <w:rsid w:val="00B2393A"/>
    <w:rsid w:val="00B23CAF"/>
    <w:rsid w:val="00B24C11"/>
    <w:rsid w:val="00B24C95"/>
    <w:rsid w:val="00B25675"/>
    <w:rsid w:val="00B25AED"/>
    <w:rsid w:val="00B25D3A"/>
    <w:rsid w:val="00B25EC7"/>
    <w:rsid w:val="00B260F0"/>
    <w:rsid w:val="00B26CA2"/>
    <w:rsid w:val="00B26F0C"/>
    <w:rsid w:val="00B274FF"/>
    <w:rsid w:val="00B27925"/>
    <w:rsid w:val="00B27CAD"/>
    <w:rsid w:val="00B27CEB"/>
    <w:rsid w:val="00B27D0D"/>
    <w:rsid w:val="00B27DE4"/>
    <w:rsid w:val="00B30C8B"/>
    <w:rsid w:val="00B30F7E"/>
    <w:rsid w:val="00B31313"/>
    <w:rsid w:val="00B32236"/>
    <w:rsid w:val="00B322D8"/>
    <w:rsid w:val="00B32440"/>
    <w:rsid w:val="00B32548"/>
    <w:rsid w:val="00B326D3"/>
    <w:rsid w:val="00B33941"/>
    <w:rsid w:val="00B33CEA"/>
    <w:rsid w:val="00B33DFD"/>
    <w:rsid w:val="00B33E7E"/>
    <w:rsid w:val="00B34255"/>
    <w:rsid w:val="00B3434E"/>
    <w:rsid w:val="00B351FB"/>
    <w:rsid w:val="00B3590D"/>
    <w:rsid w:val="00B35CB0"/>
    <w:rsid w:val="00B35D60"/>
    <w:rsid w:val="00B3632F"/>
    <w:rsid w:val="00B373C0"/>
    <w:rsid w:val="00B37483"/>
    <w:rsid w:val="00B3756B"/>
    <w:rsid w:val="00B37620"/>
    <w:rsid w:val="00B377C9"/>
    <w:rsid w:val="00B37AC6"/>
    <w:rsid w:val="00B37B0B"/>
    <w:rsid w:val="00B37D77"/>
    <w:rsid w:val="00B40578"/>
    <w:rsid w:val="00B409E2"/>
    <w:rsid w:val="00B40AE4"/>
    <w:rsid w:val="00B40C1C"/>
    <w:rsid w:val="00B40C59"/>
    <w:rsid w:val="00B40EDE"/>
    <w:rsid w:val="00B413B5"/>
    <w:rsid w:val="00B4180F"/>
    <w:rsid w:val="00B41CDD"/>
    <w:rsid w:val="00B42BE5"/>
    <w:rsid w:val="00B4331B"/>
    <w:rsid w:val="00B434FE"/>
    <w:rsid w:val="00B4351F"/>
    <w:rsid w:val="00B43B8E"/>
    <w:rsid w:val="00B4451A"/>
    <w:rsid w:val="00B446B8"/>
    <w:rsid w:val="00B44DF2"/>
    <w:rsid w:val="00B45CCF"/>
    <w:rsid w:val="00B4654F"/>
    <w:rsid w:val="00B46F7E"/>
    <w:rsid w:val="00B477B1"/>
    <w:rsid w:val="00B479CD"/>
    <w:rsid w:val="00B479D1"/>
    <w:rsid w:val="00B503BA"/>
    <w:rsid w:val="00B50459"/>
    <w:rsid w:val="00B50FAD"/>
    <w:rsid w:val="00B5137B"/>
    <w:rsid w:val="00B522E4"/>
    <w:rsid w:val="00B52465"/>
    <w:rsid w:val="00B5304A"/>
    <w:rsid w:val="00B5326C"/>
    <w:rsid w:val="00B5350F"/>
    <w:rsid w:val="00B539BC"/>
    <w:rsid w:val="00B53A5B"/>
    <w:rsid w:val="00B54613"/>
    <w:rsid w:val="00B546B7"/>
    <w:rsid w:val="00B54D47"/>
    <w:rsid w:val="00B54F4B"/>
    <w:rsid w:val="00B556CF"/>
    <w:rsid w:val="00B55D7F"/>
    <w:rsid w:val="00B56021"/>
    <w:rsid w:val="00B5616C"/>
    <w:rsid w:val="00B566DF"/>
    <w:rsid w:val="00B5709C"/>
    <w:rsid w:val="00B575B3"/>
    <w:rsid w:val="00B576E6"/>
    <w:rsid w:val="00B57EC8"/>
    <w:rsid w:val="00B57FC8"/>
    <w:rsid w:val="00B6032F"/>
    <w:rsid w:val="00B60622"/>
    <w:rsid w:val="00B608E4"/>
    <w:rsid w:val="00B60D5B"/>
    <w:rsid w:val="00B6104E"/>
    <w:rsid w:val="00B616AF"/>
    <w:rsid w:val="00B617E9"/>
    <w:rsid w:val="00B61C44"/>
    <w:rsid w:val="00B61F8F"/>
    <w:rsid w:val="00B6264D"/>
    <w:rsid w:val="00B62681"/>
    <w:rsid w:val="00B628AD"/>
    <w:rsid w:val="00B62E5E"/>
    <w:rsid w:val="00B6336B"/>
    <w:rsid w:val="00B63A83"/>
    <w:rsid w:val="00B63D09"/>
    <w:rsid w:val="00B64AA0"/>
    <w:rsid w:val="00B65B57"/>
    <w:rsid w:val="00B65CE3"/>
    <w:rsid w:val="00B65CE9"/>
    <w:rsid w:val="00B66251"/>
    <w:rsid w:val="00B6693C"/>
    <w:rsid w:val="00B66D33"/>
    <w:rsid w:val="00B66D64"/>
    <w:rsid w:val="00B66D6D"/>
    <w:rsid w:val="00B66F99"/>
    <w:rsid w:val="00B67C4D"/>
    <w:rsid w:val="00B7024A"/>
    <w:rsid w:val="00B70AB8"/>
    <w:rsid w:val="00B71F22"/>
    <w:rsid w:val="00B72453"/>
    <w:rsid w:val="00B7262B"/>
    <w:rsid w:val="00B72A45"/>
    <w:rsid w:val="00B72BCA"/>
    <w:rsid w:val="00B72F7E"/>
    <w:rsid w:val="00B7364A"/>
    <w:rsid w:val="00B741CD"/>
    <w:rsid w:val="00B74884"/>
    <w:rsid w:val="00B7489C"/>
    <w:rsid w:val="00B74F80"/>
    <w:rsid w:val="00B75E6F"/>
    <w:rsid w:val="00B761AD"/>
    <w:rsid w:val="00B76700"/>
    <w:rsid w:val="00B76E32"/>
    <w:rsid w:val="00B76E3F"/>
    <w:rsid w:val="00B76F19"/>
    <w:rsid w:val="00B771A0"/>
    <w:rsid w:val="00B77452"/>
    <w:rsid w:val="00B77746"/>
    <w:rsid w:val="00B8013D"/>
    <w:rsid w:val="00B807FA"/>
    <w:rsid w:val="00B80BEF"/>
    <w:rsid w:val="00B80C78"/>
    <w:rsid w:val="00B81BFF"/>
    <w:rsid w:val="00B81FB8"/>
    <w:rsid w:val="00B8299A"/>
    <w:rsid w:val="00B82FC0"/>
    <w:rsid w:val="00B830D3"/>
    <w:rsid w:val="00B833CE"/>
    <w:rsid w:val="00B838C2"/>
    <w:rsid w:val="00B85F9B"/>
    <w:rsid w:val="00B860B5"/>
    <w:rsid w:val="00B86CD6"/>
    <w:rsid w:val="00B86E36"/>
    <w:rsid w:val="00B87575"/>
    <w:rsid w:val="00B87CA6"/>
    <w:rsid w:val="00B902ED"/>
    <w:rsid w:val="00B90447"/>
    <w:rsid w:val="00B91898"/>
    <w:rsid w:val="00B929A8"/>
    <w:rsid w:val="00B92F2F"/>
    <w:rsid w:val="00B9344F"/>
    <w:rsid w:val="00B937CD"/>
    <w:rsid w:val="00B93EC8"/>
    <w:rsid w:val="00B94419"/>
    <w:rsid w:val="00B95B29"/>
    <w:rsid w:val="00B9601F"/>
    <w:rsid w:val="00BA0082"/>
    <w:rsid w:val="00BA05F6"/>
    <w:rsid w:val="00BA0C80"/>
    <w:rsid w:val="00BA0CD5"/>
    <w:rsid w:val="00BA10D0"/>
    <w:rsid w:val="00BA191F"/>
    <w:rsid w:val="00BA266D"/>
    <w:rsid w:val="00BA2902"/>
    <w:rsid w:val="00BA2B9C"/>
    <w:rsid w:val="00BA2FAA"/>
    <w:rsid w:val="00BA35D9"/>
    <w:rsid w:val="00BA3838"/>
    <w:rsid w:val="00BA3BCB"/>
    <w:rsid w:val="00BA400A"/>
    <w:rsid w:val="00BA4D3D"/>
    <w:rsid w:val="00BA57E6"/>
    <w:rsid w:val="00BA607F"/>
    <w:rsid w:val="00BA6CAB"/>
    <w:rsid w:val="00BA71C9"/>
    <w:rsid w:val="00BA77E6"/>
    <w:rsid w:val="00BA78A1"/>
    <w:rsid w:val="00BB002E"/>
    <w:rsid w:val="00BB0310"/>
    <w:rsid w:val="00BB073A"/>
    <w:rsid w:val="00BB0ADD"/>
    <w:rsid w:val="00BB0B44"/>
    <w:rsid w:val="00BB1B1C"/>
    <w:rsid w:val="00BB3323"/>
    <w:rsid w:val="00BB41E5"/>
    <w:rsid w:val="00BB524F"/>
    <w:rsid w:val="00BB5465"/>
    <w:rsid w:val="00BB6255"/>
    <w:rsid w:val="00BB62E1"/>
    <w:rsid w:val="00BB684D"/>
    <w:rsid w:val="00BB7539"/>
    <w:rsid w:val="00BB78B3"/>
    <w:rsid w:val="00BB7F70"/>
    <w:rsid w:val="00BC03D0"/>
    <w:rsid w:val="00BC0427"/>
    <w:rsid w:val="00BC0664"/>
    <w:rsid w:val="00BC09C2"/>
    <w:rsid w:val="00BC10CE"/>
    <w:rsid w:val="00BC1469"/>
    <w:rsid w:val="00BC16E3"/>
    <w:rsid w:val="00BC1D33"/>
    <w:rsid w:val="00BC1DEF"/>
    <w:rsid w:val="00BC2C8F"/>
    <w:rsid w:val="00BC3032"/>
    <w:rsid w:val="00BC32A3"/>
    <w:rsid w:val="00BC4284"/>
    <w:rsid w:val="00BC4343"/>
    <w:rsid w:val="00BC43D6"/>
    <w:rsid w:val="00BC4A36"/>
    <w:rsid w:val="00BC4EE5"/>
    <w:rsid w:val="00BC670F"/>
    <w:rsid w:val="00BC6721"/>
    <w:rsid w:val="00BC77FF"/>
    <w:rsid w:val="00BC78ED"/>
    <w:rsid w:val="00BC7981"/>
    <w:rsid w:val="00BD0842"/>
    <w:rsid w:val="00BD1372"/>
    <w:rsid w:val="00BD197D"/>
    <w:rsid w:val="00BD2255"/>
    <w:rsid w:val="00BD2528"/>
    <w:rsid w:val="00BD26A6"/>
    <w:rsid w:val="00BD2BBB"/>
    <w:rsid w:val="00BD2BC9"/>
    <w:rsid w:val="00BD2E33"/>
    <w:rsid w:val="00BD312D"/>
    <w:rsid w:val="00BD45F4"/>
    <w:rsid w:val="00BD46DC"/>
    <w:rsid w:val="00BD4C2B"/>
    <w:rsid w:val="00BD5890"/>
    <w:rsid w:val="00BD5D50"/>
    <w:rsid w:val="00BD67CD"/>
    <w:rsid w:val="00BD67D6"/>
    <w:rsid w:val="00BD6A35"/>
    <w:rsid w:val="00BD7728"/>
    <w:rsid w:val="00BD788F"/>
    <w:rsid w:val="00BE021E"/>
    <w:rsid w:val="00BE09B7"/>
    <w:rsid w:val="00BE0A38"/>
    <w:rsid w:val="00BE1020"/>
    <w:rsid w:val="00BE2A26"/>
    <w:rsid w:val="00BE40D0"/>
    <w:rsid w:val="00BE4229"/>
    <w:rsid w:val="00BE43A6"/>
    <w:rsid w:val="00BE4F9E"/>
    <w:rsid w:val="00BE59A4"/>
    <w:rsid w:val="00BE5D01"/>
    <w:rsid w:val="00BE6179"/>
    <w:rsid w:val="00BE6AA8"/>
    <w:rsid w:val="00BE6B55"/>
    <w:rsid w:val="00BE6C60"/>
    <w:rsid w:val="00BE6E0B"/>
    <w:rsid w:val="00BE709A"/>
    <w:rsid w:val="00BE786C"/>
    <w:rsid w:val="00BF03EB"/>
    <w:rsid w:val="00BF046C"/>
    <w:rsid w:val="00BF0629"/>
    <w:rsid w:val="00BF064D"/>
    <w:rsid w:val="00BF0E09"/>
    <w:rsid w:val="00BF19B9"/>
    <w:rsid w:val="00BF2521"/>
    <w:rsid w:val="00BF2648"/>
    <w:rsid w:val="00BF2A0E"/>
    <w:rsid w:val="00BF4154"/>
    <w:rsid w:val="00BF4516"/>
    <w:rsid w:val="00BF47BA"/>
    <w:rsid w:val="00BF6898"/>
    <w:rsid w:val="00BF70B9"/>
    <w:rsid w:val="00BF749C"/>
    <w:rsid w:val="00BF791C"/>
    <w:rsid w:val="00C00684"/>
    <w:rsid w:val="00C01647"/>
    <w:rsid w:val="00C019EA"/>
    <w:rsid w:val="00C01B51"/>
    <w:rsid w:val="00C022BD"/>
    <w:rsid w:val="00C0250B"/>
    <w:rsid w:val="00C02A9F"/>
    <w:rsid w:val="00C0362D"/>
    <w:rsid w:val="00C04621"/>
    <w:rsid w:val="00C04EB5"/>
    <w:rsid w:val="00C051A9"/>
    <w:rsid w:val="00C0525F"/>
    <w:rsid w:val="00C06129"/>
    <w:rsid w:val="00C06145"/>
    <w:rsid w:val="00C06321"/>
    <w:rsid w:val="00C06A88"/>
    <w:rsid w:val="00C07048"/>
    <w:rsid w:val="00C073C7"/>
    <w:rsid w:val="00C074D8"/>
    <w:rsid w:val="00C07B38"/>
    <w:rsid w:val="00C07BC6"/>
    <w:rsid w:val="00C10454"/>
    <w:rsid w:val="00C106E0"/>
    <w:rsid w:val="00C107E6"/>
    <w:rsid w:val="00C108E6"/>
    <w:rsid w:val="00C10A8D"/>
    <w:rsid w:val="00C10C00"/>
    <w:rsid w:val="00C10DEE"/>
    <w:rsid w:val="00C11298"/>
    <w:rsid w:val="00C115E9"/>
    <w:rsid w:val="00C123F6"/>
    <w:rsid w:val="00C1307B"/>
    <w:rsid w:val="00C13938"/>
    <w:rsid w:val="00C13ED9"/>
    <w:rsid w:val="00C14118"/>
    <w:rsid w:val="00C14943"/>
    <w:rsid w:val="00C14CE2"/>
    <w:rsid w:val="00C14FDC"/>
    <w:rsid w:val="00C150B4"/>
    <w:rsid w:val="00C1553C"/>
    <w:rsid w:val="00C15B52"/>
    <w:rsid w:val="00C15DC6"/>
    <w:rsid w:val="00C16099"/>
    <w:rsid w:val="00C164A8"/>
    <w:rsid w:val="00C20554"/>
    <w:rsid w:val="00C223B5"/>
    <w:rsid w:val="00C228CF"/>
    <w:rsid w:val="00C22A1A"/>
    <w:rsid w:val="00C22C2C"/>
    <w:rsid w:val="00C237E1"/>
    <w:rsid w:val="00C23A82"/>
    <w:rsid w:val="00C23B3A"/>
    <w:rsid w:val="00C23BF7"/>
    <w:rsid w:val="00C23DCB"/>
    <w:rsid w:val="00C23DF7"/>
    <w:rsid w:val="00C23F80"/>
    <w:rsid w:val="00C24238"/>
    <w:rsid w:val="00C24C39"/>
    <w:rsid w:val="00C2511B"/>
    <w:rsid w:val="00C25334"/>
    <w:rsid w:val="00C25709"/>
    <w:rsid w:val="00C2673F"/>
    <w:rsid w:val="00C26CE9"/>
    <w:rsid w:val="00C27118"/>
    <w:rsid w:val="00C27699"/>
    <w:rsid w:val="00C27AE2"/>
    <w:rsid w:val="00C31E20"/>
    <w:rsid w:val="00C327F3"/>
    <w:rsid w:val="00C32CEE"/>
    <w:rsid w:val="00C32D59"/>
    <w:rsid w:val="00C330C2"/>
    <w:rsid w:val="00C3371B"/>
    <w:rsid w:val="00C33C49"/>
    <w:rsid w:val="00C343C7"/>
    <w:rsid w:val="00C3524E"/>
    <w:rsid w:val="00C36565"/>
    <w:rsid w:val="00C3669F"/>
    <w:rsid w:val="00C377D5"/>
    <w:rsid w:val="00C40079"/>
    <w:rsid w:val="00C40B57"/>
    <w:rsid w:val="00C414A8"/>
    <w:rsid w:val="00C414FA"/>
    <w:rsid w:val="00C41537"/>
    <w:rsid w:val="00C4189C"/>
    <w:rsid w:val="00C421AC"/>
    <w:rsid w:val="00C427B2"/>
    <w:rsid w:val="00C42D12"/>
    <w:rsid w:val="00C42D50"/>
    <w:rsid w:val="00C4471A"/>
    <w:rsid w:val="00C447B8"/>
    <w:rsid w:val="00C4503B"/>
    <w:rsid w:val="00C45445"/>
    <w:rsid w:val="00C4569C"/>
    <w:rsid w:val="00C45AC6"/>
    <w:rsid w:val="00C46174"/>
    <w:rsid w:val="00C46519"/>
    <w:rsid w:val="00C47312"/>
    <w:rsid w:val="00C47B6F"/>
    <w:rsid w:val="00C47CBE"/>
    <w:rsid w:val="00C47D48"/>
    <w:rsid w:val="00C47FE9"/>
    <w:rsid w:val="00C50D2F"/>
    <w:rsid w:val="00C52404"/>
    <w:rsid w:val="00C524C9"/>
    <w:rsid w:val="00C53518"/>
    <w:rsid w:val="00C536C2"/>
    <w:rsid w:val="00C5373E"/>
    <w:rsid w:val="00C53982"/>
    <w:rsid w:val="00C539BA"/>
    <w:rsid w:val="00C5414C"/>
    <w:rsid w:val="00C54279"/>
    <w:rsid w:val="00C542EF"/>
    <w:rsid w:val="00C543B8"/>
    <w:rsid w:val="00C5499D"/>
    <w:rsid w:val="00C54FE7"/>
    <w:rsid w:val="00C55656"/>
    <w:rsid w:val="00C55C9D"/>
    <w:rsid w:val="00C563BE"/>
    <w:rsid w:val="00C5651A"/>
    <w:rsid w:val="00C56DA9"/>
    <w:rsid w:val="00C56E77"/>
    <w:rsid w:val="00C57599"/>
    <w:rsid w:val="00C5791C"/>
    <w:rsid w:val="00C6018F"/>
    <w:rsid w:val="00C60DD3"/>
    <w:rsid w:val="00C61141"/>
    <w:rsid w:val="00C6207A"/>
    <w:rsid w:val="00C62911"/>
    <w:rsid w:val="00C62F5C"/>
    <w:rsid w:val="00C63B2C"/>
    <w:rsid w:val="00C63DB5"/>
    <w:rsid w:val="00C64489"/>
    <w:rsid w:val="00C64614"/>
    <w:rsid w:val="00C64913"/>
    <w:rsid w:val="00C65032"/>
    <w:rsid w:val="00C6558D"/>
    <w:rsid w:val="00C66336"/>
    <w:rsid w:val="00C6645D"/>
    <w:rsid w:val="00C679AF"/>
    <w:rsid w:val="00C704EE"/>
    <w:rsid w:val="00C708EA"/>
    <w:rsid w:val="00C708F2"/>
    <w:rsid w:val="00C70EC1"/>
    <w:rsid w:val="00C719C4"/>
    <w:rsid w:val="00C71C6B"/>
    <w:rsid w:val="00C71E42"/>
    <w:rsid w:val="00C722A7"/>
    <w:rsid w:val="00C72328"/>
    <w:rsid w:val="00C73821"/>
    <w:rsid w:val="00C73C1D"/>
    <w:rsid w:val="00C74428"/>
    <w:rsid w:val="00C74738"/>
    <w:rsid w:val="00C7566B"/>
    <w:rsid w:val="00C7608D"/>
    <w:rsid w:val="00C76B5B"/>
    <w:rsid w:val="00C76CFD"/>
    <w:rsid w:val="00C76DCC"/>
    <w:rsid w:val="00C77090"/>
    <w:rsid w:val="00C77494"/>
    <w:rsid w:val="00C77691"/>
    <w:rsid w:val="00C8005E"/>
    <w:rsid w:val="00C8184C"/>
    <w:rsid w:val="00C81DE9"/>
    <w:rsid w:val="00C83074"/>
    <w:rsid w:val="00C84266"/>
    <w:rsid w:val="00C844E0"/>
    <w:rsid w:val="00C844F1"/>
    <w:rsid w:val="00C84D12"/>
    <w:rsid w:val="00C84DCD"/>
    <w:rsid w:val="00C84E4F"/>
    <w:rsid w:val="00C850F8"/>
    <w:rsid w:val="00C8610B"/>
    <w:rsid w:val="00C86237"/>
    <w:rsid w:val="00C8697A"/>
    <w:rsid w:val="00C86B74"/>
    <w:rsid w:val="00C91D99"/>
    <w:rsid w:val="00C91E4B"/>
    <w:rsid w:val="00C93342"/>
    <w:rsid w:val="00C94641"/>
    <w:rsid w:val="00C95ADC"/>
    <w:rsid w:val="00C960D4"/>
    <w:rsid w:val="00C962ED"/>
    <w:rsid w:val="00C9638F"/>
    <w:rsid w:val="00C96873"/>
    <w:rsid w:val="00C97081"/>
    <w:rsid w:val="00C97528"/>
    <w:rsid w:val="00C97B6D"/>
    <w:rsid w:val="00C97DAA"/>
    <w:rsid w:val="00CA0643"/>
    <w:rsid w:val="00CA08B6"/>
    <w:rsid w:val="00CA0AD9"/>
    <w:rsid w:val="00CA1F42"/>
    <w:rsid w:val="00CA1F9E"/>
    <w:rsid w:val="00CA2289"/>
    <w:rsid w:val="00CA27D7"/>
    <w:rsid w:val="00CA2CA4"/>
    <w:rsid w:val="00CA3BD6"/>
    <w:rsid w:val="00CA42B4"/>
    <w:rsid w:val="00CA56ED"/>
    <w:rsid w:val="00CA5849"/>
    <w:rsid w:val="00CA59A8"/>
    <w:rsid w:val="00CA5EFC"/>
    <w:rsid w:val="00CA614B"/>
    <w:rsid w:val="00CA63D2"/>
    <w:rsid w:val="00CA663A"/>
    <w:rsid w:val="00CA6F4E"/>
    <w:rsid w:val="00CA713F"/>
    <w:rsid w:val="00CA76B1"/>
    <w:rsid w:val="00CA7BB4"/>
    <w:rsid w:val="00CB0ACD"/>
    <w:rsid w:val="00CB0BB2"/>
    <w:rsid w:val="00CB0BF6"/>
    <w:rsid w:val="00CB0CE1"/>
    <w:rsid w:val="00CB0D12"/>
    <w:rsid w:val="00CB168A"/>
    <w:rsid w:val="00CB212F"/>
    <w:rsid w:val="00CB2977"/>
    <w:rsid w:val="00CB38F1"/>
    <w:rsid w:val="00CB39D6"/>
    <w:rsid w:val="00CB3A67"/>
    <w:rsid w:val="00CB4040"/>
    <w:rsid w:val="00CB40A4"/>
    <w:rsid w:val="00CB42FF"/>
    <w:rsid w:val="00CB60C8"/>
    <w:rsid w:val="00CB6CAD"/>
    <w:rsid w:val="00CB6CC0"/>
    <w:rsid w:val="00CB6DD1"/>
    <w:rsid w:val="00CB6E42"/>
    <w:rsid w:val="00CB7F6D"/>
    <w:rsid w:val="00CC03EC"/>
    <w:rsid w:val="00CC0FFD"/>
    <w:rsid w:val="00CC12EB"/>
    <w:rsid w:val="00CC188B"/>
    <w:rsid w:val="00CC27F0"/>
    <w:rsid w:val="00CC2F63"/>
    <w:rsid w:val="00CC3481"/>
    <w:rsid w:val="00CC35A1"/>
    <w:rsid w:val="00CC38C7"/>
    <w:rsid w:val="00CC3F35"/>
    <w:rsid w:val="00CC45D0"/>
    <w:rsid w:val="00CC4666"/>
    <w:rsid w:val="00CC51F6"/>
    <w:rsid w:val="00CC5791"/>
    <w:rsid w:val="00CC5991"/>
    <w:rsid w:val="00CC5F61"/>
    <w:rsid w:val="00CC5FE7"/>
    <w:rsid w:val="00CC6493"/>
    <w:rsid w:val="00CC69A9"/>
    <w:rsid w:val="00CC7D3A"/>
    <w:rsid w:val="00CD03F3"/>
    <w:rsid w:val="00CD06E4"/>
    <w:rsid w:val="00CD0999"/>
    <w:rsid w:val="00CD13DA"/>
    <w:rsid w:val="00CD1A67"/>
    <w:rsid w:val="00CD289C"/>
    <w:rsid w:val="00CD4149"/>
    <w:rsid w:val="00CD41DD"/>
    <w:rsid w:val="00CD44E3"/>
    <w:rsid w:val="00CD4A9F"/>
    <w:rsid w:val="00CD52DB"/>
    <w:rsid w:val="00CD534F"/>
    <w:rsid w:val="00CD59B8"/>
    <w:rsid w:val="00CD5AED"/>
    <w:rsid w:val="00CD635C"/>
    <w:rsid w:val="00CD6B99"/>
    <w:rsid w:val="00CD7B83"/>
    <w:rsid w:val="00CD7CE8"/>
    <w:rsid w:val="00CE04C7"/>
    <w:rsid w:val="00CE0F71"/>
    <w:rsid w:val="00CE169C"/>
    <w:rsid w:val="00CE20FB"/>
    <w:rsid w:val="00CE22B6"/>
    <w:rsid w:val="00CE27A4"/>
    <w:rsid w:val="00CE2E26"/>
    <w:rsid w:val="00CE30BF"/>
    <w:rsid w:val="00CE37BC"/>
    <w:rsid w:val="00CE4784"/>
    <w:rsid w:val="00CE47F7"/>
    <w:rsid w:val="00CE498B"/>
    <w:rsid w:val="00CE4A0A"/>
    <w:rsid w:val="00CE5C1C"/>
    <w:rsid w:val="00CE5C34"/>
    <w:rsid w:val="00CE6021"/>
    <w:rsid w:val="00CE63DA"/>
    <w:rsid w:val="00CE71A1"/>
    <w:rsid w:val="00CE7F88"/>
    <w:rsid w:val="00CF1014"/>
    <w:rsid w:val="00CF173B"/>
    <w:rsid w:val="00CF271A"/>
    <w:rsid w:val="00CF2876"/>
    <w:rsid w:val="00CF34CF"/>
    <w:rsid w:val="00CF494D"/>
    <w:rsid w:val="00CF4E05"/>
    <w:rsid w:val="00CF5082"/>
    <w:rsid w:val="00CF6F70"/>
    <w:rsid w:val="00CF71DC"/>
    <w:rsid w:val="00CF7686"/>
    <w:rsid w:val="00CF7F2E"/>
    <w:rsid w:val="00CF7FBE"/>
    <w:rsid w:val="00D00E20"/>
    <w:rsid w:val="00D01056"/>
    <w:rsid w:val="00D01D7C"/>
    <w:rsid w:val="00D026A1"/>
    <w:rsid w:val="00D02F50"/>
    <w:rsid w:val="00D0358F"/>
    <w:rsid w:val="00D03665"/>
    <w:rsid w:val="00D03678"/>
    <w:rsid w:val="00D0416E"/>
    <w:rsid w:val="00D041D8"/>
    <w:rsid w:val="00D0467D"/>
    <w:rsid w:val="00D05376"/>
    <w:rsid w:val="00D0543D"/>
    <w:rsid w:val="00D059B4"/>
    <w:rsid w:val="00D059D5"/>
    <w:rsid w:val="00D063BB"/>
    <w:rsid w:val="00D06686"/>
    <w:rsid w:val="00D067E7"/>
    <w:rsid w:val="00D06907"/>
    <w:rsid w:val="00D070A5"/>
    <w:rsid w:val="00D0726B"/>
    <w:rsid w:val="00D07BE5"/>
    <w:rsid w:val="00D07F68"/>
    <w:rsid w:val="00D10169"/>
    <w:rsid w:val="00D1057D"/>
    <w:rsid w:val="00D10869"/>
    <w:rsid w:val="00D10BA2"/>
    <w:rsid w:val="00D117E9"/>
    <w:rsid w:val="00D120A2"/>
    <w:rsid w:val="00D126D9"/>
    <w:rsid w:val="00D12773"/>
    <w:rsid w:val="00D12B7C"/>
    <w:rsid w:val="00D13161"/>
    <w:rsid w:val="00D131EA"/>
    <w:rsid w:val="00D1327E"/>
    <w:rsid w:val="00D13695"/>
    <w:rsid w:val="00D13EE5"/>
    <w:rsid w:val="00D14199"/>
    <w:rsid w:val="00D1427A"/>
    <w:rsid w:val="00D15386"/>
    <w:rsid w:val="00D156C3"/>
    <w:rsid w:val="00D16D9E"/>
    <w:rsid w:val="00D17120"/>
    <w:rsid w:val="00D1718C"/>
    <w:rsid w:val="00D17663"/>
    <w:rsid w:val="00D17884"/>
    <w:rsid w:val="00D17D80"/>
    <w:rsid w:val="00D216CD"/>
    <w:rsid w:val="00D21B3B"/>
    <w:rsid w:val="00D21BD3"/>
    <w:rsid w:val="00D23202"/>
    <w:rsid w:val="00D23A80"/>
    <w:rsid w:val="00D24137"/>
    <w:rsid w:val="00D24C07"/>
    <w:rsid w:val="00D25E17"/>
    <w:rsid w:val="00D25F31"/>
    <w:rsid w:val="00D26235"/>
    <w:rsid w:val="00D26580"/>
    <w:rsid w:val="00D26AC4"/>
    <w:rsid w:val="00D26BE0"/>
    <w:rsid w:val="00D26FB7"/>
    <w:rsid w:val="00D27648"/>
    <w:rsid w:val="00D30A69"/>
    <w:rsid w:val="00D30B54"/>
    <w:rsid w:val="00D30B99"/>
    <w:rsid w:val="00D31967"/>
    <w:rsid w:val="00D31FDA"/>
    <w:rsid w:val="00D32240"/>
    <w:rsid w:val="00D32C16"/>
    <w:rsid w:val="00D33F3A"/>
    <w:rsid w:val="00D3433F"/>
    <w:rsid w:val="00D34F0E"/>
    <w:rsid w:val="00D3505E"/>
    <w:rsid w:val="00D3578D"/>
    <w:rsid w:val="00D3583C"/>
    <w:rsid w:val="00D361D4"/>
    <w:rsid w:val="00D36510"/>
    <w:rsid w:val="00D367F9"/>
    <w:rsid w:val="00D36AF8"/>
    <w:rsid w:val="00D36DBE"/>
    <w:rsid w:val="00D37E9D"/>
    <w:rsid w:val="00D402B7"/>
    <w:rsid w:val="00D4049C"/>
    <w:rsid w:val="00D404B2"/>
    <w:rsid w:val="00D40C8C"/>
    <w:rsid w:val="00D41182"/>
    <w:rsid w:val="00D41A3B"/>
    <w:rsid w:val="00D423D1"/>
    <w:rsid w:val="00D427BB"/>
    <w:rsid w:val="00D43018"/>
    <w:rsid w:val="00D43370"/>
    <w:rsid w:val="00D435F5"/>
    <w:rsid w:val="00D43644"/>
    <w:rsid w:val="00D436A7"/>
    <w:rsid w:val="00D44C43"/>
    <w:rsid w:val="00D4533C"/>
    <w:rsid w:val="00D45800"/>
    <w:rsid w:val="00D458F1"/>
    <w:rsid w:val="00D4693D"/>
    <w:rsid w:val="00D471CD"/>
    <w:rsid w:val="00D5020B"/>
    <w:rsid w:val="00D5041C"/>
    <w:rsid w:val="00D506D0"/>
    <w:rsid w:val="00D507C6"/>
    <w:rsid w:val="00D50C2D"/>
    <w:rsid w:val="00D51CB7"/>
    <w:rsid w:val="00D5213C"/>
    <w:rsid w:val="00D5259C"/>
    <w:rsid w:val="00D52994"/>
    <w:rsid w:val="00D52A5A"/>
    <w:rsid w:val="00D534BB"/>
    <w:rsid w:val="00D53585"/>
    <w:rsid w:val="00D54584"/>
    <w:rsid w:val="00D54822"/>
    <w:rsid w:val="00D54D00"/>
    <w:rsid w:val="00D54DAC"/>
    <w:rsid w:val="00D5565F"/>
    <w:rsid w:val="00D5595F"/>
    <w:rsid w:val="00D559D4"/>
    <w:rsid w:val="00D55FEE"/>
    <w:rsid w:val="00D56768"/>
    <w:rsid w:val="00D56949"/>
    <w:rsid w:val="00D56B2F"/>
    <w:rsid w:val="00D56C5F"/>
    <w:rsid w:val="00D577B5"/>
    <w:rsid w:val="00D57889"/>
    <w:rsid w:val="00D60E82"/>
    <w:rsid w:val="00D62125"/>
    <w:rsid w:val="00D63CA5"/>
    <w:rsid w:val="00D648D5"/>
    <w:rsid w:val="00D64F7B"/>
    <w:rsid w:val="00D6552D"/>
    <w:rsid w:val="00D65969"/>
    <w:rsid w:val="00D669F9"/>
    <w:rsid w:val="00D66C51"/>
    <w:rsid w:val="00D66DD0"/>
    <w:rsid w:val="00D67652"/>
    <w:rsid w:val="00D67948"/>
    <w:rsid w:val="00D67F5A"/>
    <w:rsid w:val="00D70248"/>
    <w:rsid w:val="00D70402"/>
    <w:rsid w:val="00D70625"/>
    <w:rsid w:val="00D70655"/>
    <w:rsid w:val="00D71679"/>
    <w:rsid w:val="00D71E70"/>
    <w:rsid w:val="00D71E91"/>
    <w:rsid w:val="00D726A2"/>
    <w:rsid w:val="00D726F5"/>
    <w:rsid w:val="00D7288C"/>
    <w:rsid w:val="00D73F48"/>
    <w:rsid w:val="00D73FF6"/>
    <w:rsid w:val="00D742AC"/>
    <w:rsid w:val="00D7433D"/>
    <w:rsid w:val="00D7454C"/>
    <w:rsid w:val="00D749E6"/>
    <w:rsid w:val="00D74A11"/>
    <w:rsid w:val="00D75CD4"/>
    <w:rsid w:val="00D75DFB"/>
    <w:rsid w:val="00D7625B"/>
    <w:rsid w:val="00D7668F"/>
    <w:rsid w:val="00D767F8"/>
    <w:rsid w:val="00D76B2A"/>
    <w:rsid w:val="00D804EF"/>
    <w:rsid w:val="00D8069A"/>
    <w:rsid w:val="00D80991"/>
    <w:rsid w:val="00D81069"/>
    <w:rsid w:val="00D810DA"/>
    <w:rsid w:val="00D81507"/>
    <w:rsid w:val="00D8306A"/>
    <w:rsid w:val="00D8357F"/>
    <w:rsid w:val="00D84085"/>
    <w:rsid w:val="00D84AEE"/>
    <w:rsid w:val="00D84B66"/>
    <w:rsid w:val="00D84C48"/>
    <w:rsid w:val="00D8583D"/>
    <w:rsid w:val="00D85991"/>
    <w:rsid w:val="00D86C93"/>
    <w:rsid w:val="00D9001C"/>
    <w:rsid w:val="00D9022F"/>
    <w:rsid w:val="00D9051C"/>
    <w:rsid w:val="00D90DC8"/>
    <w:rsid w:val="00D90E3C"/>
    <w:rsid w:val="00D90F8B"/>
    <w:rsid w:val="00D91032"/>
    <w:rsid w:val="00D91C04"/>
    <w:rsid w:val="00D91DBC"/>
    <w:rsid w:val="00D91E15"/>
    <w:rsid w:val="00D926D7"/>
    <w:rsid w:val="00D9289A"/>
    <w:rsid w:val="00D92C1B"/>
    <w:rsid w:val="00D92ECD"/>
    <w:rsid w:val="00D92FEA"/>
    <w:rsid w:val="00D934B1"/>
    <w:rsid w:val="00D93D00"/>
    <w:rsid w:val="00D93E3D"/>
    <w:rsid w:val="00D944CD"/>
    <w:rsid w:val="00D95A66"/>
    <w:rsid w:val="00D95F19"/>
    <w:rsid w:val="00D96850"/>
    <w:rsid w:val="00D96B81"/>
    <w:rsid w:val="00D96CF1"/>
    <w:rsid w:val="00D97591"/>
    <w:rsid w:val="00D97A0A"/>
    <w:rsid w:val="00DA130D"/>
    <w:rsid w:val="00DA2190"/>
    <w:rsid w:val="00DA2227"/>
    <w:rsid w:val="00DA2418"/>
    <w:rsid w:val="00DA2A59"/>
    <w:rsid w:val="00DA300A"/>
    <w:rsid w:val="00DA319B"/>
    <w:rsid w:val="00DA36BD"/>
    <w:rsid w:val="00DA38E2"/>
    <w:rsid w:val="00DA3CB1"/>
    <w:rsid w:val="00DA3CFD"/>
    <w:rsid w:val="00DA3EF9"/>
    <w:rsid w:val="00DA425E"/>
    <w:rsid w:val="00DA4DB4"/>
    <w:rsid w:val="00DA528D"/>
    <w:rsid w:val="00DA5460"/>
    <w:rsid w:val="00DA5B92"/>
    <w:rsid w:val="00DA5E64"/>
    <w:rsid w:val="00DA6CA9"/>
    <w:rsid w:val="00DA6CB7"/>
    <w:rsid w:val="00DA75B3"/>
    <w:rsid w:val="00DB061C"/>
    <w:rsid w:val="00DB1670"/>
    <w:rsid w:val="00DB1BBB"/>
    <w:rsid w:val="00DB1BD4"/>
    <w:rsid w:val="00DB23F0"/>
    <w:rsid w:val="00DB2C10"/>
    <w:rsid w:val="00DB3371"/>
    <w:rsid w:val="00DB36A6"/>
    <w:rsid w:val="00DB3873"/>
    <w:rsid w:val="00DB3989"/>
    <w:rsid w:val="00DB477D"/>
    <w:rsid w:val="00DB4892"/>
    <w:rsid w:val="00DB48F7"/>
    <w:rsid w:val="00DB5479"/>
    <w:rsid w:val="00DB677E"/>
    <w:rsid w:val="00DB6D36"/>
    <w:rsid w:val="00DB7704"/>
    <w:rsid w:val="00DB796F"/>
    <w:rsid w:val="00DB7A07"/>
    <w:rsid w:val="00DB7ACB"/>
    <w:rsid w:val="00DB7B97"/>
    <w:rsid w:val="00DC007C"/>
    <w:rsid w:val="00DC00E8"/>
    <w:rsid w:val="00DC015D"/>
    <w:rsid w:val="00DC04B1"/>
    <w:rsid w:val="00DC08A9"/>
    <w:rsid w:val="00DC1438"/>
    <w:rsid w:val="00DC15A4"/>
    <w:rsid w:val="00DC17DD"/>
    <w:rsid w:val="00DC227F"/>
    <w:rsid w:val="00DC2302"/>
    <w:rsid w:val="00DC32B3"/>
    <w:rsid w:val="00DC3476"/>
    <w:rsid w:val="00DC3EA5"/>
    <w:rsid w:val="00DC40FB"/>
    <w:rsid w:val="00DC4381"/>
    <w:rsid w:val="00DC4891"/>
    <w:rsid w:val="00DC4AEC"/>
    <w:rsid w:val="00DC4D94"/>
    <w:rsid w:val="00DC5B14"/>
    <w:rsid w:val="00DC6200"/>
    <w:rsid w:val="00DC632A"/>
    <w:rsid w:val="00DC6332"/>
    <w:rsid w:val="00DC6398"/>
    <w:rsid w:val="00DC68F9"/>
    <w:rsid w:val="00DC728E"/>
    <w:rsid w:val="00DC7A14"/>
    <w:rsid w:val="00DD12C4"/>
    <w:rsid w:val="00DD1436"/>
    <w:rsid w:val="00DD2353"/>
    <w:rsid w:val="00DD2C44"/>
    <w:rsid w:val="00DD3A4D"/>
    <w:rsid w:val="00DD3A4F"/>
    <w:rsid w:val="00DD45C7"/>
    <w:rsid w:val="00DD4979"/>
    <w:rsid w:val="00DD4F3F"/>
    <w:rsid w:val="00DD4FB5"/>
    <w:rsid w:val="00DD727B"/>
    <w:rsid w:val="00DD73DE"/>
    <w:rsid w:val="00DE0293"/>
    <w:rsid w:val="00DE04DE"/>
    <w:rsid w:val="00DE07E0"/>
    <w:rsid w:val="00DE0D29"/>
    <w:rsid w:val="00DE1C46"/>
    <w:rsid w:val="00DE2F6B"/>
    <w:rsid w:val="00DE3231"/>
    <w:rsid w:val="00DE3411"/>
    <w:rsid w:val="00DE3C1E"/>
    <w:rsid w:val="00DE3CC2"/>
    <w:rsid w:val="00DE4D5A"/>
    <w:rsid w:val="00DE5250"/>
    <w:rsid w:val="00DE5364"/>
    <w:rsid w:val="00DE5CD7"/>
    <w:rsid w:val="00DE6B7B"/>
    <w:rsid w:val="00DE6C12"/>
    <w:rsid w:val="00DE6F35"/>
    <w:rsid w:val="00DE78D3"/>
    <w:rsid w:val="00DE7C70"/>
    <w:rsid w:val="00DF03C2"/>
    <w:rsid w:val="00DF0F1F"/>
    <w:rsid w:val="00DF0FB6"/>
    <w:rsid w:val="00DF12DF"/>
    <w:rsid w:val="00DF1724"/>
    <w:rsid w:val="00DF1E1D"/>
    <w:rsid w:val="00DF21E4"/>
    <w:rsid w:val="00DF22C9"/>
    <w:rsid w:val="00DF2655"/>
    <w:rsid w:val="00DF2E6A"/>
    <w:rsid w:val="00DF3710"/>
    <w:rsid w:val="00DF3BF6"/>
    <w:rsid w:val="00DF41CB"/>
    <w:rsid w:val="00DF426E"/>
    <w:rsid w:val="00DF45FB"/>
    <w:rsid w:val="00DF46CF"/>
    <w:rsid w:val="00DF4AF4"/>
    <w:rsid w:val="00DF4CAD"/>
    <w:rsid w:val="00DF4D08"/>
    <w:rsid w:val="00DF5526"/>
    <w:rsid w:val="00DF5CBD"/>
    <w:rsid w:val="00DF616D"/>
    <w:rsid w:val="00DF6625"/>
    <w:rsid w:val="00DF673A"/>
    <w:rsid w:val="00DF6A1B"/>
    <w:rsid w:val="00DF6B20"/>
    <w:rsid w:val="00DF6D73"/>
    <w:rsid w:val="00DF746E"/>
    <w:rsid w:val="00DF7596"/>
    <w:rsid w:val="00DF7729"/>
    <w:rsid w:val="00DF7B6E"/>
    <w:rsid w:val="00E000E9"/>
    <w:rsid w:val="00E003A4"/>
    <w:rsid w:val="00E00C02"/>
    <w:rsid w:val="00E01175"/>
    <w:rsid w:val="00E0216B"/>
    <w:rsid w:val="00E03164"/>
    <w:rsid w:val="00E0437E"/>
    <w:rsid w:val="00E045E5"/>
    <w:rsid w:val="00E045FA"/>
    <w:rsid w:val="00E0464B"/>
    <w:rsid w:val="00E04DA9"/>
    <w:rsid w:val="00E04DE7"/>
    <w:rsid w:val="00E05653"/>
    <w:rsid w:val="00E06332"/>
    <w:rsid w:val="00E06520"/>
    <w:rsid w:val="00E06B60"/>
    <w:rsid w:val="00E0700E"/>
    <w:rsid w:val="00E07132"/>
    <w:rsid w:val="00E074BF"/>
    <w:rsid w:val="00E079EB"/>
    <w:rsid w:val="00E07C09"/>
    <w:rsid w:val="00E07E40"/>
    <w:rsid w:val="00E07FC6"/>
    <w:rsid w:val="00E10353"/>
    <w:rsid w:val="00E10E5B"/>
    <w:rsid w:val="00E112DD"/>
    <w:rsid w:val="00E11324"/>
    <w:rsid w:val="00E11336"/>
    <w:rsid w:val="00E115D2"/>
    <w:rsid w:val="00E11CA8"/>
    <w:rsid w:val="00E11E33"/>
    <w:rsid w:val="00E11E40"/>
    <w:rsid w:val="00E12DB7"/>
    <w:rsid w:val="00E13545"/>
    <w:rsid w:val="00E14ECC"/>
    <w:rsid w:val="00E154AF"/>
    <w:rsid w:val="00E15DE4"/>
    <w:rsid w:val="00E162CC"/>
    <w:rsid w:val="00E16D46"/>
    <w:rsid w:val="00E16F85"/>
    <w:rsid w:val="00E2017C"/>
    <w:rsid w:val="00E211B4"/>
    <w:rsid w:val="00E218E5"/>
    <w:rsid w:val="00E21BE5"/>
    <w:rsid w:val="00E22BF9"/>
    <w:rsid w:val="00E22C1A"/>
    <w:rsid w:val="00E23570"/>
    <w:rsid w:val="00E238C2"/>
    <w:rsid w:val="00E239E7"/>
    <w:rsid w:val="00E23C74"/>
    <w:rsid w:val="00E23F17"/>
    <w:rsid w:val="00E24063"/>
    <w:rsid w:val="00E247F5"/>
    <w:rsid w:val="00E252FC"/>
    <w:rsid w:val="00E25960"/>
    <w:rsid w:val="00E25A9D"/>
    <w:rsid w:val="00E26138"/>
    <w:rsid w:val="00E261D7"/>
    <w:rsid w:val="00E2625A"/>
    <w:rsid w:val="00E263D9"/>
    <w:rsid w:val="00E26489"/>
    <w:rsid w:val="00E26591"/>
    <w:rsid w:val="00E265D0"/>
    <w:rsid w:val="00E26747"/>
    <w:rsid w:val="00E26E66"/>
    <w:rsid w:val="00E26F14"/>
    <w:rsid w:val="00E27046"/>
    <w:rsid w:val="00E270A6"/>
    <w:rsid w:val="00E276EA"/>
    <w:rsid w:val="00E27ABD"/>
    <w:rsid w:val="00E27ADF"/>
    <w:rsid w:val="00E304FD"/>
    <w:rsid w:val="00E317B3"/>
    <w:rsid w:val="00E3210A"/>
    <w:rsid w:val="00E32ECB"/>
    <w:rsid w:val="00E34463"/>
    <w:rsid w:val="00E346EB"/>
    <w:rsid w:val="00E34883"/>
    <w:rsid w:val="00E34C8A"/>
    <w:rsid w:val="00E352E4"/>
    <w:rsid w:val="00E35428"/>
    <w:rsid w:val="00E35884"/>
    <w:rsid w:val="00E36EF1"/>
    <w:rsid w:val="00E37CC8"/>
    <w:rsid w:val="00E405E7"/>
    <w:rsid w:val="00E4075F"/>
    <w:rsid w:val="00E40B6C"/>
    <w:rsid w:val="00E417BF"/>
    <w:rsid w:val="00E41A32"/>
    <w:rsid w:val="00E41B07"/>
    <w:rsid w:val="00E41B56"/>
    <w:rsid w:val="00E4295F"/>
    <w:rsid w:val="00E42D2A"/>
    <w:rsid w:val="00E432DE"/>
    <w:rsid w:val="00E44164"/>
    <w:rsid w:val="00E442AC"/>
    <w:rsid w:val="00E443CE"/>
    <w:rsid w:val="00E4490E"/>
    <w:rsid w:val="00E45233"/>
    <w:rsid w:val="00E457E4"/>
    <w:rsid w:val="00E465AF"/>
    <w:rsid w:val="00E46668"/>
    <w:rsid w:val="00E47C17"/>
    <w:rsid w:val="00E5064F"/>
    <w:rsid w:val="00E50978"/>
    <w:rsid w:val="00E50C4C"/>
    <w:rsid w:val="00E51B54"/>
    <w:rsid w:val="00E522A5"/>
    <w:rsid w:val="00E52C26"/>
    <w:rsid w:val="00E52C3F"/>
    <w:rsid w:val="00E52CB0"/>
    <w:rsid w:val="00E52F52"/>
    <w:rsid w:val="00E533D7"/>
    <w:rsid w:val="00E5357E"/>
    <w:rsid w:val="00E5392E"/>
    <w:rsid w:val="00E541E5"/>
    <w:rsid w:val="00E546AB"/>
    <w:rsid w:val="00E60328"/>
    <w:rsid w:val="00E607FC"/>
    <w:rsid w:val="00E6129C"/>
    <w:rsid w:val="00E61814"/>
    <w:rsid w:val="00E61DD5"/>
    <w:rsid w:val="00E61DEC"/>
    <w:rsid w:val="00E6246C"/>
    <w:rsid w:val="00E62677"/>
    <w:rsid w:val="00E6341C"/>
    <w:rsid w:val="00E63515"/>
    <w:rsid w:val="00E642CB"/>
    <w:rsid w:val="00E6483D"/>
    <w:rsid w:val="00E64E9B"/>
    <w:rsid w:val="00E65085"/>
    <w:rsid w:val="00E65599"/>
    <w:rsid w:val="00E658EC"/>
    <w:rsid w:val="00E65C21"/>
    <w:rsid w:val="00E65E9D"/>
    <w:rsid w:val="00E661D7"/>
    <w:rsid w:val="00E664F3"/>
    <w:rsid w:val="00E66AFE"/>
    <w:rsid w:val="00E66AFF"/>
    <w:rsid w:val="00E66F9B"/>
    <w:rsid w:val="00E671A8"/>
    <w:rsid w:val="00E67D55"/>
    <w:rsid w:val="00E67FF2"/>
    <w:rsid w:val="00E7018C"/>
    <w:rsid w:val="00E705B5"/>
    <w:rsid w:val="00E70CE0"/>
    <w:rsid w:val="00E70D12"/>
    <w:rsid w:val="00E70E0B"/>
    <w:rsid w:val="00E710B1"/>
    <w:rsid w:val="00E7140C"/>
    <w:rsid w:val="00E71581"/>
    <w:rsid w:val="00E7163C"/>
    <w:rsid w:val="00E71659"/>
    <w:rsid w:val="00E71BD2"/>
    <w:rsid w:val="00E71E59"/>
    <w:rsid w:val="00E7294A"/>
    <w:rsid w:val="00E73193"/>
    <w:rsid w:val="00E733D0"/>
    <w:rsid w:val="00E73617"/>
    <w:rsid w:val="00E73B74"/>
    <w:rsid w:val="00E73E5A"/>
    <w:rsid w:val="00E73FBB"/>
    <w:rsid w:val="00E7441D"/>
    <w:rsid w:val="00E7449C"/>
    <w:rsid w:val="00E74939"/>
    <w:rsid w:val="00E74E4F"/>
    <w:rsid w:val="00E75043"/>
    <w:rsid w:val="00E755DF"/>
    <w:rsid w:val="00E755ED"/>
    <w:rsid w:val="00E75AF4"/>
    <w:rsid w:val="00E75DAF"/>
    <w:rsid w:val="00E76EF3"/>
    <w:rsid w:val="00E77566"/>
    <w:rsid w:val="00E77918"/>
    <w:rsid w:val="00E77AE3"/>
    <w:rsid w:val="00E77E50"/>
    <w:rsid w:val="00E80432"/>
    <w:rsid w:val="00E80CA9"/>
    <w:rsid w:val="00E80E16"/>
    <w:rsid w:val="00E817C0"/>
    <w:rsid w:val="00E81990"/>
    <w:rsid w:val="00E819F6"/>
    <w:rsid w:val="00E81F7D"/>
    <w:rsid w:val="00E82123"/>
    <w:rsid w:val="00E82748"/>
    <w:rsid w:val="00E8361F"/>
    <w:rsid w:val="00E83B97"/>
    <w:rsid w:val="00E83BE3"/>
    <w:rsid w:val="00E842F6"/>
    <w:rsid w:val="00E848AD"/>
    <w:rsid w:val="00E848F6"/>
    <w:rsid w:val="00E8578E"/>
    <w:rsid w:val="00E85E3F"/>
    <w:rsid w:val="00E862A1"/>
    <w:rsid w:val="00E863BB"/>
    <w:rsid w:val="00E86724"/>
    <w:rsid w:val="00E874E3"/>
    <w:rsid w:val="00E87CF1"/>
    <w:rsid w:val="00E87F0F"/>
    <w:rsid w:val="00E87FE0"/>
    <w:rsid w:val="00E90765"/>
    <w:rsid w:val="00E90B04"/>
    <w:rsid w:val="00E90EC8"/>
    <w:rsid w:val="00E9110E"/>
    <w:rsid w:val="00E91856"/>
    <w:rsid w:val="00E918E2"/>
    <w:rsid w:val="00E91D73"/>
    <w:rsid w:val="00E91F51"/>
    <w:rsid w:val="00E9233E"/>
    <w:rsid w:val="00E92795"/>
    <w:rsid w:val="00E92BFA"/>
    <w:rsid w:val="00E92DF4"/>
    <w:rsid w:val="00E938F9"/>
    <w:rsid w:val="00E94156"/>
    <w:rsid w:val="00E943CE"/>
    <w:rsid w:val="00E944EF"/>
    <w:rsid w:val="00E94765"/>
    <w:rsid w:val="00E951E1"/>
    <w:rsid w:val="00E95791"/>
    <w:rsid w:val="00E957FD"/>
    <w:rsid w:val="00E95A47"/>
    <w:rsid w:val="00E963F9"/>
    <w:rsid w:val="00E967B9"/>
    <w:rsid w:val="00E9698C"/>
    <w:rsid w:val="00E97A26"/>
    <w:rsid w:val="00EA151A"/>
    <w:rsid w:val="00EA17FC"/>
    <w:rsid w:val="00EA1D13"/>
    <w:rsid w:val="00EA2D79"/>
    <w:rsid w:val="00EA4027"/>
    <w:rsid w:val="00EA4145"/>
    <w:rsid w:val="00EA4591"/>
    <w:rsid w:val="00EA515F"/>
    <w:rsid w:val="00EA549D"/>
    <w:rsid w:val="00EA63C1"/>
    <w:rsid w:val="00EA6524"/>
    <w:rsid w:val="00EA6BAB"/>
    <w:rsid w:val="00EA6C55"/>
    <w:rsid w:val="00EA74CC"/>
    <w:rsid w:val="00EB0509"/>
    <w:rsid w:val="00EB06AE"/>
    <w:rsid w:val="00EB0A03"/>
    <w:rsid w:val="00EB0F68"/>
    <w:rsid w:val="00EB1004"/>
    <w:rsid w:val="00EB1566"/>
    <w:rsid w:val="00EB1835"/>
    <w:rsid w:val="00EB2AC3"/>
    <w:rsid w:val="00EB3061"/>
    <w:rsid w:val="00EB4365"/>
    <w:rsid w:val="00EB4998"/>
    <w:rsid w:val="00EB4C0D"/>
    <w:rsid w:val="00EB578E"/>
    <w:rsid w:val="00EB58C7"/>
    <w:rsid w:val="00EB617F"/>
    <w:rsid w:val="00EB65CF"/>
    <w:rsid w:val="00EB6B5E"/>
    <w:rsid w:val="00EB76A0"/>
    <w:rsid w:val="00EB786E"/>
    <w:rsid w:val="00EC06E8"/>
    <w:rsid w:val="00EC0DA4"/>
    <w:rsid w:val="00EC0EBB"/>
    <w:rsid w:val="00EC1241"/>
    <w:rsid w:val="00EC1349"/>
    <w:rsid w:val="00EC16C5"/>
    <w:rsid w:val="00EC1887"/>
    <w:rsid w:val="00EC2EDB"/>
    <w:rsid w:val="00EC3435"/>
    <w:rsid w:val="00EC34DE"/>
    <w:rsid w:val="00EC3F49"/>
    <w:rsid w:val="00EC469F"/>
    <w:rsid w:val="00EC48F1"/>
    <w:rsid w:val="00EC4B8C"/>
    <w:rsid w:val="00EC4D96"/>
    <w:rsid w:val="00EC611C"/>
    <w:rsid w:val="00EC65D2"/>
    <w:rsid w:val="00EC6A93"/>
    <w:rsid w:val="00EC7372"/>
    <w:rsid w:val="00EC7ECF"/>
    <w:rsid w:val="00ED1532"/>
    <w:rsid w:val="00ED189B"/>
    <w:rsid w:val="00ED19E6"/>
    <w:rsid w:val="00ED1AA7"/>
    <w:rsid w:val="00ED1C3A"/>
    <w:rsid w:val="00ED1CEB"/>
    <w:rsid w:val="00ED2201"/>
    <w:rsid w:val="00ED31AF"/>
    <w:rsid w:val="00ED32E0"/>
    <w:rsid w:val="00ED38D2"/>
    <w:rsid w:val="00ED3B17"/>
    <w:rsid w:val="00ED43DD"/>
    <w:rsid w:val="00ED455E"/>
    <w:rsid w:val="00ED4BBF"/>
    <w:rsid w:val="00ED51C5"/>
    <w:rsid w:val="00ED55DC"/>
    <w:rsid w:val="00ED5EB6"/>
    <w:rsid w:val="00ED65CE"/>
    <w:rsid w:val="00ED6B81"/>
    <w:rsid w:val="00ED739E"/>
    <w:rsid w:val="00ED787F"/>
    <w:rsid w:val="00EE0423"/>
    <w:rsid w:val="00EE05B2"/>
    <w:rsid w:val="00EE10E1"/>
    <w:rsid w:val="00EE113E"/>
    <w:rsid w:val="00EE19F3"/>
    <w:rsid w:val="00EE1CD5"/>
    <w:rsid w:val="00EE2125"/>
    <w:rsid w:val="00EE3713"/>
    <w:rsid w:val="00EE3C51"/>
    <w:rsid w:val="00EE4175"/>
    <w:rsid w:val="00EE4AFA"/>
    <w:rsid w:val="00EE547D"/>
    <w:rsid w:val="00EE5BA3"/>
    <w:rsid w:val="00EE5F9E"/>
    <w:rsid w:val="00EE6071"/>
    <w:rsid w:val="00EE6774"/>
    <w:rsid w:val="00EE697C"/>
    <w:rsid w:val="00EE6A26"/>
    <w:rsid w:val="00EE6BAB"/>
    <w:rsid w:val="00EE7043"/>
    <w:rsid w:val="00EE7194"/>
    <w:rsid w:val="00EE7941"/>
    <w:rsid w:val="00EF07A3"/>
    <w:rsid w:val="00EF0D8B"/>
    <w:rsid w:val="00EF0DB9"/>
    <w:rsid w:val="00EF18F0"/>
    <w:rsid w:val="00EF1D2F"/>
    <w:rsid w:val="00EF239D"/>
    <w:rsid w:val="00EF2512"/>
    <w:rsid w:val="00EF27D4"/>
    <w:rsid w:val="00EF2F99"/>
    <w:rsid w:val="00EF3255"/>
    <w:rsid w:val="00EF370A"/>
    <w:rsid w:val="00EF3D9F"/>
    <w:rsid w:val="00EF447D"/>
    <w:rsid w:val="00EF5882"/>
    <w:rsid w:val="00EF598B"/>
    <w:rsid w:val="00EF5B7A"/>
    <w:rsid w:val="00EF5E7B"/>
    <w:rsid w:val="00EF61D3"/>
    <w:rsid w:val="00EF647B"/>
    <w:rsid w:val="00EF75F6"/>
    <w:rsid w:val="00EF77CC"/>
    <w:rsid w:val="00F00080"/>
    <w:rsid w:val="00F0012F"/>
    <w:rsid w:val="00F00199"/>
    <w:rsid w:val="00F007A1"/>
    <w:rsid w:val="00F008DE"/>
    <w:rsid w:val="00F00A7C"/>
    <w:rsid w:val="00F00B37"/>
    <w:rsid w:val="00F00E71"/>
    <w:rsid w:val="00F01CBD"/>
    <w:rsid w:val="00F027A9"/>
    <w:rsid w:val="00F02DB5"/>
    <w:rsid w:val="00F0307C"/>
    <w:rsid w:val="00F030EF"/>
    <w:rsid w:val="00F03F31"/>
    <w:rsid w:val="00F045E9"/>
    <w:rsid w:val="00F0467A"/>
    <w:rsid w:val="00F05573"/>
    <w:rsid w:val="00F05D0E"/>
    <w:rsid w:val="00F0749D"/>
    <w:rsid w:val="00F07CA9"/>
    <w:rsid w:val="00F10B81"/>
    <w:rsid w:val="00F10D79"/>
    <w:rsid w:val="00F112A8"/>
    <w:rsid w:val="00F112B4"/>
    <w:rsid w:val="00F11C13"/>
    <w:rsid w:val="00F11DB0"/>
    <w:rsid w:val="00F12020"/>
    <w:rsid w:val="00F12DA2"/>
    <w:rsid w:val="00F13AF8"/>
    <w:rsid w:val="00F13D7E"/>
    <w:rsid w:val="00F14B39"/>
    <w:rsid w:val="00F1550C"/>
    <w:rsid w:val="00F163F5"/>
    <w:rsid w:val="00F16807"/>
    <w:rsid w:val="00F17A3F"/>
    <w:rsid w:val="00F17F7F"/>
    <w:rsid w:val="00F200AC"/>
    <w:rsid w:val="00F2013E"/>
    <w:rsid w:val="00F202B9"/>
    <w:rsid w:val="00F205A0"/>
    <w:rsid w:val="00F21103"/>
    <w:rsid w:val="00F21261"/>
    <w:rsid w:val="00F213F4"/>
    <w:rsid w:val="00F214DF"/>
    <w:rsid w:val="00F21DC3"/>
    <w:rsid w:val="00F21FD3"/>
    <w:rsid w:val="00F22057"/>
    <w:rsid w:val="00F2219C"/>
    <w:rsid w:val="00F2224C"/>
    <w:rsid w:val="00F225B8"/>
    <w:rsid w:val="00F22825"/>
    <w:rsid w:val="00F23076"/>
    <w:rsid w:val="00F2315C"/>
    <w:rsid w:val="00F24E9C"/>
    <w:rsid w:val="00F24EF1"/>
    <w:rsid w:val="00F24F8A"/>
    <w:rsid w:val="00F25DE4"/>
    <w:rsid w:val="00F2660C"/>
    <w:rsid w:val="00F272F8"/>
    <w:rsid w:val="00F27585"/>
    <w:rsid w:val="00F2773C"/>
    <w:rsid w:val="00F277EA"/>
    <w:rsid w:val="00F27E9A"/>
    <w:rsid w:val="00F30433"/>
    <w:rsid w:val="00F304F0"/>
    <w:rsid w:val="00F306BD"/>
    <w:rsid w:val="00F30A56"/>
    <w:rsid w:val="00F310BA"/>
    <w:rsid w:val="00F31318"/>
    <w:rsid w:val="00F31450"/>
    <w:rsid w:val="00F31595"/>
    <w:rsid w:val="00F31978"/>
    <w:rsid w:val="00F31B30"/>
    <w:rsid w:val="00F32306"/>
    <w:rsid w:val="00F32880"/>
    <w:rsid w:val="00F32C17"/>
    <w:rsid w:val="00F32CF4"/>
    <w:rsid w:val="00F32D16"/>
    <w:rsid w:val="00F33811"/>
    <w:rsid w:val="00F34FCC"/>
    <w:rsid w:val="00F35AD3"/>
    <w:rsid w:val="00F35C2E"/>
    <w:rsid w:val="00F3625E"/>
    <w:rsid w:val="00F3638A"/>
    <w:rsid w:val="00F36729"/>
    <w:rsid w:val="00F36F74"/>
    <w:rsid w:val="00F37503"/>
    <w:rsid w:val="00F37563"/>
    <w:rsid w:val="00F37864"/>
    <w:rsid w:val="00F37887"/>
    <w:rsid w:val="00F378F0"/>
    <w:rsid w:val="00F400C5"/>
    <w:rsid w:val="00F40642"/>
    <w:rsid w:val="00F41EEB"/>
    <w:rsid w:val="00F41EFA"/>
    <w:rsid w:val="00F422BE"/>
    <w:rsid w:val="00F432D9"/>
    <w:rsid w:val="00F44A13"/>
    <w:rsid w:val="00F44B15"/>
    <w:rsid w:val="00F44D18"/>
    <w:rsid w:val="00F452FD"/>
    <w:rsid w:val="00F45A54"/>
    <w:rsid w:val="00F45A67"/>
    <w:rsid w:val="00F45F59"/>
    <w:rsid w:val="00F4706C"/>
    <w:rsid w:val="00F47A3F"/>
    <w:rsid w:val="00F50C6C"/>
    <w:rsid w:val="00F51C38"/>
    <w:rsid w:val="00F51FF5"/>
    <w:rsid w:val="00F5215C"/>
    <w:rsid w:val="00F52341"/>
    <w:rsid w:val="00F5306A"/>
    <w:rsid w:val="00F5365C"/>
    <w:rsid w:val="00F53949"/>
    <w:rsid w:val="00F53F9A"/>
    <w:rsid w:val="00F54017"/>
    <w:rsid w:val="00F54373"/>
    <w:rsid w:val="00F54D74"/>
    <w:rsid w:val="00F5621A"/>
    <w:rsid w:val="00F563EF"/>
    <w:rsid w:val="00F56C30"/>
    <w:rsid w:val="00F56CBD"/>
    <w:rsid w:val="00F57090"/>
    <w:rsid w:val="00F60AEE"/>
    <w:rsid w:val="00F62517"/>
    <w:rsid w:val="00F6256B"/>
    <w:rsid w:val="00F6263C"/>
    <w:rsid w:val="00F62C82"/>
    <w:rsid w:val="00F63297"/>
    <w:rsid w:val="00F63577"/>
    <w:rsid w:val="00F63722"/>
    <w:rsid w:val="00F637EF"/>
    <w:rsid w:val="00F63DDD"/>
    <w:rsid w:val="00F63E31"/>
    <w:rsid w:val="00F63FB8"/>
    <w:rsid w:val="00F651B2"/>
    <w:rsid w:val="00F65672"/>
    <w:rsid w:val="00F659F7"/>
    <w:rsid w:val="00F66B09"/>
    <w:rsid w:val="00F66D87"/>
    <w:rsid w:val="00F67F7B"/>
    <w:rsid w:val="00F700D8"/>
    <w:rsid w:val="00F704AA"/>
    <w:rsid w:val="00F707CC"/>
    <w:rsid w:val="00F70830"/>
    <w:rsid w:val="00F70A05"/>
    <w:rsid w:val="00F70A7C"/>
    <w:rsid w:val="00F71096"/>
    <w:rsid w:val="00F71B0C"/>
    <w:rsid w:val="00F72A81"/>
    <w:rsid w:val="00F730A2"/>
    <w:rsid w:val="00F742E5"/>
    <w:rsid w:val="00F74599"/>
    <w:rsid w:val="00F7469D"/>
    <w:rsid w:val="00F74BFB"/>
    <w:rsid w:val="00F74CA8"/>
    <w:rsid w:val="00F75434"/>
    <w:rsid w:val="00F75616"/>
    <w:rsid w:val="00F76107"/>
    <w:rsid w:val="00F761B9"/>
    <w:rsid w:val="00F762C2"/>
    <w:rsid w:val="00F76791"/>
    <w:rsid w:val="00F76EC5"/>
    <w:rsid w:val="00F77DB4"/>
    <w:rsid w:val="00F80297"/>
    <w:rsid w:val="00F8079E"/>
    <w:rsid w:val="00F8089C"/>
    <w:rsid w:val="00F8093B"/>
    <w:rsid w:val="00F82053"/>
    <w:rsid w:val="00F8263D"/>
    <w:rsid w:val="00F829DF"/>
    <w:rsid w:val="00F82A7F"/>
    <w:rsid w:val="00F82B17"/>
    <w:rsid w:val="00F82D99"/>
    <w:rsid w:val="00F83E32"/>
    <w:rsid w:val="00F84029"/>
    <w:rsid w:val="00F848BE"/>
    <w:rsid w:val="00F84F3F"/>
    <w:rsid w:val="00F84FB0"/>
    <w:rsid w:val="00F8504D"/>
    <w:rsid w:val="00F85510"/>
    <w:rsid w:val="00F8596F"/>
    <w:rsid w:val="00F8624D"/>
    <w:rsid w:val="00F86356"/>
    <w:rsid w:val="00F86DBC"/>
    <w:rsid w:val="00F87152"/>
    <w:rsid w:val="00F873E0"/>
    <w:rsid w:val="00F87426"/>
    <w:rsid w:val="00F87499"/>
    <w:rsid w:val="00F87871"/>
    <w:rsid w:val="00F901C4"/>
    <w:rsid w:val="00F9042C"/>
    <w:rsid w:val="00F90825"/>
    <w:rsid w:val="00F911B9"/>
    <w:rsid w:val="00F92147"/>
    <w:rsid w:val="00F921E0"/>
    <w:rsid w:val="00F92A76"/>
    <w:rsid w:val="00F92C12"/>
    <w:rsid w:val="00F92C79"/>
    <w:rsid w:val="00F937CF"/>
    <w:rsid w:val="00F93D03"/>
    <w:rsid w:val="00F93E3D"/>
    <w:rsid w:val="00F941F3"/>
    <w:rsid w:val="00F9455F"/>
    <w:rsid w:val="00F94B09"/>
    <w:rsid w:val="00F95075"/>
    <w:rsid w:val="00F95B5B"/>
    <w:rsid w:val="00F965D4"/>
    <w:rsid w:val="00F9686A"/>
    <w:rsid w:val="00F970C4"/>
    <w:rsid w:val="00FA0708"/>
    <w:rsid w:val="00FA13E4"/>
    <w:rsid w:val="00FA1660"/>
    <w:rsid w:val="00FA168C"/>
    <w:rsid w:val="00FA1BAA"/>
    <w:rsid w:val="00FA2476"/>
    <w:rsid w:val="00FA292B"/>
    <w:rsid w:val="00FA31EE"/>
    <w:rsid w:val="00FA4533"/>
    <w:rsid w:val="00FA4A0A"/>
    <w:rsid w:val="00FA4C10"/>
    <w:rsid w:val="00FA504B"/>
    <w:rsid w:val="00FA56C9"/>
    <w:rsid w:val="00FA59D7"/>
    <w:rsid w:val="00FA5AB0"/>
    <w:rsid w:val="00FA5CFC"/>
    <w:rsid w:val="00FA5E0D"/>
    <w:rsid w:val="00FA60CB"/>
    <w:rsid w:val="00FA69BD"/>
    <w:rsid w:val="00FA6CC1"/>
    <w:rsid w:val="00FA6CEA"/>
    <w:rsid w:val="00FA6CF6"/>
    <w:rsid w:val="00FA6F7E"/>
    <w:rsid w:val="00FA731A"/>
    <w:rsid w:val="00FA7339"/>
    <w:rsid w:val="00FA7564"/>
    <w:rsid w:val="00FB00AE"/>
    <w:rsid w:val="00FB038D"/>
    <w:rsid w:val="00FB05B8"/>
    <w:rsid w:val="00FB0722"/>
    <w:rsid w:val="00FB0A4D"/>
    <w:rsid w:val="00FB1DB6"/>
    <w:rsid w:val="00FB340C"/>
    <w:rsid w:val="00FB3937"/>
    <w:rsid w:val="00FB4908"/>
    <w:rsid w:val="00FB4B34"/>
    <w:rsid w:val="00FB5E84"/>
    <w:rsid w:val="00FB6EB0"/>
    <w:rsid w:val="00FB7DF2"/>
    <w:rsid w:val="00FB7E62"/>
    <w:rsid w:val="00FC0480"/>
    <w:rsid w:val="00FC1395"/>
    <w:rsid w:val="00FC161C"/>
    <w:rsid w:val="00FC170C"/>
    <w:rsid w:val="00FC1FC3"/>
    <w:rsid w:val="00FC25AF"/>
    <w:rsid w:val="00FC29E2"/>
    <w:rsid w:val="00FC2B7E"/>
    <w:rsid w:val="00FC30F8"/>
    <w:rsid w:val="00FC3217"/>
    <w:rsid w:val="00FC41CD"/>
    <w:rsid w:val="00FC4892"/>
    <w:rsid w:val="00FC4CA8"/>
    <w:rsid w:val="00FC4D68"/>
    <w:rsid w:val="00FC65D9"/>
    <w:rsid w:val="00FC661E"/>
    <w:rsid w:val="00FC6A7F"/>
    <w:rsid w:val="00FC78E4"/>
    <w:rsid w:val="00FC7A31"/>
    <w:rsid w:val="00FD1B67"/>
    <w:rsid w:val="00FD1DE7"/>
    <w:rsid w:val="00FD415F"/>
    <w:rsid w:val="00FD42E2"/>
    <w:rsid w:val="00FD480D"/>
    <w:rsid w:val="00FD4A0F"/>
    <w:rsid w:val="00FD57EB"/>
    <w:rsid w:val="00FD68BE"/>
    <w:rsid w:val="00FD6A6D"/>
    <w:rsid w:val="00FD720F"/>
    <w:rsid w:val="00FE06A3"/>
    <w:rsid w:val="00FE12C2"/>
    <w:rsid w:val="00FE1465"/>
    <w:rsid w:val="00FE14E8"/>
    <w:rsid w:val="00FE1D3E"/>
    <w:rsid w:val="00FE1DFB"/>
    <w:rsid w:val="00FE2508"/>
    <w:rsid w:val="00FE2637"/>
    <w:rsid w:val="00FE26D9"/>
    <w:rsid w:val="00FE2E17"/>
    <w:rsid w:val="00FE3D92"/>
    <w:rsid w:val="00FE4650"/>
    <w:rsid w:val="00FE5573"/>
    <w:rsid w:val="00FE55F4"/>
    <w:rsid w:val="00FE5605"/>
    <w:rsid w:val="00FE59DC"/>
    <w:rsid w:val="00FE61BF"/>
    <w:rsid w:val="00FE62C0"/>
    <w:rsid w:val="00FE6630"/>
    <w:rsid w:val="00FE69F3"/>
    <w:rsid w:val="00FE6D87"/>
    <w:rsid w:val="00FE6F23"/>
    <w:rsid w:val="00FE7122"/>
    <w:rsid w:val="00FE793D"/>
    <w:rsid w:val="00FE7A7C"/>
    <w:rsid w:val="00FF0194"/>
    <w:rsid w:val="00FF0760"/>
    <w:rsid w:val="00FF0F9D"/>
    <w:rsid w:val="00FF111F"/>
    <w:rsid w:val="00FF16FA"/>
    <w:rsid w:val="00FF1A2D"/>
    <w:rsid w:val="00FF1A4E"/>
    <w:rsid w:val="00FF1B7E"/>
    <w:rsid w:val="00FF20D2"/>
    <w:rsid w:val="00FF2A1F"/>
    <w:rsid w:val="00FF2B4F"/>
    <w:rsid w:val="00FF2C1B"/>
    <w:rsid w:val="00FF3C9C"/>
    <w:rsid w:val="00FF3EB4"/>
    <w:rsid w:val="00FF4390"/>
    <w:rsid w:val="00FF458C"/>
    <w:rsid w:val="00FF465C"/>
    <w:rsid w:val="00FF4AA1"/>
    <w:rsid w:val="00FF4B05"/>
    <w:rsid w:val="00FF50D8"/>
    <w:rsid w:val="00FF53ED"/>
    <w:rsid w:val="00FF5B14"/>
    <w:rsid w:val="00FF5C22"/>
    <w:rsid w:val="00FF5D4E"/>
    <w:rsid w:val="00FF6827"/>
    <w:rsid w:val="00FF6B4F"/>
    <w:rsid w:val="00FF6C24"/>
    <w:rsid w:val="00FF6FB2"/>
    <w:rsid w:val="00FF71E7"/>
    <w:rsid w:val="00FF7BC1"/>
    <w:rsid w:val="00FF7C3D"/>
    <w:rsid w:val="0A8F6EE2"/>
    <w:rsid w:val="0E9E2261"/>
    <w:rsid w:val="272F3C04"/>
    <w:rsid w:val="2A2E0C3A"/>
    <w:rsid w:val="328E5C6B"/>
    <w:rsid w:val="3377337B"/>
    <w:rsid w:val="34AE6BFF"/>
    <w:rsid w:val="55933A58"/>
    <w:rsid w:val="568A0F17"/>
    <w:rsid w:val="571220E4"/>
    <w:rsid w:val="6BDA7CFF"/>
    <w:rsid w:val="7F635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1"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99"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iPriority="99" w:semiHidden="0"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51"/>
    <w:autoRedefine/>
    <w:qFormat/>
    <w:uiPriority w:val="0"/>
    <w:pPr>
      <w:keepNext/>
      <w:keepLines/>
      <w:numPr>
        <w:ilvl w:val="0"/>
        <w:numId w:val="1"/>
      </w:numPr>
      <w:spacing w:before="50" w:beforeLines="50" w:after="50" w:afterLines="50" w:line="480" w:lineRule="auto"/>
      <w:ind w:left="100" w:hanging="100" w:hangingChars="100"/>
      <w:jc w:val="left"/>
      <w:outlineLvl w:val="0"/>
    </w:pPr>
    <w:rPr>
      <w:rFonts w:eastAsia="黑体"/>
      <w:bCs/>
      <w:kern w:val="44"/>
      <w:sz w:val="44"/>
      <w:szCs w:val="44"/>
    </w:rPr>
  </w:style>
  <w:style w:type="paragraph" w:styleId="3">
    <w:name w:val="heading 2"/>
    <w:basedOn w:val="1"/>
    <w:next w:val="1"/>
    <w:link w:val="52"/>
    <w:autoRedefine/>
    <w:unhideWhenUsed/>
    <w:qFormat/>
    <w:uiPriority w:val="0"/>
    <w:pPr>
      <w:keepNext/>
      <w:keepLines/>
      <w:numPr>
        <w:ilvl w:val="1"/>
        <w:numId w:val="1"/>
      </w:numPr>
      <w:spacing w:line="480" w:lineRule="auto"/>
      <w:ind w:left="0" w:firstLine="0" w:firstLineChars="0"/>
      <w:jc w:val="left"/>
      <w:outlineLvl w:val="1"/>
    </w:pPr>
    <w:rPr>
      <w:rFonts w:eastAsia="黑体" w:cstheme="majorBidi"/>
      <w:bCs/>
      <w:sz w:val="32"/>
      <w:szCs w:val="32"/>
    </w:rPr>
  </w:style>
  <w:style w:type="paragraph" w:styleId="4">
    <w:name w:val="heading 3"/>
    <w:basedOn w:val="1"/>
    <w:next w:val="1"/>
    <w:link w:val="53"/>
    <w:autoRedefine/>
    <w:unhideWhenUsed/>
    <w:qFormat/>
    <w:uiPriority w:val="0"/>
    <w:pPr>
      <w:keepNext/>
      <w:keepLines/>
      <w:numPr>
        <w:ilvl w:val="2"/>
        <w:numId w:val="1"/>
      </w:numPr>
      <w:ind w:left="0" w:firstLine="0" w:firstLineChars="0"/>
      <w:jc w:val="left"/>
      <w:outlineLvl w:val="2"/>
    </w:pPr>
    <w:rPr>
      <w:rFonts w:eastAsia="黑体"/>
      <w:bCs/>
      <w:sz w:val="28"/>
      <w:szCs w:val="32"/>
    </w:rPr>
  </w:style>
  <w:style w:type="paragraph" w:styleId="5">
    <w:name w:val="heading 4"/>
    <w:basedOn w:val="1"/>
    <w:next w:val="1"/>
    <w:link w:val="54"/>
    <w:autoRedefine/>
    <w:unhideWhenUsed/>
    <w:qFormat/>
    <w:uiPriority w:val="1"/>
    <w:pPr>
      <w:keepNext/>
      <w:keepLines/>
      <w:numPr>
        <w:ilvl w:val="3"/>
        <w:numId w:val="1"/>
      </w:numPr>
      <w:adjustRightInd w:val="0"/>
      <w:snapToGrid w:val="0"/>
      <w:ind w:left="0" w:firstLine="0" w:firstLineChars="0"/>
      <w:jc w:val="left"/>
      <w:outlineLvl w:val="3"/>
    </w:pPr>
    <w:rPr>
      <w:rFonts w:eastAsia="黑体" w:cstheme="majorBidi"/>
      <w:bCs/>
      <w:szCs w:val="28"/>
    </w:rPr>
  </w:style>
  <w:style w:type="paragraph" w:styleId="6">
    <w:name w:val="heading 5"/>
    <w:basedOn w:val="1"/>
    <w:next w:val="1"/>
    <w:link w:val="55"/>
    <w:autoRedefine/>
    <w:unhideWhenUsed/>
    <w:qFormat/>
    <w:uiPriority w:val="9"/>
    <w:pPr>
      <w:keepNext/>
      <w:keepLines/>
      <w:numPr>
        <w:ilvl w:val="4"/>
        <w:numId w:val="1"/>
      </w:numPr>
      <w:spacing w:before="280" w:after="290" w:line="376" w:lineRule="atLeast"/>
      <w:ind w:firstLine="0" w:firstLineChars="0"/>
      <w:outlineLvl w:val="4"/>
    </w:pPr>
    <w:rPr>
      <w:b/>
      <w:bCs/>
      <w:sz w:val="28"/>
      <w:szCs w:val="28"/>
    </w:rPr>
  </w:style>
  <w:style w:type="paragraph" w:styleId="7">
    <w:name w:val="heading 6"/>
    <w:basedOn w:val="1"/>
    <w:next w:val="1"/>
    <w:link w:val="67"/>
    <w:autoRedefine/>
    <w:semiHidden/>
    <w:unhideWhenUsed/>
    <w:qFormat/>
    <w:uiPriority w:val="9"/>
    <w:pPr>
      <w:keepNext/>
      <w:keepLines/>
      <w:numPr>
        <w:ilvl w:val="5"/>
        <w:numId w:val="1"/>
      </w:numPr>
      <w:spacing w:before="240" w:after="64" w:line="320" w:lineRule="auto"/>
      <w:ind w:firstLine="0" w:firstLineChars="0"/>
      <w:outlineLvl w:val="5"/>
    </w:pPr>
    <w:rPr>
      <w:rFonts w:asciiTheme="majorHAnsi" w:hAnsiTheme="majorHAnsi" w:eastAsiaTheme="majorEastAsia" w:cstheme="majorBidi"/>
      <w:b/>
      <w:bCs/>
      <w:szCs w:val="24"/>
    </w:rPr>
  </w:style>
  <w:style w:type="paragraph" w:styleId="8">
    <w:name w:val="heading 7"/>
    <w:basedOn w:val="1"/>
    <w:next w:val="1"/>
    <w:link w:val="69"/>
    <w:autoRedefine/>
    <w:semiHidden/>
    <w:unhideWhenUsed/>
    <w:qFormat/>
    <w:uiPriority w:val="9"/>
    <w:pPr>
      <w:keepNext/>
      <w:keepLines/>
      <w:numPr>
        <w:ilvl w:val="6"/>
        <w:numId w:val="1"/>
      </w:numPr>
      <w:spacing w:before="240" w:after="64" w:line="320" w:lineRule="auto"/>
      <w:ind w:firstLine="0" w:firstLineChars="0"/>
      <w:outlineLvl w:val="6"/>
    </w:pPr>
    <w:rPr>
      <w:b/>
      <w:bCs/>
      <w:szCs w:val="24"/>
    </w:rPr>
  </w:style>
  <w:style w:type="paragraph" w:styleId="9">
    <w:name w:val="heading 8"/>
    <w:basedOn w:val="1"/>
    <w:next w:val="1"/>
    <w:link w:val="70"/>
    <w:autoRedefine/>
    <w:semiHidden/>
    <w:unhideWhenUsed/>
    <w:qFormat/>
    <w:uiPriority w:val="9"/>
    <w:pPr>
      <w:keepNext/>
      <w:keepLines/>
      <w:numPr>
        <w:ilvl w:val="7"/>
        <w:numId w:val="1"/>
      </w:numPr>
      <w:spacing w:before="240" w:after="64" w:line="320" w:lineRule="auto"/>
      <w:ind w:firstLine="0" w:firstLineChars="0"/>
      <w:outlineLvl w:val="7"/>
    </w:pPr>
    <w:rPr>
      <w:rFonts w:asciiTheme="majorHAnsi" w:hAnsiTheme="majorHAnsi" w:eastAsiaTheme="majorEastAsia" w:cstheme="majorBidi"/>
      <w:szCs w:val="24"/>
    </w:rPr>
  </w:style>
  <w:style w:type="paragraph" w:styleId="10">
    <w:name w:val="heading 9"/>
    <w:basedOn w:val="1"/>
    <w:next w:val="1"/>
    <w:link w:val="71"/>
    <w:autoRedefine/>
    <w:semiHidden/>
    <w:unhideWhenUsed/>
    <w:qFormat/>
    <w:uiPriority w:val="9"/>
    <w:pPr>
      <w:keepNext/>
      <w:keepLines/>
      <w:numPr>
        <w:ilvl w:val="8"/>
        <w:numId w:val="1"/>
      </w:numPr>
      <w:spacing w:before="240" w:after="64" w:line="320" w:lineRule="auto"/>
      <w:ind w:firstLine="0" w:firstLineChars="0"/>
      <w:outlineLvl w:val="8"/>
    </w:pPr>
    <w:rPr>
      <w:rFonts w:asciiTheme="majorHAnsi" w:hAnsiTheme="majorHAnsi" w:eastAsiaTheme="majorEastAsia" w:cstheme="majorBidi"/>
      <w:sz w:val="21"/>
      <w:szCs w:val="21"/>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1440"/>
      <w:jc w:val="left"/>
    </w:pPr>
    <w:rPr>
      <w:rFonts w:asciiTheme="minorHAnsi" w:hAnsiTheme="minorHAnsi" w:cstheme="minorHAnsi"/>
      <w:sz w:val="18"/>
      <w:szCs w:val="18"/>
    </w:rPr>
  </w:style>
  <w:style w:type="paragraph" w:styleId="12">
    <w:name w:val="Normal Indent"/>
    <w:basedOn w:val="1"/>
    <w:link w:val="83"/>
    <w:autoRedefine/>
    <w:qFormat/>
    <w:uiPriority w:val="99"/>
    <w:pPr>
      <w:spacing w:line="240" w:lineRule="auto"/>
      <w:ind w:firstLine="420" w:firstLineChars="0"/>
    </w:pPr>
    <w:rPr>
      <w:rFonts w:eastAsia="宋体" w:cs="Times New Roman"/>
      <w:sz w:val="21"/>
      <w:szCs w:val="20"/>
    </w:rPr>
  </w:style>
  <w:style w:type="paragraph" w:styleId="13">
    <w:name w:val="caption"/>
    <w:basedOn w:val="1"/>
    <w:next w:val="1"/>
    <w:link w:val="121"/>
    <w:autoRedefine/>
    <w:unhideWhenUsed/>
    <w:qFormat/>
    <w:uiPriority w:val="99"/>
    <w:pPr>
      <w:ind w:firstLine="0" w:firstLineChars="0"/>
      <w:jc w:val="center"/>
    </w:pPr>
    <w:rPr>
      <w:rFonts w:eastAsia="黑体" w:cstheme="majorBidi"/>
      <w:sz w:val="21"/>
      <w:szCs w:val="20"/>
    </w:rPr>
  </w:style>
  <w:style w:type="paragraph" w:styleId="14">
    <w:name w:val="annotation text"/>
    <w:basedOn w:val="1"/>
    <w:link w:val="59"/>
    <w:autoRedefine/>
    <w:unhideWhenUsed/>
    <w:qFormat/>
    <w:uiPriority w:val="99"/>
    <w:pPr>
      <w:jc w:val="left"/>
    </w:pPr>
  </w:style>
  <w:style w:type="paragraph" w:styleId="15">
    <w:name w:val="Salutation"/>
    <w:basedOn w:val="1"/>
    <w:next w:val="1"/>
    <w:link w:val="105"/>
    <w:autoRedefine/>
    <w:unhideWhenUsed/>
    <w:qFormat/>
    <w:uiPriority w:val="99"/>
  </w:style>
  <w:style w:type="paragraph" w:styleId="16">
    <w:name w:val="Body Text"/>
    <w:basedOn w:val="1"/>
    <w:link w:val="79"/>
    <w:autoRedefine/>
    <w:unhideWhenUsed/>
    <w:qFormat/>
    <w:uiPriority w:val="99"/>
    <w:pPr>
      <w:spacing w:after="120"/>
    </w:pPr>
  </w:style>
  <w:style w:type="paragraph" w:styleId="17">
    <w:name w:val="Body Text Indent"/>
    <w:basedOn w:val="1"/>
    <w:link w:val="65"/>
    <w:autoRedefine/>
    <w:qFormat/>
    <w:uiPriority w:val="0"/>
    <w:pPr>
      <w:adjustRightInd w:val="0"/>
      <w:snapToGrid w:val="0"/>
      <w:spacing w:line="324" w:lineRule="auto"/>
    </w:pPr>
    <w:rPr>
      <w:rFonts w:eastAsia="宋体" w:asciiTheme="minorHAnsi" w:hAnsiTheme="minorHAnsi"/>
      <w:sz w:val="28"/>
      <w:szCs w:val="28"/>
    </w:rPr>
  </w:style>
  <w:style w:type="paragraph" w:styleId="18">
    <w:name w:val="toc 5"/>
    <w:basedOn w:val="1"/>
    <w:next w:val="1"/>
    <w:autoRedefine/>
    <w:unhideWhenUsed/>
    <w:qFormat/>
    <w:uiPriority w:val="39"/>
    <w:pPr>
      <w:ind w:left="960"/>
      <w:jc w:val="left"/>
    </w:pPr>
    <w:rPr>
      <w:rFonts w:asciiTheme="minorHAnsi" w:hAnsiTheme="minorHAnsi" w:cstheme="minorHAnsi"/>
      <w:sz w:val="18"/>
      <w:szCs w:val="18"/>
    </w:rPr>
  </w:style>
  <w:style w:type="paragraph" w:styleId="19">
    <w:name w:val="toc 3"/>
    <w:basedOn w:val="1"/>
    <w:next w:val="1"/>
    <w:autoRedefine/>
    <w:unhideWhenUsed/>
    <w:qFormat/>
    <w:uiPriority w:val="39"/>
    <w:pPr>
      <w:ind w:left="480"/>
      <w:jc w:val="left"/>
    </w:pPr>
    <w:rPr>
      <w:rFonts w:asciiTheme="minorHAnsi" w:hAnsiTheme="minorHAnsi" w:cstheme="minorHAnsi"/>
      <w:i/>
      <w:iCs/>
      <w:sz w:val="20"/>
      <w:szCs w:val="20"/>
    </w:rPr>
  </w:style>
  <w:style w:type="paragraph" w:styleId="20">
    <w:name w:val="Plain Text"/>
    <w:basedOn w:val="1"/>
    <w:link w:val="73"/>
    <w:autoRedefine/>
    <w:unhideWhenUsed/>
    <w:qFormat/>
    <w:uiPriority w:val="99"/>
    <w:rPr>
      <w:rFonts w:ascii="宋体" w:hAnsi="Courier New" w:eastAsia="宋体" w:cs="Courier New"/>
      <w:sz w:val="21"/>
      <w:szCs w:val="21"/>
    </w:rPr>
  </w:style>
  <w:style w:type="paragraph" w:styleId="21">
    <w:name w:val="toc 8"/>
    <w:basedOn w:val="1"/>
    <w:next w:val="1"/>
    <w:autoRedefine/>
    <w:unhideWhenUsed/>
    <w:qFormat/>
    <w:uiPriority w:val="39"/>
    <w:pPr>
      <w:ind w:left="1680"/>
      <w:jc w:val="left"/>
    </w:pPr>
    <w:rPr>
      <w:rFonts w:asciiTheme="minorHAnsi" w:hAnsiTheme="minorHAnsi" w:cstheme="minorHAnsi"/>
      <w:sz w:val="18"/>
      <w:szCs w:val="18"/>
    </w:rPr>
  </w:style>
  <w:style w:type="paragraph" w:styleId="22">
    <w:name w:val="Body Text Indent 2"/>
    <w:basedOn w:val="1"/>
    <w:link w:val="236"/>
    <w:autoRedefine/>
    <w:unhideWhenUsed/>
    <w:qFormat/>
    <w:uiPriority w:val="99"/>
    <w:pPr>
      <w:snapToGrid w:val="0"/>
      <w:spacing w:after="120" w:line="480" w:lineRule="auto"/>
      <w:ind w:left="420" w:leftChars="200"/>
    </w:pPr>
    <w:rPr>
      <w:rFonts w:eastAsia="宋体" w:cs="Times New Roman"/>
    </w:rPr>
  </w:style>
  <w:style w:type="paragraph" w:styleId="23">
    <w:name w:val="Balloon Text"/>
    <w:basedOn w:val="1"/>
    <w:link w:val="61"/>
    <w:autoRedefine/>
    <w:semiHidden/>
    <w:unhideWhenUsed/>
    <w:qFormat/>
    <w:uiPriority w:val="99"/>
    <w:pPr>
      <w:spacing w:line="240" w:lineRule="auto"/>
    </w:pPr>
    <w:rPr>
      <w:sz w:val="18"/>
      <w:szCs w:val="18"/>
    </w:rPr>
  </w:style>
  <w:style w:type="paragraph" w:styleId="24">
    <w:name w:val="footer"/>
    <w:basedOn w:val="1"/>
    <w:link w:val="50"/>
    <w:autoRedefine/>
    <w:unhideWhenUsed/>
    <w:qFormat/>
    <w:uiPriority w:val="99"/>
    <w:pPr>
      <w:tabs>
        <w:tab w:val="center" w:pos="4153"/>
        <w:tab w:val="right" w:pos="8306"/>
      </w:tabs>
      <w:snapToGrid w:val="0"/>
      <w:jc w:val="left"/>
    </w:pPr>
    <w:rPr>
      <w:sz w:val="18"/>
      <w:szCs w:val="18"/>
    </w:rPr>
  </w:style>
  <w:style w:type="paragraph" w:styleId="25">
    <w:name w:val="header"/>
    <w:basedOn w:val="1"/>
    <w:link w:val="4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autoRedefine/>
    <w:unhideWhenUsed/>
    <w:qFormat/>
    <w:uiPriority w:val="39"/>
    <w:pPr>
      <w:tabs>
        <w:tab w:val="left" w:pos="480"/>
        <w:tab w:val="right" w:leader="dot" w:pos="9060"/>
      </w:tabs>
      <w:spacing w:line="276" w:lineRule="auto"/>
      <w:ind w:firstLine="0" w:firstLineChars="0"/>
      <w:jc w:val="center"/>
    </w:pPr>
    <w:rPr>
      <w:rFonts w:eastAsia="宋体" w:cs="Times New Roman"/>
      <w:b/>
      <w:caps/>
      <w:szCs w:val="24"/>
    </w:rPr>
  </w:style>
  <w:style w:type="paragraph" w:styleId="27">
    <w:name w:val="toc 4"/>
    <w:basedOn w:val="1"/>
    <w:next w:val="1"/>
    <w:autoRedefine/>
    <w:unhideWhenUsed/>
    <w:qFormat/>
    <w:uiPriority w:val="39"/>
    <w:pPr>
      <w:ind w:left="720"/>
      <w:jc w:val="left"/>
    </w:pPr>
    <w:rPr>
      <w:rFonts w:asciiTheme="minorHAnsi" w:hAnsiTheme="minorHAnsi" w:cstheme="minorHAnsi"/>
      <w:sz w:val="18"/>
      <w:szCs w:val="18"/>
    </w:rPr>
  </w:style>
  <w:style w:type="paragraph" w:styleId="28">
    <w:name w:val="Subtitle"/>
    <w:basedOn w:val="1"/>
    <w:next w:val="1"/>
    <w:link w:val="97"/>
    <w:autoRedefine/>
    <w:qFormat/>
    <w:uiPriority w:val="0"/>
    <w:pPr>
      <w:snapToGrid w:val="0"/>
      <w:spacing w:line="240" w:lineRule="auto"/>
      <w:ind w:firstLine="0" w:firstLineChars="0"/>
      <w:jc w:val="center"/>
    </w:pPr>
    <w:rPr>
      <w:bCs/>
      <w:kern w:val="28"/>
      <w:sz w:val="18"/>
      <w:szCs w:val="32"/>
    </w:rPr>
  </w:style>
  <w:style w:type="paragraph" w:styleId="29">
    <w:name w:val="footnote text"/>
    <w:basedOn w:val="1"/>
    <w:link w:val="72"/>
    <w:autoRedefine/>
    <w:semiHidden/>
    <w:unhideWhenUsed/>
    <w:qFormat/>
    <w:uiPriority w:val="99"/>
    <w:pPr>
      <w:snapToGrid w:val="0"/>
      <w:jc w:val="left"/>
    </w:pPr>
    <w:rPr>
      <w:sz w:val="18"/>
      <w:szCs w:val="18"/>
    </w:rPr>
  </w:style>
  <w:style w:type="paragraph" w:styleId="30">
    <w:name w:val="toc 6"/>
    <w:basedOn w:val="1"/>
    <w:next w:val="1"/>
    <w:autoRedefine/>
    <w:unhideWhenUsed/>
    <w:qFormat/>
    <w:uiPriority w:val="39"/>
    <w:pPr>
      <w:ind w:left="1200"/>
      <w:jc w:val="left"/>
    </w:pPr>
    <w:rPr>
      <w:rFonts w:asciiTheme="minorHAnsi" w:hAnsiTheme="minorHAnsi" w:cstheme="minorHAnsi"/>
      <w:sz w:val="18"/>
      <w:szCs w:val="18"/>
    </w:rPr>
  </w:style>
  <w:style w:type="paragraph" w:styleId="31">
    <w:name w:val="table of figures"/>
    <w:basedOn w:val="1"/>
    <w:next w:val="1"/>
    <w:autoRedefine/>
    <w:unhideWhenUsed/>
    <w:qFormat/>
    <w:uiPriority w:val="99"/>
    <w:pPr>
      <w:ind w:left="200" w:leftChars="200" w:hanging="200" w:hangingChars="200"/>
    </w:pPr>
  </w:style>
  <w:style w:type="paragraph" w:styleId="32">
    <w:name w:val="toc 2"/>
    <w:basedOn w:val="1"/>
    <w:next w:val="1"/>
    <w:autoRedefine/>
    <w:unhideWhenUsed/>
    <w:qFormat/>
    <w:uiPriority w:val="39"/>
    <w:pPr>
      <w:ind w:left="200" w:leftChars="200" w:firstLine="0" w:firstLineChars="0"/>
      <w:jc w:val="left"/>
    </w:pPr>
    <w:rPr>
      <w:rFonts w:eastAsia="宋体" w:asciiTheme="minorHAnsi" w:hAnsiTheme="minorHAnsi" w:cstheme="minorHAnsi"/>
      <w:smallCaps/>
      <w:szCs w:val="20"/>
    </w:rPr>
  </w:style>
  <w:style w:type="paragraph" w:styleId="33">
    <w:name w:val="toc 9"/>
    <w:basedOn w:val="1"/>
    <w:next w:val="1"/>
    <w:autoRedefine/>
    <w:unhideWhenUsed/>
    <w:qFormat/>
    <w:uiPriority w:val="39"/>
    <w:pPr>
      <w:ind w:left="1920"/>
      <w:jc w:val="left"/>
    </w:pPr>
    <w:rPr>
      <w:rFonts w:asciiTheme="minorHAnsi" w:hAnsiTheme="minorHAnsi" w:cstheme="minorHAnsi"/>
      <w:sz w:val="18"/>
      <w:szCs w:val="18"/>
    </w:rPr>
  </w:style>
  <w:style w:type="paragraph" w:styleId="34">
    <w:name w:val="Normal (Web)"/>
    <w:basedOn w:val="1"/>
    <w:link w:val="251"/>
    <w:autoRedefine/>
    <w:qFormat/>
    <w:uiPriority w:val="99"/>
    <w:pPr>
      <w:spacing w:before="100" w:beforeAutospacing="1" w:after="100" w:afterAutospacing="1" w:line="240" w:lineRule="auto"/>
      <w:ind w:firstLine="0" w:firstLineChars="0"/>
      <w:jc w:val="left"/>
    </w:pPr>
    <w:rPr>
      <w:rFonts w:ascii="宋体" w:hAnsi="宋体" w:eastAsia="宋体" w:cs="宋体"/>
      <w:szCs w:val="24"/>
    </w:rPr>
  </w:style>
  <w:style w:type="paragraph" w:styleId="35">
    <w:name w:val="Title"/>
    <w:basedOn w:val="1"/>
    <w:next w:val="1"/>
    <w:link w:val="240"/>
    <w:autoRedefine/>
    <w:qFormat/>
    <w:uiPriority w:val="0"/>
    <w:pPr>
      <w:spacing w:before="240" w:after="60"/>
      <w:ind w:firstLine="1040"/>
      <w:jc w:val="center"/>
      <w:outlineLvl w:val="0"/>
    </w:pPr>
    <w:rPr>
      <w:rFonts w:asciiTheme="majorHAnsi" w:hAnsiTheme="majorHAnsi" w:eastAsiaTheme="majorEastAsia" w:cstheme="majorBidi"/>
      <w:b/>
      <w:bCs/>
      <w:sz w:val="32"/>
      <w:szCs w:val="32"/>
      <w14:ligatures w14:val="standardContextual"/>
    </w:rPr>
  </w:style>
  <w:style w:type="paragraph" w:styleId="36">
    <w:name w:val="annotation subject"/>
    <w:basedOn w:val="14"/>
    <w:next w:val="14"/>
    <w:link w:val="60"/>
    <w:autoRedefine/>
    <w:semiHidden/>
    <w:unhideWhenUsed/>
    <w:qFormat/>
    <w:uiPriority w:val="99"/>
    <w:rPr>
      <w:b/>
      <w:bCs/>
    </w:rPr>
  </w:style>
  <w:style w:type="paragraph" w:styleId="37">
    <w:name w:val="Body Text First Indent"/>
    <w:basedOn w:val="16"/>
    <w:link w:val="80"/>
    <w:autoRedefine/>
    <w:semiHidden/>
    <w:unhideWhenUsed/>
    <w:qFormat/>
    <w:uiPriority w:val="99"/>
    <w:pPr>
      <w:ind w:firstLine="420" w:firstLineChars="100"/>
    </w:pPr>
  </w:style>
  <w:style w:type="paragraph" w:styleId="38">
    <w:name w:val="Body Text First Indent 2"/>
    <w:basedOn w:val="17"/>
    <w:link w:val="243"/>
    <w:autoRedefine/>
    <w:qFormat/>
    <w:uiPriority w:val="0"/>
    <w:pPr>
      <w:adjustRightInd/>
      <w:snapToGrid/>
      <w:spacing w:after="120" w:line="360" w:lineRule="auto"/>
      <w:ind w:left="420" w:leftChars="200" w:firstLine="420"/>
    </w:pPr>
    <w:rPr>
      <w:rFonts w:ascii="Times New Roman" w:hAnsi="Times New Roman" w:cs="Times New Roman"/>
      <w:sz w:val="24"/>
      <w:szCs w:val="24"/>
      <w14:ligatures w14:val="standardContextual"/>
    </w:rPr>
  </w:style>
  <w:style w:type="table" w:styleId="40">
    <w:name w:val="Table Grid"/>
    <w:basedOn w:val="3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autoRedefine/>
    <w:qFormat/>
    <w:uiPriority w:val="22"/>
    <w:rPr>
      <w:b/>
      <w:bCs/>
    </w:rPr>
  </w:style>
  <w:style w:type="character" w:styleId="43">
    <w:name w:val="page number"/>
    <w:autoRedefine/>
    <w:qFormat/>
    <w:uiPriority w:val="0"/>
  </w:style>
  <w:style w:type="character" w:styleId="44">
    <w:name w:val="FollowedHyperlink"/>
    <w:basedOn w:val="41"/>
    <w:autoRedefine/>
    <w:semiHidden/>
    <w:unhideWhenUsed/>
    <w:qFormat/>
    <w:uiPriority w:val="99"/>
    <w:rPr>
      <w:color w:val="800080" w:themeColor="followedHyperlink"/>
      <w:u w:val="single"/>
      <w14:textFill>
        <w14:solidFill>
          <w14:schemeClr w14:val="folHlink"/>
        </w14:solidFill>
      </w14:textFill>
    </w:rPr>
  </w:style>
  <w:style w:type="character" w:styleId="45">
    <w:name w:val="Emphasis"/>
    <w:basedOn w:val="41"/>
    <w:autoRedefine/>
    <w:qFormat/>
    <w:uiPriority w:val="20"/>
    <w:rPr>
      <w:i/>
      <w:iCs/>
    </w:rPr>
  </w:style>
  <w:style w:type="character" w:styleId="46">
    <w:name w:val="Hyperlink"/>
    <w:basedOn w:val="41"/>
    <w:autoRedefine/>
    <w:unhideWhenUsed/>
    <w:qFormat/>
    <w:uiPriority w:val="99"/>
    <w:rPr>
      <w:color w:val="0000FF" w:themeColor="hyperlink"/>
      <w:u w:val="single"/>
      <w14:textFill>
        <w14:solidFill>
          <w14:schemeClr w14:val="hlink"/>
        </w14:solidFill>
      </w14:textFill>
    </w:rPr>
  </w:style>
  <w:style w:type="character" w:styleId="47">
    <w:name w:val="annotation reference"/>
    <w:basedOn w:val="41"/>
    <w:autoRedefine/>
    <w:semiHidden/>
    <w:unhideWhenUsed/>
    <w:qFormat/>
    <w:uiPriority w:val="99"/>
    <w:rPr>
      <w:sz w:val="21"/>
      <w:szCs w:val="21"/>
    </w:rPr>
  </w:style>
  <w:style w:type="character" w:styleId="48">
    <w:name w:val="footnote reference"/>
    <w:basedOn w:val="41"/>
    <w:autoRedefine/>
    <w:semiHidden/>
    <w:unhideWhenUsed/>
    <w:qFormat/>
    <w:uiPriority w:val="99"/>
    <w:rPr>
      <w:vertAlign w:val="superscript"/>
    </w:rPr>
  </w:style>
  <w:style w:type="character" w:customStyle="1" w:styleId="49">
    <w:name w:val="页眉 字符"/>
    <w:basedOn w:val="41"/>
    <w:link w:val="25"/>
    <w:autoRedefine/>
    <w:qFormat/>
    <w:uiPriority w:val="99"/>
    <w:rPr>
      <w:sz w:val="18"/>
      <w:szCs w:val="18"/>
    </w:rPr>
  </w:style>
  <w:style w:type="character" w:customStyle="1" w:styleId="50">
    <w:name w:val="页脚 字符"/>
    <w:basedOn w:val="41"/>
    <w:link w:val="24"/>
    <w:autoRedefine/>
    <w:qFormat/>
    <w:uiPriority w:val="99"/>
    <w:rPr>
      <w:sz w:val="18"/>
      <w:szCs w:val="18"/>
    </w:rPr>
  </w:style>
  <w:style w:type="character" w:customStyle="1" w:styleId="51">
    <w:name w:val="标题 1 字符"/>
    <w:basedOn w:val="41"/>
    <w:link w:val="2"/>
    <w:autoRedefine/>
    <w:qFormat/>
    <w:uiPriority w:val="0"/>
    <w:rPr>
      <w:rFonts w:ascii="Times New Roman" w:hAnsi="Times New Roman" w:eastAsia="黑体"/>
      <w:bCs/>
      <w:kern w:val="44"/>
      <w:sz w:val="44"/>
      <w:szCs w:val="44"/>
    </w:rPr>
  </w:style>
  <w:style w:type="character" w:customStyle="1" w:styleId="52">
    <w:name w:val="标题 2 字符"/>
    <w:basedOn w:val="41"/>
    <w:link w:val="3"/>
    <w:autoRedefine/>
    <w:qFormat/>
    <w:uiPriority w:val="0"/>
    <w:rPr>
      <w:rFonts w:ascii="Times New Roman" w:hAnsi="Times New Roman" w:eastAsia="黑体" w:cstheme="majorBidi"/>
      <w:bCs/>
      <w:kern w:val="2"/>
      <w:sz w:val="32"/>
      <w:szCs w:val="32"/>
    </w:rPr>
  </w:style>
  <w:style w:type="character" w:customStyle="1" w:styleId="53">
    <w:name w:val="标题 3 字符"/>
    <w:basedOn w:val="41"/>
    <w:link w:val="4"/>
    <w:autoRedefine/>
    <w:qFormat/>
    <w:uiPriority w:val="0"/>
    <w:rPr>
      <w:rFonts w:ascii="Times New Roman" w:hAnsi="Times New Roman" w:eastAsia="黑体"/>
      <w:bCs/>
      <w:kern w:val="2"/>
      <w:sz w:val="28"/>
      <w:szCs w:val="32"/>
    </w:rPr>
  </w:style>
  <w:style w:type="character" w:customStyle="1" w:styleId="54">
    <w:name w:val="标题 4 字符"/>
    <w:basedOn w:val="41"/>
    <w:link w:val="5"/>
    <w:autoRedefine/>
    <w:qFormat/>
    <w:uiPriority w:val="1"/>
    <w:rPr>
      <w:rFonts w:ascii="Times New Roman" w:hAnsi="Times New Roman" w:eastAsia="黑体" w:cstheme="majorBidi"/>
      <w:bCs/>
      <w:kern w:val="2"/>
      <w:sz w:val="24"/>
      <w:szCs w:val="28"/>
    </w:rPr>
  </w:style>
  <w:style w:type="character" w:customStyle="1" w:styleId="55">
    <w:name w:val="标题 5 字符"/>
    <w:basedOn w:val="41"/>
    <w:link w:val="6"/>
    <w:autoRedefine/>
    <w:qFormat/>
    <w:uiPriority w:val="9"/>
    <w:rPr>
      <w:rFonts w:ascii="Times New Roman" w:hAnsi="Times New Roman"/>
      <w:b/>
      <w:bCs/>
      <w:kern w:val="2"/>
      <w:sz w:val="28"/>
      <w:szCs w:val="28"/>
    </w:rPr>
  </w:style>
  <w:style w:type="paragraph" w:customStyle="1" w:styleId="56">
    <w:name w:val="X表头"/>
    <w:basedOn w:val="1"/>
    <w:autoRedefine/>
    <w:qFormat/>
    <w:uiPriority w:val="0"/>
    <w:pPr>
      <w:spacing w:before="50" w:beforeLines="50" w:line="240" w:lineRule="auto"/>
      <w:ind w:firstLine="0" w:firstLineChars="0"/>
      <w:jc w:val="center"/>
    </w:pPr>
    <w:rPr>
      <w:rFonts w:eastAsia="黑体"/>
      <w:sz w:val="21"/>
    </w:rPr>
  </w:style>
  <w:style w:type="paragraph" w:customStyle="1" w:styleId="57">
    <w:name w:val="X图名"/>
    <w:basedOn w:val="1"/>
    <w:autoRedefine/>
    <w:qFormat/>
    <w:uiPriority w:val="0"/>
    <w:pPr>
      <w:spacing w:after="50" w:afterLines="50" w:line="240" w:lineRule="auto"/>
      <w:ind w:firstLine="0" w:firstLineChars="0"/>
      <w:jc w:val="center"/>
    </w:pPr>
    <w:rPr>
      <w:rFonts w:eastAsia="黑体"/>
      <w:sz w:val="21"/>
    </w:rPr>
  </w:style>
  <w:style w:type="paragraph" w:customStyle="1" w:styleId="58">
    <w:name w:val="X表内文字"/>
    <w:basedOn w:val="56"/>
    <w:autoRedefine/>
    <w:qFormat/>
    <w:uiPriority w:val="0"/>
    <w:pPr>
      <w:spacing w:before="0" w:beforeLines="0"/>
    </w:pPr>
    <w:rPr>
      <w:rFonts w:eastAsiaTheme="minorEastAsia"/>
      <w:szCs w:val="21"/>
    </w:rPr>
  </w:style>
  <w:style w:type="character" w:customStyle="1" w:styleId="59">
    <w:name w:val="批注文字 字符"/>
    <w:basedOn w:val="41"/>
    <w:link w:val="14"/>
    <w:autoRedefine/>
    <w:qFormat/>
    <w:uiPriority w:val="99"/>
    <w:rPr>
      <w:rFonts w:ascii="Times New Roman" w:hAnsi="Times New Roman"/>
      <w:sz w:val="24"/>
    </w:rPr>
  </w:style>
  <w:style w:type="character" w:customStyle="1" w:styleId="60">
    <w:name w:val="批注主题 字符"/>
    <w:basedOn w:val="59"/>
    <w:link w:val="36"/>
    <w:autoRedefine/>
    <w:semiHidden/>
    <w:qFormat/>
    <w:uiPriority w:val="99"/>
    <w:rPr>
      <w:rFonts w:ascii="Times New Roman" w:hAnsi="Times New Roman"/>
      <w:b/>
      <w:bCs/>
      <w:sz w:val="24"/>
    </w:rPr>
  </w:style>
  <w:style w:type="character" w:customStyle="1" w:styleId="61">
    <w:name w:val="批注框文本 字符"/>
    <w:basedOn w:val="41"/>
    <w:link w:val="23"/>
    <w:autoRedefine/>
    <w:semiHidden/>
    <w:qFormat/>
    <w:uiPriority w:val="99"/>
    <w:rPr>
      <w:rFonts w:ascii="Times New Roman" w:hAnsi="Times New Roman"/>
      <w:sz w:val="18"/>
      <w:szCs w:val="18"/>
    </w:rPr>
  </w:style>
  <w:style w:type="paragraph" w:customStyle="1" w:styleId="62">
    <w:name w:val="修订1"/>
    <w:autoRedefine/>
    <w:hidden/>
    <w:semiHidden/>
    <w:qFormat/>
    <w:uiPriority w:val="99"/>
    <w:rPr>
      <w:rFonts w:ascii="Times New Roman" w:hAnsi="Times New Roman" w:eastAsiaTheme="minorEastAsia" w:cstheme="minorBidi"/>
      <w:kern w:val="2"/>
      <w:sz w:val="24"/>
      <w:szCs w:val="22"/>
      <w:lang w:val="en-US" w:eastAsia="zh-CN" w:bidi="ar-SA"/>
    </w:rPr>
  </w:style>
  <w:style w:type="paragraph" w:styleId="63">
    <w:name w:val="List Paragraph"/>
    <w:basedOn w:val="1"/>
    <w:link w:val="96"/>
    <w:autoRedefine/>
    <w:qFormat/>
    <w:uiPriority w:val="0"/>
    <w:pPr>
      <w:ind w:firstLine="420"/>
    </w:pPr>
  </w:style>
  <w:style w:type="paragraph" w:customStyle="1" w:styleId="64">
    <w:name w:val="新格式表"/>
    <w:basedOn w:val="1"/>
    <w:autoRedefine/>
    <w:qFormat/>
    <w:uiPriority w:val="0"/>
    <w:pPr>
      <w:adjustRightInd w:val="0"/>
      <w:snapToGrid w:val="0"/>
      <w:spacing w:line="240" w:lineRule="auto"/>
      <w:ind w:firstLine="0" w:firstLineChars="0"/>
      <w:jc w:val="center"/>
    </w:pPr>
    <w:rPr>
      <w:rFonts w:eastAsia="宋体" w:cs="Times New Roman"/>
      <w:snapToGrid w:val="0"/>
      <w:kern w:val="0"/>
      <w:sz w:val="21"/>
      <w:szCs w:val="21"/>
    </w:rPr>
  </w:style>
  <w:style w:type="character" w:customStyle="1" w:styleId="65">
    <w:name w:val="正文文本缩进 字符"/>
    <w:link w:val="17"/>
    <w:autoRedefine/>
    <w:qFormat/>
    <w:uiPriority w:val="0"/>
    <w:rPr>
      <w:rFonts w:eastAsia="宋体"/>
      <w:sz w:val="28"/>
      <w:szCs w:val="28"/>
    </w:rPr>
  </w:style>
  <w:style w:type="character" w:customStyle="1" w:styleId="66">
    <w:name w:val="正文文本缩进 Char1"/>
    <w:basedOn w:val="41"/>
    <w:autoRedefine/>
    <w:semiHidden/>
    <w:qFormat/>
    <w:uiPriority w:val="99"/>
    <w:rPr>
      <w:rFonts w:ascii="Times New Roman" w:hAnsi="Times New Roman"/>
      <w:sz w:val="24"/>
    </w:rPr>
  </w:style>
  <w:style w:type="character" w:customStyle="1" w:styleId="67">
    <w:name w:val="标题 6 字符"/>
    <w:basedOn w:val="41"/>
    <w:link w:val="7"/>
    <w:autoRedefine/>
    <w:semiHidden/>
    <w:qFormat/>
    <w:uiPriority w:val="9"/>
    <w:rPr>
      <w:rFonts w:asciiTheme="majorHAnsi" w:hAnsiTheme="majorHAnsi" w:eastAsiaTheme="majorEastAsia" w:cstheme="majorBidi"/>
      <w:b/>
      <w:bCs/>
      <w:kern w:val="2"/>
      <w:sz w:val="24"/>
      <w:szCs w:val="24"/>
    </w:rPr>
  </w:style>
  <w:style w:type="character" w:styleId="68">
    <w:name w:val="Placeholder Text"/>
    <w:basedOn w:val="41"/>
    <w:autoRedefine/>
    <w:semiHidden/>
    <w:qFormat/>
    <w:uiPriority w:val="99"/>
    <w:rPr>
      <w:color w:val="808080"/>
    </w:rPr>
  </w:style>
  <w:style w:type="character" w:customStyle="1" w:styleId="69">
    <w:name w:val="标题 7 字符"/>
    <w:basedOn w:val="41"/>
    <w:link w:val="8"/>
    <w:autoRedefine/>
    <w:semiHidden/>
    <w:qFormat/>
    <w:uiPriority w:val="9"/>
    <w:rPr>
      <w:rFonts w:ascii="Times New Roman" w:hAnsi="Times New Roman"/>
      <w:b/>
      <w:bCs/>
      <w:kern w:val="2"/>
      <w:sz w:val="24"/>
      <w:szCs w:val="24"/>
    </w:rPr>
  </w:style>
  <w:style w:type="character" w:customStyle="1" w:styleId="70">
    <w:name w:val="标题 8 字符"/>
    <w:basedOn w:val="41"/>
    <w:link w:val="9"/>
    <w:autoRedefine/>
    <w:semiHidden/>
    <w:qFormat/>
    <w:uiPriority w:val="9"/>
    <w:rPr>
      <w:rFonts w:asciiTheme="majorHAnsi" w:hAnsiTheme="majorHAnsi" w:eastAsiaTheme="majorEastAsia" w:cstheme="majorBidi"/>
      <w:kern w:val="2"/>
      <w:sz w:val="24"/>
      <w:szCs w:val="24"/>
    </w:rPr>
  </w:style>
  <w:style w:type="character" w:customStyle="1" w:styleId="71">
    <w:name w:val="标题 9 字符"/>
    <w:basedOn w:val="41"/>
    <w:link w:val="10"/>
    <w:autoRedefine/>
    <w:semiHidden/>
    <w:qFormat/>
    <w:uiPriority w:val="9"/>
    <w:rPr>
      <w:rFonts w:asciiTheme="majorHAnsi" w:hAnsiTheme="majorHAnsi" w:eastAsiaTheme="majorEastAsia" w:cstheme="majorBidi"/>
      <w:kern w:val="2"/>
      <w:sz w:val="21"/>
      <w:szCs w:val="21"/>
    </w:rPr>
  </w:style>
  <w:style w:type="character" w:customStyle="1" w:styleId="72">
    <w:name w:val="脚注文本 字符"/>
    <w:basedOn w:val="41"/>
    <w:link w:val="29"/>
    <w:autoRedefine/>
    <w:semiHidden/>
    <w:qFormat/>
    <w:uiPriority w:val="99"/>
    <w:rPr>
      <w:rFonts w:ascii="Times New Roman" w:hAnsi="Times New Roman"/>
      <w:sz w:val="18"/>
      <w:szCs w:val="18"/>
    </w:rPr>
  </w:style>
  <w:style w:type="character" w:customStyle="1" w:styleId="73">
    <w:name w:val="纯文本 字符"/>
    <w:basedOn w:val="41"/>
    <w:link w:val="20"/>
    <w:autoRedefine/>
    <w:qFormat/>
    <w:uiPriority w:val="99"/>
    <w:rPr>
      <w:rFonts w:ascii="宋体" w:hAnsi="Courier New" w:eastAsia="宋体" w:cs="Courier New"/>
      <w:szCs w:val="21"/>
    </w:rPr>
  </w:style>
  <w:style w:type="character" w:customStyle="1" w:styleId="74">
    <w:name w:val="我的正文 Char"/>
    <w:basedOn w:val="41"/>
    <w:link w:val="75"/>
    <w:autoRedefine/>
    <w:qFormat/>
    <w:uiPriority w:val="0"/>
    <w:rPr>
      <w:rFonts w:ascii="Times New Roman" w:hAnsi="Times New Roman"/>
      <w:kern w:val="0"/>
      <w:sz w:val="24"/>
      <w:szCs w:val="20"/>
    </w:rPr>
  </w:style>
  <w:style w:type="paragraph" w:customStyle="1" w:styleId="75">
    <w:name w:val="我的正文"/>
    <w:basedOn w:val="1"/>
    <w:link w:val="74"/>
    <w:autoRedefine/>
    <w:qFormat/>
    <w:uiPriority w:val="0"/>
    <w:pPr>
      <w:spacing w:line="312" w:lineRule="auto"/>
    </w:pPr>
    <w:rPr>
      <w:kern w:val="0"/>
      <w:szCs w:val="20"/>
    </w:rPr>
  </w:style>
  <w:style w:type="paragraph" w:customStyle="1" w:styleId="76">
    <w:name w:val="Table Paragraph"/>
    <w:basedOn w:val="1"/>
    <w:autoRedefine/>
    <w:qFormat/>
    <w:uiPriority w:val="99"/>
    <w:pPr>
      <w:spacing w:line="240" w:lineRule="auto"/>
      <w:ind w:firstLine="0" w:firstLineChars="0"/>
      <w:jc w:val="left"/>
    </w:pPr>
    <w:rPr>
      <w:rFonts w:ascii="Calibri" w:hAnsi="Calibri" w:eastAsia="宋体" w:cs="Times New Roman"/>
      <w:kern w:val="0"/>
      <w:sz w:val="22"/>
      <w:lang w:eastAsia="en-US"/>
    </w:rPr>
  </w:style>
  <w:style w:type="table" w:customStyle="1" w:styleId="77">
    <w:name w:val="Table Normal"/>
    <w:autoRedefine/>
    <w:unhideWhenUsed/>
    <w:qFormat/>
    <w:uiPriority w:val="2"/>
    <w:pPr>
      <w:widowControl w:val="0"/>
    </w:pPr>
    <w:rPr>
      <w:sz w:val="22"/>
      <w:lang w:eastAsia="en-US"/>
    </w:rPr>
    <w:tblPr>
      <w:tblCellMar>
        <w:top w:w="0" w:type="dxa"/>
        <w:left w:w="0" w:type="dxa"/>
        <w:bottom w:w="0" w:type="dxa"/>
        <w:right w:w="0" w:type="dxa"/>
      </w:tblCellMar>
    </w:tblPr>
  </w:style>
  <w:style w:type="paragraph" w:styleId="78">
    <w:name w:val="No Spacing"/>
    <w:link w:val="103"/>
    <w:autoRedefine/>
    <w:qFormat/>
    <w:uiPriority w:val="1"/>
    <w:pPr>
      <w:widowControl w:val="0"/>
      <w:ind w:firstLine="200" w:firstLineChars="200"/>
      <w:jc w:val="both"/>
    </w:pPr>
    <w:rPr>
      <w:rFonts w:ascii="Times New Roman" w:hAnsi="Times New Roman" w:eastAsiaTheme="minorEastAsia" w:cstheme="minorBidi"/>
      <w:kern w:val="2"/>
      <w:sz w:val="24"/>
      <w:szCs w:val="22"/>
      <w:lang w:val="en-US" w:eastAsia="zh-CN" w:bidi="ar-SA"/>
    </w:rPr>
  </w:style>
  <w:style w:type="character" w:customStyle="1" w:styleId="79">
    <w:name w:val="正文文本 字符"/>
    <w:basedOn w:val="41"/>
    <w:link w:val="16"/>
    <w:autoRedefine/>
    <w:qFormat/>
    <w:uiPriority w:val="99"/>
    <w:rPr>
      <w:rFonts w:ascii="Times New Roman" w:hAnsi="Times New Roman"/>
      <w:sz w:val="24"/>
    </w:rPr>
  </w:style>
  <w:style w:type="character" w:customStyle="1" w:styleId="80">
    <w:name w:val="正文文本首行缩进 字符"/>
    <w:basedOn w:val="79"/>
    <w:link w:val="37"/>
    <w:autoRedefine/>
    <w:semiHidden/>
    <w:qFormat/>
    <w:uiPriority w:val="99"/>
    <w:rPr>
      <w:rFonts w:ascii="Times New Roman" w:hAnsi="Times New Roman"/>
      <w:sz w:val="24"/>
    </w:rPr>
  </w:style>
  <w:style w:type="paragraph" w:customStyle="1" w:styleId="81">
    <w:name w:val="表格文字"/>
    <w:basedOn w:val="1"/>
    <w:next w:val="1"/>
    <w:autoRedefine/>
    <w:qFormat/>
    <w:uiPriority w:val="99"/>
    <w:pPr>
      <w:adjustRightInd w:val="0"/>
      <w:snapToGrid w:val="0"/>
      <w:spacing w:line="240" w:lineRule="auto"/>
      <w:ind w:firstLine="0" w:firstLineChars="0"/>
      <w:jc w:val="center"/>
    </w:pPr>
    <w:rPr>
      <w:rFonts w:eastAsia="宋体" w:cs="Times New Roman"/>
      <w:sz w:val="21"/>
      <w:szCs w:val="21"/>
    </w:rPr>
  </w:style>
  <w:style w:type="paragraph" w:customStyle="1" w:styleId="82">
    <w:name w:val="正文文字"/>
    <w:basedOn w:val="1"/>
    <w:autoRedefine/>
    <w:semiHidden/>
    <w:qFormat/>
    <w:uiPriority w:val="0"/>
    <w:pPr>
      <w:adjustRightInd w:val="0"/>
      <w:snapToGrid w:val="0"/>
      <w:ind w:firstLine="560"/>
      <w:jc w:val="left"/>
    </w:pPr>
    <w:rPr>
      <w:rFonts w:ascii="宋体" w:hAnsi="宋体" w:eastAsia="宋体" w:cs="Arial"/>
      <w:bCs/>
      <w:kern w:val="0"/>
      <w:szCs w:val="28"/>
    </w:rPr>
  </w:style>
  <w:style w:type="character" w:customStyle="1" w:styleId="83">
    <w:name w:val="正文缩进 字符"/>
    <w:link w:val="12"/>
    <w:autoRedefine/>
    <w:qFormat/>
    <w:locked/>
    <w:uiPriority w:val="99"/>
    <w:rPr>
      <w:rFonts w:ascii="Times New Roman" w:hAnsi="Times New Roman" w:eastAsia="宋体" w:cs="Times New Roman"/>
      <w:szCs w:val="20"/>
    </w:rPr>
  </w:style>
  <w:style w:type="paragraph" w:customStyle="1" w:styleId="84">
    <w:name w:val="中文报告书样式"/>
    <w:basedOn w:val="1"/>
    <w:autoRedefine/>
    <w:qFormat/>
    <w:uiPriority w:val="0"/>
    <w:pPr>
      <w:adjustRightInd w:val="0"/>
      <w:spacing w:line="480" w:lineRule="atLeast"/>
      <w:ind w:firstLine="482" w:firstLineChars="0"/>
      <w:textAlignment w:val="baseline"/>
    </w:pPr>
    <w:rPr>
      <w:rFonts w:eastAsia="宋体" w:cs="Times New Roman"/>
      <w:kern w:val="24"/>
      <w:szCs w:val="20"/>
    </w:rPr>
  </w:style>
  <w:style w:type="paragraph" w:customStyle="1" w:styleId="85">
    <w:name w:val="xl37"/>
    <w:basedOn w:val="1"/>
    <w:autoRedefine/>
    <w:semiHidden/>
    <w:qFormat/>
    <w:uiPriority w:val="0"/>
    <w:pPr>
      <w:widowControl/>
      <w:pBdr>
        <w:bottom w:val="single" w:color="auto" w:sz="8" w:space="0"/>
      </w:pBdr>
      <w:adjustRightInd w:val="0"/>
      <w:spacing w:before="100" w:beforeAutospacing="1" w:after="100" w:afterAutospacing="1"/>
      <w:ind w:firstLine="560"/>
      <w:jc w:val="left"/>
      <w:textAlignment w:val="baseline"/>
    </w:pPr>
    <w:rPr>
      <w:rFonts w:ascii="宋体" w:hAnsi="宋体" w:eastAsia="宋体" w:cs="Times New Roman"/>
      <w:kern w:val="0"/>
      <w:szCs w:val="24"/>
    </w:rPr>
  </w:style>
  <w:style w:type="character" w:customStyle="1" w:styleId="86">
    <w:name w:val="正文缩进 Char1"/>
    <w:autoRedefine/>
    <w:qFormat/>
    <w:locked/>
    <w:uiPriority w:val="99"/>
  </w:style>
  <w:style w:type="table" w:customStyle="1" w:styleId="87">
    <w:name w:val="lwx样式1"/>
    <w:basedOn w:val="39"/>
    <w:autoRedefine/>
    <w:qFormat/>
    <w:uiPriority w:val="99"/>
    <w:pPr>
      <w:jc w:val="center"/>
    </w:pPr>
    <w:rPr>
      <w:rFonts w:ascii="Times New Roman" w:hAnsi="Times New Roman" w:eastAsia="宋体"/>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shd w:val="clear" w:color="auto" w:fill="auto"/>
      <w:vAlign w:val="center"/>
    </w:tcPr>
  </w:style>
  <w:style w:type="paragraph" w:customStyle="1" w:styleId="88">
    <w:name w:val="列出段落4"/>
    <w:basedOn w:val="1"/>
    <w:autoRedefine/>
    <w:qFormat/>
    <w:uiPriority w:val="0"/>
    <w:pPr>
      <w:spacing w:line="240" w:lineRule="auto"/>
      <w:ind w:firstLine="420"/>
    </w:pPr>
    <w:rPr>
      <w:rFonts w:ascii="Calibri" w:hAnsi="Calibri" w:eastAsia="宋体" w:cs="Calibri"/>
      <w:sz w:val="21"/>
      <w:szCs w:val="21"/>
    </w:rPr>
  </w:style>
  <w:style w:type="paragraph" w:customStyle="1" w:styleId="89">
    <w:name w:val="X正文"/>
    <w:basedOn w:val="1"/>
    <w:autoRedefine/>
    <w:qFormat/>
    <w:uiPriority w:val="0"/>
    <w:pPr>
      <w:adjustRightInd w:val="0"/>
      <w:snapToGrid w:val="0"/>
    </w:pPr>
    <w:rPr>
      <w:rFonts w:eastAsia="宋体" w:cs="Times New Roman"/>
      <w:bCs/>
      <w:szCs w:val="21"/>
    </w:rPr>
  </w:style>
  <w:style w:type="paragraph" w:customStyle="1" w:styleId="90">
    <w:name w:val="lwx-正文"/>
    <w:basedOn w:val="1"/>
    <w:autoRedefine/>
    <w:qFormat/>
    <w:uiPriority w:val="0"/>
    <w:pPr>
      <w:adjustRightInd w:val="0"/>
      <w:snapToGrid w:val="0"/>
    </w:pPr>
    <w:rPr>
      <w:rFonts w:eastAsia="宋体" w:cs="Times New Roman"/>
      <w:bCs/>
      <w:szCs w:val="21"/>
    </w:rPr>
  </w:style>
  <w:style w:type="paragraph" w:customStyle="1" w:styleId="91">
    <w:name w:val="0正文"/>
    <w:basedOn w:val="17"/>
    <w:autoRedefine/>
    <w:qFormat/>
    <w:uiPriority w:val="0"/>
    <w:pPr>
      <w:spacing w:line="360" w:lineRule="auto"/>
    </w:pPr>
    <w:rPr>
      <w:rFonts w:ascii="Times New Roman" w:hAnsi="Times New Roman" w:cs="宋体"/>
      <w:kern w:val="0"/>
      <w:sz w:val="24"/>
      <w:szCs w:val="20"/>
    </w:rPr>
  </w:style>
  <w:style w:type="table" w:customStyle="1" w:styleId="92">
    <w:name w:val="灰度表格1"/>
    <w:basedOn w:val="39"/>
    <w:autoRedefine/>
    <w:qFormat/>
    <w:uiPriority w:val="0"/>
    <w:pPr>
      <w:widowControl w:val="0"/>
      <w:jc w:val="center"/>
    </w:pPr>
    <w:rPr>
      <w:rFonts w:ascii="Times New Roman" w:hAnsi="Times New Roman" w:eastAsia="宋体" w:cs="Times New Roman"/>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paragraph" w:customStyle="1" w:styleId="93">
    <w:name w:val="表格文字内容"/>
    <w:basedOn w:val="1"/>
    <w:link w:val="94"/>
    <w:autoRedefine/>
    <w:qFormat/>
    <w:uiPriority w:val="0"/>
    <w:pPr>
      <w:adjustRightInd w:val="0"/>
      <w:snapToGrid w:val="0"/>
      <w:spacing w:line="240" w:lineRule="auto"/>
      <w:ind w:firstLine="0" w:firstLineChars="0"/>
      <w:jc w:val="center"/>
    </w:pPr>
    <w:rPr>
      <w:rFonts w:eastAsia="宋体" w:cs="Times New Roman"/>
      <w:bCs/>
      <w:color w:val="0D0D0D" w:themeColor="text1" w:themeTint="F2"/>
      <w:sz w:val="18"/>
      <w:szCs w:val="18"/>
      <w14:textFill>
        <w14:solidFill>
          <w14:schemeClr w14:val="tx1">
            <w14:lumMod w14:val="95000"/>
            <w14:lumOff w14:val="5000"/>
          </w14:schemeClr>
        </w14:solidFill>
      </w14:textFill>
    </w:rPr>
  </w:style>
  <w:style w:type="character" w:customStyle="1" w:styleId="94">
    <w:name w:val="表格文字内容 字符"/>
    <w:basedOn w:val="41"/>
    <w:link w:val="93"/>
    <w:autoRedefine/>
    <w:qFormat/>
    <w:uiPriority w:val="0"/>
    <w:rPr>
      <w:rFonts w:ascii="Times New Roman" w:hAnsi="Times New Roman" w:eastAsia="宋体" w:cs="Times New Roman"/>
      <w:bCs/>
      <w:color w:val="0D0D0D" w:themeColor="text1" w:themeTint="F2"/>
      <w:sz w:val="18"/>
      <w:szCs w:val="18"/>
      <w14:textFill>
        <w14:solidFill>
          <w14:schemeClr w14:val="tx1">
            <w14:lumMod w14:val="95000"/>
            <w14:lumOff w14:val="5000"/>
          </w14:schemeClr>
        </w14:solidFill>
      </w14:textFill>
    </w:rPr>
  </w:style>
  <w:style w:type="paragraph" w:customStyle="1" w:styleId="95">
    <w:name w:val="X-表内文字"/>
    <w:basedOn w:val="1"/>
    <w:link w:val="116"/>
    <w:autoRedefine/>
    <w:qFormat/>
    <w:uiPriority w:val="0"/>
    <w:pPr>
      <w:spacing w:line="240" w:lineRule="auto"/>
      <w:ind w:firstLine="0" w:firstLineChars="0"/>
      <w:jc w:val="center"/>
    </w:pPr>
    <w:rPr>
      <w:rFonts w:eastAsia="宋体"/>
      <w:sz w:val="21"/>
      <w:szCs w:val="21"/>
    </w:rPr>
  </w:style>
  <w:style w:type="character" w:customStyle="1" w:styleId="96">
    <w:name w:val="列表段落 字符"/>
    <w:link w:val="63"/>
    <w:autoRedefine/>
    <w:qFormat/>
    <w:uiPriority w:val="0"/>
    <w:rPr>
      <w:rFonts w:ascii="Times New Roman" w:hAnsi="Times New Roman"/>
      <w:sz w:val="24"/>
    </w:rPr>
  </w:style>
  <w:style w:type="character" w:customStyle="1" w:styleId="97">
    <w:name w:val="副标题 字符"/>
    <w:basedOn w:val="41"/>
    <w:link w:val="28"/>
    <w:autoRedefine/>
    <w:qFormat/>
    <w:uiPriority w:val="0"/>
    <w:rPr>
      <w:rFonts w:ascii="Times New Roman" w:hAnsi="Times New Roman"/>
      <w:bCs/>
      <w:kern w:val="28"/>
      <w:sz w:val="18"/>
      <w:szCs w:val="32"/>
    </w:rPr>
  </w:style>
  <w:style w:type="paragraph" w:customStyle="1" w:styleId="98">
    <w:name w:val="正文版式"/>
    <w:basedOn w:val="1"/>
    <w:autoRedefine/>
    <w:qFormat/>
    <w:uiPriority w:val="0"/>
    <w:pPr>
      <w:spacing w:line="440" w:lineRule="exact"/>
    </w:pPr>
    <w:rPr>
      <w:rFonts w:eastAsia="宋体" w:cs="Times New Roman"/>
      <w:sz w:val="21"/>
      <w:szCs w:val="24"/>
    </w:rPr>
  </w:style>
  <w:style w:type="table" w:customStyle="1" w:styleId="99">
    <w:name w:val="灰度表格13"/>
    <w:basedOn w:val="39"/>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0">
    <w:name w:val="lwx表头"/>
    <w:basedOn w:val="1"/>
    <w:autoRedefine/>
    <w:qFormat/>
    <w:uiPriority w:val="0"/>
    <w:pPr>
      <w:spacing w:before="50" w:beforeLines="50" w:line="240" w:lineRule="auto"/>
      <w:ind w:firstLine="0" w:firstLineChars="0"/>
      <w:jc w:val="center"/>
    </w:pPr>
    <w:rPr>
      <w:rFonts w:eastAsia="宋体"/>
      <w:b/>
      <w:sz w:val="21"/>
    </w:rPr>
  </w:style>
  <w:style w:type="paragraph" w:customStyle="1" w:styleId="101">
    <w:name w:val="X-正文"/>
    <w:basedOn w:val="1"/>
    <w:autoRedefine/>
    <w:qFormat/>
    <w:uiPriority w:val="0"/>
    <w:pPr>
      <w:adjustRightInd w:val="0"/>
      <w:snapToGrid w:val="0"/>
    </w:pPr>
    <w:rPr>
      <w:rFonts w:eastAsia="宋体" w:cs="Times New Roman"/>
      <w:bCs/>
      <w:szCs w:val="21"/>
    </w:rPr>
  </w:style>
  <w:style w:type="table" w:customStyle="1" w:styleId="102">
    <w:name w:val="cisdi表格"/>
    <w:basedOn w:val="39"/>
    <w:autoRedefine/>
    <w:qFormat/>
    <w:uiPriority w:val="0"/>
    <w:pPr>
      <w:widowControl w:val="0"/>
      <w:jc w:val="center"/>
    </w:pPr>
    <w:rPr>
      <w:rFonts w:ascii="Times New Roman" w:hAnsi="Times New Roman" w:eastAsia="宋体" w:cs="Times New Roman"/>
      <w:szCs w:val="21"/>
    </w:rPr>
    <w:tblP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
    <w:tcPr>
      <w:vAlign w:val="center"/>
    </w:tcPr>
    <w:tblStylePr w:type="firstRow">
      <w:rPr>
        <w:rFonts w:hint="default" w:ascii="Times New Roman" w:hAnsi="Times New Roman" w:eastAsia="Helv" w:cs="Times New Roman"/>
        <w:sz w:val="21"/>
        <w:szCs w:val="21"/>
      </w:rPr>
    </w:tblStylePr>
  </w:style>
  <w:style w:type="character" w:customStyle="1" w:styleId="103">
    <w:name w:val="无间隔 字符"/>
    <w:basedOn w:val="41"/>
    <w:link w:val="78"/>
    <w:autoRedefine/>
    <w:qFormat/>
    <w:uiPriority w:val="1"/>
    <w:rPr>
      <w:rFonts w:ascii="Times New Roman" w:hAnsi="Times New Roman"/>
      <w:sz w:val="24"/>
    </w:rPr>
  </w:style>
  <w:style w:type="character" w:customStyle="1" w:styleId="104">
    <w:name w:val="正文文本缩进 字符1"/>
    <w:basedOn w:val="41"/>
    <w:autoRedefine/>
    <w:semiHidden/>
    <w:qFormat/>
    <w:uiPriority w:val="99"/>
    <w:rPr>
      <w:rFonts w:ascii="Times New Roman" w:hAnsi="Times New Roman"/>
      <w:sz w:val="24"/>
    </w:rPr>
  </w:style>
  <w:style w:type="character" w:customStyle="1" w:styleId="105">
    <w:name w:val="称呼 字符"/>
    <w:basedOn w:val="41"/>
    <w:link w:val="15"/>
    <w:autoRedefine/>
    <w:qFormat/>
    <w:uiPriority w:val="99"/>
    <w:rPr>
      <w:rFonts w:ascii="Times New Roman" w:hAnsi="Times New Roman"/>
      <w:sz w:val="24"/>
    </w:rPr>
  </w:style>
  <w:style w:type="paragraph" w:customStyle="1" w:styleId="106">
    <w:name w:val="修订11"/>
    <w:autoRedefine/>
    <w:hidden/>
    <w:semiHidden/>
    <w:qFormat/>
    <w:uiPriority w:val="99"/>
    <w:rPr>
      <w:rFonts w:ascii="Times New Roman" w:hAnsi="Times New Roman" w:eastAsiaTheme="minorEastAsia" w:cstheme="minorBidi"/>
      <w:kern w:val="2"/>
      <w:sz w:val="24"/>
      <w:szCs w:val="22"/>
      <w:lang w:val="en-US" w:eastAsia="zh-CN" w:bidi="ar-SA"/>
    </w:rPr>
  </w:style>
  <w:style w:type="character" w:customStyle="1" w:styleId="107">
    <w:name w:val="font41"/>
    <w:basedOn w:val="41"/>
    <w:autoRedefine/>
    <w:qFormat/>
    <w:uiPriority w:val="0"/>
    <w:rPr>
      <w:rFonts w:hint="default" w:ascii="Times New Roman" w:hAnsi="Times New Roman" w:cs="Times New Roman"/>
      <w:color w:val="000000"/>
      <w:sz w:val="21"/>
      <w:szCs w:val="21"/>
      <w:u w:val="none"/>
      <w:vertAlign w:val="superscript"/>
    </w:rPr>
  </w:style>
  <w:style w:type="character" w:customStyle="1" w:styleId="108">
    <w:name w:val="font21"/>
    <w:basedOn w:val="41"/>
    <w:autoRedefine/>
    <w:qFormat/>
    <w:uiPriority w:val="0"/>
    <w:rPr>
      <w:rFonts w:hint="default" w:ascii="Times New Roman" w:hAnsi="Times New Roman" w:cs="Times New Roman"/>
      <w:color w:val="000000"/>
      <w:sz w:val="21"/>
      <w:szCs w:val="21"/>
      <w:u w:val="none"/>
    </w:rPr>
  </w:style>
  <w:style w:type="character" w:customStyle="1" w:styleId="109">
    <w:name w:val="font11"/>
    <w:basedOn w:val="41"/>
    <w:autoRedefine/>
    <w:qFormat/>
    <w:uiPriority w:val="0"/>
    <w:rPr>
      <w:rFonts w:hint="eastAsia" w:ascii="宋体" w:hAnsi="宋体" w:eastAsia="宋体" w:cs="宋体"/>
      <w:color w:val="000000"/>
      <w:sz w:val="21"/>
      <w:szCs w:val="21"/>
      <w:u w:val="none"/>
    </w:rPr>
  </w:style>
  <w:style w:type="paragraph" w:customStyle="1" w:styleId="110">
    <w:name w:val="表名-新"/>
    <w:basedOn w:val="111"/>
    <w:autoRedefine/>
    <w:qFormat/>
    <w:uiPriority w:val="0"/>
    <w:pPr>
      <w:snapToGrid w:val="0"/>
      <w:spacing w:before="120" w:line="360" w:lineRule="auto"/>
    </w:pPr>
  </w:style>
  <w:style w:type="paragraph" w:customStyle="1" w:styleId="111">
    <w:name w:val="1、表名"/>
    <w:basedOn w:val="1"/>
    <w:autoRedefine/>
    <w:qFormat/>
    <w:uiPriority w:val="0"/>
    <w:pPr>
      <w:autoSpaceDE w:val="0"/>
      <w:autoSpaceDN w:val="0"/>
      <w:adjustRightInd w:val="0"/>
      <w:spacing w:before="50" w:beforeLines="50" w:line="240" w:lineRule="auto"/>
      <w:jc w:val="center"/>
      <w:textAlignment w:val="baseline"/>
    </w:pPr>
    <w:rPr>
      <w:b/>
      <w:kern w:val="0"/>
      <w:szCs w:val="21"/>
    </w:rPr>
  </w:style>
  <w:style w:type="character" w:customStyle="1" w:styleId="112">
    <w:name w:val="font31"/>
    <w:basedOn w:val="41"/>
    <w:autoRedefine/>
    <w:qFormat/>
    <w:uiPriority w:val="0"/>
    <w:rPr>
      <w:rFonts w:hint="default" w:ascii="Times New Roman" w:hAnsi="Times New Roman" w:cs="Times New Roman"/>
      <w:color w:val="000000"/>
      <w:sz w:val="21"/>
      <w:szCs w:val="21"/>
      <w:u w:val="none"/>
    </w:rPr>
  </w:style>
  <w:style w:type="paragraph" w:customStyle="1" w:styleId="113">
    <w:name w:val="列出段落2"/>
    <w:basedOn w:val="1"/>
    <w:autoRedefine/>
    <w:unhideWhenUsed/>
    <w:qFormat/>
    <w:uiPriority w:val="99"/>
    <w:pPr>
      <w:ind w:firstLine="420"/>
    </w:pPr>
  </w:style>
  <w:style w:type="paragraph" w:customStyle="1" w:styleId="114">
    <w:name w:val="Default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15">
    <w:name w:val="font51"/>
    <w:basedOn w:val="41"/>
    <w:autoRedefine/>
    <w:qFormat/>
    <w:uiPriority w:val="0"/>
    <w:rPr>
      <w:rFonts w:hint="eastAsia" w:ascii="宋体" w:hAnsi="宋体" w:eastAsia="宋体" w:cs="宋体"/>
      <w:color w:val="000000"/>
      <w:sz w:val="21"/>
      <w:szCs w:val="21"/>
      <w:u w:val="none"/>
    </w:rPr>
  </w:style>
  <w:style w:type="character" w:customStyle="1" w:styleId="116">
    <w:name w:val="X-表内文字 字符"/>
    <w:basedOn w:val="41"/>
    <w:link w:val="95"/>
    <w:autoRedefine/>
    <w:qFormat/>
    <w:uiPriority w:val="0"/>
    <w:rPr>
      <w:rFonts w:ascii="Times New Roman" w:hAnsi="Times New Roman" w:eastAsia="宋体"/>
      <w:szCs w:val="21"/>
    </w:rPr>
  </w:style>
  <w:style w:type="table" w:customStyle="1" w:styleId="117">
    <w:name w:val="lwx样式11"/>
    <w:basedOn w:val="39"/>
    <w:autoRedefine/>
    <w:qFormat/>
    <w:uiPriority w:val="99"/>
    <w:pPr>
      <w:jc w:val="center"/>
    </w:pPr>
    <w:rPr>
      <w:rFonts w:ascii="Times New Roman" w:hAnsi="Times New Roman" w:eastAsia="宋体"/>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shd w:val="clear" w:color="auto" w:fill="auto"/>
      <w:vAlign w:val="center"/>
    </w:tcPr>
  </w:style>
  <w:style w:type="paragraph" w:customStyle="1" w:styleId="118">
    <w:name w:val="盘龙湾正文"/>
    <w:basedOn w:val="1"/>
    <w:link w:val="119"/>
    <w:autoRedefine/>
    <w:qFormat/>
    <w:uiPriority w:val="0"/>
    <w:pPr>
      <w:autoSpaceDE w:val="0"/>
      <w:autoSpaceDN w:val="0"/>
      <w:adjustRightInd w:val="0"/>
      <w:snapToGrid w:val="0"/>
      <w:textAlignment w:val="center"/>
    </w:pPr>
    <w:rPr>
      <w:rFonts w:eastAsia="宋体" w:cs="Times New Roman"/>
      <w:kern w:val="0"/>
      <w:szCs w:val="21"/>
    </w:rPr>
  </w:style>
  <w:style w:type="character" w:customStyle="1" w:styleId="119">
    <w:name w:val="盘龙湾正文 字符"/>
    <w:basedOn w:val="41"/>
    <w:link w:val="118"/>
    <w:autoRedefine/>
    <w:qFormat/>
    <w:uiPriority w:val="0"/>
    <w:rPr>
      <w:rFonts w:ascii="Times New Roman" w:hAnsi="Times New Roman" w:eastAsia="宋体" w:cs="Times New Roman"/>
      <w:kern w:val="0"/>
      <w:sz w:val="24"/>
      <w:szCs w:val="21"/>
    </w:rPr>
  </w:style>
  <w:style w:type="table" w:customStyle="1" w:styleId="120">
    <w:name w:val="网格型1"/>
    <w:basedOn w:val="39"/>
    <w:autoRedefine/>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1">
    <w:name w:val="题注 字符"/>
    <w:link w:val="13"/>
    <w:autoRedefine/>
    <w:qFormat/>
    <w:uiPriority w:val="99"/>
    <w:rPr>
      <w:rFonts w:ascii="Times New Roman" w:hAnsi="Times New Roman" w:eastAsia="黑体" w:cstheme="majorBidi"/>
      <w:szCs w:val="20"/>
    </w:rPr>
  </w:style>
  <w:style w:type="character" w:customStyle="1" w:styleId="122">
    <w:name w:val="未处理的提及1"/>
    <w:basedOn w:val="41"/>
    <w:autoRedefine/>
    <w:semiHidden/>
    <w:unhideWhenUsed/>
    <w:qFormat/>
    <w:uiPriority w:val="99"/>
    <w:rPr>
      <w:color w:val="605E5C"/>
      <w:shd w:val="clear" w:color="auto" w:fill="E1DFDD"/>
    </w:rPr>
  </w:style>
  <w:style w:type="paragraph" w:customStyle="1" w:styleId="123">
    <w:name w:val="表文"/>
    <w:basedOn w:val="1"/>
    <w:link w:val="124"/>
    <w:autoRedefine/>
    <w:qFormat/>
    <w:uiPriority w:val="0"/>
    <w:pPr>
      <w:ind w:firstLine="0" w:firstLineChars="0"/>
      <w:jc w:val="center"/>
    </w:pPr>
    <w:rPr>
      <w:rFonts w:eastAsia="仿宋" w:cs="Times New Roman"/>
      <w:sz w:val="21"/>
      <w:szCs w:val="21"/>
    </w:rPr>
  </w:style>
  <w:style w:type="character" w:customStyle="1" w:styleId="124">
    <w:name w:val="表文 字符"/>
    <w:basedOn w:val="41"/>
    <w:link w:val="123"/>
    <w:autoRedefine/>
    <w:qFormat/>
    <w:uiPriority w:val="0"/>
    <w:rPr>
      <w:rFonts w:ascii="Times New Roman" w:hAnsi="Times New Roman" w:eastAsia="仿宋" w:cs="Times New Roman"/>
      <w:szCs w:val="21"/>
    </w:rPr>
  </w:style>
  <w:style w:type="table" w:customStyle="1" w:styleId="125">
    <w:name w:val="清单表 4 - 着色 31"/>
    <w:basedOn w:val="39"/>
    <w:autoRedefine/>
    <w:qFormat/>
    <w:uiPriority w:val="49"/>
    <w:rPr>
      <w:rFonts w:ascii="Times New Roman" w:hAnsi="Times New Roman" w:eastAsia="仿宋"/>
      <w:color w:val="000000" w:themeColor="text1"/>
      <w14:textFill>
        <w14:solidFill>
          <w14:schemeClr w14:val="tx1"/>
        </w14:solidFill>
      </w14:textFill>
    </w:rPr>
    <w:tblPr>
      <w:jc w:val="center"/>
      <w:tblBorders>
        <w:top w:val="single" w:color="auto" w:sz="4" w:space="0"/>
        <w:bottom w:val="single" w:color="auto" w:sz="4" w:space="0"/>
        <w:insideH w:val="single" w:color="auto" w:sz="4" w:space="0"/>
        <w:insideV w:val="single" w:color="auto" w:sz="4" w:space="0"/>
      </w:tblBorders>
    </w:tblPr>
    <w:trPr>
      <w:jc w:val="center"/>
    </w:trPr>
    <w:tcPr>
      <w:vAlign w:val="center"/>
    </w:tcPr>
    <w:tblStylePr w:type="firstRow">
      <w:rPr>
        <w:rFonts w:ascii="Times New Roman" w:hAnsi="Times New Roman" w:eastAsia="仿宋"/>
        <w:b/>
        <w:bCs/>
        <w:i w:val="0"/>
        <w:color w:val="000000" w:themeColor="text1"/>
        <w:sz w:val="21"/>
        <w14:textFill>
          <w14:solidFill>
            <w14:schemeClr w14:val="tx1"/>
          </w14:solidFill>
        </w14:textFill>
      </w:rPr>
      <w:tcPr>
        <w:tcBorders>
          <w:top w:val="single" w:color="auto" w:sz="4" w:space="0"/>
          <w:left w:val="nil"/>
          <w:bottom w:val="single" w:color="auto" w:sz="4" w:space="0"/>
          <w:right w:val="nil"/>
          <w:insideH w:val="single" w:sz="4" w:space="0"/>
          <w:insideV w:val="single" w:sz="4" w:space="0"/>
        </w:tcBorders>
        <w:shd w:val="clear" w:color="auto" w:fill="9BBB59" w:themeFill="accent3"/>
      </w:tcPr>
    </w:tblStylePr>
    <w:tblStylePr w:type="lastRow">
      <w:rPr>
        <w:b/>
        <w:bCs/>
      </w:rPr>
      <w:tcPr>
        <w:tcBorders>
          <w:top w:val="doub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paragraph" w:customStyle="1" w:styleId="126">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127">
    <w:name w:val="font5"/>
    <w:basedOn w:val="1"/>
    <w:autoRedefine/>
    <w:qFormat/>
    <w:uiPriority w:val="0"/>
    <w:pPr>
      <w:widowControl/>
      <w:spacing w:before="100" w:beforeAutospacing="1" w:after="100" w:afterAutospacing="1" w:line="240" w:lineRule="auto"/>
      <w:ind w:firstLine="0" w:firstLineChars="0"/>
      <w:jc w:val="left"/>
    </w:pPr>
    <w:rPr>
      <w:rFonts w:ascii="汉仪书宋二KW" w:hAnsi="宋体" w:eastAsia="汉仪书宋二KW" w:cs="宋体"/>
      <w:color w:val="00B050"/>
      <w:kern w:val="0"/>
      <w:sz w:val="22"/>
    </w:rPr>
  </w:style>
  <w:style w:type="paragraph" w:customStyle="1" w:styleId="128">
    <w:name w:val="font6"/>
    <w:basedOn w:val="1"/>
    <w:autoRedefine/>
    <w:qFormat/>
    <w:uiPriority w:val="0"/>
    <w:pPr>
      <w:widowControl/>
      <w:spacing w:before="100" w:beforeAutospacing="1" w:after="100" w:afterAutospacing="1" w:line="240" w:lineRule="auto"/>
      <w:ind w:firstLine="0" w:firstLineChars="0"/>
      <w:jc w:val="left"/>
    </w:pPr>
    <w:rPr>
      <w:rFonts w:ascii="等线" w:hAnsi="等线" w:eastAsia="等线" w:cs="宋体"/>
      <w:b/>
      <w:bCs/>
      <w:color w:val="7030A0"/>
      <w:kern w:val="0"/>
      <w:sz w:val="22"/>
    </w:rPr>
  </w:style>
  <w:style w:type="paragraph" w:customStyle="1" w:styleId="129">
    <w:name w:val="font7"/>
    <w:basedOn w:val="1"/>
    <w:autoRedefine/>
    <w:qFormat/>
    <w:uiPriority w:val="0"/>
    <w:pPr>
      <w:widowControl/>
      <w:spacing w:before="100" w:beforeAutospacing="1" w:after="100" w:afterAutospacing="1" w:line="240" w:lineRule="auto"/>
      <w:ind w:firstLine="0" w:firstLineChars="0"/>
      <w:jc w:val="left"/>
    </w:pPr>
    <w:rPr>
      <w:rFonts w:ascii="汉仪书宋二KW" w:hAnsi="宋体" w:eastAsia="汉仪书宋二KW" w:cs="宋体"/>
      <w:b/>
      <w:bCs/>
      <w:color w:val="7030A0"/>
      <w:kern w:val="0"/>
      <w:sz w:val="22"/>
    </w:rPr>
  </w:style>
  <w:style w:type="paragraph" w:customStyle="1" w:styleId="130">
    <w:name w:val="font8"/>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color w:val="00B050"/>
      <w:kern w:val="0"/>
      <w:sz w:val="22"/>
    </w:rPr>
  </w:style>
  <w:style w:type="paragraph" w:customStyle="1" w:styleId="131">
    <w:name w:val="font9"/>
    <w:basedOn w:val="1"/>
    <w:autoRedefine/>
    <w:qFormat/>
    <w:uiPriority w:val="0"/>
    <w:pPr>
      <w:widowControl/>
      <w:spacing w:before="100" w:beforeAutospacing="1" w:after="100" w:afterAutospacing="1" w:line="240" w:lineRule="auto"/>
      <w:ind w:firstLine="0" w:firstLineChars="0"/>
      <w:jc w:val="left"/>
    </w:pPr>
    <w:rPr>
      <w:rFonts w:ascii="汉仪书宋二KW" w:hAnsi="宋体" w:eastAsia="汉仪书宋二KW" w:cs="宋体"/>
      <w:color w:val="7030A0"/>
      <w:kern w:val="0"/>
      <w:sz w:val="22"/>
    </w:rPr>
  </w:style>
  <w:style w:type="paragraph" w:customStyle="1" w:styleId="132">
    <w:name w:val="font10"/>
    <w:basedOn w:val="1"/>
    <w:autoRedefine/>
    <w:qFormat/>
    <w:uiPriority w:val="0"/>
    <w:pPr>
      <w:widowControl/>
      <w:spacing w:before="100" w:beforeAutospacing="1" w:after="100" w:afterAutospacing="1" w:line="240" w:lineRule="auto"/>
      <w:ind w:firstLine="0" w:firstLineChars="0"/>
      <w:jc w:val="left"/>
    </w:pPr>
    <w:rPr>
      <w:rFonts w:ascii="汉仪书宋二KW" w:hAnsi="宋体" w:eastAsia="汉仪书宋二KW" w:cs="宋体"/>
      <w:b/>
      <w:bCs/>
      <w:color w:val="00B050"/>
      <w:kern w:val="0"/>
      <w:sz w:val="22"/>
    </w:rPr>
  </w:style>
  <w:style w:type="paragraph" w:customStyle="1" w:styleId="133">
    <w:name w:val="font12"/>
    <w:basedOn w:val="1"/>
    <w:autoRedefine/>
    <w:qFormat/>
    <w:uiPriority w:val="0"/>
    <w:pPr>
      <w:widowControl/>
      <w:spacing w:before="100" w:beforeAutospacing="1" w:after="100" w:afterAutospacing="1" w:line="240" w:lineRule="auto"/>
      <w:ind w:firstLine="0" w:firstLineChars="0"/>
      <w:jc w:val="left"/>
    </w:pPr>
    <w:rPr>
      <w:rFonts w:ascii="等线" w:hAnsi="等线" w:eastAsia="等线" w:cs="宋体"/>
      <w:b/>
      <w:bCs/>
      <w:color w:val="00B050"/>
      <w:kern w:val="0"/>
      <w:sz w:val="22"/>
    </w:rPr>
  </w:style>
  <w:style w:type="paragraph" w:customStyle="1" w:styleId="134">
    <w:name w:val="font13"/>
    <w:basedOn w:val="1"/>
    <w:autoRedefine/>
    <w:qFormat/>
    <w:uiPriority w:val="0"/>
    <w:pPr>
      <w:widowControl/>
      <w:spacing w:before="100" w:beforeAutospacing="1" w:after="100" w:afterAutospacing="1" w:line="240" w:lineRule="auto"/>
      <w:ind w:firstLine="0" w:firstLineChars="0"/>
      <w:jc w:val="left"/>
    </w:pPr>
    <w:rPr>
      <w:rFonts w:ascii="等线" w:hAnsi="等线" w:eastAsia="等线" w:cs="宋体"/>
      <w:color w:val="7030A0"/>
      <w:kern w:val="0"/>
      <w:sz w:val="22"/>
    </w:rPr>
  </w:style>
  <w:style w:type="paragraph" w:customStyle="1" w:styleId="135">
    <w:name w:val="font14"/>
    <w:basedOn w:val="1"/>
    <w:autoRedefine/>
    <w:qFormat/>
    <w:uiPriority w:val="0"/>
    <w:pPr>
      <w:widowControl/>
      <w:spacing w:before="100" w:beforeAutospacing="1" w:after="100" w:afterAutospacing="1" w:line="240" w:lineRule="auto"/>
      <w:ind w:firstLine="0" w:firstLineChars="0"/>
      <w:jc w:val="left"/>
    </w:pPr>
    <w:rPr>
      <w:rFonts w:ascii="等线" w:hAnsi="等线" w:eastAsia="等线" w:cs="宋体"/>
      <w:b/>
      <w:bCs/>
      <w:color w:val="000000"/>
      <w:kern w:val="0"/>
      <w:sz w:val="22"/>
    </w:rPr>
  </w:style>
  <w:style w:type="paragraph" w:customStyle="1" w:styleId="136">
    <w:name w:val="font15"/>
    <w:basedOn w:val="1"/>
    <w:autoRedefine/>
    <w:qFormat/>
    <w:uiPriority w:val="0"/>
    <w:pPr>
      <w:widowControl/>
      <w:spacing w:before="100" w:beforeAutospacing="1" w:after="100" w:afterAutospacing="1" w:line="240" w:lineRule="auto"/>
      <w:ind w:firstLine="0" w:firstLineChars="0"/>
      <w:jc w:val="left"/>
    </w:pPr>
    <w:rPr>
      <w:rFonts w:ascii="等线" w:hAnsi="等线" w:eastAsia="等线" w:cs="宋体"/>
      <w:color w:val="000000"/>
      <w:kern w:val="0"/>
      <w:sz w:val="22"/>
    </w:rPr>
  </w:style>
  <w:style w:type="paragraph" w:customStyle="1" w:styleId="137">
    <w:name w:val="font16"/>
    <w:basedOn w:val="1"/>
    <w:autoRedefine/>
    <w:qFormat/>
    <w:uiPriority w:val="0"/>
    <w:pPr>
      <w:widowControl/>
      <w:spacing w:before="100" w:beforeAutospacing="1" w:after="100" w:afterAutospacing="1" w:line="240" w:lineRule="auto"/>
      <w:ind w:firstLine="0" w:firstLineChars="0"/>
      <w:jc w:val="left"/>
    </w:pPr>
    <w:rPr>
      <w:rFonts w:ascii="等线" w:hAnsi="等线" w:eastAsia="等线" w:cs="宋体"/>
      <w:b/>
      <w:bCs/>
      <w:color w:val="00B050"/>
      <w:kern w:val="0"/>
      <w:sz w:val="22"/>
    </w:rPr>
  </w:style>
  <w:style w:type="paragraph" w:customStyle="1" w:styleId="138">
    <w:name w:val="font17"/>
    <w:basedOn w:val="1"/>
    <w:autoRedefine/>
    <w:qFormat/>
    <w:uiPriority w:val="0"/>
    <w:pPr>
      <w:widowControl/>
      <w:spacing w:before="100" w:beforeAutospacing="1" w:after="100" w:afterAutospacing="1" w:line="240" w:lineRule="auto"/>
      <w:ind w:firstLine="0" w:firstLineChars="0"/>
      <w:jc w:val="left"/>
    </w:pPr>
    <w:rPr>
      <w:rFonts w:ascii="等线" w:hAnsi="等线" w:eastAsia="等线" w:cs="宋体"/>
      <w:color w:val="00B050"/>
      <w:kern w:val="0"/>
      <w:sz w:val="22"/>
    </w:rPr>
  </w:style>
  <w:style w:type="paragraph" w:customStyle="1" w:styleId="139">
    <w:name w:val="font18"/>
    <w:basedOn w:val="1"/>
    <w:autoRedefine/>
    <w:qFormat/>
    <w:uiPriority w:val="0"/>
    <w:pPr>
      <w:widowControl/>
      <w:spacing w:before="100" w:beforeAutospacing="1" w:after="100" w:afterAutospacing="1" w:line="240" w:lineRule="auto"/>
      <w:ind w:firstLine="0" w:firstLineChars="0"/>
      <w:jc w:val="left"/>
    </w:pPr>
    <w:rPr>
      <w:rFonts w:ascii="等线" w:hAnsi="等线" w:eastAsia="等线" w:cs="宋体"/>
      <w:color w:val="FF0000"/>
      <w:kern w:val="0"/>
      <w:sz w:val="22"/>
    </w:rPr>
  </w:style>
  <w:style w:type="paragraph" w:customStyle="1" w:styleId="140">
    <w:name w:val="font19"/>
    <w:basedOn w:val="1"/>
    <w:autoRedefine/>
    <w:qFormat/>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141">
    <w:name w:val="font20"/>
    <w:basedOn w:val="1"/>
    <w:autoRedefine/>
    <w:qFormat/>
    <w:uiPriority w:val="0"/>
    <w:pPr>
      <w:widowControl/>
      <w:spacing w:before="100" w:beforeAutospacing="1" w:after="100" w:afterAutospacing="1" w:line="240" w:lineRule="auto"/>
      <w:ind w:firstLine="0" w:firstLineChars="0"/>
      <w:jc w:val="left"/>
    </w:pPr>
    <w:rPr>
      <w:rFonts w:ascii="Microsoft YaHei UI" w:hAnsi="Microsoft YaHei UI" w:eastAsia="Microsoft YaHei UI" w:cs="宋体"/>
      <w:color w:val="00B050"/>
      <w:kern w:val="0"/>
      <w:sz w:val="22"/>
    </w:rPr>
  </w:style>
  <w:style w:type="paragraph" w:customStyle="1" w:styleId="142">
    <w:name w:val="xl66"/>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143">
    <w:name w:val="xl6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Cs w:val="24"/>
    </w:rPr>
  </w:style>
  <w:style w:type="paragraph" w:customStyle="1" w:styleId="144">
    <w:name w:val="xl6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45">
    <w:name w:val="xl69"/>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46">
    <w:name w:val="xl7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Cs w:val="24"/>
    </w:rPr>
  </w:style>
  <w:style w:type="paragraph" w:customStyle="1" w:styleId="147">
    <w:name w:val="xl7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Cs w:val="24"/>
    </w:rPr>
  </w:style>
  <w:style w:type="paragraph" w:customStyle="1" w:styleId="148">
    <w:name w:val="xl72"/>
    <w:basedOn w:val="1"/>
    <w:autoRedefine/>
    <w:qFormat/>
    <w:uiPriority w:val="0"/>
    <w:pPr>
      <w:widowControl/>
      <w:pBdr>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49">
    <w:name w:val="xl73"/>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50">
    <w:name w:val="xl7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kern w:val="0"/>
      <w:szCs w:val="24"/>
    </w:rPr>
  </w:style>
  <w:style w:type="paragraph" w:customStyle="1" w:styleId="151">
    <w:name w:val="xl75"/>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Cs w:val="24"/>
    </w:rPr>
  </w:style>
  <w:style w:type="paragraph" w:customStyle="1" w:styleId="152">
    <w:name w:val="xl7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00B050"/>
      <w:kern w:val="0"/>
      <w:szCs w:val="24"/>
    </w:rPr>
  </w:style>
  <w:style w:type="paragraph" w:customStyle="1" w:styleId="153">
    <w:name w:val="xl7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kern w:val="0"/>
      <w:szCs w:val="24"/>
    </w:rPr>
  </w:style>
  <w:style w:type="paragraph" w:customStyle="1" w:styleId="154">
    <w:name w:val="xl7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155">
    <w:name w:val="xl79"/>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Cs w:val="24"/>
    </w:rPr>
  </w:style>
  <w:style w:type="paragraph" w:customStyle="1" w:styleId="156">
    <w:name w:val="xl8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57">
    <w:name w:val="xl81"/>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kern w:val="0"/>
      <w:szCs w:val="24"/>
    </w:rPr>
  </w:style>
  <w:style w:type="paragraph" w:customStyle="1" w:styleId="158">
    <w:name w:val="xl82"/>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Cs w:val="24"/>
    </w:rPr>
  </w:style>
  <w:style w:type="paragraph" w:customStyle="1" w:styleId="159">
    <w:name w:val="xl8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Cs w:val="24"/>
    </w:rPr>
  </w:style>
  <w:style w:type="paragraph" w:customStyle="1" w:styleId="160">
    <w:name w:val="xl84"/>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Cs w:val="24"/>
    </w:rPr>
  </w:style>
  <w:style w:type="paragraph" w:customStyle="1" w:styleId="161">
    <w:name w:val="xl85"/>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Cs w:val="24"/>
    </w:rPr>
  </w:style>
  <w:style w:type="paragraph" w:customStyle="1" w:styleId="162">
    <w:name w:val="xl86"/>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63">
    <w:name w:val="xl8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Cs w:val="24"/>
    </w:rPr>
  </w:style>
  <w:style w:type="paragraph" w:customStyle="1" w:styleId="164">
    <w:name w:val="xl88"/>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Cs w:val="24"/>
    </w:rPr>
  </w:style>
  <w:style w:type="paragraph" w:customStyle="1" w:styleId="165">
    <w:name w:val="xl89"/>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66">
    <w:name w:val="xl9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167">
    <w:name w:val="xl91"/>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68">
    <w:name w:val="xl92"/>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169">
    <w:name w:val="xl93"/>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kern w:val="0"/>
      <w:szCs w:val="24"/>
    </w:rPr>
  </w:style>
  <w:style w:type="paragraph" w:customStyle="1" w:styleId="170">
    <w:name w:val="xl94"/>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Cs w:val="24"/>
    </w:rPr>
  </w:style>
  <w:style w:type="paragraph" w:customStyle="1" w:styleId="171">
    <w:name w:val="xl95"/>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Cs w:val="24"/>
    </w:rPr>
  </w:style>
  <w:style w:type="paragraph" w:customStyle="1" w:styleId="172">
    <w:name w:val="xl96"/>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00B0F0"/>
      <w:spacing w:before="100" w:beforeAutospacing="1" w:after="100" w:afterAutospacing="1" w:line="240" w:lineRule="auto"/>
      <w:ind w:firstLine="0" w:firstLineChars="0"/>
      <w:jc w:val="center"/>
      <w:textAlignment w:val="center"/>
    </w:pPr>
    <w:rPr>
      <w:rFonts w:ascii="宋体" w:hAnsi="宋体" w:eastAsia="宋体" w:cs="宋体"/>
      <w:kern w:val="0"/>
      <w:szCs w:val="24"/>
    </w:rPr>
  </w:style>
  <w:style w:type="paragraph" w:customStyle="1" w:styleId="173">
    <w:name w:val="xl9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7030A0"/>
      <w:kern w:val="0"/>
      <w:szCs w:val="24"/>
    </w:rPr>
  </w:style>
  <w:style w:type="paragraph" w:customStyle="1" w:styleId="174">
    <w:name w:val="xl98"/>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75">
    <w:name w:val="xl99"/>
    <w:basedOn w:val="1"/>
    <w:autoRedefine/>
    <w:qFormat/>
    <w:uiPriority w:val="0"/>
    <w:pPr>
      <w:widowControl/>
      <w:pBdr>
        <w:top w:val="single" w:color="000000" w:sz="4" w:space="0"/>
        <w:left w:val="single" w:color="000000" w:sz="8" w:space="0"/>
        <w:bottom w:val="single" w:color="000000" w:sz="4" w:space="0"/>
        <w:right w:val="single" w:color="000000" w:sz="4" w:space="0"/>
      </w:pBdr>
      <w:shd w:val="clear" w:color="000000" w:fill="D0CECE"/>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76">
    <w:name w:val="xl10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77">
    <w:name w:val="xl10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汉仪书宋二KW" w:hAnsi="宋体" w:eastAsia="汉仪书宋二KW" w:cs="宋体"/>
      <w:b/>
      <w:bCs/>
      <w:color w:val="7030A0"/>
      <w:kern w:val="0"/>
      <w:szCs w:val="24"/>
    </w:rPr>
  </w:style>
  <w:style w:type="paragraph" w:customStyle="1" w:styleId="178">
    <w:name w:val="xl102"/>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179">
    <w:name w:val="xl10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80">
    <w:name w:val="xl10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7030A0"/>
      <w:kern w:val="0"/>
      <w:szCs w:val="24"/>
    </w:rPr>
  </w:style>
  <w:style w:type="paragraph" w:customStyle="1" w:styleId="181">
    <w:name w:val="xl105"/>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00B050"/>
      <w:kern w:val="0"/>
      <w:szCs w:val="24"/>
    </w:rPr>
  </w:style>
  <w:style w:type="paragraph" w:customStyle="1" w:styleId="182">
    <w:name w:val="xl106"/>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183">
    <w:name w:val="xl107"/>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184">
    <w:name w:val="xl108"/>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185">
    <w:name w:val="xl109"/>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86">
    <w:name w:val="xl110"/>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87">
    <w:name w:val="xl111"/>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7030A0"/>
      <w:kern w:val="0"/>
      <w:szCs w:val="24"/>
    </w:rPr>
  </w:style>
  <w:style w:type="paragraph" w:customStyle="1" w:styleId="188">
    <w:name w:val="xl112"/>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189">
    <w:name w:val="xl11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190">
    <w:name w:val="xl114"/>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00B050"/>
      <w:kern w:val="0"/>
      <w:szCs w:val="24"/>
    </w:rPr>
  </w:style>
  <w:style w:type="paragraph" w:customStyle="1" w:styleId="191">
    <w:name w:val="xl115"/>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00B050"/>
      <w:kern w:val="0"/>
      <w:szCs w:val="24"/>
    </w:rPr>
  </w:style>
  <w:style w:type="paragraph" w:customStyle="1" w:styleId="192">
    <w:name w:val="xl116"/>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93">
    <w:name w:val="xl117"/>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00B050"/>
      <w:kern w:val="0"/>
      <w:szCs w:val="24"/>
    </w:rPr>
  </w:style>
  <w:style w:type="paragraph" w:customStyle="1" w:styleId="194">
    <w:name w:val="xl118"/>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95">
    <w:name w:val="xl119"/>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00B050"/>
      <w:kern w:val="0"/>
      <w:szCs w:val="24"/>
    </w:rPr>
  </w:style>
  <w:style w:type="paragraph" w:customStyle="1" w:styleId="196">
    <w:name w:val="xl12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汉仪书宋二KW" w:hAnsi="宋体" w:eastAsia="汉仪书宋二KW" w:cs="宋体"/>
      <w:b/>
      <w:bCs/>
      <w:color w:val="00B050"/>
      <w:kern w:val="0"/>
      <w:szCs w:val="24"/>
    </w:rPr>
  </w:style>
  <w:style w:type="paragraph" w:customStyle="1" w:styleId="197">
    <w:name w:val="xl121"/>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198">
    <w:name w:val="xl12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800080"/>
      <w:kern w:val="0"/>
      <w:szCs w:val="24"/>
    </w:rPr>
  </w:style>
  <w:style w:type="paragraph" w:customStyle="1" w:styleId="199">
    <w:name w:val="xl123"/>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200">
    <w:name w:val="xl124"/>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7030A0"/>
      <w:kern w:val="0"/>
      <w:szCs w:val="24"/>
    </w:rPr>
  </w:style>
  <w:style w:type="paragraph" w:customStyle="1" w:styleId="201">
    <w:name w:val="xl125"/>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202">
    <w:name w:val="xl12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7030A0"/>
      <w:kern w:val="0"/>
      <w:szCs w:val="24"/>
    </w:rPr>
  </w:style>
  <w:style w:type="paragraph" w:customStyle="1" w:styleId="203">
    <w:name w:val="xl127"/>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8CBAD"/>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204">
    <w:name w:val="xl128"/>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8CBAD"/>
      <w:spacing w:before="100" w:beforeAutospacing="1" w:after="100" w:afterAutospacing="1" w:line="240" w:lineRule="auto"/>
      <w:ind w:firstLine="0" w:firstLineChars="0"/>
      <w:jc w:val="center"/>
      <w:textAlignment w:val="center"/>
    </w:pPr>
    <w:rPr>
      <w:rFonts w:ascii="宋体" w:hAnsi="宋体" w:eastAsia="宋体" w:cs="宋体"/>
      <w:b/>
      <w:bCs/>
      <w:color w:val="7030A0"/>
      <w:kern w:val="0"/>
      <w:szCs w:val="24"/>
    </w:rPr>
  </w:style>
  <w:style w:type="paragraph" w:customStyle="1" w:styleId="205">
    <w:name w:val="xl129"/>
    <w:basedOn w:val="1"/>
    <w:autoRedefine/>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206">
    <w:name w:val="xl130"/>
    <w:basedOn w:val="1"/>
    <w:autoRedefine/>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207">
    <w:name w:val="xl131"/>
    <w:basedOn w:val="1"/>
    <w:autoRedefine/>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800080"/>
      <w:kern w:val="0"/>
      <w:szCs w:val="24"/>
    </w:rPr>
  </w:style>
  <w:style w:type="paragraph" w:customStyle="1" w:styleId="208">
    <w:name w:val="xl132"/>
    <w:basedOn w:val="1"/>
    <w:autoRedefine/>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color w:val="000000"/>
      <w:kern w:val="0"/>
      <w:szCs w:val="24"/>
    </w:rPr>
  </w:style>
  <w:style w:type="paragraph" w:customStyle="1" w:styleId="209">
    <w:name w:val="xl133"/>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210">
    <w:name w:val="xl13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Microsoft YaHei UI" w:hAnsi="Microsoft YaHei UI" w:eastAsia="Microsoft YaHei UI" w:cs="宋体"/>
      <w:b/>
      <w:bCs/>
      <w:color w:val="00B050"/>
      <w:kern w:val="0"/>
      <w:szCs w:val="24"/>
    </w:rPr>
  </w:style>
  <w:style w:type="paragraph" w:customStyle="1" w:styleId="211">
    <w:name w:val="xl135"/>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212">
    <w:name w:val="xl136"/>
    <w:basedOn w:val="1"/>
    <w:autoRedefine/>
    <w:qFormat/>
    <w:uiPriority w:val="0"/>
    <w:pPr>
      <w:widowControl/>
      <w:pBdr>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213">
    <w:name w:val="xl137"/>
    <w:basedOn w:val="1"/>
    <w:autoRedefine/>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214">
    <w:name w:val="xl138"/>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00B050"/>
      <w:kern w:val="0"/>
      <w:szCs w:val="24"/>
    </w:rPr>
  </w:style>
  <w:style w:type="paragraph" w:customStyle="1" w:styleId="215">
    <w:name w:val="xl139"/>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Cs w:val="24"/>
    </w:rPr>
  </w:style>
  <w:style w:type="paragraph" w:customStyle="1" w:styleId="216">
    <w:name w:val="xl140"/>
    <w:basedOn w:val="1"/>
    <w:autoRedefine/>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color w:val="000000"/>
      <w:kern w:val="0"/>
      <w:szCs w:val="24"/>
    </w:rPr>
  </w:style>
  <w:style w:type="paragraph" w:customStyle="1" w:styleId="217">
    <w:name w:val="xl141"/>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Cs w:val="24"/>
    </w:rPr>
  </w:style>
  <w:style w:type="paragraph" w:customStyle="1" w:styleId="218">
    <w:name w:val="xl142"/>
    <w:basedOn w:val="1"/>
    <w:autoRedefine/>
    <w:qFormat/>
    <w:uiPriority w:val="0"/>
    <w:pPr>
      <w:widowControl/>
      <w:pBdr>
        <w:top w:val="single" w:color="000000" w:sz="4" w:space="0"/>
        <w:bottom w:val="single" w:color="000000" w:sz="4" w:space="0"/>
        <w:right w:val="single" w:color="000000" w:sz="4" w:space="0"/>
      </w:pBdr>
      <w:shd w:val="clear" w:color="000000" w:fill="F8CBAD"/>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219">
    <w:name w:val="xl143"/>
    <w:basedOn w:val="1"/>
    <w:autoRedefine/>
    <w:qFormat/>
    <w:uiPriority w:val="0"/>
    <w:pPr>
      <w:widowControl/>
      <w:pBdr>
        <w:top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220">
    <w:name w:val="xl144"/>
    <w:basedOn w:val="1"/>
    <w:autoRedefine/>
    <w:qFormat/>
    <w:uiPriority w:val="0"/>
    <w:pPr>
      <w:widowControl/>
      <w:pBdr>
        <w:top w:val="single" w:color="000000" w:sz="4" w:space="0"/>
        <w:left w:val="single" w:color="000000" w:sz="8"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color w:val="7030A0"/>
      <w:kern w:val="0"/>
      <w:szCs w:val="24"/>
    </w:rPr>
  </w:style>
  <w:style w:type="paragraph" w:customStyle="1" w:styleId="221">
    <w:name w:val="xl145"/>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汉仪书宋二KW" w:hAnsi="宋体" w:eastAsia="汉仪书宋二KW" w:cs="宋体"/>
      <w:color w:val="7030A0"/>
      <w:kern w:val="0"/>
      <w:szCs w:val="24"/>
    </w:rPr>
  </w:style>
  <w:style w:type="paragraph" w:customStyle="1" w:styleId="222">
    <w:name w:val="xl146"/>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宋体" w:hAnsi="宋体" w:eastAsia="宋体" w:cs="宋体"/>
      <w:kern w:val="0"/>
      <w:szCs w:val="24"/>
    </w:rPr>
  </w:style>
  <w:style w:type="paragraph" w:customStyle="1" w:styleId="223">
    <w:name w:val="xl14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B050"/>
      <w:kern w:val="0"/>
      <w:szCs w:val="24"/>
    </w:rPr>
  </w:style>
  <w:style w:type="paragraph" w:customStyle="1" w:styleId="224">
    <w:name w:val="xl14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Cs w:val="24"/>
    </w:rPr>
  </w:style>
  <w:style w:type="paragraph" w:customStyle="1" w:styleId="225">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26">
    <w:name w:val="Normal_0"/>
    <w:basedOn w:val="1"/>
    <w:autoRedefine/>
    <w:qFormat/>
    <w:uiPriority w:val="0"/>
    <w:rPr>
      <w:rFonts w:eastAsia="仿宋" w:cs="Times New Roman"/>
      <w:sz w:val="28"/>
      <w:szCs w:val="28"/>
    </w:rPr>
  </w:style>
  <w:style w:type="character" w:customStyle="1" w:styleId="227">
    <w:name w:val="15"/>
    <w:basedOn w:val="41"/>
    <w:autoRedefine/>
    <w:qFormat/>
    <w:uiPriority w:val="0"/>
    <w:rPr>
      <w:rFonts w:hint="default" w:ascii="Calibri" w:hAnsi="Calibri" w:cs="Calibri"/>
    </w:rPr>
  </w:style>
  <w:style w:type="paragraph" w:customStyle="1" w:styleId="228">
    <w:name w:val="Normal_0_0"/>
    <w:basedOn w:val="1"/>
    <w:autoRedefine/>
    <w:qFormat/>
    <w:uiPriority w:val="0"/>
    <w:rPr>
      <w:rFonts w:eastAsia="仿宋" w:cs="Times New Roman"/>
      <w:sz w:val="28"/>
      <w:szCs w:val="28"/>
    </w:rPr>
  </w:style>
  <w:style w:type="table" w:customStyle="1" w:styleId="229">
    <w:name w:val="Table Grid_0"/>
    <w:basedOn w:val="39"/>
    <w:autoRedefine/>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0">
    <w:name w:val="A-表格文字 Char"/>
    <w:link w:val="231"/>
    <w:autoRedefine/>
    <w:qFormat/>
    <w:uiPriority w:val="0"/>
    <w:rPr>
      <w:rFonts w:ascii="Times New Roman" w:hAnsi="Times New Roman" w:eastAsia="宋体" w:cs="Times New Roman"/>
      <w:kern w:val="0"/>
      <w:szCs w:val="21"/>
    </w:rPr>
  </w:style>
  <w:style w:type="paragraph" w:customStyle="1" w:styleId="231">
    <w:name w:val="A-表格文字"/>
    <w:basedOn w:val="1"/>
    <w:next w:val="1"/>
    <w:link w:val="230"/>
    <w:autoRedefine/>
    <w:qFormat/>
    <w:uiPriority w:val="0"/>
    <w:pPr>
      <w:autoSpaceDE w:val="0"/>
      <w:autoSpaceDN w:val="0"/>
      <w:adjustRightInd w:val="0"/>
      <w:snapToGrid w:val="0"/>
      <w:spacing w:line="240" w:lineRule="auto"/>
      <w:ind w:firstLine="0" w:firstLineChars="0"/>
      <w:jc w:val="center"/>
      <w:textAlignment w:val="center"/>
    </w:pPr>
    <w:rPr>
      <w:rFonts w:eastAsia="宋体" w:cs="Times New Roman"/>
      <w:kern w:val="0"/>
      <w:sz w:val="21"/>
      <w:szCs w:val="21"/>
    </w:rPr>
  </w:style>
  <w:style w:type="character" w:customStyle="1" w:styleId="232">
    <w:name w:val="条题[858D7CFB-ED40-4347-BF05-701D383B685F]2"/>
    <w:link w:val="233"/>
    <w:autoRedefine/>
    <w:qFormat/>
    <w:uiPriority w:val="0"/>
    <w:rPr>
      <w:sz w:val="24"/>
      <w:szCs w:val="24"/>
    </w:rPr>
  </w:style>
  <w:style w:type="paragraph" w:customStyle="1" w:styleId="233">
    <w:name w:val="条题"/>
    <w:basedOn w:val="1"/>
    <w:link w:val="232"/>
    <w:autoRedefine/>
    <w:qFormat/>
    <w:uiPriority w:val="0"/>
    <w:pPr>
      <w:spacing w:line="420" w:lineRule="exact"/>
      <w:ind w:right="480" w:rightChars="200" w:firstLine="0" w:firstLineChars="0"/>
    </w:pPr>
    <w:rPr>
      <w:rFonts w:asciiTheme="minorHAnsi" w:hAnsiTheme="minorHAnsi"/>
      <w:szCs w:val="24"/>
    </w:rPr>
  </w:style>
  <w:style w:type="paragraph" w:customStyle="1" w:styleId="234">
    <w:name w:val="KK表图标题"/>
    <w:autoRedefine/>
    <w:qFormat/>
    <w:uiPriority w:val="0"/>
    <w:pPr>
      <w:spacing w:beforeLines="50" w:afterLines="50"/>
      <w:jc w:val="center"/>
    </w:pPr>
    <w:rPr>
      <w:rFonts w:ascii="Times New Roman" w:hAnsi="Times New Roman" w:eastAsia="宋体" w:cs="Times New Roman"/>
      <w:b/>
      <w:sz w:val="21"/>
      <w:szCs w:val="24"/>
      <w:lang w:val="en-US" w:eastAsia="zh-CN" w:bidi="ar-SA"/>
    </w:rPr>
  </w:style>
  <w:style w:type="paragraph" w:customStyle="1" w:styleId="235">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character" w:customStyle="1" w:styleId="236">
    <w:name w:val="正文文本缩进 2 字符"/>
    <w:basedOn w:val="41"/>
    <w:link w:val="22"/>
    <w:autoRedefine/>
    <w:qFormat/>
    <w:uiPriority w:val="99"/>
    <w:rPr>
      <w:rFonts w:ascii="Times New Roman" w:hAnsi="Times New Roman" w:eastAsia="宋体" w:cs="Times New Roman"/>
      <w:sz w:val="24"/>
    </w:rPr>
  </w:style>
  <w:style w:type="paragraph" w:customStyle="1" w:styleId="237">
    <w:name w:val="正文2"/>
    <w:basedOn w:val="1"/>
    <w:next w:val="1"/>
    <w:autoRedefine/>
    <w:qFormat/>
    <w:uiPriority w:val="0"/>
    <w:rPr>
      <w:rFonts w:ascii="仿宋_GB2312"/>
      <w:szCs w:val="20"/>
    </w:rPr>
  </w:style>
  <w:style w:type="paragraph" w:customStyle="1" w:styleId="238">
    <w:name w:val="表头"/>
    <w:basedOn w:val="1"/>
    <w:link w:val="239"/>
    <w:autoRedefine/>
    <w:qFormat/>
    <w:uiPriority w:val="0"/>
    <w:pPr>
      <w:widowControl/>
      <w:ind w:firstLine="1040"/>
      <w:jc w:val="center"/>
    </w:pPr>
    <w:rPr>
      <w:rFonts w:eastAsia="宋体" w:cs="Times New Roman"/>
      <w:b/>
      <w:szCs w:val="24"/>
      <w14:ligatures w14:val="standardContextual"/>
    </w:rPr>
  </w:style>
  <w:style w:type="character" w:customStyle="1" w:styleId="239">
    <w:name w:val="表头 字符"/>
    <w:basedOn w:val="41"/>
    <w:link w:val="238"/>
    <w:autoRedefine/>
    <w:qFormat/>
    <w:uiPriority w:val="0"/>
    <w:rPr>
      <w:rFonts w:ascii="Times New Roman" w:hAnsi="Times New Roman" w:eastAsia="宋体" w:cs="Times New Roman"/>
      <w:b/>
      <w:sz w:val="24"/>
      <w:szCs w:val="24"/>
      <w14:ligatures w14:val="standardContextual"/>
    </w:rPr>
  </w:style>
  <w:style w:type="character" w:customStyle="1" w:styleId="240">
    <w:name w:val="标题 字符"/>
    <w:basedOn w:val="41"/>
    <w:link w:val="35"/>
    <w:autoRedefine/>
    <w:qFormat/>
    <w:uiPriority w:val="0"/>
    <w:rPr>
      <w:rFonts w:asciiTheme="majorHAnsi" w:hAnsiTheme="majorHAnsi" w:eastAsiaTheme="majorEastAsia" w:cstheme="majorBidi"/>
      <w:b/>
      <w:bCs/>
      <w:sz w:val="32"/>
      <w:szCs w:val="32"/>
      <w14:ligatures w14:val="standardContextual"/>
    </w:rPr>
  </w:style>
  <w:style w:type="character" w:customStyle="1" w:styleId="241">
    <w:name w:val="NormalCharacter"/>
    <w:autoRedefine/>
    <w:qFormat/>
    <w:uiPriority w:val="0"/>
    <w:rPr>
      <w:rFonts w:ascii="Times New Roman" w:hAnsi="Times New Roman" w:eastAsia="宋体" w:cstheme="minorBidi"/>
      <w:kern w:val="2"/>
      <w:sz w:val="24"/>
      <w:szCs w:val="24"/>
      <w:lang w:val="en-US" w:eastAsia="zh-CN" w:bidi="ar-SA"/>
    </w:rPr>
  </w:style>
  <w:style w:type="paragraph" w:customStyle="1" w:styleId="242">
    <w:name w:val="表格"/>
    <w:basedOn w:val="16"/>
    <w:next w:val="1"/>
    <w:link w:val="250"/>
    <w:autoRedefine/>
    <w:qFormat/>
    <w:uiPriority w:val="0"/>
    <w:pPr>
      <w:ind w:firstLine="0" w:firstLineChars="0"/>
      <w:jc w:val="center"/>
    </w:pPr>
    <w:rPr>
      <w:rFonts w:eastAsia="宋体" w:cs="Times New Roman"/>
      <w:sz w:val="21"/>
      <w14:ligatures w14:val="standardContextual"/>
    </w:rPr>
  </w:style>
  <w:style w:type="character" w:customStyle="1" w:styleId="243">
    <w:name w:val="正文文本首行缩进 2 字符"/>
    <w:basedOn w:val="65"/>
    <w:link w:val="38"/>
    <w:autoRedefine/>
    <w:qFormat/>
    <w:uiPriority w:val="0"/>
    <w:rPr>
      <w:rFonts w:ascii="Times New Roman" w:hAnsi="Times New Roman" w:eastAsia="宋体" w:cs="Times New Roman"/>
      <w:sz w:val="24"/>
      <w:szCs w:val="24"/>
      <w14:ligatures w14:val="standardContextual"/>
    </w:rPr>
  </w:style>
  <w:style w:type="paragraph" w:customStyle="1" w:styleId="244">
    <w:name w:val="xl65"/>
    <w:basedOn w:val="1"/>
    <w:autoRedefine/>
    <w:qFormat/>
    <w:uiPriority w:val="0"/>
    <w:pPr>
      <w:widowControl/>
      <w:spacing w:before="100" w:beforeAutospacing="1" w:after="100" w:afterAutospacing="1" w:line="240" w:lineRule="auto"/>
      <w:ind w:firstLine="0" w:firstLineChars="0"/>
      <w:jc w:val="left"/>
    </w:pPr>
    <w:rPr>
      <w:rFonts w:eastAsia="宋体" w:cs="Times New Roman"/>
      <w:kern w:val="0"/>
      <w:szCs w:val="24"/>
      <w14:ligatures w14:val="standardContextual"/>
    </w:rPr>
  </w:style>
  <w:style w:type="table" w:customStyle="1" w:styleId="245">
    <w:name w:val="灰度表格121"/>
    <w:basedOn w:val="39"/>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6">
    <w:name w:val="列表段落 字符1"/>
    <w:autoRedefine/>
    <w:qFormat/>
    <w:uiPriority w:val="34"/>
    <w:rPr>
      <w:rFonts w:ascii="Times New Roman" w:hAnsi="Times New Roman"/>
      <w:sz w:val="24"/>
    </w:rPr>
  </w:style>
  <w:style w:type="character" w:customStyle="1" w:styleId="247">
    <w:name w:val="未处理的提及11"/>
    <w:basedOn w:val="41"/>
    <w:autoRedefine/>
    <w:semiHidden/>
    <w:unhideWhenUsed/>
    <w:qFormat/>
    <w:uiPriority w:val="99"/>
    <w:rPr>
      <w:color w:val="605E5C"/>
      <w:shd w:val="clear" w:color="auto" w:fill="E1DFDD"/>
    </w:rPr>
  </w:style>
  <w:style w:type="paragraph" w:customStyle="1" w:styleId="248">
    <w:name w:val="X-题注"/>
    <w:basedOn w:val="1"/>
    <w:autoRedefine/>
    <w:qFormat/>
    <w:uiPriority w:val="0"/>
    <w:pPr>
      <w:ind w:firstLine="0" w:firstLineChars="0"/>
      <w:jc w:val="center"/>
    </w:pPr>
    <w:rPr>
      <w:b/>
      <w:sz w:val="21"/>
    </w:rPr>
  </w:style>
  <w:style w:type="character" w:customStyle="1" w:styleId="249">
    <w:name w:val="列出段落 字符"/>
    <w:autoRedefine/>
    <w:qFormat/>
    <w:uiPriority w:val="0"/>
    <w:rPr>
      <w:rFonts w:ascii="Times New Roman" w:hAnsi="Times New Roman" w:eastAsia="黑体" w:cs="Times New Roman"/>
      <w:color w:val="000000"/>
      <w:sz w:val="21"/>
      <w:szCs w:val="21"/>
    </w:rPr>
  </w:style>
  <w:style w:type="character" w:customStyle="1" w:styleId="250">
    <w:name w:val="表格 Char"/>
    <w:link w:val="242"/>
    <w:autoRedefine/>
    <w:qFormat/>
    <w:locked/>
    <w:uiPriority w:val="99"/>
    <w:rPr>
      <w:rFonts w:ascii="Times New Roman" w:hAnsi="Times New Roman" w:eastAsia="宋体" w:cs="Times New Roman"/>
      <w:kern w:val="2"/>
      <w:sz w:val="21"/>
      <w:szCs w:val="22"/>
      <w14:ligatures w14:val="standardContextual"/>
    </w:rPr>
  </w:style>
  <w:style w:type="character" w:customStyle="1" w:styleId="251">
    <w:name w:val="普通(网站) 字符"/>
    <w:basedOn w:val="41"/>
    <w:link w:val="34"/>
    <w:autoRedefine/>
    <w:qFormat/>
    <w:uiPriority w:val="0"/>
    <w:rPr>
      <w:rFonts w:ascii="宋体" w:hAnsi="宋体" w:eastAsia="宋体" w:cs="宋体"/>
      <w:kern w:val="2"/>
      <w:sz w:val="24"/>
      <w:szCs w:val="24"/>
    </w:rPr>
  </w:style>
  <w:style w:type="paragraph" w:customStyle="1" w:styleId="252">
    <w:name w:val="图片标题"/>
    <w:basedOn w:val="63"/>
    <w:link w:val="253"/>
    <w:autoRedefine/>
    <w:qFormat/>
    <w:uiPriority w:val="0"/>
    <w:pPr>
      <w:spacing w:line="240" w:lineRule="auto"/>
      <w:ind w:firstLine="0" w:firstLineChars="0"/>
      <w:jc w:val="center"/>
      <w:textAlignment w:val="center"/>
    </w:pPr>
    <w:rPr>
      <w:rFonts w:eastAsia="黑体" w:cs="Times New Roman"/>
      <w:color w:val="000000"/>
    </w:rPr>
  </w:style>
  <w:style w:type="character" w:customStyle="1" w:styleId="253">
    <w:name w:val="图片标题 字符"/>
    <w:basedOn w:val="96"/>
    <w:link w:val="252"/>
    <w:autoRedefine/>
    <w:qFormat/>
    <w:uiPriority w:val="0"/>
    <w:rPr>
      <w:rFonts w:ascii="Times New Roman" w:hAnsi="Times New Roman" w:eastAsia="黑体" w:cs="Times New Roman"/>
      <w:color w:val="000000"/>
      <w:kern w:val="2"/>
      <w:sz w:val="24"/>
      <w:szCs w:val="22"/>
    </w:rPr>
  </w:style>
  <w:style w:type="paragraph" w:customStyle="1" w:styleId="254">
    <w:name w:val="p0"/>
    <w:basedOn w:val="1"/>
    <w:autoRedefine/>
    <w:qFormat/>
    <w:uiPriority w:val="0"/>
    <w:pPr>
      <w:widowControl/>
      <w:ind w:firstLine="420" w:firstLineChars="0"/>
    </w:pPr>
    <w:rPr>
      <w:rFonts w:eastAsia="宋体" w:cs="Times New Roman"/>
      <w:sz w:val="21"/>
      <w:szCs w:val="18"/>
    </w:rPr>
  </w:style>
  <w:style w:type="character" w:customStyle="1" w:styleId="255">
    <w:name w:val="Unresolved Mention"/>
    <w:basedOn w:val="41"/>
    <w:autoRedefine/>
    <w:semiHidden/>
    <w:unhideWhenUsed/>
    <w:qFormat/>
    <w:uiPriority w:val="99"/>
    <w:rPr>
      <w:color w:val="605E5C"/>
      <w:shd w:val="clear" w:color="auto" w:fill="E1DFDD"/>
    </w:rPr>
  </w:style>
  <w:style w:type="paragraph" w:customStyle="1" w:styleId="256">
    <w:name w:val="KK正文"/>
    <w:basedOn w:val="34"/>
    <w:autoRedefine/>
    <w:qFormat/>
    <w:uiPriority w:val="0"/>
    <w:pPr>
      <w:widowControl/>
      <w:spacing w:before="0" w:beforeAutospacing="0" w:after="0" w:afterAutospacing="0" w:line="360" w:lineRule="exact"/>
      <w:ind w:firstLine="200" w:firstLineChars="200"/>
      <w:jc w:val="both"/>
    </w:pPr>
    <w:rPr>
      <w:rFonts w:ascii="Times New Roman" w:hAnsi="Times New Roman" w:cs="Times New Roman"/>
      <w:kern w:val="0"/>
    </w:rPr>
  </w:style>
  <w:style w:type="paragraph" w:customStyle="1" w:styleId="257">
    <w:name w:val="纯文本1"/>
    <w:basedOn w:val="1"/>
    <w:autoRedefine/>
    <w:qFormat/>
    <w:uiPriority w:val="0"/>
    <w:pPr>
      <w:ind w:firstLine="0" w:firstLineChars="0"/>
    </w:pPr>
    <w:rPr>
      <w:rFonts w:ascii="宋体" w:hAnsi="Courier New" w:eastAsia="宋体" w:cs="Times New Roman"/>
      <w:kern w:val="4"/>
      <w:sz w:val="20"/>
      <w:szCs w:val="21"/>
    </w:rPr>
  </w:style>
  <w:style w:type="paragraph" w:customStyle="1" w:styleId="258">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9">
    <w:name w:val="样式 表中文字 + 两端对齐"/>
    <w:basedOn w:val="260"/>
    <w:autoRedefine/>
    <w:qFormat/>
    <w:uiPriority w:val="0"/>
    <w:pPr>
      <w:tabs>
        <w:tab w:val="left" w:pos="3286"/>
        <w:tab w:val="left" w:pos="8362"/>
      </w:tabs>
      <w:spacing w:line="320" w:lineRule="exact"/>
      <w:jc w:val="both"/>
    </w:pPr>
    <w:rPr>
      <w:rFonts w:cs="宋体"/>
    </w:rPr>
  </w:style>
  <w:style w:type="paragraph" w:customStyle="1" w:styleId="260">
    <w:name w:val="表中文字"/>
    <w:basedOn w:val="1"/>
    <w:autoRedefine/>
    <w:qFormat/>
    <w:uiPriority w:val="0"/>
    <w:pPr>
      <w:tabs>
        <w:tab w:val="left" w:pos="3286"/>
        <w:tab w:val="left" w:pos="8362"/>
      </w:tabs>
      <w:snapToGrid w:val="0"/>
      <w:spacing w:line="340" w:lineRule="exact"/>
      <w:ind w:firstLine="0" w:firstLineChars="0"/>
      <w:jc w:val="center"/>
    </w:pPr>
    <w:rPr>
      <w:rFonts w:ascii="Arial" w:hAnsi="Arial" w:eastAsia="楷体_GB2312" w:cs="Times New Roman"/>
      <w:sz w:val="21"/>
      <w:szCs w:val="21"/>
      <w:shd w:val="clear" w:color="auto" w:fill="FFFFFF"/>
    </w:rPr>
  </w:style>
  <w:style w:type="paragraph" w:customStyle="1" w:styleId="261">
    <w:name w:val="_Style 4"/>
    <w:basedOn w:val="1"/>
    <w:autoRedefine/>
    <w:qFormat/>
    <w:uiPriority w:val="0"/>
    <w:pPr>
      <w:spacing w:line="240" w:lineRule="auto"/>
      <w:ind w:firstLine="0" w:firstLineChars="0"/>
      <w:jc w:val="center"/>
    </w:pPr>
    <w:rPr>
      <w:rFonts w:eastAsia="宋体" w:cs="Times New Roman"/>
      <w:sz w:val="21"/>
      <w:szCs w:val="24"/>
    </w:rPr>
  </w:style>
  <w:style w:type="character" w:customStyle="1" w:styleId="262">
    <w:name w:val="fontstyle21"/>
    <w:autoRedefine/>
    <w:qFormat/>
    <w:uiPriority w:val="0"/>
    <w:rPr>
      <w:rFonts w:hint="default" w:ascii="Times New Roman" w:hAnsi="Times New Roman" w:cs="Times New Roman"/>
      <w:color w:val="000000"/>
      <w:sz w:val="28"/>
      <w:szCs w:val="28"/>
    </w:rPr>
  </w:style>
  <w:style w:type="paragraph" w:customStyle="1" w:styleId="263">
    <w:name w:val="一级条标题"/>
    <w:basedOn w:val="2"/>
    <w:next w:val="1"/>
    <w:autoRedefine/>
    <w:qFormat/>
    <w:uiPriority w:val="0"/>
    <w:pPr>
      <w:keepNext w:val="0"/>
      <w:keepLines w:val="0"/>
      <w:widowControl/>
      <w:numPr>
        <w:numId w:val="0"/>
      </w:numPr>
      <w:tabs>
        <w:tab w:val="left" w:pos="360"/>
        <w:tab w:val="left" w:pos="900"/>
      </w:tabs>
      <w:spacing w:before="0" w:beforeLines="0" w:after="0" w:afterLines="0" w:line="240" w:lineRule="auto"/>
      <w:ind w:left="900" w:hanging="720"/>
      <w:contextualSpacing/>
      <w:jc w:val="both"/>
      <w:outlineLvl w:val="2"/>
    </w:pPr>
    <w:rPr>
      <w:rFonts w:ascii="黑体" w:cs="Times New Roman"/>
      <w:bCs w:val="0"/>
      <w:kern w:val="0"/>
      <w:sz w:val="21"/>
      <w:szCs w:val="20"/>
    </w:rPr>
  </w:style>
  <w:style w:type="paragraph" w:customStyle="1" w:styleId="264">
    <w:name w:val="表"/>
    <w:basedOn w:val="1"/>
    <w:autoRedefine/>
    <w:qFormat/>
    <w:uiPriority w:val="0"/>
    <w:pPr>
      <w:spacing w:line="320" w:lineRule="atLeast"/>
      <w:ind w:firstLine="0" w:firstLineChars="0"/>
      <w:jc w:val="center"/>
    </w:pPr>
    <w:rPr>
      <w:rFonts w:eastAsia="宋体" w:cs="Times New Roman"/>
      <w:sz w:val="21"/>
      <w:szCs w:val="20"/>
    </w:rPr>
  </w:style>
  <w:style w:type="paragraph" w:customStyle="1" w:styleId="265">
    <w:name w:val="样式 左侧:  1.11 厘米"/>
    <w:basedOn w:val="1"/>
    <w:autoRedefine/>
    <w:qFormat/>
    <w:uiPriority w:val="0"/>
    <w:pPr>
      <w:tabs>
        <w:tab w:val="left" w:pos="0"/>
      </w:tabs>
      <w:ind w:left="629"/>
    </w:pPr>
    <w:rPr>
      <w:rFonts w:eastAsia="宋体" w:cs="宋体"/>
      <w:szCs w:val="20"/>
    </w:rPr>
  </w:style>
  <w:style w:type="paragraph" w:customStyle="1" w:styleId="266">
    <w:name w:val="（lxp）正文"/>
    <w:basedOn w:val="1"/>
    <w:autoRedefine/>
    <w:qFormat/>
    <w:uiPriority w:val="0"/>
    <w:pPr>
      <w:adjustRightInd w:val="0"/>
      <w:snapToGrid w:val="0"/>
      <w:ind w:firstLine="480"/>
    </w:pPr>
    <w:rPr>
      <w:rFonts w:hAnsi="宋体" w:eastAsia="Times New Roman" w:cs="Times New Roman"/>
      <w:szCs w:val="24"/>
    </w:rPr>
  </w:style>
  <w:style w:type="paragraph" w:customStyle="1" w:styleId="267">
    <w:name w:val="Revision"/>
    <w:autoRedefine/>
    <w:hidden/>
    <w:unhideWhenUsed/>
    <w:qFormat/>
    <w:uiPriority w:val="99"/>
    <w:rPr>
      <w:rFonts w:ascii="Times New Roman" w:hAnsi="Times New Roman" w:eastAsiaTheme="minorEastAsia" w:cstheme="minorBidi"/>
      <w:kern w:val="2"/>
      <w:sz w:val="24"/>
      <w:szCs w:val="22"/>
      <w:lang w:val="en-US" w:eastAsia="zh-CN" w:bidi="ar-SA"/>
    </w:rPr>
  </w:style>
  <w:style w:type="paragraph" w:customStyle="1" w:styleId="268">
    <w:name w:val="lwx表内文字"/>
    <w:basedOn w:val="100"/>
    <w:autoRedefine/>
    <w:qFormat/>
    <w:uiPriority w:val="0"/>
    <w:pPr>
      <w:spacing w:before="0" w:beforeLines="0"/>
    </w:pPr>
    <w:rPr>
      <w:rFonts w:eastAsiaTheme="minorEastAsia"/>
      <w:b w:val="0"/>
      <w:szCs w:val="21"/>
    </w:rPr>
  </w:style>
  <w:style w:type="paragraph" w:customStyle="1" w:styleId="269">
    <w:name w:val="【表头】"/>
    <w:basedOn w:val="13"/>
    <w:link w:val="270"/>
    <w:autoRedefine/>
    <w:qFormat/>
    <w:uiPriority w:val="0"/>
    <w:pPr>
      <w:spacing w:line="240" w:lineRule="auto"/>
    </w:pPr>
    <w:rPr>
      <w:rFonts w:eastAsia="宋体" w:cs="Times New Roman"/>
      <w:b/>
      <w:szCs w:val="24"/>
    </w:rPr>
  </w:style>
  <w:style w:type="character" w:customStyle="1" w:styleId="270">
    <w:name w:val="【表头】 字符"/>
    <w:link w:val="269"/>
    <w:autoRedefine/>
    <w:qFormat/>
    <w:uiPriority w:val="0"/>
    <w:rPr>
      <w:rFonts w:ascii="Times New Roman" w:hAnsi="Times New Roman" w:eastAsia="宋体" w:cs="Times New Roman"/>
      <w:b/>
      <w:kern w:val="2"/>
      <w:sz w:val="21"/>
      <w:szCs w:val="24"/>
    </w:rPr>
  </w:style>
  <w:style w:type="character" w:customStyle="1" w:styleId="271">
    <w:name w:val="题注 字符1"/>
    <w:autoRedefine/>
    <w:qFormat/>
    <w:uiPriority w:val="99"/>
    <w:rPr>
      <w:rFonts w:ascii="Times New Roman" w:hAnsi="Times New Roman" w:eastAsia="黑体" w:cstheme="majorBidi"/>
      <w:kern w:val="2"/>
      <w:sz w:val="21"/>
    </w:rPr>
  </w:style>
  <w:style w:type="character" w:customStyle="1" w:styleId="272">
    <w:name w:val="未处理的提及2"/>
    <w:basedOn w:val="41"/>
    <w:autoRedefine/>
    <w:semiHidden/>
    <w:unhideWhenUsed/>
    <w:qFormat/>
    <w:uiPriority w:val="99"/>
    <w:rPr>
      <w:color w:val="605E5C"/>
      <w:shd w:val="clear" w:color="auto" w:fill="E1DFDD"/>
    </w:rPr>
  </w:style>
  <w:style w:type="paragraph" w:customStyle="1" w:styleId="273">
    <w:name w:val="表格内容"/>
    <w:autoRedefine/>
    <w:qFormat/>
    <w:uiPriority w:val="0"/>
    <w:pPr>
      <w:widowControl w:val="0"/>
      <w:adjustRightInd w:val="0"/>
      <w:spacing w:beforeLines="50" w:afterLines="50" w:line="240" w:lineRule="auto"/>
      <w:ind w:firstLine="0" w:firstLineChars="0"/>
      <w:jc w:val="center"/>
      <w:textAlignment w:val="baseline"/>
    </w:pPr>
    <w:rPr>
      <w:rFonts w:ascii="黑体" w:hAnsi="宋体" w:eastAsia="黑体" w:cs="Times New Roman"/>
      <w:snapToGrid w:val="0"/>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10.png"/><Relationship Id="rId61" Type="http://schemas.openxmlformats.org/officeDocument/2006/relationships/image" Target="media/image9.png"/><Relationship Id="rId60" Type="http://schemas.openxmlformats.org/officeDocument/2006/relationships/image" Target="media/image8.png"/><Relationship Id="rId6" Type="http://schemas.openxmlformats.org/officeDocument/2006/relationships/header" Target="header2.xml"/><Relationship Id="rId59" Type="http://schemas.openxmlformats.org/officeDocument/2006/relationships/image" Target="media/image7.png"/><Relationship Id="rId58" Type="http://schemas.openxmlformats.org/officeDocument/2006/relationships/image" Target="media/image6.png"/><Relationship Id="rId57" Type="http://schemas.openxmlformats.org/officeDocument/2006/relationships/image" Target="media/image5.png"/><Relationship Id="rId56" Type="http://schemas.openxmlformats.org/officeDocument/2006/relationships/chart" Target="charts/chart18.xml"/><Relationship Id="rId55" Type="http://schemas.openxmlformats.org/officeDocument/2006/relationships/chart" Target="charts/chart17.xml"/><Relationship Id="rId54" Type="http://schemas.openxmlformats.org/officeDocument/2006/relationships/chart" Target="charts/chart16.xml"/><Relationship Id="rId53" Type="http://schemas.openxmlformats.org/officeDocument/2006/relationships/chart" Target="charts/chart15.xml"/><Relationship Id="rId52" Type="http://schemas.openxmlformats.org/officeDocument/2006/relationships/chart" Target="charts/chart14.xml"/><Relationship Id="rId51" Type="http://schemas.openxmlformats.org/officeDocument/2006/relationships/chart" Target="charts/chart13.xml"/><Relationship Id="rId50" Type="http://schemas.openxmlformats.org/officeDocument/2006/relationships/chart" Target="charts/chart12.xml"/><Relationship Id="rId5" Type="http://schemas.openxmlformats.org/officeDocument/2006/relationships/header" Target="header1.xml"/><Relationship Id="rId49" Type="http://schemas.openxmlformats.org/officeDocument/2006/relationships/chart" Target="charts/chart11.xml"/><Relationship Id="rId48" Type="http://schemas.openxmlformats.org/officeDocument/2006/relationships/chart" Target="charts/chart10.xml"/><Relationship Id="rId47" Type="http://schemas.openxmlformats.org/officeDocument/2006/relationships/chart" Target="charts/chart9.xml"/><Relationship Id="rId46" Type="http://schemas.openxmlformats.org/officeDocument/2006/relationships/chart" Target="charts/chart8.xml"/><Relationship Id="rId45" Type="http://schemas.openxmlformats.org/officeDocument/2006/relationships/chart" Target="charts/chart7.xml"/><Relationship Id="rId44" Type="http://schemas.openxmlformats.org/officeDocument/2006/relationships/chart" Target="charts/chart6.xml"/><Relationship Id="rId43" Type="http://schemas.openxmlformats.org/officeDocument/2006/relationships/chart" Target="charts/chart5.xml"/><Relationship Id="rId42" Type="http://schemas.openxmlformats.org/officeDocument/2006/relationships/chart" Target="charts/chart4.xml"/><Relationship Id="rId41" Type="http://schemas.openxmlformats.org/officeDocument/2006/relationships/chart" Target="charts/chart3.xml"/><Relationship Id="rId40" Type="http://schemas.openxmlformats.org/officeDocument/2006/relationships/chart" Target="charts/chart2.xml"/><Relationship Id="rId4" Type="http://schemas.openxmlformats.org/officeDocument/2006/relationships/endnotes" Target="endnotes.xml"/><Relationship Id="rId39" Type="http://schemas.openxmlformats.org/officeDocument/2006/relationships/chart" Target="charts/chart1.xml"/><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emf"/><Relationship Id="rId35" Type="http://schemas.openxmlformats.org/officeDocument/2006/relationships/oleObject" Target="embeddings/Microsoft_Visio_2003-2010___1.vsd"/><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15.xml"/><Relationship Id="rId31" Type="http://schemas.openxmlformats.org/officeDocument/2006/relationships/footer" Target="foot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6.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5.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themeOverride" Target="../theme/themeOverride13.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18.xml"/><Relationship Id="rId3" Type="http://schemas.microsoft.com/office/2011/relationships/chartStyle" Target="style18.xml"/><Relationship Id="rId2" Type="http://schemas.openxmlformats.org/officeDocument/2006/relationships/themeOverride" Target="../theme/themeOverride18.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13.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themeOverride" Target="../theme/themeOverride11.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14.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themeOverride" Target="../theme/themeOverride16.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15.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16.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17.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18.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4.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15.xml"/><Relationship Id="rId3" Type="http://schemas.microsoft.com/office/2011/relationships/chartStyle" Target="style15.xml"/><Relationship Id="rId2" Type="http://schemas.openxmlformats.org/officeDocument/2006/relationships/themeOverride" Target="../theme/themeOverride15.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themeOverride" Target="../theme/themeOverride7.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themeOverride" Target="../theme/themeOverride8.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themeOverride" Target="../theme/themeOverride12.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14.xml"/><Relationship Id="rId3" Type="http://schemas.microsoft.com/office/2011/relationships/chartStyle" Target="style14.xml"/><Relationship Id="rId2" Type="http://schemas.openxmlformats.org/officeDocument/2006/relationships/themeOverride" Target="../theme/themeOverride14.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17.xml"/><Relationship Id="rId3" Type="http://schemas.microsoft.com/office/2011/relationships/chartStyle" Target="style17.xml"/><Relationship Id="rId2" Type="http://schemas.openxmlformats.org/officeDocument/2006/relationships/themeOverride" Target="../theme/themeOverride17.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themeOverride" Target="../theme/themeOverride9.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themeOverride" Target="../theme/themeOverride10.xml"/><Relationship Id="rId1" Type="http://schemas.openxmlformats.org/officeDocument/2006/relationships/oleObject" Target="file:///E:\02&#36827;&#34892;&#20013;\04&#33485;&#28330;&#30334;&#21033;\&#30417;&#27979;&#25253;&#21578;\&#29615;&#22659;&#36136;&#37327;&#25253;&#21578;&#20070;\&#20363;&#34892;&#30417;&#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大气!$I$4</c:f>
              <c:strCache>
                <c:ptCount val="1"/>
                <c:pt idx="0">
                  <c:v>2019年</c:v>
                </c:pt>
              </c:strCache>
            </c:strRef>
          </c:tx>
          <c:spPr>
            <a:solidFill>
              <a:srgbClr val="4F81BD"/>
            </a:solidFill>
            <a:ln>
              <a:noFill/>
            </a:ln>
            <a:effectLst/>
          </c:spPr>
          <c:invertIfNegative val="0"/>
          <c:dLbls>
            <c:delete val="1"/>
          </c:dLbls>
          <c:cat>
            <c:strRef>
              <c:f>(大气!$F$5:$F$8,大气!$F$10)</c:f>
              <c:strCache>
                <c:ptCount val="5"/>
                <c:pt idx="0">
                  <c:v>SO2</c:v>
                </c:pt>
                <c:pt idx="1">
                  <c:v>NO2</c:v>
                </c:pt>
                <c:pt idx="2">
                  <c:v>PM10</c:v>
                </c:pt>
                <c:pt idx="3">
                  <c:v>PM2.5</c:v>
                </c:pt>
                <c:pt idx="4">
                  <c:v>O3</c:v>
                </c:pt>
              </c:strCache>
            </c:strRef>
          </c:cat>
          <c:val>
            <c:numRef>
              <c:f>(大气!$I$5:$I$8,大气!$I$10)</c:f>
              <c:numCache>
                <c:formatCode>General</c:formatCode>
                <c:ptCount val="5"/>
                <c:pt idx="0">
                  <c:v>4.4</c:v>
                </c:pt>
                <c:pt idx="1">
                  <c:v>14.3</c:v>
                </c:pt>
                <c:pt idx="2">
                  <c:v>47.4</c:v>
                </c:pt>
                <c:pt idx="3">
                  <c:v>36</c:v>
                </c:pt>
                <c:pt idx="4">
                  <c:v>119</c:v>
                </c:pt>
              </c:numCache>
            </c:numRef>
          </c:val>
        </c:ser>
        <c:ser>
          <c:idx val="1"/>
          <c:order val="1"/>
          <c:tx>
            <c:strRef>
              <c:f>大气!$J$4</c:f>
              <c:strCache>
                <c:ptCount val="1"/>
                <c:pt idx="0">
                  <c:v>2020年</c:v>
                </c:pt>
              </c:strCache>
            </c:strRef>
          </c:tx>
          <c:spPr>
            <a:solidFill>
              <a:srgbClr val="C0504D"/>
            </a:solidFill>
            <a:ln>
              <a:noFill/>
            </a:ln>
            <a:effectLst/>
          </c:spPr>
          <c:invertIfNegative val="0"/>
          <c:dLbls>
            <c:delete val="1"/>
          </c:dLbls>
          <c:cat>
            <c:strRef>
              <c:f>(大气!$F$5:$F$8,大气!$F$10)</c:f>
              <c:strCache>
                <c:ptCount val="5"/>
                <c:pt idx="0">
                  <c:v>SO2</c:v>
                </c:pt>
                <c:pt idx="1">
                  <c:v>NO2</c:v>
                </c:pt>
                <c:pt idx="2">
                  <c:v>PM10</c:v>
                </c:pt>
                <c:pt idx="3">
                  <c:v>PM2.5</c:v>
                </c:pt>
                <c:pt idx="4">
                  <c:v>O3</c:v>
                </c:pt>
              </c:strCache>
            </c:strRef>
          </c:cat>
          <c:val>
            <c:numRef>
              <c:f>(大气!$J$5:$J$8,大气!$J$10)</c:f>
              <c:numCache>
                <c:formatCode>General</c:formatCode>
                <c:ptCount val="5"/>
                <c:pt idx="0">
                  <c:v>3.9</c:v>
                </c:pt>
                <c:pt idx="1">
                  <c:v>13.3</c:v>
                </c:pt>
                <c:pt idx="2">
                  <c:v>43.4</c:v>
                </c:pt>
                <c:pt idx="3">
                  <c:v>32.7</c:v>
                </c:pt>
                <c:pt idx="4">
                  <c:v>124</c:v>
                </c:pt>
              </c:numCache>
            </c:numRef>
          </c:val>
        </c:ser>
        <c:ser>
          <c:idx val="2"/>
          <c:order val="2"/>
          <c:tx>
            <c:strRef>
              <c:f>大气!$K$4</c:f>
              <c:strCache>
                <c:ptCount val="1"/>
                <c:pt idx="0">
                  <c:v>2021年</c:v>
                </c:pt>
              </c:strCache>
            </c:strRef>
          </c:tx>
          <c:spPr>
            <a:solidFill>
              <a:srgbClr val="9BBB59"/>
            </a:solidFill>
            <a:ln>
              <a:noFill/>
            </a:ln>
            <a:effectLst/>
          </c:spPr>
          <c:invertIfNegative val="0"/>
          <c:dLbls>
            <c:delete val="1"/>
          </c:dLbls>
          <c:cat>
            <c:strRef>
              <c:f>(大气!$F$5:$F$8,大气!$F$10)</c:f>
              <c:strCache>
                <c:ptCount val="5"/>
                <c:pt idx="0">
                  <c:v>SO2</c:v>
                </c:pt>
                <c:pt idx="1">
                  <c:v>NO2</c:v>
                </c:pt>
                <c:pt idx="2">
                  <c:v>PM10</c:v>
                </c:pt>
                <c:pt idx="3">
                  <c:v>PM2.5</c:v>
                </c:pt>
                <c:pt idx="4">
                  <c:v>O3</c:v>
                </c:pt>
              </c:strCache>
            </c:strRef>
          </c:cat>
          <c:val>
            <c:numRef>
              <c:f>(大气!$K$5:$K$8,大气!$K$10)</c:f>
              <c:numCache>
                <c:formatCode>General</c:formatCode>
                <c:ptCount val="5"/>
                <c:pt idx="0">
                  <c:v>4.5</c:v>
                </c:pt>
                <c:pt idx="1">
                  <c:v>13.6</c:v>
                </c:pt>
                <c:pt idx="2">
                  <c:v>41.8</c:v>
                </c:pt>
                <c:pt idx="3">
                  <c:v>31.9</c:v>
                </c:pt>
                <c:pt idx="4">
                  <c:v>113.6</c:v>
                </c:pt>
              </c:numCache>
            </c:numRef>
          </c:val>
        </c:ser>
        <c:ser>
          <c:idx val="3"/>
          <c:order val="3"/>
          <c:tx>
            <c:strRef>
              <c:f>大气!$L$4</c:f>
              <c:strCache>
                <c:ptCount val="1"/>
                <c:pt idx="0">
                  <c:v>2022年</c:v>
                </c:pt>
              </c:strCache>
            </c:strRef>
          </c:tx>
          <c:spPr>
            <a:solidFill>
              <a:srgbClr val="8064A2"/>
            </a:solidFill>
            <a:ln>
              <a:noFill/>
            </a:ln>
            <a:effectLst/>
          </c:spPr>
          <c:invertIfNegative val="0"/>
          <c:dLbls>
            <c:delete val="1"/>
          </c:dLbls>
          <c:cat>
            <c:strRef>
              <c:f>(大气!$F$5:$F$8,大气!$F$10)</c:f>
              <c:strCache>
                <c:ptCount val="5"/>
                <c:pt idx="0">
                  <c:v>SO2</c:v>
                </c:pt>
                <c:pt idx="1">
                  <c:v>NO2</c:v>
                </c:pt>
                <c:pt idx="2">
                  <c:v>PM10</c:v>
                </c:pt>
                <c:pt idx="3">
                  <c:v>PM2.5</c:v>
                </c:pt>
                <c:pt idx="4">
                  <c:v>O3</c:v>
                </c:pt>
              </c:strCache>
            </c:strRef>
          </c:cat>
          <c:val>
            <c:numRef>
              <c:f>(大气!$L$5:$L$8,大气!$L$10)</c:f>
              <c:numCache>
                <c:formatCode>General</c:formatCode>
                <c:ptCount val="5"/>
                <c:pt idx="0">
                  <c:v>5.2</c:v>
                </c:pt>
                <c:pt idx="1">
                  <c:v>12.8</c:v>
                </c:pt>
                <c:pt idx="2">
                  <c:v>41.8</c:v>
                </c:pt>
                <c:pt idx="3">
                  <c:v>26.8</c:v>
                </c:pt>
                <c:pt idx="4">
                  <c:v>124</c:v>
                </c:pt>
              </c:numCache>
            </c:numRef>
          </c:val>
        </c:ser>
        <c:ser>
          <c:idx val="4"/>
          <c:order val="4"/>
          <c:tx>
            <c:strRef>
              <c:f>大气!$M$4</c:f>
              <c:strCache>
                <c:ptCount val="1"/>
                <c:pt idx="0">
                  <c:v>2023年</c:v>
                </c:pt>
              </c:strCache>
            </c:strRef>
          </c:tx>
          <c:spPr>
            <a:solidFill>
              <a:srgbClr val="4BACC6"/>
            </a:solidFill>
            <a:ln>
              <a:noFill/>
            </a:ln>
            <a:effectLst/>
          </c:spPr>
          <c:invertIfNegative val="0"/>
          <c:dLbls>
            <c:delete val="1"/>
          </c:dLbls>
          <c:cat>
            <c:strRef>
              <c:f>(大气!$F$5:$F$8,大气!$F$10)</c:f>
              <c:strCache>
                <c:ptCount val="5"/>
                <c:pt idx="0">
                  <c:v>SO2</c:v>
                </c:pt>
                <c:pt idx="1">
                  <c:v>NO2</c:v>
                </c:pt>
                <c:pt idx="2">
                  <c:v>PM10</c:v>
                </c:pt>
                <c:pt idx="3">
                  <c:v>PM2.5</c:v>
                </c:pt>
                <c:pt idx="4">
                  <c:v>O3</c:v>
                </c:pt>
              </c:strCache>
            </c:strRef>
          </c:cat>
          <c:val>
            <c:numRef>
              <c:f>(大气!$M$5:$M$8,大气!$M$10)</c:f>
              <c:numCache>
                <c:formatCode>General</c:formatCode>
                <c:ptCount val="5"/>
                <c:pt idx="0">
                  <c:v>6.6</c:v>
                </c:pt>
                <c:pt idx="1">
                  <c:v>13.2</c:v>
                </c:pt>
                <c:pt idx="2">
                  <c:v>41.5</c:v>
                </c:pt>
                <c:pt idx="3">
                  <c:v>27</c:v>
                </c:pt>
                <c:pt idx="4">
                  <c:v>133.6</c:v>
                </c:pt>
              </c:numCache>
            </c:numRef>
          </c:val>
        </c:ser>
        <c:dLbls>
          <c:showLegendKey val="0"/>
          <c:showVal val="0"/>
          <c:showCatName val="0"/>
          <c:showSerName val="0"/>
          <c:showPercent val="0"/>
          <c:showBubbleSize val="0"/>
        </c:dLbls>
        <c:gapWidth val="219"/>
        <c:axId val="1902753823"/>
        <c:axId val="1902754303"/>
      </c:barChart>
      <c:catAx>
        <c:axId val="1902753823"/>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902754303"/>
        <c:crosses val="autoZero"/>
        <c:auto val="1"/>
        <c:lblAlgn val="ctr"/>
        <c:lblOffset val="100"/>
        <c:noMultiLvlLbl val="0"/>
      </c:catAx>
      <c:valAx>
        <c:axId val="1902754303"/>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a:t>浓度（</a:t>
                </a:r>
                <a:r>
                  <a:rPr lang="el-GR" altLang="zh-CN"/>
                  <a:t>μ</a:t>
                </a:r>
                <a:r>
                  <a:rPr lang="en-US" altLang="zh-CN"/>
                  <a:t>g/m3)</a:t>
                </a:r>
                <a:endParaRPr lang="zh-CN" alt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902753823"/>
        <c:crosses val="autoZero"/>
        <c:crossBetween val="between"/>
      </c:valAx>
      <c:dTable>
        <c:showHorzBorder val="1"/>
        <c:showVertBorder val="1"/>
        <c:showOutline val="1"/>
        <c:showKeys val="1"/>
        <c:spPr>
          <a:noFill/>
          <a:ln w="9525" cap="flat" cmpd="sng" algn="ctr">
            <a:solidFill>
              <a:sysClr val="windowText" lastClr="000000">
                <a:lumMod val="15000"/>
                <a:lumOff val="85000"/>
              </a:sysClr>
            </a:solidFill>
            <a:round/>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化学需氧量</a:t>
            </a:r>
            <a:endParaRPr lang="zh-CN" altLang="en-US"/>
          </a:p>
        </c:rich>
      </c:tx>
      <c:layout/>
      <c:overlay val="0"/>
      <c:spPr>
        <a:noFill/>
        <a:ln>
          <a:noFill/>
        </a:ln>
        <a:effectLst/>
      </c:spPr>
    </c:title>
    <c:autoTitleDeleted val="0"/>
    <c:plotArea>
      <c:layout/>
      <c:lineChart>
        <c:grouping val="standard"/>
        <c:varyColors val="0"/>
        <c:ser>
          <c:idx val="0"/>
          <c:order val="0"/>
          <c:tx>
            <c:strRef>
              <c:f>地表水作图!$C$30</c:f>
              <c:strCache>
                <c:ptCount val="1"/>
                <c:pt idx="0">
                  <c:v>金银渡</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地表水作图!$E$27:$G$27</c:f>
              <c:strCache>
                <c:ptCount val="3"/>
                <c:pt idx="0">
                  <c:v>2021年</c:v>
                </c:pt>
                <c:pt idx="1">
                  <c:v>2022年</c:v>
                </c:pt>
                <c:pt idx="2">
                  <c:v>2023年</c:v>
                </c:pt>
              </c:strCache>
            </c:strRef>
          </c:cat>
          <c:val>
            <c:numRef>
              <c:f>地表水作图!$E$30:$G$30</c:f>
              <c:numCache>
                <c:formatCode>General</c:formatCode>
                <c:ptCount val="3"/>
                <c:pt idx="0">
                  <c:v>10</c:v>
                </c:pt>
                <c:pt idx="1">
                  <c:v>10</c:v>
                </c:pt>
                <c:pt idx="2">
                  <c:v>8</c:v>
                </c:pt>
              </c:numCache>
            </c:numRef>
          </c:val>
          <c:smooth val="1"/>
        </c:ser>
        <c:ser>
          <c:idx val="1"/>
          <c:order val="1"/>
          <c:tx>
            <c:strRef>
              <c:f>地表水作图!$C$31</c:f>
              <c:strCache>
                <c:ptCount val="1"/>
                <c:pt idx="0">
                  <c:v>标准限值</c:v>
                </c:pt>
              </c:strCache>
            </c:strRef>
          </c:tx>
          <c:spPr>
            <a:ln w="19050"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地表水作图!$E$27:$G$27</c:f>
              <c:strCache>
                <c:ptCount val="3"/>
                <c:pt idx="0">
                  <c:v>2021年</c:v>
                </c:pt>
                <c:pt idx="1">
                  <c:v>2022年</c:v>
                </c:pt>
                <c:pt idx="2">
                  <c:v>2023年</c:v>
                </c:pt>
              </c:strCache>
            </c:strRef>
          </c:cat>
          <c:val>
            <c:numRef>
              <c:f>地表水作图!$E$31:$G$31</c:f>
              <c:numCache>
                <c:formatCode>General</c:formatCode>
                <c:ptCount val="3"/>
                <c:pt idx="0">
                  <c:v>20</c:v>
                </c:pt>
                <c:pt idx="1">
                  <c:v>20</c:v>
                </c:pt>
                <c:pt idx="2">
                  <c:v>20</c:v>
                </c:pt>
              </c:numCache>
            </c:numRef>
          </c:val>
          <c:smooth val="1"/>
        </c:ser>
        <c:dLbls>
          <c:showLegendKey val="0"/>
          <c:showVal val="0"/>
          <c:showCatName val="0"/>
          <c:showSerName val="0"/>
          <c:showPercent val="0"/>
          <c:showBubbleSize val="0"/>
        </c:dLbls>
        <c:marker val="1"/>
        <c:smooth val="1"/>
        <c:axId val="1912798879"/>
        <c:axId val="1912803679"/>
      </c:lineChart>
      <c:catAx>
        <c:axId val="1912798879"/>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912803679"/>
        <c:crosses val="autoZero"/>
        <c:auto val="1"/>
        <c:lblAlgn val="ctr"/>
        <c:lblOffset val="100"/>
        <c:noMultiLvlLbl val="1"/>
      </c:catAx>
      <c:valAx>
        <c:axId val="1912803679"/>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lumMod val="65000"/>
                        <a:lumOff val="35000"/>
                      </a:sysClr>
                    </a:solidFill>
                  </a:rPr>
                  <a:t>浓度（</a:t>
                </a:r>
                <a:r>
                  <a:rPr lang="en-US" altLang="zh-CN" sz="1000" b="0" i="0" u="none" strike="noStrike" kern="1200" baseline="0">
                    <a:solidFill>
                      <a:sysClr val="windowText" lastClr="000000">
                        <a:lumMod val="65000"/>
                        <a:lumOff val="35000"/>
                      </a:sysClr>
                    </a:solidFill>
                  </a:rPr>
                  <a:t>mg/m3)</a:t>
                </a:r>
                <a:endParaRPr lang="zh-CN" altLang="en-US" sz="1000" b="0" i="0" u="none" strike="noStrike" kern="1200" baseline="0">
                  <a:solidFill>
                    <a:sysClr val="windowText" lastClr="000000">
                      <a:lumMod val="65000"/>
                      <a:lumOff val="35000"/>
                    </a:sysClr>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91279887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氨氮</a:t>
            </a:r>
            <a:endParaRPr lang="zh-CN" altLang="en-US"/>
          </a:p>
        </c:rich>
      </c:tx>
      <c:layout/>
      <c:overlay val="0"/>
      <c:spPr>
        <a:noFill/>
        <a:ln>
          <a:noFill/>
        </a:ln>
        <a:effectLst/>
      </c:spPr>
    </c:title>
    <c:autoTitleDeleted val="0"/>
    <c:plotArea>
      <c:layout/>
      <c:lineChart>
        <c:grouping val="standard"/>
        <c:varyColors val="0"/>
        <c:ser>
          <c:idx val="0"/>
          <c:order val="0"/>
          <c:tx>
            <c:strRef>
              <c:f>地表水作图!$C$32</c:f>
              <c:strCache>
                <c:ptCount val="1"/>
                <c:pt idx="0">
                  <c:v>金银渡</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地表水作图!$E$27:$G$27</c:f>
              <c:strCache>
                <c:ptCount val="3"/>
                <c:pt idx="0">
                  <c:v>2021年</c:v>
                </c:pt>
                <c:pt idx="1">
                  <c:v>2022年</c:v>
                </c:pt>
                <c:pt idx="2">
                  <c:v>2023年</c:v>
                </c:pt>
              </c:strCache>
            </c:strRef>
          </c:cat>
          <c:val>
            <c:numRef>
              <c:f>地表水作图!$E$32:$G$32</c:f>
              <c:numCache>
                <c:formatCode>General</c:formatCode>
                <c:ptCount val="3"/>
                <c:pt idx="0">
                  <c:v>0.064</c:v>
                </c:pt>
                <c:pt idx="1">
                  <c:v>0.118</c:v>
                </c:pt>
                <c:pt idx="2" c:formatCode="0.000_ ">
                  <c:v>0.0967</c:v>
                </c:pt>
              </c:numCache>
            </c:numRef>
          </c:val>
          <c:smooth val="1"/>
        </c:ser>
        <c:ser>
          <c:idx val="1"/>
          <c:order val="1"/>
          <c:tx>
            <c:strRef>
              <c:f>地表水作图!$C$33</c:f>
              <c:strCache>
                <c:ptCount val="1"/>
                <c:pt idx="0">
                  <c:v>标准限值</c:v>
                </c:pt>
              </c:strCache>
            </c:strRef>
          </c:tx>
          <c:spPr>
            <a:ln w="19050"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地表水作图!$E$27:$G$27</c:f>
              <c:strCache>
                <c:ptCount val="3"/>
                <c:pt idx="0">
                  <c:v>2021年</c:v>
                </c:pt>
                <c:pt idx="1">
                  <c:v>2022年</c:v>
                </c:pt>
                <c:pt idx="2">
                  <c:v>2023年</c:v>
                </c:pt>
              </c:strCache>
            </c:strRef>
          </c:cat>
          <c:val>
            <c:numRef>
              <c:f>地表水作图!$E$33:$G$33</c:f>
              <c:numCache>
                <c:formatCode>General</c:formatCode>
                <c:ptCount val="3"/>
                <c:pt idx="0">
                  <c:v>1</c:v>
                </c:pt>
                <c:pt idx="1">
                  <c:v>1</c:v>
                </c:pt>
                <c:pt idx="2">
                  <c:v>1</c:v>
                </c:pt>
              </c:numCache>
            </c:numRef>
          </c:val>
          <c:smooth val="1"/>
        </c:ser>
        <c:dLbls>
          <c:showLegendKey val="0"/>
          <c:showVal val="0"/>
          <c:showCatName val="0"/>
          <c:showSerName val="0"/>
          <c:showPercent val="0"/>
          <c:showBubbleSize val="0"/>
        </c:dLbls>
        <c:marker val="1"/>
        <c:smooth val="1"/>
        <c:axId val="2100142399"/>
        <c:axId val="2100140959"/>
      </c:lineChart>
      <c:catAx>
        <c:axId val="2100142399"/>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2100140959"/>
        <c:crosses val="autoZero"/>
        <c:auto val="1"/>
        <c:lblAlgn val="ctr"/>
        <c:lblOffset val="100"/>
        <c:noMultiLvlLbl val="1"/>
      </c:catAx>
      <c:valAx>
        <c:axId val="2100140959"/>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lumMod val="65000"/>
                        <a:lumOff val="35000"/>
                      </a:sysClr>
                    </a:solidFill>
                  </a:rPr>
                  <a:t>浓度（</a:t>
                </a:r>
                <a:r>
                  <a:rPr lang="en-US" altLang="zh-CN" sz="1000" b="0" i="0" u="none" strike="noStrike" kern="1200" baseline="0">
                    <a:solidFill>
                      <a:sysClr val="windowText" lastClr="000000">
                        <a:lumMod val="65000"/>
                        <a:lumOff val="35000"/>
                      </a:sysClr>
                    </a:solidFill>
                  </a:rPr>
                  <a:t>mg/m3)</a:t>
                </a:r>
                <a:endParaRPr lang="zh-CN" altLang="en-US" sz="1000" b="0" i="0" u="none" strike="noStrike" kern="1200" baseline="0">
                  <a:solidFill>
                    <a:sysClr val="windowText" lastClr="000000">
                      <a:lumMod val="65000"/>
                      <a:lumOff val="35000"/>
                    </a:sysClr>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210014239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总磷</a:t>
            </a:r>
            <a:endParaRPr lang="zh-CN" altLang="en-US"/>
          </a:p>
        </c:rich>
      </c:tx>
      <c:layout/>
      <c:overlay val="0"/>
      <c:spPr>
        <a:noFill/>
        <a:ln>
          <a:noFill/>
        </a:ln>
        <a:effectLst/>
      </c:spPr>
    </c:title>
    <c:autoTitleDeleted val="0"/>
    <c:plotArea>
      <c:layout/>
      <c:lineChart>
        <c:grouping val="standard"/>
        <c:varyColors val="0"/>
        <c:ser>
          <c:idx val="0"/>
          <c:order val="0"/>
          <c:tx>
            <c:strRef>
              <c:f>地表水作图!$C$34</c:f>
              <c:strCache>
                <c:ptCount val="1"/>
                <c:pt idx="0">
                  <c:v>金银渡</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地表水作图!$E$27:$G$27</c:f>
              <c:strCache>
                <c:ptCount val="3"/>
                <c:pt idx="0">
                  <c:v>2021年</c:v>
                </c:pt>
                <c:pt idx="1">
                  <c:v>2022年</c:v>
                </c:pt>
                <c:pt idx="2">
                  <c:v>2023年</c:v>
                </c:pt>
              </c:strCache>
            </c:strRef>
          </c:cat>
          <c:val>
            <c:numRef>
              <c:f>地表水作图!$E$34:$G$34</c:f>
              <c:numCache>
                <c:formatCode>General</c:formatCode>
                <c:ptCount val="3"/>
                <c:pt idx="0">
                  <c:v>0.03</c:v>
                </c:pt>
                <c:pt idx="1">
                  <c:v>0.03</c:v>
                </c:pt>
                <c:pt idx="2" c:formatCode="0.00_);[Red]\(0.00\)">
                  <c:v>0.016</c:v>
                </c:pt>
              </c:numCache>
            </c:numRef>
          </c:val>
          <c:smooth val="1"/>
        </c:ser>
        <c:ser>
          <c:idx val="1"/>
          <c:order val="1"/>
          <c:tx>
            <c:strRef>
              <c:f>地表水作图!$C$35</c:f>
              <c:strCache>
                <c:ptCount val="1"/>
                <c:pt idx="0">
                  <c:v>标准限值</c:v>
                </c:pt>
              </c:strCache>
            </c:strRef>
          </c:tx>
          <c:spPr>
            <a:ln w="19050"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地表水作图!$E$27:$G$27</c:f>
              <c:strCache>
                <c:ptCount val="3"/>
                <c:pt idx="0">
                  <c:v>2021年</c:v>
                </c:pt>
                <c:pt idx="1">
                  <c:v>2022年</c:v>
                </c:pt>
                <c:pt idx="2">
                  <c:v>2023年</c:v>
                </c:pt>
              </c:strCache>
            </c:strRef>
          </c:cat>
          <c:val>
            <c:numRef>
              <c:f>地表水作图!$E$35:$G$35</c:f>
              <c:numCache>
                <c:formatCode>General</c:formatCode>
                <c:ptCount val="3"/>
                <c:pt idx="0">
                  <c:v>0.2</c:v>
                </c:pt>
                <c:pt idx="1">
                  <c:v>0.2</c:v>
                </c:pt>
                <c:pt idx="2">
                  <c:v>0.2</c:v>
                </c:pt>
              </c:numCache>
            </c:numRef>
          </c:val>
          <c:smooth val="1"/>
        </c:ser>
        <c:dLbls>
          <c:showLegendKey val="0"/>
          <c:showVal val="0"/>
          <c:showCatName val="0"/>
          <c:showSerName val="0"/>
          <c:showPercent val="0"/>
          <c:showBubbleSize val="0"/>
        </c:dLbls>
        <c:marker val="1"/>
        <c:smooth val="1"/>
        <c:axId val="155545135"/>
        <c:axId val="155545615"/>
      </c:lineChart>
      <c:catAx>
        <c:axId val="155545135"/>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55545615"/>
        <c:crosses val="autoZero"/>
        <c:auto val="1"/>
        <c:lblAlgn val="ctr"/>
        <c:lblOffset val="100"/>
        <c:noMultiLvlLbl val="1"/>
      </c:catAx>
      <c:valAx>
        <c:axId val="155545615"/>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lumMod val="65000"/>
                        <a:lumOff val="35000"/>
                      </a:sysClr>
                    </a:solidFill>
                  </a:rPr>
                  <a:t>浓度（</a:t>
                </a:r>
                <a:r>
                  <a:rPr lang="en-US" altLang="zh-CN" sz="1000" b="0" i="0" u="none" strike="noStrike" kern="1200" baseline="0">
                    <a:solidFill>
                      <a:sysClr val="windowText" lastClr="000000">
                        <a:lumMod val="65000"/>
                        <a:lumOff val="35000"/>
                      </a:sysClr>
                    </a:solidFill>
                  </a:rPr>
                  <a:t>mg/m3)</a:t>
                </a:r>
                <a:endParaRPr lang="zh-CN" altLang="en-US" sz="1000" b="0" i="0" u="none" strike="noStrike" kern="1200" baseline="0">
                  <a:solidFill>
                    <a:sysClr val="windowText" lastClr="000000">
                      <a:lumMod val="65000"/>
                      <a:lumOff val="35000"/>
                    </a:sysClr>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5554513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总氮</a:t>
            </a:r>
            <a:endParaRPr lang="zh-CN" altLang="en-US"/>
          </a:p>
        </c:rich>
      </c:tx>
      <c:layout/>
      <c:overlay val="0"/>
      <c:spPr>
        <a:noFill/>
        <a:ln>
          <a:noFill/>
        </a:ln>
        <a:effectLst/>
      </c:spPr>
    </c:title>
    <c:autoTitleDeleted val="0"/>
    <c:plotArea>
      <c:layout/>
      <c:lineChart>
        <c:grouping val="standard"/>
        <c:varyColors val="0"/>
        <c:ser>
          <c:idx val="0"/>
          <c:order val="0"/>
          <c:tx>
            <c:strRef>
              <c:f>地表水作图!$C$36</c:f>
              <c:strCache>
                <c:ptCount val="1"/>
                <c:pt idx="0">
                  <c:v>金银渡</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地表水作图!$E$27:$G$27</c:f>
              <c:strCache>
                <c:ptCount val="3"/>
                <c:pt idx="0">
                  <c:v>2021年</c:v>
                </c:pt>
                <c:pt idx="1">
                  <c:v>2022年</c:v>
                </c:pt>
                <c:pt idx="2">
                  <c:v>2023年</c:v>
                </c:pt>
              </c:strCache>
            </c:strRef>
          </c:cat>
          <c:val>
            <c:numRef>
              <c:f>地表水作图!$E$36:$G$36</c:f>
              <c:numCache>
                <c:formatCode>General</c:formatCode>
                <c:ptCount val="3"/>
                <c:pt idx="0">
                  <c:v>1.13</c:v>
                </c:pt>
                <c:pt idx="1">
                  <c:v>1.19</c:v>
                </c:pt>
                <c:pt idx="2" c:formatCode="0.00_);[Red]\(0.00\)">
                  <c:v>1.128</c:v>
                </c:pt>
              </c:numCache>
            </c:numRef>
          </c:val>
          <c:smooth val="1"/>
        </c:ser>
        <c:dLbls>
          <c:showLegendKey val="0"/>
          <c:showVal val="0"/>
          <c:showCatName val="0"/>
          <c:showSerName val="0"/>
          <c:showPercent val="0"/>
          <c:showBubbleSize val="0"/>
        </c:dLbls>
        <c:marker val="1"/>
        <c:smooth val="1"/>
        <c:axId val="1902745183"/>
        <c:axId val="1902750943"/>
      </c:lineChart>
      <c:catAx>
        <c:axId val="1902745183"/>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902750943"/>
        <c:crosses val="autoZero"/>
        <c:auto val="1"/>
        <c:lblAlgn val="ctr"/>
        <c:lblOffset val="100"/>
        <c:noMultiLvlLbl val="1"/>
      </c:catAx>
      <c:valAx>
        <c:axId val="1902750943"/>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lumMod val="65000"/>
                        <a:lumOff val="35000"/>
                      </a:sysClr>
                    </a:solidFill>
                  </a:rPr>
                  <a:t>浓度（</a:t>
                </a:r>
                <a:r>
                  <a:rPr lang="en-US" altLang="zh-CN" sz="1000" b="0" i="0" u="none" strike="noStrike" kern="1200" baseline="0">
                    <a:solidFill>
                      <a:sysClr val="windowText" lastClr="000000">
                        <a:lumMod val="65000"/>
                        <a:lumOff val="35000"/>
                      </a:sysClr>
                    </a:solidFill>
                  </a:rPr>
                  <a:t>mg/m3)</a:t>
                </a:r>
                <a:endParaRPr lang="zh-CN" altLang="en-US" sz="1000" b="0" i="0" u="none" strike="noStrike" kern="1200" baseline="0">
                  <a:solidFill>
                    <a:sysClr val="windowText" lastClr="000000">
                      <a:lumMod val="65000"/>
                      <a:lumOff val="35000"/>
                    </a:sysClr>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902745183"/>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五日生化需氧量</a:t>
            </a:r>
            <a:endParaRPr lang="zh-CN" altLang="en-US"/>
          </a:p>
        </c:rich>
      </c:tx>
      <c:layout/>
      <c:overlay val="0"/>
      <c:spPr>
        <a:noFill/>
        <a:ln>
          <a:noFill/>
        </a:ln>
        <a:effectLst/>
      </c:spPr>
    </c:title>
    <c:autoTitleDeleted val="0"/>
    <c:plotArea>
      <c:layout/>
      <c:lineChart>
        <c:grouping val="standard"/>
        <c:varyColors val="0"/>
        <c:ser>
          <c:idx val="0"/>
          <c:order val="0"/>
          <c:tx>
            <c:strRef>
              <c:f>地表水作图!$C$37</c:f>
              <c:strCache>
                <c:ptCount val="1"/>
                <c:pt idx="0">
                  <c:v>金银渡</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地表水作图!$E$27:$G$27</c:f>
              <c:strCache>
                <c:ptCount val="3"/>
                <c:pt idx="0">
                  <c:v>2021年</c:v>
                </c:pt>
                <c:pt idx="1">
                  <c:v>2022年</c:v>
                </c:pt>
                <c:pt idx="2">
                  <c:v>2023年</c:v>
                </c:pt>
              </c:strCache>
            </c:strRef>
          </c:cat>
          <c:val>
            <c:numRef>
              <c:f>地表水作图!$E$37:$G$37</c:f>
              <c:numCache>
                <c:formatCode>General</c:formatCode>
                <c:ptCount val="3"/>
                <c:pt idx="0">
                  <c:v>1.3</c:v>
                </c:pt>
                <c:pt idx="1">
                  <c:v>1.5</c:v>
                </c:pt>
                <c:pt idx="2">
                  <c:v>1.22</c:v>
                </c:pt>
              </c:numCache>
            </c:numRef>
          </c:val>
          <c:smooth val="1"/>
        </c:ser>
        <c:ser>
          <c:idx val="1"/>
          <c:order val="1"/>
          <c:tx>
            <c:strRef>
              <c:f>地表水作图!$C$38</c:f>
              <c:strCache>
                <c:ptCount val="1"/>
                <c:pt idx="0">
                  <c:v>标准限值</c:v>
                </c:pt>
              </c:strCache>
            </c:strRef>
          </c:tx>
          <c:spPr>
            <a:ln w="19050"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地表水作图!$E$27:$G$27</c:f>
              <c:strCache>
                <c:ptCount val="3"/>
                <c:pt idx="0">
                  <c:v>2021年</c:v>
                </c:pt>
                <c:pt idx="1">
                  <c:v>2022年</c:v>
                </c:pt>
                <c:pt idx="2">
                  <c:v>2023年</c:v>
                </c:pt>
              </c:strCache>
            </c:strRef>
          </c:cat>
          <c:val>
            <c:numRef>
              <c:f>地表水作图!$E$38:$G$38</c:f>
              <c:numCache>
                <c:formatCode>General</c:formatCode>
                <c:ptCount val="3"/>
                <c:pt idx="0">
                  <c:v>4</c:v>
                </c:pt>
                <c:pt idx="1">
                  <c:v>4</c:v>
                </c:pt>
                <c:pt idx="2">
                  <c:v>4</c:v>
                </c:pt>
              </c:numCache>
            </c:numRef>
          </c:val>
          <c:smooth val="1"/>
        </c:ser>
        <c:dLbls>
          <c:showLegendKey val="0"/>
          <c:showVal val="0"/>
          <c:showCatName val="0"/>
          <c:showSerName val="0"/>
          <c:showPercent val="0"/>
          <c:showBubbleSize val="0"/>
        </c:dLbls>
        <c:marker val="1"/>
        <c:smooth val="1"/>
        <c:axId val="166732943"/>
        <c:axId val="166726223"/>
      </c:lineChart>
      <c:catAx>
        <c:axId val="166732943"/>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66726223"/>
        <c:crosses val="autoZero"/>
        <c:auto val="1"/>
        <c:lblAlgn val="ctr"/>
        <c:lblOffset val="100"/>
        <c:noMultiLvlLbl val="1"/>
      </c:catAx>
      <c:valAx>
        <c:axId val="166726223"/>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lumMod val="65000"/>
                        <a:lumOff val="35000"/>
                      </a:sysClr>
                    </a:solidFill>
                  </a:rPr>
                  <a:t>浓度（</a:t>
                </a:r>
                <a:r>
                  <a:rPr lang="en-US" altLang="zh-CN" sz="1000" b="0" i="0" u="none" strike="noStrike" kern="1200" baseline="0">
                    <a:solidFill>
                      <a:sysClr val="windowText" lastClr="000000">
                        <a:lumMod val="65000"/>
                        <a:lumOff val="35000"/>
                      </a:sysClr>
                    </a:solidFill>
                  </a:rPr>
                  <a:t>mg/m3)</a:t>
                </a:r>
                <a:endParaRPr lang="zh-CN" altLang="en-US" sz="1000" b="0" i="0" u="none" strike="noStrike" kern="1200" baseline="0">
                  <a:solidFill>
                    <a:sysClr val="windowText" lastClr="000000">
                      <a:lumMod val="65000"/>
                      <a:lumOff val="35000"/>
                    </a:sysClr>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667329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昼间</a:t>
            </a:r>
            <a:endParaRPr lang="zh-CN" altLang="en-US"/>
          </a:p>
        </c:rich>
      </c:tx>
      <c:layout/>
      <c:overlay val="0"/>
      <c:spPr>
        <a:noFill/>
        <a:ln>
          <a:noFill/>
        </a:ln>
        <a:effectLst/>
      </c:spPr>
    </c:title>
    <c:autoTitleDeleted val="0"/>
    <c:plotArea>
      <c:layout/>
      <c:lineChart>
        <c:grouping val="standard"/>
        <c:varyColors val="0"/>
        <c:ser>
          <c:idx val="0"/>
          <c:order val="0"/>
          <c:tx>
            <c:strRef>
              <c:f>声环境作图!$I$5</c:f>
              <c:strCache>
                <c:ptCount val="1"/>
                <c:pt idx="0">
                  <c:v>居住、文教（一类区）</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声环境作图!$H$6:$H$10</c:f>
              <c:strCache>
                <c:ptCount val="5"/>
                <c:pt idx="0">
                  <c:v>2019年</c:v>
                </c:pt>
                <c:pt idx="1">
                  <c:v>2020年</c:v>
                </c:pt>
                <c:pt idx="2">
                  <c:v>2021年</c:v>
                </c:pt>
                <c:pt idx="3">
                  <c:v>2022年</c:v>
                </c:pt>
                <c:pt idx="4">
                  <c:v>2023年</c:v>
                </c:pt>
              </c:strCache>
            </c:strRef>
          </c:cat>
          <c:val>
            <c:numRef>
              <c:f>声环境作图!$I$6:$I$10</c:f>
              <c:numCache>
                <c:formatCode>General</c:formatCode>
                <c:ptCount val="5"/>
                <c:pt idx="0">
                  <c:v>47.2</c:v>
                </c:pt>
                <c:pt idx="1">
                  <c:v>47.4</c:v>
                </c:pt>
                <c:pt idx="2">
                  <c:v>45.8</c:v>
                </c:pt>
                <c:pt idx="3">
                  <c:v>47.25</c:v>
                </c:pt>
                <c:pt idx="4">
                  <c:v>45</c:v>
                </c:pt>
              </c:numCache>
            </c:numRef>
          </c:val>
          <c:smooth val="1"/>
        </c:ser>
        <c:ser>
          <c:idx val="1"/>
          <c:order val="1"/>
          <c:tx>
            <c:strRef>
              <c:f>声环境作图!$J$5</c:f>
              <c:strCache>
                <c:ptCount val="1"/>
                <c:pt idx="0">
                  <c:v>商、住混合（二类区）</c:v>
                </c:pt>
              </c:strCache>
            </c:strRef>
          </c:tx>
          <c:spPr>
            <a:ln w="19050"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声环境作图!$H$6:$H$10</c:f>
              <c:strCache>
                <c:ptCount val="5"/>
                <c:pt idx="0">
                  <c:v>2019年</c:v>
                </c:pt>
                <c:pt idx="1">
                  <c:v>2020年</c:v>
                </c:pt>
                <c:pt idx="2">
                  <c:v>2021年</c:v>
                </c:pt>
                <c:pt idx="3">
                  <c:v>2022年</c:v>
                </c:pt>
                <c:pt idx="4">
                  <c:v>2023年</c:v>
                </c:pt>
              </c:strCache>
            </c:strRef>
          </c:cat>
          <c:val>
            <c:numRef>
              <c:f>声环境作图!$J$6:$J$10</c:f>
              <c:numCache>
                <c:formatCode>General</c:formatCode>
                <c:ptCount val="5"/>
                <c:pt idx="0">
                  <c:v>55.8</c:v>
                </c:pt>
                <c:pt idx="1">
                  <c:v>54.6</c:v>
                </c:pt>
                <c:pt idx="2">
                  <c:v>53.7</c:v>
                </c:pt>
                <c:pt idx="3">
                  <c:v>53.6666666666667</c:v>
                </c:pt>
                <c:pt idx="4">
                  <c:v>54.65</c:v>
                </c:pt>
              </c:numCache>
            </c:numRef>
          </c:val>
          <c:smooth val="1"/>
        </c:ser>
        <c:ser>
          <c:idx val="2"/>
          <c:order val="2"/>
          <c:tx>
            <c:strRef>
              <c:f>声环境作图!$K$5</c:f>
              <c:strCache>
                <c:ptCount val="1"/>
                <c:pt idx="0">
                  <c:v>工业区（三类区）</c:v>
                </c:pt>
              </c:strCache>
            </c:strRef>
          </c:tx>
          <c:spPr>
            <a:ln w="19050" cap="rnd">
              <a:solidFill>
                <a:srgbClr val="9BBB59"/>
              </a:solidFill>
              <a:round/>
            </a:ln>
            <a:effectLst/>
          </c:spPr>
          <c:marker>
            <c:symbol val="circle"/>
            <c:size val="5"/>
            <c:spPr>
              <a:solidFill>
                <a:srgbClr val="9BBB59"/>
              </a:solidFill>
              <a:ln w="9525">
                <a:solidFill>
                  <a:srgbClr val="9BBB59"/>
                </a:solidFill>
              </a:ln>
              <a:effectLst/>
            </c:spPr>
          </c:marker>
          <c:dLbls>
            <c:delete val="1"/>
          </c:dLbls>
          <c:cat>
            <c:strRef>
              <c:f>声环境作图!$H$6:$H$10</c:f>
              <c:strCache>
                <c:ptCount val="5"/>
                <c:pt idx="0">
                  <c:v>2019年</c:v>
                </c:pt>
                <c:pt idx="1">
                  <c:v>2020年</c:v>
                </c:pt>
                <c:pt idx="2">
                  <c:v>2021年</c:v>
                </c:pt>
                <c:pt idx="3">
                  <c:v>2022年</c:v>
                </c:pt>
                <c:pt idx="4">
                  <c:v>2023年</c:v>
                </c:pt>
              </c:strCache>
            </c:strRef>
          </c:cat>
          <c:val>
            <c:numRef>
              <c:f>声环境作图!$K$6:$K$10</c:f>
              <c:numCache>
                <c:formatCode>General</c:formatCode>
                <c:ptCount val="5"/>
                <c:pt idx="0">
                  <c:v>59.2</c:v>
                </c:pt>
                <c:pt idx="1">
                  <c:v>58</c:v>
                </c:pt>
                <c:pt idx="2">
                  <c:v>58.4</c:v>
                </c:pt>
                <c:pt idx="3">
                  <c:v>56.9</c:v>
                </c:pt>
                <c:pt idx="4">
                  <c:v>58.675</c:v>
                </c:pt>
              </c:numCache>
            </c:numRef>
          </c:val>
          <c:smooth val="1"/>
        </c:ser>
        <c:ser>
          <c:idx val="3"/>
          <c:order val="3"/>
          <c:tx>
            <c:strRef>
              <c:f>声环境作图!$L$5</c:f>
              <c:strCache>
                <c:ptCount val="1"/>
                <c:pt idx="0">
                  <c:v>交通干线道路两侧区（四类区）</c:v>
                </c:pt>
              </c:strCache>
            </c:strRef>
          </c:tx>
          <c:spPr>
            <a:ln w="19050" cap="rnd">
              <a:solidFill>
                <a:srgbClr val="8064A2"/>
              </a:solidFill>
              <a:round/>
            </a:ln>
            <a:effectLst/>
          </c:spPr>
          <c:marker>
            <c:symbol val="circle"/>
            <c:size val="5"/>
            <c:spPr>
              <a:solidFill>
                <a:srgbClr val="8064A2"/>
              </a:solidFill>
              <a:ln w="9525">
                <a:solidFill>
                  <a:srgbClr val="8064A2"/>
                </a:solidFill>
              </a:ln>
              <a:effectLst/>
            </c:spPr>
          </c:marker>
          <c:dLbls>
            <c:delete val="1"/>
          </c:dLbls>
          <c:cat>
            <c:strRef>
              <c:f>声环境作图!$H$6:$H$10</c:f>
              <c:strCache>
                <c:ptCount val="5"/>
                <c:pt idx="0">
                  <c:v>2019年</c:v>
                </c:pt>
                <c:pt idx="1">
                  <c:v>2020年</c:v>
                </c:pt>
                <c:pt idx="2">
                  <c:v>2021年</c:v>
                </c:pt>
                <c:pt idx="3">
                  <c:v>2022年</c:v>
                </c:pt>
                <c:pt idx="4">
                  <c:v>2023年</c:v>
                </c:pt>
              </c:strCache>
            </c:strRef>
          </c:cat>
          <c:val>
            <c:numRef>
              <c:f>声环境作图!$L$6:$L$10</c:f>
              <c:numCache>
                <c:formatCode>General</c:formatCode>
                <c:ptCount val="5"/>
                <c:pt idx="0">
                  <c:v>62</c:v>
                </c:pt>
                <c:pt idx="1">
                  <c:v>61.8</c:v>
                </c:pt>
                <c:pt idx="2">
                  <c:v>61.3</c:v>
                </c:pt>
                <c:pt idx="3">
                  <c:v>61.375</c:v>
                </c:pt>
                <c:pt idx="4">
                  <c:v>60.4375</c:v>
                </c:pt>
              </c:numCache>
            </c:numRef>
          </c:val>
          <c:smooth val="1"/>
        </c:ser>
        <c:dLbls>
          <c:showLegendKey val="0"/>
          <c:showVal val="0"/>
          <c:showCatName val="0"/>
          <c:showSerName val="0"/>
          <c:showPercent val="0"/>
          <c:showBubbleSize val="0"/>
        </c:dLbls>
        <c:marker val="1"/>
        <c:smooth val="1"/>
        <c:axId val="1063547823"/>
        <c:axId val="1063544463"/>
      </c:lineChart>
      <c:catAx>
        <c:axId val="1063547823"/>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63544463"/>
        <c:crosses val="autoZero"/>
        <c:auto val="1"/>
        <c:lblAlgn val="ctr"/>
        <c:lblOffset val="100"/>
        <c:noMultiLvlLbl val="1"/>
      </c:catAx>
      <c:valAx>
        <c:axId val="1063544463"/>
        <c:scaling>
          <c:orientation val="minMax"/>
          <c:min val="40"/>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solidFill>
                  </a:rPr>
                  <a:t>全年平均声级</a:t>
                </a:r>
                <a:r>
                  <a:rPr lang="en-US" altLang="zh-CN" sz="1000" b="0" i="0" u="none" strike="noStrike" kern="1200" baseline="0">
                    <a:solidFill>
                      <a:sysClr val="windowText" lastClr="000000"/>
                    </a:solidFill>
                  </a:rPr>
                  <a:t>(</a:t>
                </a:r>
                <a:r>
                  <a:rPr lang="zh-CN" altLang="en-US" sz="1000" b="0" i="0" u="none" strike="noStrike" kern="1200" baseline="0">
                    <a:solidFill>
                      <a:sysClr val="windowText" lastClr="000000"/>
                    </a:solidFill>
                  </a:rPr>
                  <a:t>单位：</a:t>
                </a:r>
                <a:r>
                  <a:rPr lang="en-US" altLang="zh-CN" sz="1000" b="0" i="0" u="none" strike="noStrike" kern="1200" baseline="0">
                    <a:solidFill>
                      <a:sysClr val="windowText" lastClr="000000"/>
                    </a:solidFill>
                  </a:rPr>
                  <a:t>dB(A))</a:t>
                </a:r>
                <a:endParaRPr lang="zh-CN" altLang="en-US" sz="1000" b="0" i="0" u="none" strike="noStrike" kern="1200" baseline="0">
                  <a:solidFill>
                    <a:sysClr val="windowText" lastClr="000000"/>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6354782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夜间</a:t>
            </a:r>
            <a:endParaRPr lang="zh-CN" altLang="en-US"/>
          </a:p>
        </c:rich>
      </c:tx>
      <c:layout/>
      <c:overlay val="0"/>
      <c:spPr>
        <a:noFill/>
        <a:ln>
          <a:noFill/>
        </a:ln>
        <a:effectLst/>
      </c:spPr>
    </c:title>
    <c:autoTitleDeleted val="0"/>
    <c:plotArea>
      <c:layout/>
      <c:lineChart>
        <c:grouping val="standard"/>
        <c:varyColors val="0"/>
        <c:ser>
          <c:idx val="0"/>
          <c:order val="0"/>
          <c:tx>
            <c:strRef>
              <c:f>声环境作图!$I$13</c:f>
              <c:strCache>
                <c:ptCount val="1"/>
                <c:pt idx="0">
                  <c:v>居住、文教（一类区）</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声环境作图!$H$14:$H$18</c:f>
              <c:strCache>
                <c:ptCount val="5"/>
                <c:pt idx="0">
                  <c:v>2019年</c:v>
                </c:pt>
                <c:pt idx="1">
                  <c:v>2020年</c:v>
                </c:pt>
                <c:pt idx="2">
                  <c:v>2021年</c:v>
                </c:pt>
                <c:pt idx="3">
                  <c:v>2022年</c:v>
                </c:pt>
                <c:pt idx="4">
                  <c:v>2023年</c:v>
                </c:pt>
              </c:strCache>
            </c:strRef>
          </c:cat>
          <c:val>
            <c:numRef>
              <c:f>声环境作图!$I$14:$I$18</c:f>
              <c:numCache>
                <c:formatCode>General</c:formatCode>
                <c:ptCount val="5"/>
                <c:pt idx="0">
                  <c:v>37.6</c:v>
                </c:pt>
                <c:pt idx="1">
                  <c:v>39.5</c:v>
                </c:pt>
                <c:pt idx="2">
                  <c:v>39.4</c:v>
                </c:pt>
                <c:pt idx="3">
                  <c:v>36.825</c:v>
                </c:pt>
                <c:pt idx="4">
                  <c:v>37.175</c:v>
                </c:pt>
              </c:numCache>
            </c:numRef>
          </c:val>
          <c:smooth val="1"/>
        </c:ser>
        <c:ser>
          <c:idx val="1"/>
          <c:order val="1"/>
          <c:tx>
            <c:strRef>
              <c:f>声环境作图!$J$13</c:f>
              <c:strCache>
                <c:ptCount val="1"/>
                <c:pt idx="0">
                  <c:v>商、住混合（二类区）</c:v>
                </c:pt>
              </c:strCache>
            </c:strRef>
          </c:tx>
          <c:spPr>
            <a:ln w="19050"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声环境作图!$H$14:$H$18</c:f>
              <c:strCache>
                <c:ptCount val="5"/>
                <c:pt idx="0">
                  <c:v>2019年</c:v>
                </c:pt>
                <c:pt idx="1">
                  <c:v>2020年</c:v>
                </c:pt>
                <c:pt idx="2">
                  <c:v>2021年</c:v>
                </c:pt>
                <c:pt idx="3">
                  <c:v>2022年</c:v>
                </c:pt>
                <c:pt idx="4">
                  <c:v>2023年</c:v>
                </c:pt>
              </c:strCache>
            </c:strRef>
          </c:cat>
          <c:val>
            <c:numRef>
              <c:f>声环境作图!$J$14:$J$18</c:f>
              <c:numCache>
                <c:formatCode>General</c:formatCode>
                <c:ptCount val="5"/>
                <c:pt idx="0">
                  <c:v>46.7</c:v>
                </c:pt>
                <c:pt idx="1">
                  <c:v>45</c:v>
                </c:pt>
                <c:pt idx="2">
                  <c:v>44.7</c:v>
                </c:pt>
                <c:pt idx="3">
                  <c:v>40.825</c:v>
                </c:pt>
                <c:pt idx="4">
                  <c:v>45.75</c:v>
                </c:pt>
              </c:numCache>
            </c:numRef>
          </c:val>
          <c:smooth val="1"/>
        </c:ser>
        <c:ser>
          <c:idx val="2"/>
          <c:order val="2"/>
          <c:tx>
            <c:strRef>
              <c:f>声环境作图!$K$13</c:f>
              <c:strCache>
                <c:ptCount val="1"/>
                <c:pt idx="0">
                  <c:v>工业区（三类区）</c:v>
                </c:pt>
              </c:strCache>
            </c:strRef>
          </c:tx>
          <c:spPr>
            <a:ln w="19050" cap="rnd">
              <a:solidFill>
                <a:srgbClr val="9BBB59"/>
              </a:solidFill>
              <a:round/>
            </a:ln>
            <a:effectLst/>
          </c:spPr>
          <c:marker>
            <c:symbol val="circle"/>
            <c:size val="5"/>
            <c:spPr>
              <a:solidFill>
                <a:srgbClr val="9BBB59"/>
              </a:solidFill>
              <a:ln w="9525">
                <a:solidFill>
                  <a:srgbClr val="9BBB59"/>
                </a:solidFill>
              </a:ln>
              <a:effectLst/>
            </c:spPr>
          </c:marker>
          <c:dLbls>
            <c:delete val="1"/>
          </c:dLbls>
          <c:cat>
            <c:strRef>
              <c:f>声环境作图!$H$14:$H$18</c:f>
              <c:strCache>
                <c:ptCount val="5"/>
                <c:pt idx="0">
                  <c:v>2019年</c:v>
                </c:pt>
                <c:pt idx="1">
                  <c:v>2020年</c:v>
                </c:pt>
                <c:pt idx="2">
                  <c:v>2021年</c:v>
                </c:pt>
                <c:pt idx="3">
                  <c:v>2022年</c:v>
                </c:pt>
                <c:pt idx="4">
                  <c:v>2023年</c:v>
                </c:pt>
              </c:strCache>
            </c:strRef>
          </c:cat>
          <c:val>
            <c:numRef>
              <c:f>声环境作图!$K$14:$K$18</c:f>
              <c:numCache>
                <c:formatCode>General</c:formatCode>
                <c:ptCount val="5"/>
                <c:pt idx="0">
                  <c:v>50.6</c:v>
                </c:pt>
                <c:pt idx="1">
                  <c:v>49.4</c:v>
                </c:pt>
                <c:pt idx="2">
                  <c:v>49.4</c:v>
                </c:pt>
                <c:pt idx="3">
                  <c:v>48.125</c:v>
                </c:pt>
                <c:pt idx="4">
                  <c:v>50.1</c:v>
                </c:pt>
              </c:numCache>
            </c:numRef>
          </c:val>
          <c:smooth val="1"/>
        </c:ser>
        <c:ser>
          <c:idx val="3"/>
          <c:order val="3"/>
          <c:tx>
            <c:strRef>
              <c:f>声环境作图!$L$13</c:f>
              <c:strCache>
                <c:ptCount val="1"/>
                <c:pt idx="0">
                  <c:v>交通干线道路两侧区（四类区）</c:v>
                </c:pt>
              </c:strCache>
            </c:strRef>
          </c:tx>
          <c:spPr>
            <a:ln w="19050" cap="rnd">
              <a:solidFill>
                <a:srgbClr val="8064A2"/>
              </a:solidFill>
              <a:round/>
            </a:ln>
            <a:effectLst/>
          </c:spPr>
          <c:marker>
            <c:symbol val="circle"/>
            <c:size val="5"/>
            <c:spPr>
              <a:solidFill>
                <a:srgbClr val="8064A2"/>
              </a:solidFill>
              <a:ln w="9525">
                <a:solidFill>
                  <a:srgbClr val="8064A2"/>
                </a:solidFill>
              </a:ln>
              <a:effectLst/>
            </c:spPr>
          </c:marker>
          <c:dLbls>
            <c:delete val="1"/>
          </c:dLbls>
          <c:cat>
            <c:strRef>
              <c:f>声环境作图!$H$14:$H$18</c:f>
              <c:strCache>
                <c:ptCount val="5"/>
                <c:pt idx="0">
                  <c:v>2019年</c:v>
                </c:pt>
                <c:pt idx="1">
                  <c:v>2020年</c:v>
                </c:pt>
                <c:pt idx="2">
                  <c:v>2021年</c:v>
                </c:pt>
                <c:pt idx="3">
                  <c:v>2022年</c:v>
                </c:pt>
                <c:pt idx="4">
                  <c:v>2023年</c:v>
                </c:pt>
              </c:strCache>
            </c:strRef>
          </c:cat>
          <c:val>
            <c:numRef>
              <c:f>声环境作图!$L$14:$L$18</c:f>
              <c:numCache>
                <c:formatCode>General</c:formatCode>
                <c:ptCount val="5"/>
                <c:pt idx="0">
                  <c:v>52.9</c:v>
                </c:pt>
                <c:pt idx="1">
                  <c:v>51.4</c:v>
                </c:pt>
                <c:pt idx="2">
                  <c:v>51.6</c:v>
                </c:pt>
                <c:pt idx="3">
                  <c:v>51.6</c:v>
                </c:pt>
                <c:pt idx="4">
                  <c:v>51.1875</c:v>
                </c:pt>
              </c:numCache>
            </c:numRef>
          </c:val>
          <c:smooth val="1"/>
        </c:ser>
        <c:dLbls>
          <c:showLegendKey val="0"/>
          <c:showVal val="0"/>
          <c:showCatName val="0"/>
          <c:showSerName val="0"/>
          <c:showPercent val="0"/>
          <c:showBubbleSize val="0"/>
        </c:dLbls>
        <c:marker val="1"/>
        <c:smooth val="1"/>
        <c:axId val="781548479"/>
        <c:axId val="275178639"/>
      </c:lineChart>
      <c:catAx>
        <c:axId val="781548479"/>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275178639"/>
        <c:crosses val="autoZero"/>
        <c:auto val="1"/>
        <c:lblAlgn val="ctr"/>
        <c:lblOffset val="100"/>
        <c:noMultiLvlLbl val="1"/>
      </c:catAx>
      <c:valAx>
        <c:axId val="275178639"/>
        <c:scaling>
          <c:orientation val="minMax"/>
          <c:min val="30"/>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solidFill>
                  </a:rPr>
                  <a:t>全年平均声级</a:t>
                </a:r>
                <a:r>
                  <a:rPr lang="en-US" altLang="zh-CN" sz="1000" b="0" i="0" u="none" strike="noStrike" kern="1200" baseline="0">
                    <a:solidFill>
                      <a:sysClr val="windowText" lastClr="000000"/>
                    </a:solidFill>
                  </a:rPr>
                  <a:t>(</a:t>
                </a:r>
                <a:r>
                  <a:rPr lang="zh-CN" altLang="en-US" sz="1000" b="0" i="0" u="none" strike="noStrike" kern="1200" baseline="0">
                    <a:solidFill>
                      <a:sysClr val="windowText" lastClr="000000"/>
                    </a:solidFill>
                  </a:rPr>
                  <a:t>单位：</a:t>
                </a:r>
                <a:r>
                  <a:rPr lang="en-US" altLang="zh-CN" sz="1000" b="0" i="0" u="none" strike="noStrike" kern="1200" baseline="0">
                    <a:solidFill>
                      <a:sysClr val="windowText" lastClr="000000"/>
                    </a:solidFill>
                  </a:rPr>
                  <a:t>dB(A))</a:t>
                </a:r>
                <a:endParaRPr lang="zh-CN" altLang="en-US" sz="1000" b="0" i="0" u="none" strike="noStrike" kern="1200" baseline="0">
                  <a:solidFill>
                    <a:sysClr val="windowText" lastClr="000000"/>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78154847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道路交通声环境</a:t>
            </a:r>
            <a:endParaRPr lang="zh-CN" altLang="en-US"/>
          </a:p>
        </c:rich>
      </c:tx>
      <c:layout/>
      <c:overlay val="0"/>
      <c:spPr>
        <a:noFill/>
        <a:ln>
          <a:noFill/>
        </a:ln>
        <a:effectLst/>
      </c:spPr>
    </c:title>
    <c:autoTitleDeleted val="0"/>
    <c:plotArea>
      <c:layout/>
      <c:lineChart>
        <c:grouping val="standard"/>
        <c:varyColors val="0"/>
        <c:ser>
          <c:idx val="0"/>
          <c:order val="0"/>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声环境作图!$C$30:$C$34</c:f>
              <c:strCache>
                <c:ptCount val="5"/>
                <c:pt idx="0">
                  <c:v>2019年</c:v>
                </c:pt>
                <c:pt idx="1">
                  <c:v>2020年</c:v>
                </c:pt>
                <c:pt idx="2">
                  <c:v>2021年</c:v>
                </c:pt>
                <c:pt idx="3">
                  <c:v>2022年</c:v>
                </c:pt>
                <c:pt idx="4">
                  <c:v>2023年</c:v>
                </c:pt>
              </c:strCache>
            </c:strRef>
          </c:cat>
          <c:val>
            <c:numRef>
              <c:f>声环境作图!$D$30:$D$34</c:f>
              <c:numCache>
                <c:formatCode>General</c:formatCode>
                <c:ptCount val="5"/>
                <c:pt idx="0">
                  <c:v>63.9</c:v>
                </c:pt>
                <c:pt idx="1">
                  <c:v>66.2</c:v>
                </c:pt>
                <c:pt idx="2">
                  <c:v>66.5</c:v>
                </c:pt>
                <c:pt idx="3">
                  <c:v>66.1</c:v>
                </c:pt>
                <c:pt idx="4">
                  <c:v>64.7</c:v>
                </c:pt>
              </c:numCache>
            </c:numRef>
          </c:val>
          <c:smooth val="1"/>
        </c:ser>
        <c:dLbls>
          <c:showLegendKey val="0"/>
          <c:showVal val="0"/>
          <c:showCatName val="0"/>
          <c:showSerName val="0"/>
          <c:showPercent val="0"/>
          <c:showBubbleSize val="0"/>
        </c:dLbls>
        <c:marker val="1"/>
        <c:smooth val="1"/>
        <c:axId val="532936927"/>
        <c:axId val="781573919"/>
      </c:lineChart>
      <c:catAx>
        <c:axId val="532936927"/>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781573919"/>
        <c:crosses val="autoZero"/>
        <c:auto val="1"/>
        <c:lblAlgn val="ctr"/>
        <c:lblOffset val="100"/>
        <c:noMultiLvlLbl val="1"/>
      </c:catAx>
      <c:valAx>
        <c:axId val="781573919"/>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solidFill>
                  </a:rPr>
                  <a:t>昼间平均声级</a:t>
                </a:r>
                <a:r>
                  <a:rPr lang="en-US" altLang="zh-CN" sz="1000" b="0" i="0" u="none" strike="noStrike" kern="1200" baseline="0">
                    <a:solidFill>
                      <a:sysClr val="windowText" lastClr="000000"/>
                    </a:solidFill>
                  </a:rPr>
                  <a:t>(</a:t>
                </a:r>
                <a:r>
                  <a:rPr lang="zh-CN" altLang="en-US" sz="1000" b="0" i="0" u="none" strike="noStrike" kern="1200" baseline="0">
                    <a:solidFill>
                      <a:sysClr val="windowText" lastClr="000000"/>
                    </a:solidFill>
                  </a:rPr>
                  <a:t>单位：</a:t>
                </a:r>
                <a:r>
                  <a:rPr lang="en-US" altLang="zh-CN" sz="1000" b="0" i="0" u="none" strike="noStrike" kern="1200" baseline="0">
                    <a:solidFill>
                      <a:sysClr val="windowText" lastClr="000000"/>
                    </a:solidFill>
                  </a:rPr>
                  <a:t>dB(A))</a:t>
                </a:r>
                <a:endParaRPr lang="zh-CN" altLang="en-US" sz="1000" b="0" i="0" u="none" strike="noStrike" kern="1200" baseline="0">
                  <a:solidFill>
                    <a:sysClr val="windowText" lastClr="000000"/>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532936927"/>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城市区域声环境</a:t>
            </a:r>
            <a:endParaRPr lang="zh-CN" altLang="en-US"/>
          </a:p>
        </c:rich>
      </c:tx>
      <c:layout/>
      <c:overlay val="0"/>
      <c:spPr>
        <a:noFill/>
        <a:ln>
          <a:noFill/>
        </a:ln>
        <a:effectLst/>
      </c:spPr>
    </c:title>
    <c:autoTitleDeleted val="0"/>
    <c:plotArea>
      <c:layout/>
      <c:lineChart>
        <c:grouping val="standard"/>
        <c:varyColors val="0"/>
        <c:ser>
          <c:idx val="0"/>
          <c:order val="0"/>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声环境作图!$C$39:$C$43</c:f>
              <c:strCache>
                <c:ptCount val="5"/>
                <c:pt idx="0">
                  <c:v>2019年</c:v>
                </c:pt>
                <c:pt idx="1">
                  <c:v>2020年</c:v>
                </c:pt>
                <c:pt idx="2">
                  <c:v>2021年</c:v>
                </c:pt>
                <c:pt idx="3">
                  <c:v>2022年</c:v>
                </c:pt>
                <c:pt idx="4">
                  <c:v>2023年</c:v>
                </c:pt>
              </c:strCache>
            </c:strRef>
          </c:cat>
          <c:val>
            <c:numRef>
              <c:f>声环境作图!$D$39:$D$43</c:f>
              <c:numCache>
                <c:formatCode>General</c:formatCode>
                <c:ptCount val="5"/>
                <c:pt idx="0">
                  <c:v>51.8</c:v>
                </c:pt>
                <c:pt idx="1">
                  <c:v>54.4</c:v>
                </c:pt>
                <c:pt idx="2">
                  <c:v>53.7</c:v>
                </c:pt>
                <c:pt idx="3">
                  <c:v>53.7</c:v>
                </c:pt>
                <c:pt idx="4">
                  <c:v>54</c:v>
                </c:pt>
              </c:numCache>
            </c:numRef>
          </c:val>
          <c:smooth val="1"/>
        </c:ser>
        <c:dLbls>
          <c:showLegendKey val="0"/>
          <c:showVal val="0"/>
          <c:showCatName val="0"/>
          <c:showSerName val="0"/>
          <c:showPercent val="0"/>
          <c:showBubbleSize val="0"/>
        </c:dLbls>
        <c:marker val="1"/>
        <c:smooth val="1"/>
        <c:axId val="1100026751"/>
        <c:axId val="1100032991"/>
      </c:lineChart>
      <c:catAx>
        <c:axId val="1100026751"/>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100032991"/>
        <c:crosses val="autoZero"/>
        <c:auto val="1"/>
        <c:lblAlgn val="ctr"/>
        <c:lblOffset val="100"/>
        <c:noMultiLvlLbl val="1"/>
      </c:catAx>
      <c:valAx>
        <c:axId val="1100032991"/>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solidFill>
                  </a:rPr>
                  <a:t>昼间平均声级</a:t>
                </a:r>
                <a:r>
                  <a:rPr lang="en-US" altLang="zh-CN" sz="1000" b="0" i="0" u="none" strike="noStrike" kern="1200" baseline="0">
                    <a:solidFill>
                      <a:sysClr val="windowText" lastClr="000000"/>
                    </a:solidFill>
                  </a:rPr>
                  <a:t>(</a:t>
                </a:r>
                <a:r>
                  <a:rPr lang="zh-CN" altLang="en-US" sz="1000" b="0" i="0" u="none" strike="noStrike" kern="1200" baseline="0">
                    <a:solidFill>
                      <a:sysClr val="windowText" lastClr="000000"/>
                    </a:solidFill>
                  </a:rPr>
                  <a:t>单位：</a:t>
                </a:r>
                <a:r>
                  <a:rPr lang="en-US" altLang="zh-CN" sz="1000" b="0" i="0" u="none" strike="noStrike" kern="1200" baseline="0">
                    <a:solidFill>
                      <a:sysClr val="windowText" lastClr="000000"/>
                    </a:solidFill>
                  </a:rPr>
                  <a:t>dB(A))</a:t>
                </a:r>
                <a:endParaRPr lang="zh-CN" altLang="en-US" sz="1000" b="0" i="0" u="none" strike="noStrike" kern="1200" baseline="0">
                  <a:solidFill>
                    <a:sysClr val="windowText" lastClr="000000"/>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100026751"/>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大气!$F$9</c:f>
              <c:strCache>
                <c:ptCount val="1"/>
                <c:pt idx="0">
                  <c:v>CO</c:v>
                </c:pt>
              </c:strCache>
            </c:strRef>
          </c:tx>
          <c:spPr>
            <a:ln w="28575"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大气!$I$4:$M$4</c:f>
              <c:strCache>
                <c:ptCount val="5"/>
                <c:pt idx="0">
                  <c:v>2019年</c:v>
                </c:pt>
                <c:pt idx="1">
                  <c:v>2020年</c:v>
                </c:pt>
                <c:pt idx="2">
                  <c:v>2021年</c:v>
                </c:pt>
                <c:pt idx="3">
                  <c:v>2022年</c:v>
                </c:pt>
                <c:pt idx="4">
                  <c:v>2023年</c:v>
                </c:pt>
              </c:strCache>
            </c:strRef>
          </c:cat>
          <c:val>
            <c:numRef>
              <c:f>大气!$I$9:$M$9</c:f>
              <c:numCache>
                <c:formatCode>General</c:formatCode>
                <c:ptCount val="5"/>
                <c:pt idx="0">
                  <c:v>0.8</c:v>
                </c:pt>
                <c:pt idx="1">
                  <c:v>0.8</c:v>
                </c:pt>
                <c:pt idx="2">
                  <c:v>1</c:v>
                </c:pt>
                <c:pt idx="3">
                  <c:v>1</c:v>
                </c:pt>
                <c:pt idx="4">
                  <c:v>1</c:v>
                </c:pt>
              </c:numCache>
            </c:numRef>
          </c:val>
          <c:smooth val="1"/>
        </c:ser>
        <c:dLbls>
          <c:showLegendKey val="0"/>
          <c:showVal val="0"/>
          <c:showCatName val="0"/>
          <c:showSerName val="0"/>
          <c:showPercent val="0"/>
          <c:showBubbleSize val="0"/>
        </c:dLbls>
        <c:marker val="1"/>
        <c:smooth val="1"/>
        <c:axId val="1624484319"/>
        <c:axId val="1414666239"/>
      </c:lineChart>
      <c:catAx>
        <c:axId val="1624484319"/>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414666239"/>
        <c:crosses val="autoZero"/>
        <c:auto val="1"/>
        <c:lblAlgn val="ctr"/>
        <c:lblOffset val="100"/>
        <c:noMultiLvlLbl val="1"/>
      </c:catAx>
      <c:valAx>
        <c:axId val="1414666239"/>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a:t>浓度（</a:t>
                </a:r>
                <a:r>
                  <a:rPr lang="en-US" altLang="zh-CN"/>
                  <a:t>mg/m3</a:t>
                </a:r>
                <a:endParaRPr lang="zh-CN" alt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62448431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高锰酸盐指数</a:t>
            </a:r>
            <a:endParaRPr lang="zh-CN" altLang="en-US"/>
          </a:p>
        </c:rich>
      </c:tx>
      <c:layout/>
      <c:overlay val="0"/>
      <c:spPr>
        <a:noFill/>
        <a:ln>
          <a:noFill/>
        </a:ln>
        <a:effectLst/>
      </c:spPr>
    </c:title>
    <c:autoTitleDeleted val="0"/>
    <c:plotArea>
      <c:layout/>
      <c:lineChart>
        <c:grouping val="standard"/>
        <c:varyColors val="0"/>
        <c:ser>
          <c:idx val="0"/>
          <c:order val="0"/>
          <c:tx>
            <c:strRef>
              <c:f>地表水作图!$C$7</c:f>
              <c:strCache>
                <c:ptCount val="1"/>
                <c:pt idx="0">
                  <c:v>沙溪</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地表水作图!$E$6:$I$6</c:f>
              <c:strCache>
                <c:ptCount val="5"/>
                <c:pt idx="0">
                  <c:v>2019年</c:v>
                </c:pt>
                <c:pt idx="1">
                  <c:v>2020年</c:v>
                </c:pt>
                <c:pt idx="2">
                  <c:v>2021年</c:v>
                </c:pt>
                <c:pt idx="3">
                  <c:v>2022年</c:v>
                </c:pt>
                <c:pt idx="4">
                  <c:v>2023年</c:v>
                </c:pt>
              </c:strCache>
            </c:strRef>
          </c:cat>
          <c:val>
            <c:numRef>
              <c:f>地表水作图!$E$7:$I$7</c:f>
              <c:numCache>
                <c:formatCode>General</c:formatCode>
                <c:ptCount val="5"/>
                <c:pt idx="0">
                  <c:v>1.94</c:v>
                </c:pt>
                <c:pt idx="1">
                  <c:v>1.32</c:v>
                </c:pt>
                <c:pt idx="2">
                  <c:v>1.38</c:v>
                </c:pt>
                <c:pt idx="3">
                  <c:v>1.36</c:v>
                </c:pt>
                <c:pt idx="4">
                  <c:v>1.82</c:v>
                </c:pt>
              </c:numCache>
            </c:numRef>
          </c:val>
          <c:smooth val="1"/>
        </c:ser>
        <c:ser>
          <c:idx val="1"/>
          <c:order val="1"/>
          <c:tx>
            <c:strRef>
              <c:f>地表水作图!$C$8</c:f>
              <c:strCache>
                <c:ptCount val="1"/>
                <c:pt idx="0">
                  <c:v>标准限值</c:v>
                </c:pt>
              </c:strCache>
            </c:strRef>
          </c:tx>
          <c:spPr>
            <a:ln w="19050"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地表水作图!$E$6:$I$6</c:f>
              <c:strCache>
                <c:ptCount val="5"/>
                <c:pt idx="0">
                  <c:v>2019年</c:v>
                </c:pt>
                <c:pt idx="1">
                  <c:v>2020年</c:v>
                </c:pt>
                <c:pt idx="2">
                  <c:v>2021年</c:v>
                </c:pt>
                <c:pt idx="3">
                  <c:v>2022年</c:v>
                </c:pt>
                <c:pt idx="4">
                  <c:v>2023年</c:v>
                </c:pt>
              </c:strCache>
            </c:strRef>
          </c:cat>
          <c:val>
            <c:numRef>
              <c:f>地表水作图!$E$8:$I$8</c:f>
              <c:numCache>
                <c:formatCode>General</c:formatCode>
                <c:ptCount val="5"/>
                <c:pt idx="0">
                  <c:v>4</c:v>
                </c:pt>
                <c:pt idx="1">
                  <c:v>4</c:v>
                </c:pt>
                <c:pt idx="2">
                  <c:v>4</c:v>
                </c:pt>
                <c:pt idx="3">
                  <c:v>4</c:v>
                </c:pt>
                <c:pt idx="4">
                  <c:v>4</c:v>
                </c:pt>
              </c:numCache>
            </c:numRef>
          </c:val>
          <c:smooth val="1"/>
        </c:ser>
        <c:dLbls>
          <c:showLegendKey val="0"/>
          <c:showVal val="0"/>
          <c:showCatName val="0"/>
          <c:showSerName val="0"/>
          <c:showPercent val="0"/>
          <c:showBubbleSize val="0"/>
        </c:dLbls>
        <c:marker val="1"/>
        <c:smooth val="1"/>
        <c:axId val="1624482399"/>
        <c:axId val="1624488639"/>
      </c:lineChart>
      <c:catAx>
        <c:axId val="1624482399"/>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624488639"/>
        <c:crosses val="autoZero"/>
        <c:auto val="1"/>
        <c:lblAlgn val="ctr"/>
        <c:lblOffset val="100"/>
        <c:noMultiLvlLbl val="1"/>
      </c:catAx>
      <c:valAx>
        <c:axId val="1624488639"/>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a:t>浓度（</a:t>
                </a:r>
                <a:r>
                  <a:rPr lang="en-US" altLang="zh-CN"/>
                  <a:t>mg/m3)</a:t>
                </a:r>
                <a:endParaRPr lang="zh-CN" altLang="en-US"/>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62448239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化学需氧量</a:t>
            </a:r>
            <a:endParaRPr lang="zh-CN" altLang="en-US"/>
          </a:p>
        </c:rich>
      </c:tx>
      <c:layout/>
      <c:overlay val="0"/>
      <c:spPr>
        <a:noFill/>
        <a:ln>
          <a:noFill/>
        </a:ln>
        <a:effectLst/>
      </c:spPr>
    </c:title>
    <c:autoTitleDeleted val="0"/>
    <c:plotArea>
      <c:layout/>
      <c:lineChart>
        <c:grouping val="standard"/>
        <c:varyColors val="0"/>
        <c:ser>
          <c:idx val="0"/>
          <c:order val="0"/>
          <c:tx>
            <c:strRef>
              <c:f>地表水作图!$C$9</c:f>
              <c:strCache>
                <c:ptCount val="1"/>
                <c:pt idx="0">
                  <c:v>沙溪</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地表水作图!$E$6:$I$6</c:f>
              <c:strCache>
                <c:ptCount val="5"/>
                <c:pt idx="0">
                  <c:v>2019年</c:v>
                </c:pt>
                <c:pt idx="1">
                  <c:v>2020年</c:v>
                </c:pt>
                <c:pt idx="2">
                  <c:v>2021年</c:v>
                </c:pt>
                <c:pt idx="3">
                  <c:v>2022年</c:v>
                </c:pt>
                <c:pt idx="4">
                  <c:v>2023年</c:v>
                </c:pt>
              </c:strCache>
            </c:strRef>
          </c:cat>
          <c:val>
            <c:numRef>
              <c:f>地表水作图!$E$9:$I$9</c:f>
              <c:numCache>
                <c:formatCode>General</c:formatCode>
                <c:ptCount val="5"/>
                <c:pt idx="0">
                  <c:v>7.42</c:v>
                </c:pt>
                <c:pt idx="1">
                  <c:v>7.11</c:v>
                </c:pt>
                <c:pt idx="2">
                  <c:v>7.9</c:v>
                </c:pt>
                <c:pt idx="3">
                  <c:v>8.08</c:v>
                </c:pt>
                <c:pt idx="4">
                  <c:v>8.3</c:v>
                </c:pt>
              </c:numCache>
            </c:numRef>
          </c:val>
          <c:smooth val="1"/>
        </c:ser>
        <c:ser>
          <c:idx val="1"/>
          <c:order val="1"/>
          <c:tx>
            <c:strRef>
              <c:f>地表水作图!$C$10</c:f>
              <c:strCache>
                <c:ptCount val="1"/>
                <c:pt idx="0">
                  <c:v>标准限值</c:v>
                </c:pt>
              </c:strCache>
            </c:strRef>
          </c:tx>
          <c:spPr>
            <a:ln w="19050"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地表水作图!$E$6:$I$6</c:f>
              <c:strCache>
                <c:ptCount val="5"/>
                <c:pt idx="0">
                  <c:v>2019年</c:v>
                </c:pt>
                <c:pt idx="1">
                  <c:v>2020年</c:v>
                </c:pt>
                <c:pt idx="2">
                  <c:v>2021年</c:v>
                </c:pt>
                <c:pt idx="3">
                  <c:v>2022年</c:v>
                </c:pt>
                <c:pt idx="4">
                  <c:v>2023年</c:v>
                </c:pt>
              </c:strCache>
            </c:strRef>
          </c:cat>
          <c:val>
            <c:numRef>
              <c:f>地表水作图!$E$10:$I$10</c:f>
              <c:numCache>
                <c:formatCode>General</c:formatCode>
                <c:ptCount val="5"/>
                <c:pt idx="0">
                  <c:v>15</c:v>
                </c:pt>
                <c:pt idx="1">
                  <c:v>15</c:v>
                </c:pt>
                <c:pt idx="2">
                  <c:v>15</c:v>
                </c:pt>
                <c:pt idx="3">
                  <c:v>15</c:v>
                </c:pt>
                <c:pt idx="4">
                  <c:v>15</c:v>
                </c:pt>
              </c:numCache>
            </c:numRef>
          </c:val>
          <c:smooth val="1"/>
        </c:ser>
        <c:dLbls>
          <c:showLegendKey val="0"/>
          <c:showVal val="0"/>
          <c:showCatName val="0"/>
          <c:showSerName val="0"/>
          <c:showPercent val="0"/>
          <c:showBubbleSize val="0"/>
        </c:dLbls>
        <c:marker val="1"/>
        <c:smooth val="1"/>
        <c:axId val="1411529567"/>
        <c:axId val="1411532927"/>
      </c:lineChart>
      <c:catAx>
        <c:axId val="1411529567"/>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411532927"/>
        <c:crosses val="autoZero"/>
        <c:auto val="1"/>
        <c:lblAlgn val="ctr"/>
        <c:lblOffset val="100"/>
        <c:noMultiLvlLbl val="1"/>
      </c:catAx>
      <c:valAx>
        <c:axId val="1411532927"/>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lumMod val="65000"/>
                        <a:lumOff val="35000"/>
                      </a:sysClr>
                    </a:solidFill>
                  </a:rPr>
                  <a:t>浓度（</a:t>
                </a:r>
                <a:r>
                  <a:rPr lang="en-US" altLang="zh-CN" sz="1000" b="0" i="0" u="none" strike="noStrike" kern="1200" baseline="0">
                    <a:solidFill>
                      <a:sysClr val="windowText" lastClr="000000">
                        <a:lumMod val="65000"/>
                        <a:lumOff val="35000"/>
                      </a:sysClr>
                    </a:solidFill>
                  </a:rPr>
                  <a:t>mg/m3)</a:t>
                </a:r>
                <a:endParaRPr lang="zh-CN" altLang="en-US" sz="1000" b="0" i="0" u="none" strike="noStrike" kern="1200" baseline="0">
                  <a:solidFill>
                    <a:sysClr val="windowText" lastClr="000000">
                      <a:lumMod val="65000"/>
                      <a:lumOff val="35000"/>
                    </a:sysClr>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41152956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氨氮</a:t>
            </a:r>
            <a:endParaRPr lang="zh-CN" altLang="en-US"/>
          </a:p>
        </c:rich>
      </c:tx>
      <c:layout/>
      <c:overlay val="0"/>
      <c:spPr>
        <a:noFill/>
        <a:ln>
          <a:noFill/>
        </a:ln>
        <a:effectLst/>
      </c:spPr>
    </c:title>
    <c:autoTitleDeleted val="0"/>
    <c:plotArea>
      <c:layout/>
      <c:lineChart>
        <c:grouping val="standard"/>
        <c:varyColors val="0"/>
        <c:ser>
          <c:idx val="0"/>
          <c:order val="0"/>
          <c:tx>
            <c:strRef>
              <c:f>地表水作图!$C$11</c:f>
              <c:strCache>
                <c:ptCount val="1"/>
                <c:pt idx="0">
                  <c:v>沙溪</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地表水作图!$E$6:$I$6</c:f>
              <c:strCache>
                <c:ptCount val="5"/>
                <c:pt idx="0">
                  <c:v>2019年</c:v>
                </c:pt>
                <c:pt idx="1">
                  <c:v>2020年</c:v>
                </c:pt>
                <c:pt idx="2">
                  <c:v>2021年</c:v>
                </c:pt>
                <c:pt idx="3">
                  <c:v>2022年</c:v>
                </c:pt>
                <c:pt idx="4">
                  <c:v>2023年</c:v>
                </c:pt>
              </c:strCache>
            </c:strRef>
          </c:cat>
          <c:val>
            <c:numRef>
              <c:f>地表水作图!$E$11:$I$11</c:f>
              <c:numCache>
                <c:formatCode>General</c:formatCode>
                <c:ptCount val="5"/>
                <c:pt idx="0">
                  <c:v>0.05</c:v>
                </c:pt>
                <c:pt idx="1">
                  <c:v>0.13</c:v>
                </c:pt>
                <c:pt idx="2">
                  <c:v>0.11</c:v>
                </c:pt>
                <c:pt idx="3">
                  <c:v>0.02</c:v>
                </c:pt>
                <c:pt idx="4" c:formatCode="0.00_);[Red]\(0.00\)">
                  <c:v>0.0936</c:v>
                </c:pt>
              </c:numCache>
            </c:numRef>
          </c:val>
          <c:smooth val="1"/>
        </c:ser>
        <c:ser>
          <c:idx val="1"/>
          <c:order val="1"/>
          <c:tx>
            <c:strRef>
              <c:f>地表水作图!$C$12</c:f>
              <c:strCache>
                <c:ptCount val="1"/>
                <c:pt idx="0">
                  <c:v>标准限值</c:v>
                </c:pt>
              </c:strCache>
            </c:strRef>
          </c:tx>
          <c:spPr>
            <a:ln w="19050"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地表水作图!$E$6:$I$6</c:f>
              <c:strCache>
                <c:ptCount val="5"/>
                <c:pt idx="0">
                  <c:v>2019年</c:v>
                </c:pt>
                <c:pt idx="1">
                  <c:v>2020年</c:v>
                </c:pt>
                <c:pt idx="2">
                  <c:v>2021年</c:v>
                </c:pt>
                <c:pt idx="3">
                  <c:v>2022年</c:v>
                </c:pt>
                <c:pt idx="4">
                  <c:v>2023年</c:v>
                </c:pt>
              </c:strCache>
            </c:strRef>
          </c:cat>
          <c:val>
            <c:numRef>
              <c:f>地表水作图!$E$12:$I$12</c:f>
              <c:numCache>
                <c:formatCode>General</c:formatCode>
                <c:ptCount val="5"/>
                <c:pt idx="0">
                  <c:v>0.5</c:v>
                </c:pt>
                <c:pt idx="1">
                  <c:v>0.5</c:v>
                </c:pt>
                <c:pt idx="2">
                  <c:v>0.5</c:v>
                </c:pt>
                <c:pt idx="3">
                  <c:v>0.5</c:v>
                </c:pt>
                <c:pt idx="4">
                  <c:v>0.5</c:v>
                </c:pt>
              </c:numCache>
            </c:numRef>
          </c:val>
          <c:smooth val="1"/>
        </c:ser>
        <c:dLbls>
          <c:showLegendKey val="0"/>
          <c:showVal val="0"/>
          <c:showCatName val="0"/>
          <c:showSerName val="0"/>
          <c:showPercent val="0"/>
          <c:showBubbleSize val="0"/>
        </c:dLbls>
        <c:marker val="1"/>
        <c:smooth val="1"/>
        <c:axId val="155544175"/>
        <c:axId val="155544655"/>
      </c:lineChart>
      <c:catAx>
        <c:axId val="155544175"/>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55544655"/>
        <c:crosses val="autoZero"/>
        <c:auto val="1"/>
        <c:lblAlgn val="ctr"/>
        <c:lblOffset val="100"/>
        <c:noMultiLvlLbl val="1"/>
      </c:catAx>
      <c:valAx>
        <c:axId val="155544655"/>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lumMod val="65000"/>
                        <a:lumOff val="35000"/>
                      </a:sysClr>
                    </a:solidFill>
                  </a:rPr>
                  <a:t>浓度（</a:t>
                </a:r>
                <a:r>
                  <a:rPr lang="en-US" altLang="zh-CN" sz="1000" b="0" i="0" u="none" strike="noStrike" kern="1200" baseline="0">
                    <a:solidFill>
                      <a:sysClr val="windowText" lastClr="000000">
                        <a:lumMod val="65000"/>
                        <a:lumOff val="35000"/>
                      </a:sysClr>
                    </a:solidFill>
                  </a:rPr>
                  <a:t>mg/m3)</a:t>
                </a:r>
                <a:endParaRPr lang="zh-CN" altLang="en-US" sz="1000" b="0" i="0" u="none" strike="noStrike" kern="1200" baseline="0">
                  <a:solidFill>
                    <a:sysClr val="windowText" lastClr="000000">
                      <a:lumMod val="65000"/>
                      <a:lumOff val="35000"/>
                    </a:sysClr>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5554417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总磷</a:t>
            </a:r>
            <a:endParaRPr lang="zh-CN" altLang="en-US"/>
          </a:p>
        </c:rich>
      </c:tx>
      <c:layout/>
      <c:overlay val="0"/>
      <c:spPr>
        <a:noFill/>
        <a:ln>
          <a:noFill/>
        </a:ln>
        <a:effectLst/>
      </c:spPr>
    </c:title>
    <c:autoTitleDeleted val="0"/>
    <c:plotArea>
      <c:layout/>
      <c:lineChart>
        <c:grouping val="standard"/>
        <c:varyColors val="0"/>
        <c:ser>
          <c:idx val="0"/>
          <c:order val="0"/>
          <c:tx>
            <c:strRef>
              <c:f>地表水作图!$C$13</c:f>
              <c:strCache>
                <c:ptCount val="1"/>
                <c:pt idx="0">
                  <c:v>沙溪</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地表水作图!$E$6:$I$6</c:f>
              <c:strCache>
                <c:ptCount val="5"/>
                <c:pt idx="0">
                  <c:v>2019年</c:v>
                </c:pt>
                <c:pt idx="1">
                  <c:v>2020年</c:v>
                </c:pt>
                <c:pt idx="2">
                  <c:v>2021年</c:v>
                </c:pt>
                <c:pt idx="3">
                  <c:v>2022年</c:v>
                </c:pt>
                <c:pt idx="4">
                  <c:v>2023年</c:v>
                </c:pt>
              </c:strCache>
            </c:strRef>
          </c:cat>
          <c:val>
            <c:numRef>
              <c:f>地表水作图!$E$13:$I$13</c:f>
              <c:numCache>
                <c:formatCode>General</c:formatCode>
                <c:ptCount val="5"/>
                <c:pt idx="0">
                  <c:v>0.02</c:v>
                </c:pt>
                <c:pt idx="1">
                  <c:v>0.02</c:v>
                </c:pt>
                <c:pt idx="2">
                  <c:v>0.02</c:v>
                </c:pt>
                <c:pt idx="3">
                  <c:v>0.01</c:v>
                </c:pt>
                <c:pt idx="4">
                  <c:v>0.02</c:v>
                </c:pt>
              </c:numCache>
            </c:numRef>
          </c:val>
          <c:smooth val="1"/>
        </c:ser>
        <c:ser>
          <c:idx val="1"/>
          <c:order val="1"/>
          <c:tx>
            <c:strRef>
              <c:f>地表水作图!$C$14</c:f>
              <c:strCache>
                <c:ptCount val="1"/>
                <c:pt idx="0">
                  <c:v>标准限值</c:v>
                </c:pt>
              </c:strCache>
            </c:strRef>
          </c:tx>
          <c:spPr>
            <a:ln w="19050"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地表水作图!$E$6:$I$6</c:f>
              <c:strCache>
                <c:ptCount val="5"/>
                <c:pt idx="0">
                  <c:v>2019年</c:v>
                </c:pt>
                <c:pt idx="1">
                  <c:v>2020年</c:v>
                </c:pt>
                <c:pt idx="2">
                  <c:v>2021年</c:v>
                </c:pt>
                <c:pt idx="3">
                  <c:v>2022年</c:v>
                </c:pt>
                <c:pt idx="4">
                  <c:v>2023年</c:v>
                </c:pt>
              </c:strCache>
            </c:strRef>
          </c:cat>
          <c:val>
            <c:numRef>
              <c:f>地表水作图!$E$14:$I$14</c:f>
              <c:numCache>
                <c:formatCode>General</c:formatCode>
                <c:ptCount val="5"/>
                <c:pt idx="0">
                  <c:v>0.1</c:v>
                </c:pt>
                <c:pt idx="1">
                  <c:v>0.1</c:v>
                </c:pt>
                <c:pt idx="2">
                  <c:v>0.1</c:v>
                </c:pt>
                <c:pt idx="3">
                  <c:v>0.1</c:v>
                </c:pt>
                <c:pt idx="4">
                  <c:v>0.1</c:v>
                </c:pt>
              </c:numCache>
            </c:numRef>
          </c:val>
          <c:smooth val="1"/>
        </c:ser>
        <c:dLbls>
          <c:showLegendKey val="0"/>
          <c:showVal val="0"/>
          <c:showCatName val="0"/>
          <c:showSerName val="0"/>
          <c:showPercent val="0"/>
          <c:showBubbleSize val="0"/>
        </c:dLbls>
        <c:marker val="1"/>
        <c:smooth val="1"/>
        <c:axId val="2102877823"/>
        <c:axId val="1411529567"/>
      </c:lineChart>
      <c:catAx>
        <c:axId val="2102877823"/>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411529567"/>
        <c:crosses val="autoZero"/>
        <c:auto val="1"/>
        <c:lblAlgn val="ctr"/>
        <c:lblOffset val="100"/>
        <c:noMultiLvlLbl val="1"/>
      </c:catAx>
      <c:valAx>
        <c:axId val="1411529567"/>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lumMod val="65000"/>
                        <a:lumOff val="35000"/>
                      </a:sysClr>
                    </a:solidFill>
                  </a:rPr>
                  <a:t>浓度（</a:t>
                </a:r>
                <a:r>
                  <a:rPr lang="en-US" altLang="zh-CN" sz="1000" b="0" i="0" u="none" strike="noStrike" kern="1200" baseline="0">
                    <a:solidFill>
                      <a:sysClr val="windowText" lastClr="000000">
                        <a:lumMod val="65000"/>
                        <a:lumOff val="35000"/>
                      </a:sysClr>
                    </a:solidFill>
                  </a:rPr>
                  <a:t>mg/m3)</a:t>
                </a:r>
                <a:endParaRPr lang="zh-CN" altLang="en-US" sz="1000" b="0" i="0" u="none" strike="noStrike" kern="1200" baseline="0">
                  <a:solidFill>
                    <a:sysClr val="windowText" lastClr="000000">
                      <a:lumMod val="65000"/>
                      <a:lumOff val="35000"/>
                    </a:sysClr>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210287782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总氮</a:t>
            </a:r>
            <a:endParaRPr lang="zh-CN" altLang="en-US"/>
          </a:p>
        </c:rich>
      </c:tx>
      <c:layout/>
      <c:overlay val="0"/>
      <c:spPr>
        <a:noFill/>
        <a:ln>
          <a:noFill/>
        </a:ln>
        <a:effectLst/>
      </c:spPr>
    </c:title>
    <c:autoTitleDeleted val="0"/>
    <c:plotArea>
      <c:layout/>
      <c:lineChart>
        <c:grouping val="standard"/>
        <c:varyColors val="0"/>
        <c:ser>
          <c:idx val="0"/>
          <c:order val="0"/>
          <c:tx>
            <c:strRef>
              <c:f>地表水作图!$C$15</c:f>
              <c:strCache>
                <c:ptCount val="1"/>
                <c:pt idx="0">
                  <c:v>沙溪</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地表水作图!$E$6:$I$6</c:f>
              <c:strCache>
                <c:ptCount val="5"/>
                <c:pt idx="0">
                  <c:v>2019年</c:v>
                </c:pt>
                <c:pt idx="1">
                  <c:v>2020年</c:v>
                </c:pt>
                <c:pt idx="2">
                  <c:v>2021年</c:v>
                </c:pt>
                <c:pt idx="3">
                  <c:v>2022年</c:v>
                </c:pt>
                <c:pt idx="4">
                  <c:v>2023年</c:v>
                </c:pt>
              </c:strCache>
            </c:strRef>
          </c:cat>
          <c:val>
            <c:numRef>
              <c:f>地表水作图!$E$15:$I$15</c:f>
              <c:numCache>
                <c:formatCode>General</c:formatCode>
                <c:ptCount val="5"/>
                <c:pt idx="0">
                  <c:v>1.35</c:v>
                </c:pt>
                <c:pt idx="1">
                  <c:v>1.37</c:v>
                </c:pt>
                <c:pt idx="2">
                  <c:v>1.16</c:v>
                </c:pt>
                <c:pt idx="3">
                  <c:v>0.69</c:v>
                </c:pt>
              </c:numCache>
            </c:numRef>
          </c:val>
          <c:smooth val="1"/>
        </c:ser>
        <c:dLbls>
          <c:showLegendKey val="0"/>
          <c:showVal val="0"/>
          <c:showCatName val="0"/>
          <c:showSerName val="0"/>
          <c:showPercent val="0"/>
          <c:showBubbleSize val="0"/>
        </c:dLbls>
        <c:marker val="1"/>
        <c:smooth val="1"/>
        <c:axId val="166745903"/>
        <c:axId val="166747343"/>
      </c:lineChart>
      <c:catAx>
        <c:axId val="166745903"/>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66747343"/>
        <c:crosses val="autoZero"/>
        <c:auto val="1"/>
        <c:lblAlgn val="ctr"/>
        <c:lblOffset val="100"/>
        <c:noMultiLvlLbl val="1"/>
      </c:catAx>
      <c:valAx>
        <c:axId val="166747343"/>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lumMod val="65000"/>
                        <a:lumOff val="35000"/>
                      </a:sysClr>
                    </a:solidFill>
                  </a:rPr>
                  <a:t>浓度（</a:t>
                </a:r>
                <a:r>
                  <a:rPr lang="en-US" altLang="zh-CN" sz="1000" b="0" i="0" u="none" strike="noStrike" kern="1200" baseline="0">
                    <a:solidFill>
                      <a:sysClr val="windowText" lastClr="000000">
                        <a:lumMod val="65000"/>
                        <a:lumOff val="35000"/>
                      </a:sysClr>
                    </a:solidFill>
                  </a:rPr>
                  <a:t>mg/m3)</a:t>
                </a:r>
                <a:endParaRPr lang="zh-CN" altLang="en-US" sz="1000" b="0" i="0" u="none" strike="noStrike" kern="1200" baseline="0">
                  <a:solidFill>
                    <a:sysClr val="windowText" lastClr="000000">
                      <a:lumMod val="65000"/>
                      <a:lumOff val="35000"/>
                    </a:sysClr>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66745903"/>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五日生化需氧量</a:t>
            </a:r>
            <a:endParaRPr lang="zh-CN" altLang="en-US"/>
          </a:p>
        </c:rich>
      </c:tx>
      <c:layout/>
      <c:overlay val="0"/>
      <c:spPr>
        <a:noFill/>
        <a:ln>
          <a:noFill/>
        </a:ln>
        <a:effectLst/>
      </c:spPr>
    </c:title>
    <c:autoTitleDeleted val="0"/>
    <c:plotArea>
      <c:layout/>
      <c:lineChart>
        <c:grouping val="standard"/>
        <c:varyColors val="0"/>
        <c:ser>
          <c:idx val="0"/>
          <c:order val="0"/>
          <c:tx>
            <c:strRef>
              <c:f>地表水作图!$C$16</c:f>
              <c:strCache>
                <c:ptCount val="1"/>
                <c:pt idx="0">
                  <c:v>沙溪</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地表水作图!$E$6:$I$6</c:f>
              <c:strCache>
                <c:ptCount val="5"/>
                <c:pt idx="0">
                  <c:v>2019年</c:v>
                </c:pt>
                <c:pt idx="1">
                  <c:v>2020年</c:v>
                </c:pt>
                <c:pt idx="2">
                  <c:v>2021年</c:v>
                </c:pt>
                <c:pt idx="3">
                  <c:v>2022年</c:v>
                </c:pt>
                <c:pt idx="4">
                  <c:v>2023年</c:v>
                </c:pt>
              </c:strCache>
            </c:strRef>
          </c:cat>
          <c:val>
            <c:numRef>
              <c:f>地表水作图!$E$16:$I$16</c:f>
              <c:numCache>
                <c:formatCode>General</c:formatCode>
                <c:ptCount val="5"/>
                <c:pt idx="0">
                  <c:v>0.53</c:v>
                </c:pt>
                <c:pt idx="1">
                  <c:v>0.54</c:v>
                </c:pt>
                <c:pt idx="2">
                  <c:v>0.63</c:v>
                </c:pt>
                <c:pt idx="3">
                  <c:v>0.8</c:v>
                </c:pt>
                <c:pt idx="4">
                  <c:v>1.28</c:v>
                </c:pt>
              </c:numCache>
            </c:numRef>
          </c:val>
          <c:smooth val="1"/>
        </c:ser>
        <c:ser>
          <c:idx val="1"/>
          <c:order val="1"/>
          <c:tx>
            <c:strRef>
              <c:f>地表水作图!$C$17</c:f>
              <c:strCache>
                <c:ptCount val="1"/>
                <c:pt idx="0">
                  <c:v>标准限值</c:v>
                </c:pt>
              </c:strCache>
            </c:strRef>
          </c:tx>
          <c:spPr>
            <a:ln w="19050"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地表水作图!$E$6:$I$6</c:f>
              <c:strCache>
                <c:ptCount val="5"/>
                <c:pt idx="0">
                  <c:v>2019年</c:v>
                </c:pt>
                <c:pt idx="1">
                  <c:v>2020年</c:v>
                </c:pt>
                <c:pt idx="2">
                  <c:v>2021年</c:v>
                </c:pt>
                <c:pt idx="3">
                  <c:v>2022年</c:v>
                </c:pt>
                <c:pt idx="4">
                  <c:v>2023年</c:v>
                </c:pt>
              </c:strCache>
            </c:strRef>
          </c:cat>
          <c:val>
            <c:numRef>
              <c:f>地表水作图!$E$17:$I$17</c:f>
              <c:numCache>
                <c:formatCode>General</c:formatCode>
                <c:ptCount val="5"/>
                <c:pt idx="0">
                  <c:v>3</c:v>
                </c:pt>
                <c:pt idx="1">
                  <c:v>3</c:v>
                </c:pt>
                <c:pt idx="2">
                  <c:v>3</c:v>
                </c:pt>
                <c:pt idx="3">
                  <c:v>3</c:v>
                </c:pt>
                <c:pt idx="4">
                  <c:v>3</c:v>
                </c:pt>
              </c:numCache>
            </c:numRef>
          </c:val>
          <c:smooth val="1"/>
        </c:ser>
        <c:dLbls>
          <c:showLegendKey val="0"/>
          <c:showVal val="0"/>
          <c:showCatName val="0"/>
          <c:showSerName val="0"/>
          <c:showPercent val="0"/>
          <c:showBubbleSize val="0"/>
        </c:dLbls>
        <c:marker val="1"/>
        <c:smooth val="1"/>
        <c:axId val="1872056463"/>
        <c:axId val="1872057903"/>
      </c:lineChart>
      <c:catAx>
        <c:axId val="1872056463"/>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872057903"/>
        <c:crosses val="autoZero"/>
        <c:auto val="1"/>
        <c:lblAlgn val="ctr"/>
        <c:lblOffset val="100"/>
        <c:noMultiLvlLbl val="1"/>
      </c:catAx>
      <c:valAx>
        <c:axId val="1872057903"/>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lumMod val="65000"/>
                        <a:lumOff val="35000"/>
                      </a:sysClr>
                    </a:solidFill>
                  </a:rPr>
                  <a:t>浓度（</a:t>
                </a:r>
                <a:r>
                  <a:rPr lang="en-US" altLang="zh-CN" sz="1000" b="0" i="0" u="none" strike="noStrike" kern="1200" baseline="0">
                    <a:solidFill>
                      <a:sysClr val="windowText" lastClr="000000">
                        <a:lumMod val="65000"/>
                        <a:lumOff val="35000"/>
                      </a:sysClr>
                    </a:solidFill>
                  </a:rPr>
                  <a:t>mg/m3)</a:t>
                </a:r>
                <a:endParaRPr lang="zh-CN" altLang="en-US" sz="1000" b="0" i="0" u="none" strike="noStrike" kern="1200" baseline="0">
                  <a:solidFill>
                    <a:sysClr val="windowText" lastClr="000000">
                      <a:lumMod val="65000"/>
                      <a:lumOff val="35000"/>
                    </a:sysClr>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87205646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zh-CN" altLang="en-US"/>
              <a:t>高锰酸盐指数</a:t>
            </a:r>
            <a:endParaRPr lang="zh-CN" altLang="en-US"/>
          </a:p>
        </c:rich>
      </c:tx>
      <c:layout/>
      <c:overlay val="0"/>
      <c:spPr>
        <a:noFill/>
        <a:ln>
          <a:noFill/>
        </a:ln>
        <a:effectLst/>
      </c:spPr>
    </c:title>
    <c:autoTitleDeleted val="0"/>
    <c:plotArea>
      <c:layout/>
      <c:lineChart>
        <c:grouping val="standard"/>
        <c:varyColors val="0"/>
        <c:ser>
          <c:idx val="0"/>
          <c:order val="0"/>
          <c:tx>
            <c:strRef>
              <c:f>地表水作图!$C$28</c:f>
              <c:strCache>
                <c:ptCount val="1"/>
                <c:pt idx="0">
                  <c:v>金银渡</c:v>
                </c:pt>
              </c:strCache>
            </c:strRef>
          </c:tx>
          <c:spPr>
            <a:ln w="19050"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地表水作图!$E$27:$G$27</c:f>
              <c:strCache>
                <c:ptCount val="3"/>
                <c:pt idx="0">
                  <c:v>2021年</c:v>
                </c:pt>
                <c:pt idx="1">
                  <c:v>2022年</c:v>
                </c:pt>
                <c:pt idx="2">
                  <c:v>2023年</c:v>
                </c:pt>
              </c:strCache>
            </c:strRef>
          </c:cat>
          <c:val>
            <c:numRef>
              <c:f>地表水作图!$E$28:$G$28</c:f>
              <c:numCache>
                <c:formatCode>General</c:formatCode>
                <c:ptCount val="3"/>
                <c:pt idx="0">
                  <c:v>1.7</c:v>
                </c:pt>
                <c:pt idx="1">
                  <c:v>1.6</c:v>
                </c:pt>
                <c:pt idx="2">
                  <c:v>1.38</c:v>
                </c:pt>
              </c:numCache>
            </c:numRef>
          </c:val>
          <c:smooth val="1"/>
        </c:ser>
        <c:ser>
          <c:idx val="1"/>
          <c:order val="1"/>
          <c:tx>
            <c:strRef>
              <c:f>地表水作图!$C$29</c:f>
              <c:strCache>
                <c:ptCount val="1"/>
                <c:pt idx="0">
                  <c:v>标准限值</c:v>
                </c:pt>
              </c:strCache>
            </c:strRef>
          </c:tx>
          <c:spPr>
            <a:ln w="19050"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地表水作图!$E$27:$G$27</c:f>
              <c:strCache>
                <c:ptCount val="3"/>
                <c:pt idx="0">
                  <c:v>2021年</c:v>
                </c:pt>
                <c:pt idx="1">
                  <c:v>2022年</c:v>
                </c:pt>
                <c:pt idx="2">
                  <c:v>2023年</c:v>
                </c:pt>
              </c:strCache>
            </c:strRef>
          </c:cat>
          <c:val>
            <c:numRef>
              <c:f>地表水作图!$E$29:$G$29</c:f>
              <c:numCache>
                <c:formatCode>General</c:formatCode>
                <c:ptCount val="3"/>
                <c:pt idx="0">
                  <c:v>6</c:v>
                </c:pt>
                <c:pt idx="1">
                  <c:v>6</c:v>
                </c:pt>
                <c:pt idx="2">
                  <c:v>6</c:v>
                </c:pt>
              </c:numCache>
            </c:numRef>
          </c:val>
          <c:smooth val="1"/>
        </c:ser>
        <c:dLbls>
          <c:showLegendKey val="0"/>
          <c:showVal val="0"/>
          <c:showCatName val="0"/>
          <c:showSerName val="0"/>
          <c:showPercent val="0"/>
          <c:showBubbleSize val="0"/>
        </c:dLbls>
        <c:marker val="1"/>
        <c:smooth val="1"/>
        <c:axId val="1902749023"/>
        <c:axId val="1902748543"/>
      </c:lineChart>
      <c:catAx>
        <c:axId val="1902749023"/>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902748543"/>
        <c:crosses val="autoZero"/>
        <c:auto val="1"/>
        <c:lblAlgn val="ctr"/>
        <c:lblOffset val="100"/>
        <c:noMultiLvlLbl val="1"/>
      </c:catAx>
      <c:valAx>
        <c:axId val="1902748543"/>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zh-CN" altLang="en-US" sz="1000" b="0" i="0" u="none" strike="noStrike" kern="1200" baseline="0">
                    <a:solidFill>
                      <a:sysClr val="windowText" lastClr="000000">
                        <a:lumMod val="65000"/>
                        <a:lumOff val="35000"/>
                      </a:sysClr>
                    </a:solidFill>
                  </a:rPr>
                  <a:t>浓度（</a:t>
                </a:r>
                <a:r>
                  <a:rPr lang="en-US" altLang="zh-CN" sz="1000" b="0" i="0" u="none" strike="noStrike" kern="1200" baseline="0">
                    <a:solidFill>
                      <a:sysClr val="windowText" lastClr="000000">
                        <a:lumMod val="65000"/>
                        <a:lumOff val="35000"/>
                      </a:sysClr>
                    </a:solidFill>
                  </a:rPr>
                  <a:t>mg/m3)</a:t>
                </a:r>
                <a:endParaRPr lang="zh-CN" altLang="en-US" sz="1000" b="0" i="0" u="none" strike="noStrike" kern="1200" baseline="0">
                  <a:solidFill>
                    <a:sysClr val="windowText" lastClr="000000">
                      <a:lumMod val="65000"/>
                      <a:lumOff val="35000"/>
                    </a:sysClr>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90274902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19050"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spPr>
      <a:ln w="9525" cap="flat" cmpd="sng" algn="ctr">
        <a:solidFill>
          <a:sysClr val="windowText" lastClr="000000">
            <a:lumMod val="25000"/>
            <a:lumOff val="75000"/>
          </a:sysClr>
        </a:solidFill>
        <a:round/>
      </a:ln>
    </cs:spPr>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B3C5C7-1C53-41B6-96D6-031BFD7566A1}">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27</Pages>
  <Words>3372</Words>
  <Characters>19224</Characters>
  <Lines>160</Lines>
  <Paragraphs>45</Paragraphs>
  <TotalTime>10</TotalTime>
  <ScaleCrop>false</ScaleCrop>
  <LinksUpToDate>false</LinksUpToDate>
  <CharactersWithSpaces>22551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2023-11-15T07:14:00Z</dcterms:created>
  <dc:creator>AutoBVT</dc:creator>
  <cp:lastModifiedBy>waiting</cp:lastModifiedBy>
  <cp:lastPrinted>2022-05-26T11:16:00Z</cp:lastPrinted>
  <dcterms:modified xsi:type="dcterms:W3CDTF">2024-03-29T09:45:11Z</dcterms:modified>
  <cp:revision>317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AECFBF912E614AE59F657E46788297D5_13</vt:lpwstr>
  </property>
</Properties>
</file>