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00" w:lineRule="exact"/>
        <w:jc w:val="both"/>
        <w:rPr>
          <w:rFonts w:hint="default"/>
          <w:color w:val="000000"/>
          <w:sz w:val="24"/>
          <w:lang w:val="en-US" w:eastAsia="zh-CN"/>
        </w:rPr>
      </w:pPr>
      <w:r>
        <w:rPr>
          <w:rFonts w:hint="eastAsia" w:ascii="黑体" w:hAnsi="黑体" w:eastAsia="黑体" w:cs="黑体"/>
          <w:color w:val="000000"/>
          <w:spacing w:val="-8"/>
          <w:kern w:val="10"/>
          <w:sz w:val="32"/>
          <w:szCs w:val="32"/>
          <w:lang w:eastAsia="zh-CN"/>
        </w:rPr>
        <w:t>附件</w:t>
      </w:r>
      <w:r>
        <w:rPr>
          <w:rFonts w:hint="eastAsia" w:ascii="黑体" w:hAnsi="黑体" w:eastAsia="黑体" w:cs="黑体"/>
          <w:color w:val="000000"/>
          <w:spacing w:val="-8"/>
          <w:kern w:val="10"/>
          <w:sz w:val="32"/>
          <w:szCs w:val="32"/>
          <w:lang w:val="en-US" w:eastAsia="zh-CN"/>
        </w:rPr>
        <w:t>6</w:t>
      </w:r>
    </w:p>
    <w:p>
      <w:pPr>
        <w:shd w:val="clear" w:color="auto" w:fill="auto"/>
        <w:spacing w:line="500" w:lineRule="exact"/>
        <w:jc w:val="center"/>
        <w:rPr>
          <w:rFonts w:hint="eastAsia" w:ascii="方正小标宋简体" w:hAnsi="方正小标宋简体" w:eastAsia="方正小标宋简体" w:cs="方正小标宋简体"/>
          <w:color w:val="000000"/>
          <w:spacing w:val="-8"/>
          <w:kern w:val="10"/>
          <w:sz w:val="36"/>
          <w:szCs w:val="36"/>
        </w:rPr>
      </w:pPr>
      <w:r>
        <w:rPr>
          <w:rFonts w:hint="eastAsia" w:ascii="方正小标宋简体" w:hAnsi="方正小标宋简体" w:eastAsia="方正小标宋简体" w:cs="方正小标宋简体"/>
          <w:color w:val="000000"/>
          <w:spacing w:val="-8"/>
          <w:kern w:val="10"/>
          <w:sz w:val="36"/>
          <w:szCs w:val="36"/>
        </w:rPr>
        <w:t>202</w:t>
      </w:r>
      <w:r>
        <w:rPr>
          <w:rFonts w:hint="eastAsia" w:ascii="方正小标宋简体" w:hAnsi="方正小标宋简体" w:eastAsia="方正小标宋简体" w:cs="方正小标宋简体"/>
          <w:color w:val="000000"/>
          <w:spacing w:val="-8"/>
          <w:kern w:val="10"/>
          <w:sz w:val="36"/>
          <w:szCs w:val="36"/>
          <w:lang w:val="en-US" w:eastAsia="zh-CN"/>
        </w:rPr>
        <w:t>2</w:t>
      </w:r>
      <w:r>
        <w:rPr>
          <w:rFonts w:hint="eastAsia" w:ascii="方正小标宋简体" w:hAnsi="方正小标宋简体" w:eastAsia="方正小标宋简体" w:cs="方正小标宋简体"/>
          <w:color w:val="000000"/>
          <w:spacing w:val="-8"/>
          <w:kern w:val="10"/>
          <w:sz w:val="36"/>
          <w:szCs w:val="36"/>
        </w:rPr>
        <w:t>年度民办中</w:t>
      </w:r>
      <w:r>
        <w:rPr>
          <w:rFonts w:hint="eastAsia" w:ascii="方正小标宋简体" w:hAnsi="方正小标宋简体" w:eastAsia="方正小标宋简体" w:cs="方正小标宋简体"/>
          <w:color w:val="000000"/>
          <w:spacing w:val="-8"/>
          <w:kern w:val="10"/>
          <w:sz w:val="36"/>
          <w:szCs w:val="36"/>
          <w:lang w:eastAsia="zh-CN"/>
        </w:rPr>
        <w:t>等职业学校</w:t>
      </w:r>
      <w:r>
        <w:rPr>
          <w:rFonts w:hint="eastAsia" w:ascii="方正小标宋简体" w:hAnsi="方正小标宋简体" w:eastAsia="方正小标宋简体" w:cs="方正小标宋简体"/>
          <w:color w:val="000000"/>
          <w:spacing w:val="-8"/>
          <w:kern w:val="10"/>
          <w:sz w:val="36"/>
          <w:szCs w:val="36"/>
        </w:rPr>
        <w:t>年检量化表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9"/>
        <w:gridCol w:w="1263"/>
        <w:gridCol w:w="1529"/>
        <w:gridCol w:w="1529"/>
        <w:gridCol w:w="1647"/>
        <w:gridCol w:w="523"/>
        <w:gridCol w:w="568"/>
        <w:gridCol w:w="281"/>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2" w:hRule="atLeast"/>
        </w:trPr>
        <w:tc>
          <w:tcPr>
            <w:tcW w:w="1039" w:type="dxa"/>
            <w:vMerge w:val="restart"/>
            <w:noWrap w:val="0"/>
            <w:vAlign w:val="center"/>
          </w:tcPr>
          <w:p>
            <w:pPr>
              <w:shd w:val="clear" w:color="auto" w:fill="auto"/>
              <w:spacing w:line="280" w:lineRule="exact"/>
              <w:jc w:val="center"/>
              <w:rPr>
                <w:rFonts w:hint="eastAsia" w:eastAsia="仿宋"/>
                <w:b/>
                <w:bCs w:val="0"/>
                <w:color w:val="000000"/>
                <w:kern w:val="0"/>
                <w:sz w:val="21"/>
                <w:szCs w:val="21"/>
                <w:lang w:val="en" w:eastAsia="zh-CN"/>
              </w:rPr>
            </w:pPr>
            <w:r>
              <w:rPr>
                <w:rFonts w:hint="eastAsia" w:eastAsia="仿宋"/>
                <w:b/>
                <w:bCs w:val="0"/>
                <w:color w:val="000000"/>
                <w:kern w:val="0"/>
                <w:sz w:val="21"/>
                <w:szCs w:val="21"/>
                <w:lang w:val="en" w:eastAsia="zh-CN"/>
              </w:rPr>
              <w:t>基本</w:t>
            </w:r>
          </w:p>
          <w:p>
            <w:pPr>
              <w:shd w:val="clear" w:color="auto" w:fill="auto"/>
              <w:spacing w:line="280" w:lineRule="exact"/>
              <w:jc w:val="center"/>
              <w:rPr>
                <w:rFonts w:hint="eastAsia" w:eastAsia="仿宋"/>
                <w:b/>
                <w:bCs w:val="0"/>
                <w:color w:val="000000"/>
                <w:kern w:val="0"/>
                <w:sz w:val="21"/>
                <w:szCs w:val="21"/>
                <w:lang w:val="en" w:eastAsia="zh-CN"/>
              </w:rPr>
            </w:pPr>
            <w:r>
              <w:rPr>
                <w:rFonts w:hint="eastAsia" w:eastAsia="仿宋"/>
                <w:b/>
                <w:bCs w:val="0"/>
                <w:color w:val="000000"/>
                <w:kern w:val="0"/>
                <w:sz w:val="21"/>
                <w:szCs w:val="21"/>
                <w:lang w:val="en" w:eastAsia="zh-CN"/>
              </w:rPr>
              <w:t>情况</w:t>
            </w:r>
          </w:p>
        </w:tc>
        <w:tc>
          <w:tcPr>
            <w:tcW w:w="1263"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学校名称</w:t>
            </w:r>
          </w:p>
        </w:tc>
        <w:tc>
          <w:tcPr>
            <w:tcW w:w="1529"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p>
        </w:tc>
        <w:tc>
          <w:tcPr>
            <w:tcW w:w="1529"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办学性质</w:t>
            </w:r>
          </w:p>
        </w:tc>
        <w:tc>
          <w:tcPr>
            <w:tcW w:w="1647"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p>
        </w:tc>
        <w:tc>
          <w:tcPr>
            <w:tcW w:w="1091" w:type="dxa"/>
            <w:gridSpan w:val="2"/>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教职工数</w:t>
            </w:r>
          </w:p>
        </w:tc>
        <w:tc>
          <w:tcPr>
            <w:tcW w:w="838" w:type="dxa"/>
            <w:gridSpan w:val="2"/>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 w:hRule="atLeast"/>
        </w:trPr>
        <w:tc>
          <w:tcPr>
            <w:tcW w:w="1039" w:type="dxa"/>
            <w:vMerge w:val="continue"/>
            <w:noWrap w:val="0"/>
            <w:vAlign w:val="center"/>
          </w:tcPr>
          <w:p>
            <w:pPr>
              <w:shd w:val="clear" w:color="auto" w:fill="auto"/>
              <w:spacing w:line="280" w:lineRule="exact"/>
              <w:jc w:val="center"/>
              <w:rPr>
                <w:rFonts w:hint="eastAsia" w:eastAsia="仿宋"/>
                <w:b/>
                <w:bCs w:val="0"/>
                <w:color w:val="000000"/>
                <w:kern w:val="0"/>
                <w:sz w:val="21"/>
                <w:szCs w:val="21"/>
                <w:lang w:val="en" w:eastAsia="zh-CN"/>
              </w:rPr>
            </w:pPr>
          </w:p>
        </w:tc>
        <w:tc>
          <w:tcPr>
            <w:tcW w:w="1263"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许可内容</w:t>
            </w:r>
          </w:p>
        </w:tc>
        <w:tc>
          <w:tcPr>
            <w:tcW w:w="1529"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p>
        </w:tc>
        <w:tc>
          <w:tcPr>
            <w:tcW w:w="1529"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举办者及电话</w:t>
            </w:r>
          </w:p>
        </w:tc>
        <w:tc>
          <w:tcPr>
            <w:tcW w:w="1647"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p>
        </w:tc>
        <w:tc>
          <w:tcPr>
            <w:tcW w:w="1091" w:type="dxa"/>
            <w:gridSpan w:val="2"/>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学生人数</w:t>
            </w:r>
          </w:p>
        </w:tc>
        <w:tc>
          <w:tcPr>
            <w:tcW w:w="838" w:type="dxa"/>
            <w:gridSpan w:val="2"/>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039" w:type="dxa"/>
            <w:noWrap w:val="0"/>
            <w:vAlign w:val="center"/>
          </w:tcPr>
          <w:p>
            <w:pPr>
              <w:shd w:val="clear" w:color="auto" w:fill="auto"/>
              <w:spacing w:line="280" w:lineRule="exact"/>
              <w:jc w:val="center"/>
              <w:rPr>
                <w:rFonts w:hint="eastAsia" w:eastAsia="仿宋"/>
                <w:b/>
                <w:bCs w:val="0"/>
                <w:color w:val="000000"/>
                <w:kern w:val="0"/>
                <w:sz w:val="21"/>
                <w:szCs w:val="21"/>
                <w:lang w:val="en" w:eastAsia="zh-CN"/>
              </w:rPr>
            </w:pPr>
            <w:r>
              <w:rPr>
                <w:rFonts w:hint="eastAsia" w:eastAsia="仿宋"/>
                <w:b/>
                <w:bCs w:val="0"/>
                <w:color w:val="000000"/>
                <w:kern w:val="0"/>
                <w:sz w:val="21"/>
                <w:szCs w:val="21"/>
                <w:lang w:val="en" w:eastAsia="zh-CN"/>
              </w:rPr>
              <w:t>项目及</w:t>
            </w:r>
          </w:p>
          <w:p>
            <w:pPr>
              <w:shd w:val="clear" w:color="auto" w:fill="auto"/>
              <w:spacing w:line="280" w:lineRule="exact"/>
              <w:jc w:val="center"/>
              <w:rPr>
                <w:rFonts w:eastAsia="方正黑体_GBK"/>
                <w:color w:val="000000"/>
                <w:sz w:val="18"/>
                <w:szCs w:val="18"/>
                <w:lang w:val="en"/>
              </w:rPr>
            </w:pPr>
            <w:r>
              <w:rPr>
                <w:rFonts w:hint="eastAsia" w:eastAsia="仿宋"/>
                <w:b/>
                <w:bCs w:val="0"/>
                <w:color w:val="000000"/>
                <w:kern w:val="0"/>
                <w:sz w:val="21"/>
                <w:szCs w:val="21"/>
                <w:lang w:val="en" w:eastAsia="zh-CN"/>
              </w:rPr>
              <w:t>分值</w:t>
            </w:r>
          </w:p>
        </w:tc>
        <w:tc>
          <w:tcPr>
            <w:tcW w:w="6491" w:type="dxa"/>
            <w:gridSpan w:val="5"/>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内容及计分规则</w:t>
            </w:r>
          </w:p>
        </w:tc>
        <w:tc>
          <w:tcPr>
            <w:tcW w:w="849" w:type="dxa"/>
            <w:gridSpan w:val="2"/>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得分</w:t>
            </w:r>
          </w:p>
        </w:tc>
        <w:tc>
          <w:tcPr>
            <w:tcW w:w="557"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trPr>
        <w:tc>
          <w:tcPr>
            <w:tcW w:w="1039" w:type="dxa"/>
            <w:vMerge w:val="restart"/>
            <w:noWrap w:val="0"/>
            <w:vAlign w:val="center"/>
          </w:tcPr>
          <w:p>
            <w:pPr>
              <w:shd w:val="clear" w:color="auto" w:fill="auto"/>
              <w:spacing w:line="240" w:lineRule="exact"/>
              <w:jc w:val="center"/>
              <w:rPr>
                <w:color w:val="000000"/>
                <w:sz w:val="18"/>
                <w:szCs w:val="18"/>
                <w:lang w:val="en"/>
              </w:rPr>
            </w:pPr>
            <w:r>
              <w:rPr>
                <w:color w:val="000000"/>
                <w:sz w:val="18"/>
                <w:szCs w:val="18"/>
                <w:lang w:val="en"/>
              </w:rPr>
              <w:t>一</w:t>
            </w:r>
          </w:p>
          <w:p>
            <w:pPr>
              <w:shd w:val="clear" w:color="auto" w:fill="auto"/>
              <w:spacing w:line="240" w:lineRule="exact"/>
              <w:jc w:val="center"/>
              <w:rPr>
                <w:color w:val="000000"/>
                <w:sz w:val="18"/>
                <w:szCs w:val="18"/>
                <w:lang w:val="en"/>
              </w:rPr>
            </w:pPr>
            <w:r>
              <w:rPr>
                <w:color w:val="000000"/>
                <w:sz w:val="18"/>
                <w:szCs w:val="18"/>
                <w:lang w:val="en"/>
              </w:rPr>
              <w:t>党的</w:t>
            </w:r>
          </w:p>
          <w:p>
            <w:pPr>
              <w:shd w:val="clear" w:color="auto" w:fill="auto"/>
              <w:spacing w:line="240" w:lineRule="exact"/>
              <w:jc w:val="center"/>
              <w:rPr>
                <w:color w:val="000000"/>
                <w:sz w:val="18"/>
                <w:szCs w:val="18"/>
                <w:lang w:val="en"/>
              </w:rPr>
            </w:pPr>
            <w:r>
              <w:rPr>
                <w:color w:val="000000"/>
                <w:sz w:val="18"/>
                <w:szCs w:val="18"/>
                <w:lang w:val="en"/>
              </w:rPr>
              <w:t>建设</w:t>
            </w:r>
          </w:p>
          <w:p>
            <w:pPr>
              <w:shd w:val="clear" w:color="auto" w:fill="auto"/>
              <w:spacing w:line="240" w:lineRule="exact"/>
              <w:jc w:val="center"/>
              <w:rPr>
                <w:rFonts w:hint="eastAsia" w:eastAsia="宋体"/>
                <w:color w:val="000000"/>
                <w:sz w:val="18"/>
                <w:szCs w:val="18"/>
                <w:lang w:val="en" w:eastAsia="zh-CN"/>
              </w:rPr>
            </w:pPr>
            <w:r>
              <w:rPr>
                <w:rFonts w:hint="eastAsia"/>
                <w:color w:val="000000"/>
                <w:sz w:val="18"/>
                <w:szCs w:val="18"/>
                <w:lang w:val="en" w:eastAsia="zh-CN"/>
              </w:rPr>
              <w:t>（</w:t>
            </w:r>
            <w:r>
              <w:rPr>
                <w:rFonts w:hint="eastAsia"/>
                <w:color w:val="000000"/>
                <w:sz w:val="18"/>
                <w:szCs w:val="18"/>
                <w:lang w:val="en-US" w:eastAsia="zh-CN"/>
              </w:rPr>
              <w:t>5分</w:t>
            </w:r>
            <w:r>
              <w:rPr>
                <w:rFonts w:hint="eastAsia"/>
                <w:color w:val="000000"/>
                <w:sz w:val="18"/>
                <w:szCs w:val="18"/>
                <w:lang w:val="en" w:eastAsia="zh-CN"/>
              </w:rPr>
              <w:t>）</w:t>
            </w:r>
          </w:p>
        </w:tc>
        <w:tc>
          <w:tcPr>
            <w:tcW w:w="6491" w:type="dxa"/>
            <w:gridSpan w:val="5"/>
            <w:noWrap w:val="0"/>
            <w:vAlign w:val="center"/>
          </w:tcPr>
          <w:p>
            <w:pPr>
              <w:shd w:val="clear" w:color="auto" w:fill="auto"/>
              <w:spacing w:line="240" w:lineRule="exact"/>
              <w:rPr>
                <w:rFonts w:hint="default" w:eastAsia="宋体"/>
                <w:color w:val="000000"/>
                <w:sz w:val="18"/>
                <w:szCs w:val="18"/>
                <w:lang w:val="en-US" w:eastAsia="zh-CN"/>
              </w:rPr>
            </w:pPr>
            <w:r>
              <w:rPr>
                <w:color w:val="000000"/>
                <w:sz w:val="18"/>
                <w:szCs w:val="18"/>
              </w:rPr>
              <w:t>全面贯彻党的教育方针，坚持社会主义办学方向，落实立德树人根本任务</w:t>
            </w:r>
            <w:r>
              <w:rPr>
                <w:rFonts w:hint="eastAsia"/>
                <w:color w:val="000000"/>
                <w:sz w:val="18"/>
                <w:szCs w:val="18"/>
                <w:lang w:eastAsia="zh-CN"/>
              </w:rPr>
              <w:t>，将党的建设纳入学校办学章程。（</w:t>
            </w:r>
            <w:r>
              <w:rPr>
                <w:rFonts w:hint="eastAsia"/>
                <w:color w:val="000000"/>
                <w:sz w:val="18"/>
                <w:szCs w:val="18"/>
                <w:lang w:val="en-US" w:eastAsia="zh-CN"/>
              </w:rPr>
              <w:t>2分</w:t>
            </w:r>
            <w:r>
              <w:rPr>
                <w:rFonts w:hint="eastAsia"/>
                <w:color w:val="000000"/>
                <w:sz w:val="18"/>
                <w:szCs w:val="18"/>
                <w:lang w:eastAsia="zh-CN"/>
              </w:rPr>
              <w:t>）</w:t>
            </w:r>
          </w:p>
        </w:tc>
        <w:tc>
          <w:tcPr>
            <w:tcW w:w="849" w:type="dxa"/>
            <w:gridSpan w:val="2"/>
            <w:noWrap w:val="0"/>
            <w:vAlign w:val="center"/>
          </w:tcPr>
          <w:p>
            <w:pPr>
              <w:shd w:val="clear" w:color="auto" w:fill="auto"/>
              <w:spacing w:line="240" w:lineRule="exact"/>
              <w:jc w:val="center"/>
              <w:rPr>
                <w:color w:val="000000"/>
                <w:sz w:val="18"/>
                <w:szCs w:val="18"/>
              </w:rPr>
            </w:pPr>
            <w:bookmarkStart w:id="0" w:name="_GoBack"/>
            <w:bookmarkEnd w:id="0"/>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rFonts w:hint="eastAsia" w:eastAsia="宋体"/>
                <w:color w:val="000000"/>
                <w:sz w:val="18"/>
                <w:szCs w:val="18"/>
                <w:lang w:eastAsia="zh-CN"/>
              </w:rPr>
            </w:pPr>
            <w:r>
              <w:rPr>
                <w:rFonts w:hint="eastAsia"/>
                <w:color w:val="000000"/>
                <w:sz w:val="18"/>
                <w:szCs w:val="18"/>
                <w:lang w:eastAsia="zh-CN"/>
              </w:rPr>
              <w:t>凡</w:t>
            </w:r>
            <w:r>
              <w:rPr>
                <w:color w:val="000000"/>
                <w:sz w:val="18"/>
                <w:szCs w:val="18"/>
              </w:rPr>
              <w:t>有3名以上正式党员</w:t>
            </w:r>
            <w:r>
              <w:rPr>
                <w:rFonts w:hint="eastAsia"/>
                <w:color w:val="000000"/>
                <w:sz w:val="18"/>
                <w:szCs w:val="18"/>
                <w:lang w:eastAsia="zh-CN"/>
              </w:rPr>
              <w:t>要</w:t>
            </w:r>
            <w:r>
              <w:rPr>
                <w:color w:val="000000"/>
                <w:sz w:val="18"/>
                <w:szCs w:val="18"/>
              </w:rPr>
              <w:t>建立党组织</w:t>
            </w:r>
            <w:r>
              <w:rPr>
                <w:rFonts w:hint="eastAsia"/>
                <w:color w:val="000000"/>
                <w:sz w:val="18"/>
                <w:szCs w:val="18"/>
                <w:lang w:eastAsia="zh-CN"/>
              </w:rPr>
              <w:t>，</w:t>
            </w:r>
            <w:r>
              <w:rPr>
                <w:color w:val="000000"/>
                <w:sz w:val="18"/>
                <w:szCs w:val="18"/>
              </w:rPr>
              <w:t>党员人数不足3名的，</w:t>
            </w:r>
            <w:r>
              <w:rPr>
                <w:rFonts w:hint="eastAsia"/>
                <w:color w:val="000000"/>
                <w:sz w:val="18"/>
                <w:szCs w:val="18"/>
                <w:lang w:eastAsia="zh-CN"/>
              </w:rPr>
              <w:t>采取联合组建、挂靠组建等形式建立党组织。（</w:t>
            </w:r>
            <w:r>
              <w:rPr>
                <w:rFonts w:hint="eastAsia"/>
                <w:color w:val="000000"/>
                <w:sz w:val="18"/>
                <w:szCs w:val="18"/>
                <w:lang w:val="en-US" w:eastAsia="zh-CN"/>
              </w:rPr>
              <w:t>1分</w:t>
            </w:r>
            <w:r>
              <w:rPr>
                <w:rFonts w:hint="eastAsia"/>
                <w:color w:val="000000"/>
                <w:sz w:val="18"/>
                <w:szCs w:val="18"/>
                <w:lang w:eastAsia="zh-CN"/>
              </w:rPr>
              <w:t>）</w:t>
            </w:r>
          </w:p>
        </w:tc>
        <w:tc>
          <w:tcPr>
            <w:tcW w:w="849" w:type="dxa"/>
            <w:gridSpan w:val="2"/>
            <w:noWrap w:val="0"/>
            <w:vAlign w:val="center"/>
          </w:tcPr>
          <w:p>
            <w:pPr>
              <w:shd w:val="clear" w:color="auto" w:fill="auto"/>
              <w:spacing w:line="240" w:lineRule="exact"/>
              <w:jc w:val="center"/>
              <w:rPr>
                <w:rFonts w:hint="eastAsia"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rFonts w:hint="eastAsia"/>
                <w:color w:val="000000"/>
                <w:sz w:val="18"/>
                <w:szCs w:val="18"/>
                <w:lang w:eastAsia="zh-CN"/>
              </w:rPr>
            </w:pPr>
            <w:r>
              <w:rPr>
                <w:color w:val="000000"/>
                <w:sz w:val="18"/>
                <w:szCs w:val="18"/>
              </w:rPr>
              <w:t>开设“道德与法治”</w:t>
            </w:r>
            <w:r>
              <w:rPr>
                <w:rFonts w:hint="eastAsia"/>
                <w:color w:val="000000"/>
                <w:sz w:val="18"/>
                <w:szCs w:val="18"/>
                <w:lang w:eastAsia="zh-CN"/>
              </w:rPr>
              <w:t>等</w:t>
            </w:r>
            <w:r>
              <w:rPr>
                <w:color w:val="000000"/>
                <w:sz w:val="18"/>
                <w:szCs w:val="18"/>
              </w:rPr>
              <w:t>必修课程，使用国家统编教材</w:t>
            </w:r>
            <w:r>
              <w:rPr>
                <w:rFonts w:hint="eastAsia"/>
                <w:color w:val="000000"/>
                <w:sz w:val="18"/>
                <w:szCs w:val="18"/>
                <w:lang w:eastAsia="zh-CN"/>
              </w:rPr>
              <w:t>。（</w:t>
            </w:r>
            <w:r>
              <w:rPr>
                <w:rFonts w:hint="eastAsia"/>
                <w:color w:val="000000"/>
                <w:sz w:val="18"/>
                <w:szCs w:val="18"/>
                <w:lang w:val="en-US" w:eastAsia="zh-CN"/>
              </w:rPr>
              <w:t>1分</w:t>
            </w:r>
            <w:r>
              <w:rPr>
                <w:rFonts w:hint="eastAsia"/>
                <w:color w:val="000000"/>
                <w:sz w:val="18"/>
                <w:szCs w:val="18"/>
                <w:lang w:eastAsia="zh-CN"/>
              </w:rPr>
              <w:t>）</w:t>
            </w:r>
          </w:p>
        </w:tc>
        <w:tc>
          <w:tcPr>
            <w:tcW w:w="849" w:type="dxa"/>
            <w:gridSpan w:val="2"/>
            <w:noWrap w:val="0"/>
            <w:vAlign w:val="center"/>
          </w:tcPr>
          <w:p>
            <w:pPr>
              <w:shd w:val="clear" w:color="auto" w:fill="auto"/>
              <w:spacing w:line="240" w:lineRule="exact"/>
              <w:jc w:val="center"/>
              <w:rPr>
                <w:rFonts w:hint="eastAsia"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rFonts w:hint="eastAsia" w:eastAsia="宋体"/>
                <w:color w:val="000000"/>
                <w:sz w:val="18"/>
                <w:szCs w:val="18"/>
                <w:lang w:eastAsia="zh-CN"/>
              </w:rPr>
            </w:pPr>
            <w:r>
              <w:rPr>
                <w:color w:val="000000"/>
                <w:sz w:val="18"/>
                <w:szCs w:val="18"/>
              </w:rPr>
              <w:t>建立德育工作机制</w:t>
            </w:r>
            <w:r>
              <w:rPr>
                <w:rFonts w:hint="eastAsia"/>
                <w:color w:val="000000"/>
                <w:sz w:val="18"/>
                <w:szCs w:val="18"/>
                <w:lang w:eastAsia="zh-CN"/>
              </w:rPr>
              <w:t>，</w:t>
            </w:r>
            <w:r>
              <w:rPr>
                <w:color w:val="000000"/>
                <w:sz w:val="18"/>
                <w:szCs w:val="18"/>
              </w:rPr>
              <w:t>建立共青团组织，配</w:t>
            </w:r>
            <w:r>
              <w:rPr>
                <w:rFonts w:hint="eastAsia"/>
                <w:color w:val="000000"/>
                <w:sz w:val="18"/>
                <w:szCs w:val="18"/>
                <w:lang w:eastAsia="zh-CN"/>
              </w:rPr>
              <w:t>备</w:t>
            </w:r>
            <w:r>
              <w:rPr>
                <w:color w:val="000000"/>
                <w:sz w:val="18"/>
                <w:szCs w:val="18"/>
              </w:rPr>
              <w:t>辅导员</w:t>
            </w:r>
            <w:r>
              <w:rPr>
                <w:rFonts w:hint="eastAsia"/>
                <w:color w:val="000000"/>
                <w:sz w:val="18"/>
                <w:szCs w:val="18"/>
                <w:lang w:eastAsia="zh-CN"/>
              </w:rPr>
              <w:t>，</w:t>
            </w:r>
            <w:r>
              <w:rPr>
                <w:color w:val="000000"/>
                <w:sz w:val="18"/>
                <w:szCs w:val="18"/>
              </w:rPr>
              <w:t>积极开展主题教育活动</w:t>
            </w:r>
            <w:r>
              <w:rPr>
                <w:rFonts w:hint="eastAsia"/>
                <w:color w:val="000000"/>
                <w:sz w:val="18"/>
                <w:szCs w:val="18"/>
                <w:lang w:eastAsia="zh-CN"/>
              </w:rPr>
              <w:t>。（</w:t>
            </w:r>
            <w:r>
              <w:rPr>
                <w:rFonts w:hint="eastAsia"/>
                <w:color w:val="000000"/>
                <w:sz w:val="18"/>
                <w:szCs w:val="18"/>
                <w:lang w:val="en-US" w:eastAsia="zh-CN"/>
              </w:rPr>
              <w:t>1分</w:t>
            </w:r>
            <w:r>
              <w:rPr>
                <w:rFonts w:hint="eastAsia"/>
                <w:color w:val="000000"/>
                <w:sz w:val="18"/>
                <w:szCs w:val="18"/>
                <w:lang w:eastAsia="zh-CN"/>
              </w:rPr>
              <w:t>）。</w:t>
            </w:r>
          </w:p>
        </w:tc>
        <w:tc>
          <w:tcPr>
            <w:tcW w:w="849" w:type="dxa"/>
            <w:gridSpan w:val="2"/>
            <w:noWrap w:val="0"/>
            <w:vAlign w:val="center"/>
          </w:tcPr>
          <w:p>
            <w:pPr>
              <w:shd w:val="clear" w:color="auto" w:fill="auto"/>
              <w:spacing w:line="240" w:lineRule="exact"/>
              <w:jc w:val="center"/>
              <w:rPr>
                <w:color w:val="000000"/>
                <w:sz w:val="18"/>
                <w:szCs w:val="18"/>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7" w:hRule="atLeast"/>
        </w:trPr>
        <w:tc>
          <w:tcPr>
            <w:tcW w:w="1039" w:type="dxa"/>
            <w:vMerge w:val="restart"/>
            <w:noWrap w:val="0"/>
            <w:vAlign w:val="center"/>
          </w:tcPr>
          <w:p>
            <w:pPr>
              <w:shd w:val="clear" w:color="auto" w:fill="auto"/>
              <w:spacing w:line="240" w:lineRule="exact"/>
              <w:jc w:val="center"/>
              <w:rPr>
                <w:color w:val="000000"/>
                <w:sz w:val="18"/>
                <w:szCs w:val="18"/>
                <w:lang w:val="en"/>
              </w:rPr>
            </w:pPr>
            <w:r>
              <w:rPr>
                <w:color w:val="000000"/>
                <w:sz w:val="18"/>
                <w:szCs w:val="18"/>
                <w:lang w:val="en"/>
              </w:rPr>
              <w:t>二</w:t>
            </w:r>
          </w:p>
          <w:p>
            <w:pPr>
              <w:shd w:val="clear" w:color="auto" w:fill="auto"/>
              <w:spacing w:line="240" w:lineRule="exact"/>
              <w:jc w:val="center"/>
              <w:rPr>
                <w:color w:val="000000"/>
                <w:sz w:val="18"/>
                <w:szCs w:val="18"/>
                <w:lang w:val="en"/>
              </w:rPr>
            </w:pPr>
            <w:r>
              <w:rPr>
                <w:color w:val="000000"/>
                <w:sz w:val="18"/>
                <w:szCs w:val="18"/>
                <w:lang w:val="en"/>
              </w:rPr>
              <w:t>办学</w:t>
            </w:r>
          </w:p>
          <w:p>
            <w:pPr>
              <w:shd w:val="clear" w:color="auto" w:fill="auto"/>
              <w:spacing w:line="240" w:lineRule="exact"/>
              <w:jc w:val="center"/>
              <w:rPr>
                <w:color w:val="000000"/>
                <w:sz w:val="18"/>
                <w:szCs w:val="18"/>
                <w:lang w:val="en"/>
              </w:rPr>
            </w:pPr>
            <w:r>
              <w:rPr>
                <w:color w:val="000000"/>
                <w:sz w:val="18"/>
                <w:szCs w:val="18"/>
                <w:lang w:val="en"/>
              </w:rPr>
              <w:t>条件</w:t>
            </w:r>
          </w:p>
          <w:p>
            <w:pPr>
              <w:shd w:val="clear" w:color="auto" w:fill="auto"/>
              <w:spacing w:line="240" w:lineRule="exact"/>
              <w:jc w:val="center"/>
              <w:rPr>
                <w:rFonts w:hint="eastAsia" w:eastAsia="宋体"/>
                <w:color w:val="000000"/>
                <w:sz w:val="18"/>
                <w:szCs w:val="18"/>
                <w:lang w:val="en" w:eastAsia="zh-CN"/>
              </w:rPr>
            </w:pPr>
            <w:r>
              <w:rPr>
                <w:rFonts w:hint="eastAsia"/>
                <w:color w:val="000000"/>
                <w:sz w:val="18"/>
                <w:szCs w:val="18"/>
                <w:lang w:val="en" w:eastAsia="zh-CN"/>
              </w:rPr>
              <w:t>（</w:t>
            </w:r>
            <w:r>
              <w:rPr>
                <w:rFonts w:hint="eastAsia"/>
                <w:color w:val="000000"/>
                <w:sz w:val="18"/>
                <w:szCs w:val="18"/>
                <w:lang w:val="en-US" w:eastAsia="zh-CN"/>
              </w:rPr>
              <w:t>40分</w:t>
            </w:r>
            <w:r>
              <w:rPr>
                <w:rFonts w:hint="eastAsia"/>
                <w:color w:val="000000"/>
                <w:sz w:val="18"/>
                <w:szCs w:val="18"/>
                <w:lang w:val="en" w:eastAsia="zh-CN"/>
              </w:rPr>
              <w:t>）</w:t>
            </w:r>
          </w:p>
        </w:tc>
        <w:tc>
          <w:tcPr>
            <w:tcW w:w="6491" w:type="dxa"/>
            <w:gridSpan w:val="5"/>
            <w:noWrap w:val="0"/>
            <w:vAlign w:val="center"/>
          </w:tcPr>
          <w:p>
            <w:pPr>
              <w:shd w:val="clear" w:color="auto" w:fill="auto"/>
              <w:spacing w:line="240" w:lineRule="exact"/>
              <w:rPr>
                <w:rFonts w:hint="eastAsia" w:eastAsia="宋体"/>
                <w:color w:val="000000"/>
                <w:kern w:val="2"/>
                <w:sz w:val="18"/>
                <w:szCs w:val="18"/>
                <w:lang w:val="en-US" w:eastAsia="zh-CN" w:bidi="ar-SA"/>
              </w:rPr>
            </w:pPr>
            <w:r>
              <w:rPr>
                <w:rFonts w:hint="eastAsia" w:ascii="Times New Roman" w:hAnsi="Times New Roman" w:eastAsia="宋体" w:cs="Times New Roman"/>
                <w:color w:val="000000"/>
                <w:sz w:val="18"/>
                <w:szCs w:val="18"/>
              </w:rPr>
              <w:t>有独立、安全、稳定的办学场所，</w:t>
            </w:r>
            <w:r>
              <w:rPr>
                <w:color w:val="000000"/>
                <w:sz w:val="18"/>
                <w:szCs w:val="18"/>
              </w:rPr>
              <w:t>自有校舍</w:t>
            </w:r>
            <w:r>
              <w:rPr>
                <w:rFonts w:hint="eastAsia"/>
                <w:color w:val="000000"/>
                <w:sz w:val="18"/>
                <w:szCs w:val="18"/>
                <w:lang w:eastAsia="zh-CN"/>
              </w:rPr>
              <w:t>有房屋产权证，</w:t>
            </w:r>
            <w:r>
              <w:rPr>
                <w:color w:val="000000"/>
                <w:sz w:val="18"/>
                <w:szCs w:val="18"/>
              </w:rPr>
              <w:t>若租用校舍，</w:t>
            </w:r>
            <w:r>
              <w:rPr>
                <w:rFonts w:hint="eastAsia" w:ascii="Times New Roman" w:hAnsi="Times New Roman" w:eastAsia="宋体" w:cs="Times New Roman"/>
                <w:color w:val="000000"/>
                <w:sz w:val="18"/>
                <w:szCs w:val="18"/>
              </w:rPr>
              <w:t>租赁合同合法有效且</w:t>
            </w:r>
            <w:r>
              <w:rPr>
                <w:rFonts w:hint="eastAsia" w:ascii="Times New Roman" w:hAnsi="Times New Roman" w:eastAsia="宋体" w:cs="Times New Roman"/>
                <w:color w:val="000000"/>
                <w:sz w:val="18"/>
                <w:szCs w:val="18"/>
                <w:lang w:val="en-US" w:eastAsia="zh-CN"/>
              </w:rPr>
              <w:t>4</w:t>
            </w:r>
            <w:r>
              <w:rPr>
                <w:rFonts w:hint="eastAsia" w:ascii="Times New Roman" w:hAnsi="Times New Roman" w:eastAsia="宋体" w:cs="Times New Roman"/>
                <w:color w:val="000000"/>
                <w:sz w:val="18"/>
                <w:szCs w:val="18"/>
              </w:rPr>
              <w:t>年以上。</w:t>
            </w:r>
            <w:r>
              <w:rPr>
                <w:rFonts w:hint="eastAsia" w:ascii="Times New Roman" w:hAnsi="Times New Roman" w:eastAsia="宋体" w:cs="Times New Roman"/>
                <w:color w:val="000000"/>
                <w:sz w:val="18"/>
                <w:szCs w:val="18"/>
                <w:lang w:eastAsia="zh-CN"/>
              </w:rPr>
              <w:t>具备房屋安全鉴定报告、消防鉴定（备案）资料、新建或新装修房屋有</w:t>
            </w:r>
            <w:r>
              <w:rPr>
                <w:rFonts w:hint="eastAsia"/>
                <w:color w:val="000000"/>
                <w:sz w:val="18"/>
                <w:szCs w:val="18"/>
                <w:lang w:eastAsia="zh-CN"/>
              </w:rPr>
              <w:t>空气质量检测报告。校园封闭管理。（</w:t>
            </w:r>
            <w:r>
              <w:rPr>
                <w:rFonts w:hint="eastAsia"/>
                <w:color w:val="000000"/>
                <w:sz w:val="18"/>
                <w:szCs w:val="18"/>
                <w:lang w:val="en-US" w:eastAsia="zh-CN"/>
              </w:rPr>
              <w:t>10分</w:t>
            </w:r>
            <w:r>
              <w:rPr>
                <w:rFonts w:hint="eastAsia"/>
                <w:color w:val="000000"/>
                <w:sz w:val="18"/>
                <w:szCs w:val="18"/>
                <w:lang w:eastAsia="zh-CN"/>
              </w:rPr>
              <w:t>）</w:t>
            </w:r>
          </w:p>
        </w:tc>
        <w:tc>
          <w:tcPr>
            <w:tcW w:w="849"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rFonts w:hint="eastAsia" w:ascii="Times New Roman" w:hAnsi="Times New Roman" w:cs="Times New Roman"/>
                <w:color w:val="000000"/>
                <w:kern w:val="2"/>
                <w:sz w:val="18"/>
                <w:szCs w:val="18"/>
                <w:lang w:val="en-US" w:eastAsia="zh-CN" w:bidi="ar-SA"/>
              </w:rPr>
            </w:pPr>
            <w:r>
              <w:rPr>
                <w:rFonts w:hint="eastAsia" w:ascii="Times New Roman" w:hAnsi="Times New Roman" w:cs="Times New Roman"/>
                <w:color w:val="000000"/>
                <w:sz w:val="18"/>
                <w:szCs w:val="18"/>
                <w:lang w:eastAsia="zh-CN"/>
              </w:rPr>
              <w:t>办学许可证正（副）本、法人登记证等资质有效。</w:t>
            </w:r>
            <w:r>
              <w:rPr>
                <w:rFonts w:hint="eastAsia" w:ascii="Calibri" w:hAnsi="Calibri" w:eastAsia="宋体" w:cs="Times New Roman"/>
                <w:color w:val="000000"/>
                <w:sz w:val="18"/>
                <w:szCs w:val="18"/>
                <w:u w:val="none"/>
                <w:lang w:val="en-US" w:eastAsia="zh-CN"/>
              </w:rPr>
              <w:t>学校学历教育在校生数应在1200人以上。</w:t>
            </w:r>
            <w:r>
              <w:rPr>
                <w:rFonts w:hint="eastAsia"/>
                <w:color w:val="000000"/>
                <w:sz w:val="18"/>
                <w:szCs w:val="18"/>
                <w:lang w:eastAsia="zh-CN"/>
              </w:rPr>
              <w:t>（</w:t>
            </w:r>
            <w:r>
              <w:rPr>
                <w:rFonts w:hint="eastAsia"/>
                <w:color w:val="000000"/>
                <w:sz w:val="18"/>
                <w:szCs w:val="18"/>
                <w:lang w:val="en-US" w:eastAsia="zh-CN"/>
              </w:rPr>
              <w:t>5分</w:t>
            </w:r>
            <w:r>
              <w:rPr>
                <w:rFonts w:hint="eastAsia"/>
                <w:color w:val="000000"/>
                <w:sz w:val="18"/>
                <w:szCs w:val="18"/>
                <w:lang w:eastAsia="zh-CN"/>
              </w:rPr>
              <w:t>）</w:t>
            </w:r>
          </w:p>
        </w:tc>
        <w:tc>
          <w:tcPr>
            <w:tcW w:w="849"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6"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rFonts w:hint="eastAsia" w:ascii="Calibri" w:hAnsi="Calibri" w:eastAsia="宋体" w:cs="Times New Roman"/>
                <w:color w:val="000000"/>
                <w:sz w:val="18"/>
                <w:szCs w:val="18"/>
                <w:u w:val="none"/>
                <w:lang w:val="en-US" w:eastAsia="zh-CN"/>
              </w:rPr>
            </w:pPr>
            <w:r>
              <w:rPr>
                <w:rFonts w:hint="eastAsia" w:ascii="Calibri" w:hAnsi="Calibri" w:eastAsia="宋体" w:cs="Times New Roman"/>
                <w:color w:val="000000"/>
                <w:sz w:val="18"/>
                <w:szCs w:val="18"/>
                <w:u w:val="none"/>
                <w:lang w:val="en-US" w:eastAsia="zh-CN"/>
              </w:rPr>
              <w:t>有200米以上环型跑道的田径场，适用印刷图书生均不少于30册</w:t>
            </w:r>
            <w:r>
              <w:rPr>
                <w:rFonts w:hint="eastAsia"/>
                <w:color w:val="000000"/>
                <w:sz w:val="18"/>
                <w:szCs w:val="18"/>
                <w:lang w:eastAsia="zh-CN"/>
              </w:rPr>
              <w:t>，</w:t>
            </w:r>
            <w:r>
              <w:rPr>
                <w:rFonts w:hint="eastAsia" w:ascii="Calibri" w:hAnsi="Calibri" w:eastAsia="宋体" w:cs="Times New Roman"/>
                <w:color w:val="000000"/>
                <w:sz w:val="18"/>
                <w:szCs w:val="18"/>
                <w:u w:val="none"/>
                <w:lang w:val="en-US" w:eastAsia="zh-CN"/>
              </w:rPr>
              <w:t>报刊种类80种以上；教师阅览（资料）室和学生阅览室的座位数应分别按不低于专任教师总数的20％和学生总数的10％设置</w:t>
            </w:r>
            <w:r>
              <w:rPr>
                <w:rFonts w:hint="eastAsia"/>
                <w:color w:val="000000"/>
                <w:sz w:val="18"/>
                <w:szCs w:val="18"/>
                <w:lang w:eastAsia="zh-CN"/>
              </w:rPr>
              <w:t>；</w:t>
            </w:r>
            <w:r>
              <w:rPr>
                <w:rFonts w:hint="eastAsia" w:ascii="Calibri" w:hAnsi="Calibri" w:eastAsia="宋体" w:cs="Times New Roman"/>
                <w:color w:val="000000"/>
                <w:sz w:val="18"/>
                <w:szCs w:val="18"/>
                <w:u w:val="none"/>
                <w:lang w:val="en-US" w:eastAsia="zh-CN"/>
              </w:rPr>
              <w:t>生均仪器设备价值不低于2500元</w:t>
            </w:r>
            <w:r>
              <w:rPr>
                <w:rFonts w:hint="eastAsia"/>
                <w:color w:val="000000"/>
                <w:sz w:val="18"/>
                <w:szCs w:val="18"/>
                <w:lang w:eastAsia="zh-CN"/>
              </w:rPr>
              <w:t>，</w:t>
            </w:r>
            <w:r>
              <w:rPr>
                <w:rFonts w:hint="eastAsia" w:ascii="Calibri" w:hAnsi="Calibri" w:eastAsia="宋体" w:cs="Times New Roman"/>
                <w:color w:val="000000"/>
                <w:sz w:val="18"/>
                <w:szCs w:val="18"/>
                <w:u w:val="none"/>
                <w:lang w:val="en-US" w:eastAsia="zh-CN"/>
              </w:rPr>
              <w:t>计算机拥有数量不少于每百生15台。</w:t>
            </w:r>
            <w:r>
              <w:rPr>
                <w:rFonts w:hint="eastAsia"/>
                <w:color w:val="000000"/>
                <w:sz w:val="18"/>
                <w:szCs w:val="18"/>
                <w:lang w:eastAsia="zh-CN"/>
              </w:rPr>
              <w:t>（</w:t>
            </w:r>
            <w:r>
              <w:rPr>
                <w:rFonts w:hint="eastAsia"/>
                <w:color w:val="000000"/>
                <w:sz w:val="18"/>
                <w:szCs w:val="18"/>
                <w:lang w:val="en-US" w:eastAsia="zh-CN"/>
              </w:rPr>
              <w:t>5分</w:t>
            </w:r>
            <w:r>
              <w:rPr>
                <w:rFonts w:hint="eastAsia"/>
                <w:color w:val="000000"/>
                <w:sz w:val="18"/>
                <w:szCs w:val="18"/>
                <w:lang w:eastAsia="zh-CN"/>
              </w:rPr>
              <w:t>）</w:t>
            </w:r>
            <w:r>
              <w:rPr>
                <w:rFonts w:hint="eastAsia" w:ascii="Calibri" w:hAnsi="Calibri" w:eastAsia="宋体" w:cs="Times New Roman"/>
                <w:color w:val="000000"/>
                <w:sz w:val="18"/>
                <w:szCs w:val="18"/>
                <w:u w:val="none"/>
                <w:lang w:val="en-US" w:eastAsia="zh-CN"/>
              </w:rPr>
              <w:t>。</w:t>
            </w:r>
          </w:p>
        </w:tc>
        <w:tc>
          <w:tcPr>
            <w:tcW w:w="849"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7"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rFonts w:hint="eastAsia" w:ascii="Calibri" w:hAnsi="Calibri" w:eastAsia="宋体" w:cs="Times New Roman"/>
                <w:color w:val="000000"/>
                <w:sz w:val="18"/>
                <w:szCs w:val="18"/>
                <w:u w:val="none"/>
                <w:lang w:val="en-US" w:eastAsia="zh-CN"/>
              </w:rPr>
            </w:pPr>
            <w:r>
              <w:rPr>
                <w:rFonts w:hint="eastAsia" w:ascii="Times New Roman" w:hAnsi="Times New Roman" w:eastAsia="宋体" w:cs="Times New Roman"/>
                <w:color w:val="000000"/>
                <w:sz w:val="18"/>
                <w:szCs w:val="18"/>
                <w:lang w:val="en-US" w:eastAsia="zh-CN"/>
              </w:rPr>
              <w:t>完成学校安全六个100%要求（专职保安配备率、一键式紧急报警配备率、视频监控系统达标率、校园封闭式管理达标率、城市护学岗设置率、校门口硬质防冲撞装置设置率）。</w:t>
            </w:r>
            <w:r>
              <w:rPr>
                <w:rFonts w:hint="eastAsia" w:ascii="Times New Roman" w:hAnsi="Times New Roman" w:cs="Times New Roman"/>
                <w:color w:val="000000"/>
                <w:sz w:val="18"/>
                <w:szCs w:val="18"/>
                <w:lang w:val="en-US" w:eastAsia="zh-CN"/>
              </w:rPr>
              <w:t>校车审批、监管、行驶路线规范。</w:t>
            </w:r>
            <w:r>
              <w:rPr>
                <w:rFonts w:hint="eastAsia" w:ascii="Times New Roman" w:hAnsi="Times New Roman" w:eastAsia="宋体" w:cs="Times New Roman"/>
                <w:color w:val="000000"/>
                <w:sz w:val="18"/>
                <w:szCs w:val="18"/>
                <w:lang w:val="en-US" w:eastAsia="zh-CN"/>
              </w:rPr>
              <w:t>（4分）</w:t>
            </w:r>
          </w:p>
        </w:tc>
        <w:tc>
          <w:tcPr>
            <w:tcW w:w="849"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rFonts w:hint="eastAsia" w:ascii="Calibri" w:hAnsi="Calibri" w:eastAsia="宋体" w:cs="Times New Roman"/>
                <w:color w:val="000000"/>
                <w:sz w:val="18"/>
                <w:szCs w:val="18"/>
                <w:u w:val="none"/>
                <w:lang w:val="en-US" w:eastAsia="zh-CN"/>
              </w:rPr>
            </w:pPr>
            <w:r>
              <w:rPr>
                <w:rFonts w:hint="eastAsia"/>
                <w:color w:val="000000"/>
                <w:sz w:val="18"/>
                <w:szCs w:val="18"/>
              </w:rPr>
              <w:t>建筑设施配备消防栓或消防蓄水池等消防水源，教学楼、</w:t>
            </w:r>
            <w:r>
              <w:rPr>
                <w:rFonts w:hint="eastAsia"/>
                <w:color w:val="000000"/>
                <w:sz w:val="18"/>
                <w:szCs w:val="18"/>
                <w:lang w:eastAsia="zh-CN"/>
              </w:rPr>
              <w:t>学生</w:t>
            </w:r>
            <w:r>
              <w:rPr>
                <w:rFonts w:hint="eastAsia"/>
                <w:color w:val="000000"/>
                <w:sz w:val="18"/>
                <w:szCs w:val="18"/>
              </w:rPr>
              <w:t>住宿楼层要按规定配置消防设施、器材。</w:t>
            </w:r>
            <w:r>
              <w:rPr>
                <w:rFonts w:hint="eastAsia" w:ascii="Times New Roman" w:hAnsi="Times New Roman" w:eastAsia="宋体" w:cs="Times New Roman"/>
                <w:color w:val="000000"/>
                <w:sz w:val="18"/>
                <w:szCs w:val="18"/>
                <w:lang w:val="en-US" w:eastAsia="zh-CN"/>
              </w:rPr>
              <w:t>（4分）</w:t>
            </w:r>
          </w:p>
        </w:tc>
        <w:tc>
          <w:tcPr>
            <w:tcW w:w="849"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rFonts w:hint="eastAsia"/>
                <w:color w:val="000000"/>
                <w:sz w:val="18"/>
                <w:szCs w:val="18"/>
              </w:rPr>
            </w:pPr>
            <w:r>
              <w:rPr>
                <w:rFonts w:hint="eastAsia" w:ascii="Calibri" w:hAnsi="Calibri" w:eastAsia="宋体" w:cs="Times New Roman"/>
                <w:color w:val="000000"/>
                <w:sz w:val="18"/>
                <w:szCs w:val="18"/>
                <w:u w:val="none"/>
                <w:lang w:val="en-US" w:eastAsia="zh-CN"/>
              </w:rPr>
              <w:t>设置符合标准的师生食堂，取得《食品经营许可证》。有独立、安全的男、女生宿舍，</w:t>
            </w:r>
            <w:r>
              <w:rPr>
                <w:rFonts w:hint="eastAsia"/>
                <w:color w:val="000000"/>
                <w:sz w:val="18"/>
                <w:szCs w:val="18"/>
                <w:lang w:eastAsia="zh-CN"/>
              </w:rPr>
              <w:t>女生宿舍必须是女宿管员，学生休息期间有专人值班。</w:t>
            </w:r>
            <w:r>
              <w:rPr>
                <w:rFonts w:hint="eastAsia" w:ascii="Times New Roman" w:hAnsi="Times New Roman" w:eastAsia="宋体" w:cs="Times New Roman"/>
                <w:color w:val="000000"/>
                <w:sz w:val="18"/>
                <w:szCs w:val="18"/>
                <w:lang w:val="en-US" w:eastAsia="zh-CN"/>
              </w:rPr>
              <w:t>（4分）</w:t>
            </w:r>
          </w:p>
        </w:tc>
        <w:tc>
          <w:tcPr>
            <w:tcW w:w="849"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7"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color w:val="000000"/>
                <w:sz w:val="18"/>
                <w:szCs w:val="18"/>
              </w:rPr>
            </w:pPr>
            <w:r>
              <w:rPr>
                <w:rFonts w:hint="eastAsia" w:ascii="Calibri" w:hAnsi="Calibri" w:eastAsia="宋体" w:cs="Times New Roman"/>
                <w:color w:val="000000"/>
                <w:sz w:val="18"/>
                <w:szCs w:val="18"/>
                <w:u w:val="none"/>
                <w:lang w:val="en-US" w:eastAsia="zh-CN"/>
              </w:rPr>
              <w:t>校长应具有从事三年以上教育教学工作的经历，校长及教学副校长应具有本科以上学历和高级专业技术职务, 其他校级领导应具有本科以上学历和中级以上专业技术职务。</w:t>
            </w:r>
            <w:r>
              <w:rPr>
                <w:rFonts w:hint="eastAsia"/>
                <w:color w:val="000000"/>
                <w:sz w:val="18"/>
                <w:szCs w:val="18"/>
                <w:lang w:eastAsia="zh-CN"/>
              </w:rPr>
              <w:t>（</w:t>
            </w:r>
            <w:r>
              <w:rPr>
                <w:rFonts w:hint="eastAsia"/>
                <w:color w:val="000000"/>
                <w:sz w:val="18"/>
                <w:szCs w:val="18"/>
                <w:lang w:val="en-US" w:eastAsia="zh-CN"/>
              </w:rPr>
              <w:t>4分</w:t>
            </w:r>
            <w:r>
              <w:rPr>
                <w:rFonts w:hint="eastAsia"/>
                <w:color w:val="000000"/>
                <w:sz w:val="18"/>
                <w:szCs w:val="18"/>
                <w:lang w:eastAsia="zh-CN"/>
              </w:rPr>
              <w:t>）</w:t>
            </w:r>
          </w:p>
        </w:tc>
        <w:tc>
          <w:tcPr>
            <w:tcW w:w="849"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color w:val="000000"/>
                <w:sz w:val="18"/>
                <w:szCs w:val="18"/>
              </w:rPr>
            </w:pPr>
            <w:r>
              <w:rPr>
                <w:rFonts w:hint="eastAsia" w:ascii="Calibri" w:hAnsi="Calibri" w:eastAsia="宋体" w:cs="Times New Roman"/>
                <w:color w:val="000000"/>
                <w:sz w:val="18"/>
                <w:szCs w:val="18"/>
                <w:u w:val="none"/>
                <w:lang w:val="en-US" w:eastAsia="zh-CN"/>
              </w:rPr>
              <w:t>专任教师一般不少于60人。专任教师中，具有高级专业技术职务人数不低于20%。专业教师数应不低于本校专任教师数的50%，其中双师型教师不低于30%。每个专业至少应配备具有相关专业中级以上专业技术职务的专任教师2人。聘请有实践经验的兼职教师应占本校专任教师总数的20%左右。</w:t>
            </w:r>
            <w:r>
              <w:rPr>
                <w:rFonts w:hint="eastAsia"/>
                <w:color w:val="000000"/>
                <w:sz w:val="18"/>
                <w:szCs w:val="18"/>
                <w:lang w:eastAsia="zh-CN"/>
              </w:rPr>
              <w:t>（</w:t>
            </w:r>
            <w:r>
              <w:rPr>
                <w:rFonts w:hint="eastAsia"/>
                <w:color w:val="000000"/>
                <w:sz w:val="18"/>
                <w:szCs w:val="18"/>
                <w:lang w:val="en-US" w:eastAsia="zh-CN"/>
              </w:rPr>
              <w:t>4分</w:t>
            </w:r>
            <w:r>
              <w:rPr>
                <w:rFonts w:hint="eastAsia"/>
                <w:color w:val="000000"/>
                <w:sz w:val="18"/>
                <w:szCs w:val="18"/>
                <w:lang w:eastAsia="zh-CN"/>
              </w:rPr>
              <w:t>）</w:t>
            </w:r>
          </w:p>
        </w:tc>
        <w:tc>
          <w:tcPr>
            <w:tcW w:w="849"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trPr>
        <w:tc>
          <w:tcPr>
            <w:tcW w:w="1039" w:type="dxa"/>
            <w:vMerge w:val="restart"/>
            <w:noWrap w:val="0"/>
            <w:vAlign w:val="center"/>
          </w:tcPr>
          <w:p>
            <w:pPr>
              <w:shd w:val="clear" w:color="auto" w:fill="auto"/>
              <w:spacing w:line="240" w:lineRule="exact"/>
              <w:jc w:val="center"/>
              <w:rPr>
                <w:color w:val="000000"/>
                <w:sz w:val="18"/>
                <w:szCs w:val="18"/>
                <w:lang w:val="en"/>
              </w:rPr>
            </w:pPr>
            <w:r>
              <w:rPr>
                <w:color w:val="000000"/>
                <w:sz w:val="18"/>
                <w:szCs w:val="18"/>
                <w:lang w:val="en"/>
              </w:rPr>
              <w:t>三</w:t>
            </w:r>
          </w:p>
          <w:p>
            <w:pPr>
              <w:shd w:val="clear" w:color="auto" w:fill="auto"/>
              <w:spacing w:line="240" w:lineRule="exact"/>
              <w:jc w:val="center"/>
              <w:rPr>
                <w:rFonts w:hint="eastAsia"/>
                <w:color w:val="000000"/>
                <w:sz w:val="18"/>
                <w:szCs w:val="18"/>
                <w:lang w:val="en" w:eastAsia="zh-CN"/>
              </w:rPr>
            </w:pPr>
            <w:r>
              <w:rPr>
                <w:rFonts w:hint="eastAsia"/>
                <w:color w:val="000000"/>
                <w:sz w:val="18"/>
                <w:szCs w:val="18"/>
                <w:lang w:val="en" w:eastAsia="zh-CN"/>
              </w:rPr>
              <w:t>常规</w:t>
            </w:r>
          </w:p>
          <w:p>
            <w:pPr>
              <w:shd w:val="clear" w:color="auto" w:fill="auto"/>
              <w:spacing w:line="240" w:lineRule="exact"/>
              <w:jc w:val="center"/>
              <w:rPr>
                <w:rFonts w:hint="eastAsia"/>
                <w:color w:val="000000"/>
                <w:sz w:val="18"/>
                <w:szCs w:val="18"/>
                <w:lang w:val="en" w:eastAsia="zh-CN"/>
              </w:rPr>
            </w:pPr>
            <w:r>
              <w:rPr>
                <w:rFonts w:hint="eastAsia"/>
                <w:color w:val="000000"/>
                <w:sz w:val="18"/>
                <w:szCs w:val="18"/>
                <w:lang w:val="en" w:eastAsia="zh-CN"/>
              </w:rPr>
              <w:t>管理</w:t>
            </w:r>
          </w:p>
          <w:p>
            <w:pPr>
              <w:shd w:val="clear" w:color="auto" w:fill="auto"/>
              <w:spacing w:line="240" w:lineRule="exact"/>
              <w:jc w:val="center"/>
              <w:rPr>
                <w:rFonts w:hint="eastAsia"/>
                <w:color w:val="000000"/>
                <w:sz w:val="18"/>
                <w:szCs w:val="18"/>
                <w:lang w:val="en" w:eastAsia="zh-CN"/>
              </w:rPr>
            </w:pPr>
            <w:r>
              <w:rPr>
                <w:rFonts w:hint="eastAsia"/>
                <w:color w:val="000000"/>
                <w:sz w:val="18"/>
                <w:szCs w:val="18"/>
                <w:lang w:val="en" w:eastAsia="zh-CN"/>
              </w:rPr>
              <w:t>（</w:t>
            </w:r>
            <w:r>
              <w:rPr>
                <w:rFonts w:hint="eastAsia"/>
                <w:color w:val="000000"/>
                <w:sz w:val="18"/>
                <w:szCs w:val="18"/>
                <w:lang w:val="en-US" w:eastAsia="zh-CN"/>
              </w:rPr>
              <w:t>25分</w:t>
            </w:r>
            <w:r>
              <w:rPr>
                <w:rFonts w:hint="eastAsia"/>
                <w:color w:val="000000"/>
                <w:sz w:val="18"/>
                <w:szCs w:val="18"/>
                <w:lang w:val="en" w:eastAsia="zh-CN"/>
              </w:rPr>
              <w:t>）</w:t>
            </w:r>
          </w:p>
        </w:tc>
        <w:tc>
          <w:tcPr>
            <w:tcW w:w="6491" w:type="dxa"/>
            <w:gridSpan w:val="5"/>
            <w:noWrap w:val="0"/>
            <w:vAlign w:val="center"/>
          </w:tcPr>
          <w:p>
            <w:pPr>
              <w:shd w:val="clear" w:color="auto" w:fill="auto"/>
              <w:spacing w:line="240" w:lineRule="exact"/>
              <w:rPr>
                <w:color w:val="000000"/>
                <w:sz w:val="18"/>
                <w:szCs w:val="18"/>
              </w:rPr>
            </w:pPr>
            <w:r>
              <w:rPr>
                <w:color w:val="000000"/>
                <w:sz w:val="18"/>
                <w:szCs w:val="18"/>
              </w:rPr>
              <w:t>办学许可证、法人登记证登记内容与办学实际相符。学校名称</w:t>
            </w:r>
            <w:r>
              <w:rPr>
                <w:rFonts w:hint="eastAsia"/>
                <w:color w:val="000000"/>
                <w:sz w:val="18"/>
                <w:szCs w:val="18"/>
                <w:lang w:eastAsia="zh-CN"/>
              </w:rPr>
              <w:t>与办学许可证一致。（</w:t>
            </w:r>
            <w:r>
              <w:rPr>
                <w:rFonts w:hint="eastAsia"/>
                <w:color w:val="000000"/>
                <w:sz w:val="18"/>
                <w:szCs w:val="18"/>
                <w:lang w:val="en-US" w:eastAsia="zh-CN"/>
              </w:rPr>
              <w:t>5分</w:t>
            </w:r>
            <w:r>
              <w:rPr>
                <w:rFonts w:hint="eastAsia"/>
                <w:color w:val="000000"/>
                <w:sz w:val="18"/>
                <w:szCs w:val="18"/>
                <w:lang w:eastAsia="zh-CN"/>
              </w:rPr>
              <w:t>）</w:t>
            </w:r>
          </w:p>
        </w:tc>
        <w:tc>
          <w:tcPr>
            <w:tcW w:w="849"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5"/>
            <w:noWrap w:val="0"/>
            <w:vAlign w:val="center"/>
          </w:tcPr>
          <w:p>
            <w:pPr>
              <w:shd w:val="clear" w:color="auto" w:fill="auto"/>
              <w:spacing w:line="240" w:lineRule="exact"/>
              <w:rPr>
                <w:color w:val="000000"/>
                <w:sz w:val="18"/>
                <w:szCs w:val="18"/>
              </w:rPr>
            </w:pPr>
            <w:r>
              <w:rPr>
                <w:rFonts w:hint="eastAsia" w:ascii="Times New Roman" w:hAnsi="Times New Roman" w:eastAsia="宋体" w:cs="Times New Roman"/>
                <w:color w:val="000000"/>
                <w:sz w:val="18"/>
                <w:szCs w:val="18"/>
                <w:lang w:eastAsia="zh-CN"/>
              </w:rPr>
              <w:t>教学管理制度健全，执行好，开设课程与备案的招生简章相符，教师上课有教案，学校有教案及教学检查记载，定期开展教育教学研究，有活动记录。</w:t>
            </w:r>
            <w:r>
              <w:rPr>
                <w:rFonts w:hint="eastAsia" w:ascii="Times New Roman" w:hAnsi="Times New Roman" w:eastAsia="宋体" w:cs="Times New Roman"/>
                <w:color w:val="000000"/>
                <w:sz w:val="18"/>
                <w:szCs w:val="18"/>
                <w:lang w:val="en-US" w:eastAsia="zh-CN"/>
              </w:rPr>
              <w:t>认真落实“双减双规范”工作要求，</w:t>
            </w:r>
            <w:r>
              <w:rPr>
                <w:color w:val="000000"/>
                <w:sz w:val="18"/>
                <w:szCs w:val="18"/>
              </w:rPr>
              <w:t>开齐开足国家规定课程</w:t>
            </w:r>
            <w:r>
              <w:rPr>
                <w:rFonts w:hint="eastAsia"/>
                <w:color w:val="000000"/>
                <w:sz w:val="18"/>
                <w:szCs w:val="18"/>
                <w:lang w:eastAsia="zh-CN"/>
              </w:rPr>
              <w:t>，</w:t>
            </w:r>
            <w:r>
              <w:rPr>
                <w:color w:val="000000"/>
                <w:sz w:val="18"/>
                <w:szCs w:val="18"/>
              </w:rPr>
              <w:t>实训开出率达85%以上。至少配备一名专</w:t>
            </w:r>
            <w:r>
              <w:rPr>
                <w:rFonts w:hint="eastAsia"/>
                <w:color w:val="000000"/>
                <w:sz w:val="18"/>
                <w:szCs w:val="18"/>
                <w:lang w:eastAsia="zh-CN"/>
              </w:rPr>
              <w:t>（</w:t>
            </w:r>
            <w:r>
              <w:rPr>
                <w:color w:val="000000"/>
                <w:sz w:val="18"/>
                <w:szCs w:val="18"/>
              </w:rPr>
              <w:t>兼</w:t>
            </w:r>
            <w:r>
              <w:rPr>
                <w:rFonts w:hint="eastAsia"/>
                <w:color w:val="000000"/>
                <w:sz w:val="18"/>
                <w:szCs w:val="18"/>
                <w:lang w:eastAsia="zh-CN"/>
              </w:rPr>
              <w:t>）</w:t>
            </w:r>
            <w:r>
              <w:rPr>
                <w:color w:val="000000"/>
                <w:sz w:val="18"/>
                <w:szCs w:val="18"/>
              </w:rPr>
              <w:t>职心理健康教育教师，开展心理健康教育活动。学生缺课，及时与家长</w:t>
            </w:r>
            <w:r>
              <w:rPr>
                <w:rFonts w:hint="eastAsia"/>
                <w:color w:val="000000"/>
                <w:sz w:val="18"/>
                <w:szCs w:val="18"/>
                <w:lang w:eastAsia="zh-CN"/>
              </w:rPr>
              <w:t>联系</w:t>
            </w:r>
            <w:r>
              <w:rPr>
                <w:color w:val="000000"/>
                <w:sz w:val="18"/>
                <w:szCs w:val="18"/>
              </w:rPr>
              <w:t>。</w:t>
            </w:r>
            <w:r>
              <w:rPr>
                <w:rFonts w:hint="eastAsia"/>
                <w:color w:val="000000"/>
                <w:sz w:val="18"/>
                <w:szCs w:val="18"/>
                <w:lang w:eastAsia="zh-CN"/>
              </w:rPr>
              <w:t>无体罚、变相体罚和猥亵学生等违反师德师风行为。（</w:t>
            </w:r>
            <w:r>
              <w:rPr>
                <w:rFonts w:hint="eastAsia"/>
                <w:color w:val="000000"/>
                <w:sz w:val="18"/>
                <w:szCs w:val="18"/>
                <w:lang w:val="en-US" w:eastAsia="zh-CN"/>
              </w:rPr>
              <w:t>5分</w:t>
            </w:r>
            <w:r>
              <w:rPr>
                <w:rFonts w:hint="eastAsia"/>
                <w:color w:val="000000"/>
                <w:sz w:val="18"/>
                <w:szCs w:val="18"/>
                <w:lang w:eastAsia="zh-CN"/>
              </w:rPr>
              <w:t>）</w:t>
            </w:r>
          </w:p>
        </w:tc>
        <w:tc>
          <w:tcPr>
            <w:tcW w:w="849"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bl>
    <w:p>
      <w:pPr>
        <w:rPr>
          <w:color w:val="000000"/>
        </w:rPr>
      </w:pPr>
    </w:p>
    <w:p>
      <w:pPr>
        <w:pStyle w:val="7"/>
        <w:rPr>
          <w:color w:val="00000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9"/>
        <w:gridCol w:w="6485"/>
        <w:gridCol w:w="6"/>
        <w:gridCol w:w="849"/>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039" w:type="dxa"/>
            <w:noWrap w:val="0"/>
            <w:vAlign w:val="center"/>
          </w:tcPr>
          <w:p>
            <w:pPr>
              <w:shd w:val="clear" w:color="auto" w:fill="auto"/>
              <w:spacing w:line="280" w:lineRule="exact"/>
              <w:jc w:val="center"/>
              <w:rPr>
                <w:rFonts w:hint="eastAsia" w:eastAsia="仿宋"/>
                <w:b/>
                <w:bCs w:val="0"/>
                <w:color w:val="000000"/>
                <w:kern w:val="0"/>
                <w:sz w:val="21"/>
                <w:szCs w:val="21"/>
                <w:lang w:val="en" w:eastAsia="zh-CN"/>
              </w:rPr>
            </w:pPr>
            <w:r>
              <w:rPr>
                <w:rFonts w:hint="eastAsia" w:eastAsia="仿宋"/>
                <w:b/>
                <w:bCs w:val="0"/>
                <w:color w:val="000000"/>
                <w:kern w:val="0"/>
                <w:sz w:val="21"/>
                <w:szCs w:val="21"/>
                <w:lang w:val="en" w:eastAsia="zh-CN"/>
              </w:rPr>
              <w:t>项目及</w:t>
            </w:r>
          </w:p>
          <w:p>
            <w:pPr>
              <w:shd w:val="clear" w:color="auto" w:fill="auto"/>
              <w:spacing w:line="280" w:lineRule="exact"/>
              <w:jc w:val="center"/>
              <w:rPr>
                <w:rFonts w:eastAsia="方正黑体_GBK"/>
                <w:color w:val="000000"/>
                <w:sz w:val="18"/>
                <w:szCs w:val="18"/>
                <w:lang w:val="en"/>
              </w:rPr>
            </w:pPr>
            <w:r>
              <w:rPr>
                <w:rFonts w:hint="eastAsia" w:eastAsia="仿宋"/>
                <w:b/>
                <w:bCs w:val="0"/>
                <w:color w:val="000000"/>
                <w:kern w:val="0"/>
                <w:sz w:val="21"/>
                <w:szCs w:val="21"/>
                <w:lang w:val="en" w:eastAsia="zh-CN"/>
              </w:rPr>
              <w:t>分值</w:t>
            </w:r>
          </w:p>
        </w:tc>
        <w:tc>
          <w:tcPr>
            <w:tcW w:w="6491" w:type="dxa"/>
            <w:gridSpan w:val="2"/>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内容及计分规则</w:t>
            </w:r>
          </w:p>
        </w:tc>
        <w:tc>
          <w:tcPr>
            <w:tcW w:w="849"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得分</w:t>
            </w:r>
          </w:p>
        </w:tc>
        <w:tc>
          <w:tcPr>
            <w:tcW w:w="557" w:type="dxa"/>
            <w:noWrap w:val="0"/>
            <w:vAlign w:val="center"/>
          </w:tcPr>
          <w:p>
            <w:pPr>
              <w:shd w:val="clear" w:color="auto" w:fill="auto"/>
              <w:spacing w:line="280" w:lineRule="exact"/>
              <w:jc w:val="center"/>
              <w:rPr>
                <w:rFonts w:hint="eastAsia" w:ascii="Calibri" w:hAnsi="Calibri" w:eastAsia="仿宋" w:cs="Times New Roman"/>
                <w:b/>
                <w:bCs w:val="0"/>
                <w:color w:val="000000"/>
                <w:kern w:val="0"/>
                <w:sz w:val="21"/>
                <w:szCs w:val="21"/>
                <w:lang w:val="en" w:eastAsia="zh-CN"/>
              </w:rPr>
            </w:pPr>
            <w:r>
              <w:rPr>
                <w:rFonts w:hint="eastAsia" w:ascii="Calibri" w:hAnsi="Calibri" w:eastAsia="仿宋" w:cs="Times New Roman"/>
                <w:b/>
                <w:bCs w:val="0"/>
                <w:color w:val="000000"/>
                <w:kern w:val="0"/>
                <w:sz w:val="21"/>
                <w:szCs w:val="21"/>
                <w:lang w:val="e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trPr>
        <w:tc>
          <w:tcPr>
            <w:tcW w:w="1039" w:type="dxa"/>
            <w:vMerge w:val="restart"/>
            <w:noWrap w:val="0"/>
            <w:vAlign w:val="center"/>
          </w:tcPr>
          <w:p>
            <w:pPr>
              <w:shd w:val="clear" w:color="auto" w:fill="auto"/>
              <w:spacing w:line="240" w:lineRule="exact"/>
              <w:jc w:val="center"/>
              <w:rPr>
                <w:color w:val="000000"/>
                <w:sz w:val="18"/>
                <w:szCs w:val="18"/>
                <w:lang w:val="en"/>
              </w:rPr>
            </w:pPr>
            <w:r>
              <w:rPr>
                <w:color w:val="000000"/>
                <w:sz w:val="18"/>
                <w:szCs w:val="18"/>
                <w:lang w:val="en"/>
              </w:rPr>
              <w:t>三</w:t>
            </w:r>
          </w:p>
          <w:p>
            <w:pPr>
              <w:shd w:val="clear" w:color="auto" w:fill="auto"/>
              <w:spacing w:line="240" w:lineRule="exact"/>
              <w:jc w:val="center"/>
              <w:rPr>
                <w:rFonts w:hint="eastAsia"/>
                <w:color w:val="000000"/>
                <w:sz w:val="18"/>
                <w:szCs w:val="18"/>
                <w:lang w:val="en" w:eastAsia="zh-CN"/>
              </w:rPr>
            </w:pPr>
            <w:r>
              <w:rPr>
                <w:rFonts w:hint="eastAsia"/>
                <w:color w:val="000000"/>
                <w:sz w:val="18"/>
                <w:szCs w:val="18"/>
                <w:lang w:val="en" w:eastAsia="zh-CN"/>
              </w:rPr>
              <w:t>常规</w:t>
            </w:r>
          </w:p>
          <w:p>
            <w:pPr>
              <w:shd w:val="clear" w:color="auto" w:fill="auto"/>
              <w:spacing w:line="240" w:lineRule="exact"/>
              <w:jc w:val="center"/>
              <w:rPr>
                <w:rFonts w:hint="eastAsia"/>
                <w:color w:val="000000"/>
                <w:sz w:val="18"/>
                <w:szCs w:val="18"/>
                <w:lang w:val="en" w:eastAsia="zh-CN"/>
              </w:rPr>
            </w:pPr>
            <w:r>
              <w:rPr>
                <w:rFonts w:hint="eastAsia"/>
                <w:color w:val="000000"/>
                <w:sz w:val="18"/>
                <w:szCs w:val="18"/>
                <w:lang w:val="en" w:eastAsia="zh-CN"/>
              </w:rPr>
              <w:t>管理</w:t>
            </w:r>
          </w:p>
          <w:p>
            <w:pPr>
              <w:shd w:val="clear" w:color="auto" w:fill="auto"/>
              <w:spacing w:line="240" w:lineRule="exact"/>
              <w:jc w:val="center"/>
              <w:rPr>
                <w:color w:val="000000"/>
                <w:sz w:val="18"/>
                <w:szCs w:val="18"/>
                <w:lang w:val="en"/>
              </w:rPr>
            </w:pPr>
            <w:r>
              <w:rPr>
                <w:rFonts w:hint="eastAsia"/>
                <w:color w:val="000000"/>
                <w:sz w:val="18"/>
                <w:szCs w:val="18"/>
                <w:lang w:val="en" w:eastAsia="zh-CN"/>
              </w:rPr>
              <w:t>（</w:t>
            </w:r>
            <w:r>
              <w:rPr>
                <w:rFonts w:hint="eastAsia"/>
                <w:color w:val="000000"/>
                <w:sz w:val="18"/>
                <w:szCs w:val="18"/>
                <w:lang w:val="en-US" w:eastAsia="zh-CN"/>
              </w:rPr>
              <w:t>25分</w:t>
            </w:r>
            <w:r>
              <w:rPr>
                <w:rFonts w:hint="eastAsia"/>
                <w:color w:val="000000"/>
                <w:sz w:val="18"/>
                <w:szCs w:val="18"/>
                <w:lang w:val="en" w:eastAsia="zh-CN"/>
              </w:rPr>
              <w:t>）</w:t>
            </w:r>
          </w:p>
        </w:tc>
        <w:tc>
          <w:tcPr>
            <w:tcW w:w="6491" w:type="dxa"/>
            <w:gridSpan w:val="2"/>
            <w:noWrap w:val="0"/>
            <w:vAlign w:val="center"/>
          </w:tcPr>
          <w:p>
            <w:pPr>
              <w:shd w:val="clear" w:color="auto" w:fill="auto"/>
              <w:spacing w:line="240" w:lineRule="exact"/>
              <w:rPr>
                <w:color w:val="000000"/>
                <w:kern w:val="2"/>
                <w:sz w:val="18"/>
                <w:szCs w:val="18"/>
                <w:lang w:val="en-US" w:eastAsia="zh-CN" w:bidi="ar-SA"/>
              </w:rPr>
            </w:pPr>
            <w:r>
              <w:rPr>
                <w:color w:val="000000"/>
                <w:sz w:val="18"/>
                <w:szCs w:val="18"/>
              </w:rPr>
              <w:t>聘用教职工签订</w:t>
            </w:r>
            <w:r>
              <w:rPr>
                <w:rFonts w:hint="eastAsia"/>
                <w:color w:val="000000"/>
                <w:sz w:val="18"/>
                <w:szCs w:val="18"/>
                <w:lang w:eastAsia="zh-CN"/>
              </w:rPr>
              <w:t>劳动</w:t>
            </w:r>
            <w:r>
              <w:rPr>
                <w:color w:val="000000"/>
                <w:sz w:val="18"/>
                <w:szCs w:val="18"/>
              </w:rPr>
              <w:t>合同，按时足额支付工资，</w:t>
            </w:r>
            <w:r>
              <w:rPr>
                <w:rFonts w:hint="eastAsia"/>
                <w:color w:val="000000"/>
                <w:sz w:val="18"/>
                <w:szCs w:val="18"/>
                <w:lang w:eastAsia="zh-CN"/>
              </w:rPr>
              <w:t>保障福利待遇、</w:t>
            </w:r>
            <w:r>
              <w:rPr>
                <w:color w:val="000000"/>
                <w:sz w:val="18"/>
                <w:szCs w:val="18"/>
              </w:rPr>
              <w:t>社会保</w:t>
            </w:r>
            <w:r>
              <w:rPr>
                <w:rFonts w:hint="eastAsia"/>
                <w:color w:val="000000"/>
                <w:sz w:val="18"/>
                <w:szCs w:val="18"/>
                <w:lang w:eastAsia="zh-CN"/>
              </w:rPr>
              <w:t>障和医疗保障等</w:t>
            </w:r>
            <w:r>
              <w:rPr>
                <w:rFonts w:hint="eastAsia"/>
                <w:color w:val="000000"/>
                <w:sz w:val="18"/>
                <w:szCs w:val="18"/>
                <w:lang w:val="en-US" w:eastAsia="zh-CN"/>
              </w:rPr>
              <w:t>.</w:t>
            </w:r>
            <w:r>
              <w:rPr>
                <w:rFonts w:hint="eastAsia"/>
                <w:color w:val="000000"/>
                <w:sz w:val="18"/>
                <w:szCs w:val="18"/>
                <w:lang w:eastAsia="zh-CN"/>
              </w:rPr>
              <w:t>（</w:t>
            </w:r>
            <w:r>
              <w:rPr>
                <w:rFonts w:hint="eastAsia"/>
                <w:color w:val="000000"/>
                <w:sz w:val="18"/>
                <w:szCs w:val="18"/>
                <w:lang w:val="en-US" w:eastAsia="zh-CN"/>
              </w:rPr>
              <w:t>5分</w:t>
            </w:r>
            <w:r>
              <w:rPr>
                <w:rFonts w:hint="eastAsia"/>
                <w:color w:val="000000"/>
                <w:sz w:val="18"/>
                <w:szCs w:val="18"/>
                <w:lang w:eastAsia="zh-CN"/>
              </w:rPr>
              <w:t>）</w:t>
            </w:r>
          </w:p>
        </w:tc>
        <w:tc>
          <w:tcPr>
            <w:tcW w:w="849" w:type="dxa"/>
            <w:noWrap w:val="0"/>
            <w:vAlign w:val="center"/>
          </w:tcPr>
          <w:p>
            <w:pPr>
              <w:shd w:val="clear" w:color="auto" w:fill="auto"/>
              <w:spacing w:line="240" w:lineRule="exact"/>
              <w:jc w:val="center"/>
              <w:rPr>
                <w:rFonts w:hint="default" w:eastAsia="宋体"/>
                <w:color w:val="000000"/>
                <w:kern w:val="2"/>
                <w:sz w:val="18"/>
                <w:szCs w:val="18"/>
                <w:lang w:val="en-US" w:eastAsia="zh-CN" w:bidi="ar-SA"/>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2"/>
            <w:noWrap w:val="0"/>
            <w:vAlign w:val="center"/>
          </w:tcPr>
          <w:p>
            <w:pPr>
              <w:shd w:val="clear" w:color="auto" w:fill="auto"/>
              <w:spacing w:line="240" w:lineRule="exact"/>
              <w:rPr>
                <w:color w:val="000000"/>
                <w:kern w:val="2"/>
                <w:sz w:val="18"/>
                <w:szCs w:val="18"/>
                <w:lang w:val="en-US" w:eastAsia="zh-CN" w:bidi="ar-SA"/>
              </w:rPr>
            </w:pPr>
            <w:r>
              <w:rPr>
                <w:color w:val="000000"/>
                <w:sz w:val="18"/>
                <w:szCs w:val="18"/>
              </w:rPr>
              <w:t>章程内容规范，章程</w:t>
            </w:r>
            <w:r>
              <w:rPr>
                <w:rFonts w:hint="eastAsia"/>
                <w:color w:val="000000"/>
                <w:sz w:val="18"/>
                <w:szCs w:val="18"/>
                <w:lang w:eastAsia="zh-CN"/>
              </w:rPr>
              <w:t>变更、</w:t>
            </w:r>
            <w:r>
              <w:rPr>
                <w:color w:val="000000"/>
                <w:sz w:val="18"/>
                <w:szCs w:val="18"/>
              </w:rPr>
              <w:t>修订程序合法</w:t>
            </w:r>
            <w:r>
              <w:rPr>
                <w:rFonts w:hint="eastAsia"/>
                <w:color w:val="000000"/>
                <w:sz w:val="18"/>
                <w:szCs w:val="18"/>
                <w:lang w:eastAsia="zh-CN"/>
              </w:rPr>
              <w:t>，</w:t>
            </w:r>
            <w:r>
              <w:rPr>
                <w:color w:val="000000"/>
                <w:sz w:val="18"/>
                <w:szCs w:val="18"/>
              </w:rPr>
              <w:t>及时报教育行政主管部门备案并公示。招生广告</w:t>
            </w:r>
            <w:r>
              <w:rPr>
                <w:rFonts w:hint="eastAsia"/>
                <w:color w:val="000000"/>
                <w:sz w:val="18"/>
                <w:szCs w:val="18"/>
                <w:lang w:eastAsia="zh-CN"/>
              </w:rPr>
              <w:t>（</w:t>
            </w:r>
            <w:r>
              <w:rPr>
                <w:color w:val="000000"/>
                <w:sz w:val="18"/>
                <w:szCs w:val="18"/>
              </w:rPr>
              <w:t>简章</w:t>
            </w:r>
            <w:r>
              <w:rPr>
                <w:rFonts w:hint="eastAsia"/>
                <w:color w:val="000000"/>
                <w:sz w:val="18"/>
                <w:szCs w:val="18"/>
                <w:lang w:eastAsia="zh-CN"/>
              </w:rPr>
              <w:t>）</w:t>
            </w:r>
            <w:r>
              <w:rPr>
                <w:color w:val="000000"/>
                <w:sz w:val="18"/>
                <w:szCs w:val="18"/>
              </w:rPr>
              <w:t>内容真实</w:t>
            </w:r>
            <w:r>
              <w:rPr>
                <w:rFonts w:hint="eastAsia"/>
                <w:color w:val="000000"/>
                <w:sz w:val="18"/>
                <w:szCs w:val="18"/>
                <w:lang w:eastAsia="zh-CN"/>
              </w:rPr>
              <w:t>，审查备案，</w:t>
            </w:r>
            <w:r>
              <w:rPr>
                <w:color w:val="000000"/>
                <w:sz w:val="18"/>
                <w:szCs w:val="18"/>
              </w:rPr>
              <w:t>无贿招行为</w:t>
            </w:r>
            <w:r>
              <w:rPr>
                <w:rFonts w:hint="eastAsia"/>
                <w:color w:val="000000"/>
                <w:sz w:val="18"/>
                <w:szCs w:val="18"/>
                <w:lang w:eastAsia="zh-CN"/>
              </w:rPr>
              <w:t>。（</w:t>
            </w:r>
            <w:r>
              <w:rPr>
                <w:rFonts w:hint="eastAsia"/>
                <w:color w:val="000000"/>
                <w:sz w:val="18"/>
                <w:szCs w:val="18"/>
                <w:lang w:val="en-US" w:eastAsia="zh-CN"/>
              </w:rPr>
              <w:t>5分</w:t>
            </w:r>
            <w:r>
              <w:rPr>
                <w:rFonts w:hint="eastAsia"/>
                <w:color w:val="000000"/>
                <w:sz w:val="18"/>
                <w:szCs w:val="18"/>
                <w:lang w:eastAsia="zh-CN"/>
              </w:rPr>
              <w:t>）</w:t>
            </w:r>
            <w:r>
              <w:rPr>
                <w:color w:val="000000"/>
                <w:sz w:val="18"/>
                <w:szCs w:val="18"/>
              </w:rPr>
              <w:t>。</w:t>
            </w:r>
          </w:p>
        </w:tc>
        <w:tc>
          <w:tcPr>
            <w:tcW w:w="849" w:type="dxa"/>
            <w:noWrap w:val="0"/>
            <w:vAlign w:val="center"/>
          </w:tcPr>
          <w:p>
            <w:pPr>
              <w:shd w:val="clear" w:color="auto" w:fill="auto"/>
              <w:spacing w:line="240" w:lineRule="exact"/>
              <w:jc w:val="center"/>
              <w:rPr>
                <w:rFonts w:hint="default" w:eastAsia="宋体"/>
                <w:color w:val="000000"/>
                <w:kern w:val="2"/>
                <w:sz w:val="18"/>
                <w:szCs w:val="18"/>
                <w:lang w:val="en-US" w:eastAsia="zh-CN" w:bidi="ar-SA"/>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4"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91" w:type="dxa"/>
            <w:gridSpan w:val="2"/>
            <w:noWrap w:val="0"/>
            <w:vAlign w:val="center"/>
          </w:tcPr>
          <w:p>
            <w:pPr>
              <w:shd w:val="clear" w:color="auto" w:fill="auto"/>
              <w:spacing w:line="240" w:lineRule="exact"/>
              <w:rPr>
                <w:rFonts w:hint="eastAsia" w:eastAsia="宋体"/>
                <w:color w:val="000000"/>
                <w:kern w:val="2"/>
                <w:sz w:val="18"/>
                <w:szCs w:val="18"/>
                <w:lang w:val="en-US" w:eastAsia="zh-CN" w:bidi="ar-SA"/>
              </w:rPr>
            </w:pPr>
            <w:r>
              <w:rPr>
                <w:color w:val="000000"/>
                <w:sz w:val="18"/>
                <w:szCs w:val="18"/>
              </w:rPr>
              <w:t>建立并执行财务、会计制度和资产管理制度，健全内控制度</w:t>
            </w:r>
            <w:r>
              <w:rPr>
                <w:rFonts w:hint="eastAsia"/>
                <w:color w:val="000000"/>
                <w:sz w:val="18"/>
                <w:szCs w:val="18"/>
                <w:lang w:eastAsia="zh-CN"/>
              </w:rPr>
              <w:t>；</w:t>
            </w:r>
            <w:r>
              <w:rPr>
                <w:color w:val="000000"/>
                <w:sz w:val="18"/>
                <w:szCs w:val="18"/>
              </w:rPr>
              <w:t>建立收退费标准与制度</w:t>
            </w:r>
            <w:r>
              <w:rPr>
                <w:rFonts w:hint="eastAsia"/>
                <w:color w:val="000000"/>
                <w:sz w:val="18"/>
                <w:szCs w:val="18"/>
                <w:lang w:eastAsia="zh-CN"/>
              </w:rPr>
              <w:t>，收费先备案后公示再收费；</w:t>
            </w:r>
            <w:r>
              <w:rPr>
                <w:color w:val="000000"/>
                <w:sz w:val="18"/>
                <w:szCs w:val="18"/>
              </w:rPr>
              <w:t>收费</w:t>
            </w:r>
            <w:r>
              <w:rPr>
                <w:rFonts w:hint="eastAsia"/>
                <w:color w:val="000000"/>
                <w:sz w:val="18"/>
                <w:szCs w:val="18"/>
                <w:lang w:eastAsia="zh-CN"/>
              </w:rPr>
              <w:t>出具税务发票，</w:t>
            </w:r>
            <w:r>
              <w:rPr>
                <w:color w:val="000000"/>
                <w:sz w:val="18"/>
                <w:szCs w:val="18"/>
              </w:rPr>
              <w:t>收费周期符合有关规定</w:t>
            </w:r>
            <w:r>
              <w:rPr>
                <w:rFonts w:hint="eastAsia"/>
                <w:color w:val="000000"/>
                <w:sz w:val="18"/>
                <w:szCs w:val="18"/>
                <w:lang w:eastAsia="zh-CN"/>
              </w:rPr>
              <w:t>（</w:t>
            </w:r>
            <w:r>
              <w:rPr>
                <w:color w:val="000000"/>
                <w:sz w:val="18"/>
                <w:szCs w:val="18"/>
              </w:rPr>
              <w:t>高中阶段不跨学年收费</w:t>
            </w:r>
            <w:r>
              <w:rPr>
                <w:rFonts w:hint="eastAsia"/>
                <w:color w:val="000000"/>
                <w:sz w:val="18"/>
                <w:szCs w:val="18"/>
                <w:lang w:eastAsia="zh-CN"/>
              </w:rPr>
              <w:t>）；</w:t>
            </w:r>
            <w:r>
              <w:rPr>
                <w:rFonts w:hint="eastAsia" w:ascii="Times New Roman" w:hAnsi="Times New Roman" w:eastAsia="宋体" w:cs="Times New Roman"/>
                <w:color w:val="000000"/>
                <w:sz w:val="18"/>
                <w:szCs w:val="18"/>
                <w:lang w:eastAsia="zh-CN"/>
              </w:rPr>
              <w:t>收费严格执行“收支两条线”管理，</w:t>
            </w:r>
            <w:r>
              <w:rPr>
                <w:color w:val="000000"/>
                <w:sz w:val="18"/>
                <w:szCs w:val="18"/>
              </w:rPr>
              <w:t>收取费用、开展活动的资金往来，</w:t>
            </w:r>
            <w:r>
              <w:rPr>
                <w:rFonts w:hint="eastAsia"/>
                <w:color w:val="000000"/>
                <w:sz w:val="18"/>
                <w:szCs w:val="18"/>
                <w:lang w:eastAsia="zh-CN"/>
              </w:rPr>
              <w:t>通过</w:t>
            </w:r>
            <w:r>
              <w:rPr>
                <w:color w:val="000000"/>
                <w:sz w:val="18"/>
                <w:szCs w:val="18"/>
              </w:rPr>
              <w:t>备案的账户</w:t>
            </w:r>
            <w:r>
              <w:rPr>
                <w:rFonts w:hint="eastAsia"/>
                <w:color w:val="000000"/>
                <w:sz w:val="18"/>
                <w:szCs w:val="18"/>
                <w:lang w:eastAsia="zh-CN"/>
              </w:rPr>
              <w:t>，</w:t>
            </w:r>
            <w:r>
              <w:rPr>
                <w:rFonts w:hint="eastAsia" w:ascii="Times New Roman" w:hAnsi="Times New Roman" w:eastAsia="宋体" w:cs="Times New Roman"/>
                <w:color w:val="000000"/>
                <w:sz w:val="18"/>
                <w:szCs w:val="18"/>
                <w:lang w:eastAsia="zh-CN"/>
              </w:rPr>
              <w:t>严禁坐收坐支；</w:t>
            </w:r>
            <w:r>
              <w:rPr>
                <w:rFonts w:hint="eastAsia" w:ascii="Calibri" w:hAnsi="Calibri" w:eastAsia="宋体" w:cs="Times New Roman"/>
                <w:color w:val="000000"/>
                <w:sz w:val="18"/>
                <w:szCs w:val="18"/>
                <w:lang w:eastAsia="zh-CN"/>
              </w:rPr>
              <w:t>每年度进行</w:t>
            </w:r>
            <w:r>
              <w:rPr>
                <w:rFonts w:ascii="Calibri" w:hAnsi="Calibri" w:eastAsia="宋体" w:cs="Times New Roman"/>
                <w:color w:val="000000"/>
                <w:sz w:val="18"/>
                <w:szCs w:val="18"/>
              </w:rPr>
              <w:t>会计核算，编制会计报告</w:t>
            </w:r>
            <w:r>
              <w:rPr>
                <w:rFonts w:hint="eastAsia" w:ascii="Calibri" w:hAnsi="Calibri" w:eastAsia="宋体" w:cs="Times New Roman"/>
                <w:color w:val="000000"/>
                <w:sz w:val="18"/>
                <w:szCs w:val="18"/>
                <w:lang w:eastAsia="zh-CN"/>
              </w:rPr>
              <w:t>，</w:t>
            </w:r>
            <w:r>
              <w:rPr>
                <w:rFonts w:ascii="Calibri" w:hAnsi="Calibri" w:eastAsia="宋体" w:cs="Times New Roman"/>
                <w:color w:val="000000"/>
                <w:sz w:val="18"/>
                <w:szCs w:val="18"/>
              </w:rPr>
              <w:t>具</w:t>
            </w:r>
            <w:r>
              <w:rPr>
                <w:rFonts w:hint="eastAsia" w:ascii="Calibri" w:hAnsi="Calibri" w:eastAsia="宋体" w:cs="Times New Roman"/>
                <w:color w:val="000000"/>
                <w:sz w:val="18"/>
                <w:szCs w:val="18"/>
                <w:lang w:eastAsia="zh-CN"/>
              </w:rPr>
              <w:t>有符合要求的</w:t>
            </w:r>
            <w:r>
              <w:rPr>
                <w:rFonts w:ascii="Calibri" w:hAnsi="Calibri" w:eastAsia="宋体" w:cs="Times New Roman"/>
                <w:color w:val="000000"/>
                <w:sz w:val="18"/>
                <w:szCs w:val="18"/>
              </w:rPr>
              <w:t>审计报告</w:t>
            </w:r>
            <w:r>
              <w:rPr>
                <w:rFonts w:hint="eastAsia" w:ascii="Calibri" w:hAnsi="Calibri" w:eastAsia="宋体" w:cs="Times New Roman"/>
                <w:color w:val="000000"/>
                <w:sz w:val="18"/>
                <w:szCs w:val="18"/>
                <w:lang w:eastAsia="zh-CN"/>
              </w:rPr>
              <w:t>。（</w:t>
            </w:r>
            <w:r>
              <w:rPr>
                <w:rFonts w:hint="eastAsia" w:ascii="Calibri" w:hAnsi="Calibri" w:eastAsia="宋体" w:cs="Times New Roman"/>
                <w:color w:val="000000"/>
                <w:sz w:val="18"/>
                <w:szCs w:val="18"/>
                <w:lang w:val="en-US" w:eastAsia="zh-CN"/>
              </w:rPr>
              <w:t>5分</w:t>
            </w:r>
            <w:r>
              <w:rPr>
                <w:rFonts w:hint="eastAsia" w:ascii="Calibri" w:hAnsi="Calibri" w:eastAsia="宋体" w:cs="Times New Roman"/>
                <w:color w:val="000000"/>
                <w:sz w:val="18"/>
                <w:szCs w:val="18"/>
                <w:lang w:eastAsia="zh-CN"/>
              </w:rPr>
              <w:t>）</w:t>
            </w:r>
          </w:p>
        </w:tc>
        <w:tc>
          <w:tcPr>
            <w:tcW w:w="849" w:type="dxa"/>
            <w:noWrap w:val="0"/>
            <w:vAlign w:val="center"/>
          </w:tcPr>
          <w:p>
            <w:pPr>
              <w:shd w:val="clear" w:color="auto" w:fill="auto"/>
              <w:spacing w:line="240" w:lineRule="exact"/>
              <w:jc w:val="center"/>
              <w:rPr>
                <w:rFonts w:hint="default" w:eastAsia="宋体"/>
                <w:color w:val="000000"/>
                <w:kern w:val="2"/>
                <w:sz w:val="18"/>
                <w:szCs w:val="18"/>
                <w:lang w:val="en-US" w:eastAsia="zh-CN" w:bidi="ar-SA"/>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trPr>
        <w:tc>
          <w:tcPr>
            <w:tcW w:w="1039" w:type="dxa"/>
            <w:vMerge w:val="restart"/>
            <w:noWrap w:val="0"/>
            <w:vAlign w:val="center"/>
          </w:tcPr>
          <w:p>
            <w:pPr>
              <w:shd w:val="clear" w:color="auto" w:fill="auto"/>
              <w:spacing w:line="240" w:lineRule="exact"/>
              <w:jc w:val="center"/>
              <w:rPr>
                <w:rFonts w:hint="eastAsia"/>
                <w:color w:val="000000"/>
                <w:sz w:val="18"/>
                <w:szCs w:val="18"/>
                <w:lang w:val="en" w:eastAsia="zh-CN"/>
              </w:rPr>
            </w:pPr>
            <w:r>
              <w:rPr>
                <w:rFonts w:hint="eastAsia"/>
                <w:color w:val="000000"/>
                <w:sz w:val="18"/>
                <w:szCs w:val="18"/>
                <w:lang w:val="en" w:eastAsia="zh-CN"/>
              </w:rPr>
              <w:t>四</w:t>
            </w:r>
          </w:p>
          <w:p>
            <w:pPr>
              <w:shd w:val="clear" w:color="auto" w:fill="auto"/>
              <w:spacing w:line="240" w:lineRule="exact"/>
              <w:jc w:val="center"/>
              <w:rPr>
                <w:color w:val="000000"/>
                <w:sz w:val="18"/>
                <w:szCs w:val="18"/>
                <w:lang w:val="en"/>
              </w:rPr>
            </w:pPr>
            <w:r>
              <w:rPr>
                <w:color w:val="000000"/>
                <w:sz w:val="18"/>
                <w:szCs w:val="18"/>
                <w:lang w:val="en"/>
              </w:rPr>
              <w:t>安全</w:t>
            </w:r>
          </w:p>
          <w:p>
            <w:pPr>
              <w:shd w:val="clear" w:color="auto" w:fill="auto"/>
              <w:spacing w:line="240" w:lineRule="exact"/>
              <w:jc w:val="center"/>
              <w:rPr>
                <w:rFonts w:hint="eastAsia" w:eastAsia="宋体"/>
                <w:color w:val="000000"/>
                <w:sz w:val="18"/>
                <w:szCs w:val="18"/>
                <w:lang w:val="en" w:eastAsia="zh-CN"/>
              </w:rPr>
            </w:pPr>
            <w:r>
              <w:rPr>
                <w:rFonts w:hint="eastAsia"/>
                <w:color w:val="000000"/>
                <w:sz w:val="18"/>
                <w:szCs w:val="18"/>
                <w:lang w:val="en" w:eastAsia="zh-CN"/>
              </w:rPr>
              <w:t>卫生</w:t>
            </w:r>
          </w:p>
          <w:p>
            <w:pPr>
              <w:shd w:val="clear" w:color="auto" w:fill="auto"/>
              <w:spacing w:line="240" w:lineRule="exact"/>
              <w:jc w:val="center"/>
              <w:rPr>
                <w:color w:val="000000"/>
                <w:sz w:val="18"/>
                <w:szCs w:val="18"/>
                <w:lang w:val="en"/>
              </w:rPr>
            </w:pPr>
            <w:r>
              <w:rPr>
                <w:color w:val="000000"/>
                <w:sz w:val="18"/>
                <w:szCs w:val="18"/>
                <w:lang w:val="en"/>
              </w:rPr>
              <w:t>管理</w:t>
            </w:r>
          </w:p>
          <w:p>
            <w:pPr>
              <w:shd w:val="clear" w:color="auto" w:fill="auto"/>
              <w:spacing w:line="240" w:lineRule="exact"/>
              <w:jc w:val="center"/>
              <w:rPr>
                <w:color w:val="000000"/>
                <w:sz w:val="18"/>
                <w:szCs w:val="18"/>
                <w:lang w:val="en"/>
              </w:rPr>
            </w:pPr>
            <w:r>
              <w:rPr>
                <w:color w:val="000000"/>
                <w:sz w:val="16"/>
                <w:szCs w:val="16"/>
                <w:lang w:val="en"/>
              </w:rPr>
              <w:t>（</w:t>
            </w:r>
            <w:r>
              <w:rPr>
                <w:rFonts w:hint="eastAsia"/>
                <w:color w:val="000000"/>
                <w:sz w:val="16"/>
                <w:szCs w:val="16"/>
                <w:lang w:val="en-US" w:eastAsia="zh-CN"/>
              </w:rPr>
              <w:t>30</w:t>
            </w:r>
            <w:r>
              <w:rPr>
                <w:color w:val="000000"/>
                <w:sz w:val="16"/>
                <w:szCs w:val="16"/>
              </w:rPr>
              <w:t>分</w:t>
            </w:r>
            <w:r>
              <w:rPr>
                <w:color w:val="000000"/>
                <w:sz w:val="16"/>
                <w:szCs w:val="16"/>
                <w:lang w:val="en"/>
              </w:rPr>
              <w:t>）</w:t>
            </w:r>
          </w:p>
        </w:tc>
        <w:tc>
          <w:tcPr>
            <w:tcW w:w="6485" w:type="dxa"/>
            <w:noWrap w:val="0"/>
            <w:vAlign w:val="center"/>
          </w:tcPr>
          <w:p>
            <w:pPr>
              <w:shd w:val="clear" w:color="auto" w:fill="auto"/>
              <w:spacing w:line="210" w:lineRule="exact"/>
              <w:rPr>
                <w:rFonts w:hint="eastAsia" w:eastAsia="宋体"/>
                <w:color w:val="000000"/>
                <w:sz w:val="18"/>
                <w:szCs w:val="18"/>
                <w:lang w:val="en-US" w:eastAsia="zh-CN"/>
              </w:rPr>
            </w:pPr>
            <w:r>
              <w:rPr>
                <w:rFonts w:hint="eastAsia"/>
                <w:color w:val="000000"/>
                <w:sz w:val="18"/>
                <w:szCs w:val="18"/>
                <w:lang w:eastAsia="zh-CN"/>
              </w:rPr>
              <w:t>建立健全安全管理机制，</w:t>
            </w:r>
            <w:r>
              <w:rPr>
                <w:color w:val="000000"/>
                <w:sz w:val="18"/>
                <w:szCs w:val="18"/>
              </w:rPr>
              <w:t>法定代表人</w:t>
            </w:r>
            <w:r>
              <w:rPr>
                <w:rFonts w:hint="eastAsia"/>
                <w:color w:val="000000"/>
                <w:sz w:val="18"/>
                <w:szCs w:val="18"/>
                <w:lang w:eastAsia="zh-CN"/>
              </w:rPr>
              <w:t>作为</w:t>
            </w:r>
            <w:r>
              <w:rPr>
                <w:color w:val="000000"/>
                <w:sz w:val="18"/>
                <w:szCs w:val="18"/>
              </w:rPr>
              <w:t>安全管理第一责任人</w:t>
            </w:r>
            <w:r>
              <w:rPr>
                <w:rFonts w:hint="eastAsia"/>
                <w:color w:val="000000"/>
                <w:sz w:val="18"/>
                <w:szCs w:val="18"/>
                <w:lang w:eastAsia="zh-CN"/>
              </w:rPr>
              <w:t>落实好。每周至少开展一次安全检查</w:t>
            </w:r>
            <w:r>
              <w:rPr>
                <w:rFonts w:hint="eastAsia" w:ascii="Times New Roman" w:hAnsi="Times New Roman" w:cs="Times New Roman"/>
                <w:color w:val="000000"/>
                <w:sz w:val="18"/>
                <w:szCs w:val="18"/>
                <w:lang w:val="en-US" w:eastAsia="zh-CN"/>
              </w:rPr>
              <w:t>，建立</w:t>
            </w:r>
            <w:r>
              <w:rPr>
                <w:rFonts w:hint="eastAsia"/>
                <w:color w:val="000000"/>
                <w:sz w:val="18"/>
                <w:szCs w:val="18"/>
                <w:lang w:eastAsia="zh-CN"/>
              </w:rPr>
              <w:t>整改</w:t>
            </w:r>
            <w:r>
              <w:rPr>
                <w:rFonts w:hint="eastAsia" w:ascii="Times New Roman" w:hAnsi="Times New Roman" w:cs="Times New Roman"/>
                <w:color w:val="000000"/>
                <w:sz w:val="18"/>
                <w:szCs w:val="18"/>
                <w:lang w:val="en-US" w:eastAsia="zh-CN"/>
              </w:rPr>
              <w:t>台账。</w:t>
            </w:r>
            <w:r>
              <w:rPr>
                <w:rFonts w:hint="eastAsia"/>
                <w:color w:val="000000"/>
                <w:sz w:val="18"/>
                <w:szCs w:val="18"/>
                <w:lang w:eastAsia="zh-CN"/>
              </w:rPr>
              <w:t>（</w:t>
            </w:r>
            <w:r>
              <w:rPr>
                <w:rFonts w:hint="eastAsia"/>
                <w:color w:val="000000"/>
                <w:sz w:val="18"/>
                <w:szCs w:val="18"/>
                <w:lang w:val="en-US" w:eastAsia="zh-CN"/>
              </w:rPr>
              <w:t>5分</w:t>
            </w:r>
            <w:r>
              <w:rPr>
                <w:rFonts w:hint="eastAsia"/>
                <w:color w:val="000000"/>
                <w:sz w:val="18"/>
                <w:szCs w:val="18"/>
                <w:lang w:eastAsia="zh-CN"/>
              </w:rPr>
              <w:t>）</w:t>
            </w:r>
          </w:p>
        </w:tc>
        <w:tc>
          <w:tcPr>
            <w:tcW w:w="855" w:type="dxa"/>
            <w:gridSpan w:val="2"/>
            <w:noWrap w:val="0"/>
            <w:vAlign w:val="center"/>
          </w:tcPr>
          <w:p>
            <w:pPr>
              <w:shd w:val="clear" w:color="auto" w:fill="auto"/>
              <w:spacing w:line="240" w:lineRule="exact"/>
              <w:jc w:val="center"/>
              <w:rPr>
                <w:rFonts w:hint="default"/>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6"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85" w:type="dxa"/>
            <w:noWrap w:val="0"/>
            <w:vAlign w:val="center"/>
          </w:tcPr>
          <w:p>
            <w:pPr>
              <w:shd w:val="clear" w:color="auto" w:fill="auto"/>
              <w:spacing w:line="210" w:lineRule="exact"/>
              <w:rPr>
                <w:rFonts w:hint="eastAsia" w:eastAsia="宋体"/>
                <w:color w:val="000000"/>
                <w:sz w:val="18"/>
                <w:szCs w:val="18"/>
                <w:lang w:val="en-US" w:eastAsia="zh-CN"/>
              </w:rPr>
            </w:pPr>
            <w:r>
              <w:rPr>
                <w:rFonts w:hint="eastAsia"/>
                <w:color w:val="000000"/>
                <w:sz w:val="18"/>
                <w:szCs w:val="18"/>
                <w:lang w:eastAsia="zh-CN"/>
              </w:rPr>
              <w:t>教学楼、学生宿舍楼</w:t>
            </w:r>
            <w:r>
              <w:rPr>
                <w:rFonts w:hint="eastAsia"/>
                <w:color w:val="000000"/>
                <w:sz w:val="18"/>
                <w:szCs w:val="18"/>
              </w:rPr>
              <w:t>每层楼梯间、安全出口不得封闭，走道、楼梯间和出入口的显著位置设置消防疏散标志和应急灯</w:t>
            </w:r>
            <w:r>
              <w:rPr>
                <w:rFonts w:hint="eastAsia"/>
                <w:color w:val="000000"/>
                <w:sz w:val="18"/>
                <w:szCs w:val="18"/>
                <w:lang w:eastAsia="zh-CN"/>
              </w:rPr>
              <w:t>。</w:t>
            </w:r>
            <w:r>
              <w:rPr>
                <w:color w:val="000000"/>
                <w:sz w:val="18"/>
                <w:szCs w:val="18"/>
              </w:rPr>
              <w:t>内部电器、开关设施安全，安装漏电保护装置，电线按规范纳管，无乱拉乱接电线，无电线老化。</w:t>
            </w:r>
            <w:r>
              <w:rPr>
                <w:rFonts w:hint="eastAsia"/>
                <w:color w:val="000000"/>
                <w:sz w:val="18"/>
                <w:szCs w:val="18"/>
              </w:rPr>
              <w:t>严禁在卫生间、浴室安装煤气或燃气热水器</w:t>
            </w:r>
            <w:r>
              <w:rPr>
                <w:rFonts w:hint="eastAsia"/>
                <w:color w:val="000000"/>
                <w:sz w:val="18"/>
                <w:szCs w:val="18"/>
                <w:lang w:eastAsia="zh-CN"/>
              </w:rPr>
              <w:t>。</w:t>
            </w:r>
            <w:r>
              <w:rPr>
                <w:rFonts w:hint="eastAsia"/>
                <w:color w:val="000000"/>
                <w:sz w:val="18"/>
                <w:szCs w:val="18"/>
              </w:rPr>
              <w:t>（</w:t>
            </w:r>
            <w:r>
              <w:rPr>
                <w:rFonts w:hint="eastAsia"/>
                <w:color w:val="000000"/>
                <w:sz w:val="18"/>
                <w:szCs w:val="18"/>
                <w:lang w:val="en-US" w:eastAsia="zh-CN"/>
              </w:rPr>
              <w:t>4</w:t>
            </w:r>
            <w:r>
              <w:rPr>
                <w:rFonts w:hint="eastAsia"/>
                <w:color w:val="000000"/>
                <w:sz w:val="18"/>
                <w:szCs w:val="18"/>
              </w:rPr>
              <w:t>分）</w:t>
            </w:r>
          </w:p>
        </w:tc>
        <w:tc>
          <w:tcPr>
            <w:tcW w:w="855" w:type="dxa"/>
            <w:gridSpan w:val="2"/>
            <w:noWrap w:val="0"/>
            <w:vAlign w:val="center"/>
          </w:tcPr>
          <w:p>
            <w:pPr>
              <w:shd w:val="clear" w:color="auto" w:fill="auto"/>
              <w:spacing w:line="240" w:lineRule="exact"/>
              <w:jc w:val="center"/>
              <w:rPr>
                <w:rFonts w:hint="default"/>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trPr>
        <w:tc>
          <w:tcPr>
            <w:tcW w:w="1039" w:type="dxa"/>
            <w:vMerge w:val="continue"/>
            <w:noWrap w:val="0"/>
            <w:vAlign w:val="center"/>
          </w:tcPr>
          <w:p>
            <w:pPr>
              <w:shd w:val="clear" w:color="auto" w:fill="auto"/>
              <w:spacing w:line="240" w:lineRule="exact"/>
              <w:jc w:val="center"/>
              <w:rPr>
                <w:color w:val="000000"/>
                <w:sz w:val="16"/>
                <w:szCs w:val="16"/>
                <w:lang w:val="en"/>
              </w:rPr>
            </w:pPr>
          </w:p>
        </w:tc>
        <w:tc>
          <w:tcPr>
            <w:tcW w:w="6485" w:type="dxa"/>
            <w:noWrap w:val="0"/>
            <w:vAlign w:val="center"/>
          </w:tcPr>
          <w:p>
            <w:pPr>
              <w:shd w:val="clear" w:color="auto" w:fill="auto"/>
              <w:spacing w:line="240" w:lineRule="exact"/>
              <w:rPr>
                <w:rFonts w:hint="default"/>
                <w:color w:val="000000"/>
                <w:sz w:val="18"/>
                <w:szCs w:val="18"/>
                <w:lang w:val="en-US" w:eastAsia="zh-CN"/>
              </w:rPr>
            </w:pPr>
            <w:r>
              <w:rPr>
                <w:rFonts w:hint="eastAsia" w:ascii="Times New Roman" w:hAnsi="Times New Roman" w:cs="Times New Roman"/>
                <w:color w:val="000000"/>
                <w:sz w:val="18"/>
                <w:szCs w:val="18"/>
                <w:lang w:val="en-US" w:eastAsia="zh-CN"/>
              </w:rPr>
              <w:t>定期开展防中毒、防火灾、防溺水、防车祸、防地震、防暴恐等安全教育，开展地震、火灾等应急演练。</w:t>
            </w:r>
            <w:r>
              <w:rPr>
                <w:rFonts w:hint="eastAsia"/>
                <w:color w:val="000000"/>
                <w:sz w:val="18"/>
                <w:szCs w:val="18"/>
                <w:lang w:eastAsia="zh-CN"/>
              </w:rPr>
              <w:t>严格危化品管理，</w:t>
            </w:r>
            <w:r>
              <w:rPr>
                <w:color w:val="000000"/>
                <w:sz w:val="18"/>
                <w:szCs w:val="18"/>
              </w:rPr>
              <w:t>危</w:t>
            </w:r>
            <w:r>
              <w:rPr>
                <w:rFonts w:hint="eastAsia"/>
                <w:color w:val="000000"/>
                <w:sz w:val="18"/>
                <w:szCs w:val="18"/>
                <w:lang w:eastAsia="zh-CN"/>
              </w:rPr>
              <w:t>化品</w:t>
            </w:r>
            <w:r>
              <w:rPr>
                <w:color w:val="000000"/>
                <w:sz w:val="18"/>
                <w:szCs w:val="18"/>
              </w:rPr>
              <w:t>储藏室或储藏柜设置双人双锁保管</w:t>
            </w:r>
            <w:r>
              <w:rPr>
                <w:rFonts w:hint="eastAsia"/>
                <w:color w:val="000000"/>
                <w:sz w:val="18"/>
                <w:szCs w:val="18"/>
                <w:lang w:eastAsia="zh-CN"/>
              </w:rPr>
              <w:t>。（</w:t>
            </w:r>
            <w:r>
              <w:rPr>
                <w:rFonts w:hint="eastAsia"/>
                <w:color w:val="000000"/>
                <w:sz w:val="18"/>
                <w:szCs w:val="18"/>
                <w:lang w:val="en-US" w:eastAsia="zh-CN"/>
              </w:rPr>
              <w:t>4分</w:t>
            </w:r>
            <w:r>
              <w:rPr>
                <w:rFonts w:hint="eastAsia"/>
                <w:color w:val="000000"/>
                <w:sz w:val="18"/>
                <w:szCs w:val="18"/>
                <w:lang w:eastAsia="zh-CN"/>
              </w:rPr>
              <w:t>）</w:t>
            </w:r>
          </w:p>
        </w:tc>
        <w:tc>
          <w:tcPr>
            <w:tcW w:w="855"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7"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85" w:type="dxa"/>
            <w:noWrap w:val="0"/>
            <w:vAlign w:val="center"/>
          </w:tcPr>
          <w:p>
            <w:pPr>
              <w:shd w:val="clear" w:color="auto" w:fill="auto"/>
              <w:spacing w:line="240" w:lineRule="exact"/>
              <w:rPr>
                <w:snapToGrid w:val="0"/>
                <w:color w:val="000000"/>
                <w:kern w:val="0"/>
                <w:sz w:val="18"/>
                <w:szCs w:val="18"/>
                <w:lang w:val="en-US" w:eastAsia="zh-CN" w:bidi="ar-SA"/>
              </w:rPr>
            </w:pPr>
            <w:r>
              <w:rPr>
                <w:rFonts w:hint="eastAsia" w:ascii="Times New Roman" w:hAnsi="Times New Roman" w:eastAsia="宋体" w:cs="Times New Roman"/>
                <w:color w:val="000000"/>
                <w:sz w:val="18"/>
                <w:szCs w:val="18"/>
                <w:lang w:val="en-US" w:eastAsia="zh-CN"/>
              </w:rPr>
              <w:t>完成学校安全六个100%要求（专职保安配备率、一键式紧急报警配备率、视频监控系统达标率、校园封闭式管理达标率、城市护学岗设置率、校门口硬质防冲撞装置设置率）。（4分）</w:t>
            </w:r>
          </w:p>
        </w:tc>
        <w:tc>
          <w:tcPr>
            <w:tcW w:w="855"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7"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85" w:type="dxa"/>
            <w:noWrap w:val="0"/>
            <w:vAlign w:val="center"/>
          </w:tcPr>
          <w:p>
            <w:pPr>
              <w:shd w:val="clear" w:color="auto" w:fill="auto"/>
              <w:spacing w:line="240" w:lineRule="exact"/>
              <w:rPr>
                <w:rFonts w:hint="eastAsia"/>
                <w:color w:val="000000"/>
                <w:sz w:val="18"/>
                <w:szCs w:val="18"/>
                <w:lang w:eastAsia="zh-CN"/>
              </w:rPr>
            </w:pPr>
            <w:r>
              <w:rPr>
                <w:rFonts w:hint="eastAsia"/>
                <w:color w:val="000000"/>
                <w:sz w:val="18"/>
                <w:szCs w:val="18"/>
                <w:lang w:eastAsia="zh-CN"/>
              </w:rPr>
              <w:t>食品安全管理机制健全，实施明厨亮灶，食材进货渠道规范，坚持索票索证，建立出入库台账，公示学生食谱，一日三餐规范留样并填写留样记录。落实好教师试尝和领导干部陪餐制度，食堂从业人员定期体检，取得健康证。（</w:t>
            </w:r>
            <w:r>
              <w:rPr>
                <w:rFonts w:hint="eastAsia"/>
                <w:color w:val="000000"/>
                <w:sz w:val="18"/>
                <w:szCs w:val="18"/>
                <w:lang w:val="en-US" w:eastAsia="zh-CN"/>
              </w:rPr>
              <w:t>4分</w:t>
            </w:r>
            <w:r>
              <w:rPr>
                <w:rFonts w:hint="eastAsia"/>
                <w:color w:val="000000"/>
                <w:sz w:val="18"/>
                <w:szCs w:val="18"/>
                <w:lang w:eastAsia="zh-CN"/>
              </w:rPr>
              <w:t>）</w:t>
            </w:r>
          </w:p>
        </w:tc>
        <w:tc>
          <w:tcPr>
            <w:tcW w:w="855" w:type="dxa"/>
            <w:gridSpan w:val="2"/>
            <w:noWrap w:val="0"/>
            <w:vAlign w:val="center"/>
          </w:tcPr>
          <w:p>
            <w:pPr>
              <w:shd w:val="clear" w:color="auto" w:fill="auto"/>
              <w:spacing w:line="240" w:lineRule="exact"/>
              <w:jc w:val="center"/>
              <w:rPr>
                <w:rFonts w:hint="default"/>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6"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85"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color w:val="000000"/>
                <w:sz w:val="18"/>
                <w:szCs w:val="18"/>
                <w:lang w:eastAsia="zh-CN"/>
              </w:rPr>
            </w:pPr>
            <w:r>
              <w:rPr>
                <w:rFonts w:hint="eastAsia" w:ascii="Times New Roman" w:hAnsi="Times New Roman" w:eastAsia="宋体" w:cs="Times New Roman"/>
                <w:color w:val="000000"/>
                <w:sz w:val="18"/>
                <w:szCs w:val="18"/>
                <w:lang w:val="en-US" w:eastAsia="zh-CN"/>
              </w:rPr>
              <w:t>校（园）卫生管理机制健全，配备校医（保健教师），人员职责明确；师生出入校门不再提供核酸证明，其他外来人员进入校（园）须提供核酸证明；师生出现发热、干咳、乏力、咽痛等症状时，不得带病到校工作或学习；落实“一日三检”、传染病报告、因病缺勤缺课追踪登记制度，建立健康信息台账；按照师生总人数的15%-20%动态储备退烧、止咳、止泻等药品到属地卫生院；按照师生员工人数储备口罩、消毒用品等常用防疫物资，数量不少于2周；根据需要储备充足的抗原检测试剂；按照要求进行消毒，填写消毒记录；强化健康教育管理，坚持多病共防，全面做好校（园）卫生防疫工作。</w:t>
            </w:r>
            <w:r>
              <w:rPr>
                <w:rFonts w:hint="eastAsia"/>
                <w:color w:val="000000"/>
                <w:sz w:val="18"/>
                <w:szCs w:val="18"/>
                <w:lang w:eastAsia="zh-CN"/>
              </w:rPr>
              <w:t>（</w:t>
            </w:r>
            <w:r>
              <w:rPr>
                <w:rFonts w:hint="eastAsia"/>
                <w:color w:val="000000"/>
                <w:sz w:val="18"/>
                <w:szCs w:val="18"/>
                <w:lang w:val="en-US" w:eastAsia="zh-CN"/>
              </w:rPr>
              <w:t>4分</w:t>
            </w:r>
            <w:r>
              <w:rPr>
                <w:rFonts w:hint="eastAsia"/>
                <w:color w:val="000000"/>
                <w:sz w:val="18"/>
                <w:szCs w:val="18"/>
                <w:lang w:eastAsia="zh-CN"/>
              </w:rPr>
              <w:t>）。</w:t>
            </w:r>
          </w:p>
        </w:tc>
        <w:tc>
          <w:tcPr>
            <w:tcW w:w="855" w:type="dxa"/>
            <w:gridSpan w:val="2"/>
            <w:noWrap w:val="0"/>
            <w:vAlign w:val="center"/>
          </w:tcPr>
          <w:p>
            <w:pPr>
              <w:shd w:val="clear" w:color="auto" w:fill="auto"/>
              <w:spacing w:line="240" w:lineRule="exact"/>
              <w:jc w:val="center"/>
              <w:rPr>
                <w:rFonts w:hint="default"/>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trPr>
        <w:tc>
          <w:tcPr>
            <w:tcW w:w="1039" w:type="dxa"/>
            <w:vMerge w:val="continue"/>
            <w:noWrap w:val="0"/>
            <w:vAlign w:val="center"/>
          </w:tcPr>
          <w:p>
            <w:pPr>
              <w:shd w:val="clear" w:color="auto" w:fill="auto"/>
              <w:spacing w:line="240" w:lineRule="exact"/>
              <w:jc w:val="center"/>
              <w:rPr>
                <w:color w:val="000000"/>
                <w:sz w:val="18"/>
                <w:szCs w:val="18"/>
                <w:lang w:val="en"/>
              </w:rPr>
            </w:pPr>
          </w:p>
        </w:tc>
        <w:tc>
          <w:tcPr>
            <w:tcW w:w="6485" w:type="dxa"/>
            <w:noWrap w:val="0"/>
            <w:vAlign w:val="center"/>
          </w:tcPr>
          <w:p>
            <w:pPr>
              <w:shd w:val="clear" w:color="auto" w:fill="auto"/>
              <w:spacing w:line="240" w:lineRule="exact"/>
              <w:rPr>
                <w:rFonts w:hint="eastAsia"/>
                <w:color w:val="000000"/>
                <w:kern w:val="2"/>
                <w:sz w:val="18"/>
                <w:szCs w:val="18"/>
                <w:lang w:val="en-US" w:eastAsia="zh-CN" w:bidi="ar-SA"/>
              </w:rPr>
            </w:pPr>
            <w:r>
              <w:rPr>
                <w:rFonts w:hint="eastAsia"/>
                <w:color w:val="000000"/>
                <w:sz w:val="18"/>
                <w:szCs w:val="18"/>
                <w:lang w:eastAsia="zh-CN"/>
              </w:rPr>
              <w:t>校园无责任安全事故发生。（</w:t>
            </w:r>
            <w:r>
              <w:rPr>
                <w:rFonts w:hint="eastAsia"/>
                <w:color w:val="000000"/>
                <w:sz w:val="18"/>
                <w:szCs w:val="18"/>
                <w:lang w:val="en-US" w:eastAsia="zh-CN"/>
              </w:rPr>
              <w:t>5分</w:t>
            </w:r>
            <w:r>
              <w:rPr>
                <w:rFonts w:hint="eastAsia"/>
                <w:color w:val="000000"/>
                <w:sz w:val="18"/>
                <w:szCs w:val="18"/>
                <w:lang w:eastAsia="zh-CN"/>
              </w:rPr>
              <w:t>）</w:t>
            </w:r>
          </w:p>
        </w:tc>
        <w:tc>
          <w:tcPr>
            <w:tcW w:w="855" w:type="dxa"/>
            <w:gridSpan w:val="2"/>
            <w:noWrap w:val="0"/>
            <w:vAlign w:val="center"/>
          </w:tcPr>
          <w:p>
            <w:pPr>
              <w:shd w:val="clear" w:color="auto" w:fill="auto"/>
              <w:spacing w:line="240" w:lineRule="exact"/>
              <w:jc w:val="center"/>
              <w:rPr>
                <w:rFonts w:hint="default" w:eastAsia="宋体"/>
                <w:color w:val="000000"/>
                <w:sz w:val="18"/>
                <w:szCs w:val="18"/>
                <w:lang w:val="en-US" w:eastAsia="zh-CN"/>
              </w:rPr>
            </w:pPr>
          </w:p>
        </w:tc>
        <w:tc>
          <w:tcPr>
            <w:tcW w:w="557" w:type="dxa"/>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trPr>
        <w:tc>
          <w:tcPr>
            <w:tcW w:w="1039" w:type="dxa"/>
            <w:noWrap w:val="0"/>
            <w:vAlign w:val="center"/>
          </w:tcPr>
          <w:p>
            <w:pPr>
              <w:widowControl/>
              <w:shd w:val="clear" w:color="auto" w:fill="auto"/>
              <w:spacing w:line="300" w:lineRule="exact"/>
              <w:jc w:val="center"/>
              <w:rPr>
                <w:rFonts w:ascii="Times New Roman" w:hAnsi="Times New Roman" w:eastAsia="仿宋_GB2312" w:cs="宋体"/>
                <w:b w:val="0"/>
                <w:bCs/>
                <w:snapToGrid/>
                <w:color w:val="000000"/>
                <w:kern w:val="2"/>
                <w:sz w:val="21"/>
                <w:szCs w:val="21"/>
                <w:lang w:val="en" w:eastAsia="zh-CN" w:bidi="ar-SA"/>
              </w:rPr>
            </w:pPr>
            <w:r>
              <w:rPr>
                <w:rFonts w:hint="eastAsia" w:ascii="Times New Roman" w:hAnsi="Times New Roman" w:cs="Times New Roman"/>
                <w:color w:val="000000"/>
                <w:sz w:val="18"/>
                <w:szCs w:val="18"/>
                <w:lang w:val="en-US" w:eastAsia="zh-CN"/>
              </w:rPr>
              <w:t>“基本合格”“不合格”事项</w:t>
            </w:r>
          </w:p>
        </w:tc>
        <w:tc>
          <w:tcPr>
            <w:tcW w:w="6485" w:type="dxa"/>
            <w:noWrap w:val="0"/>
            <w:vAlign w:val="center"/>
          </w:tcPr>
          <w:p>
            <w:pPr>
              <w:shd w:val="clear" w:color="auto" w:fill="auto"/>
              <w:spacing w:line="240" w:lineRule="exact"/>
              <w:rPr>
                <w:rFonts w:hint="eastAsia" w:ascii="Times New Roman" w:hAnsi="Times New Roman" w:eastAsia="仿宋_GB2312"/>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依据《广元市民办教育机构设立禁止和限制目录》《广元市民办教育机构年检办法》第十条，符合情形之一的</w:t>
            </w:r>
          </w:p>
        </w:tc>
        <w:tc>
          <w:tcPr>
            <w:tcW w:w="855" w:type="dxa"/>
            <w:gridSpan w:val="2"/>
            <w:noWrap w:val="0"/>
            <w:vAlign w:val="top"/>
          </w:tcPr>
          <w:p>
            <w:pPr>
              <w:shd w:val="clear" w:color="auto" w:fill="auto"/>
              <w:spacing w:line="300" w:lineRule="exact"/>
              <w:rPr>
                <w:rFonts w:eastAsia="仿宋"/>
                <w:color w:val="000000"/>
                <w:kern w:val="2"/>
                <w:sz w:val="21"/>
                <w:szCs w:val="21"/>
                <w:lang w:val="en-US" w:eastAsia="zh-CN" w:bidi="ar-SA"/>
              </w:rPr>
            </w:pPr>
          </w:p>
        </w:tc>
        <w:tc>
          <w:tcPr>
            <w:tcW w:w="557" w:type="dxa"/>
            <w:noWrap w:val="0"/>
            <w:vAlign w:val="top"/>
          </w:tcPr>
          <w:p>
            <w:pPr>
              <w:shd w:val="clear" w:color="auto" w:fill="auto"/>
              <w:spacing w:line="300" w:lineRule="exact"/>
              <w:rPr>
                <w:rFonts w:eastAsia="仿宋"/>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atLeast"/>
        </w:trPr>
        <w:tc>
          <w:tcPr>
            <w:tcW w:w="1039" w:type="dxa"/>
            <w:noWrap w:val="0"/>
            <w:vAlign w:val="center"/>
          </w:tcPr>
          <w:p>
            <w:pPr>
              <w:widowControl/>
              <w:shd w:val="clear" w:color="auto" w:fill="auto"/>
              <w:spacing w:line="300" w:lineRule="exact"/>
              <w:jc w:val="center"/>
              <w:rPr>
                <w:rFonts w:hint="eastAsia" w:ascii="Times New Roman" w:hAnsi="Times New Roman" w:eastAsia="宋体" w:cs="Times New Roman"/>
                <w:color w:val="000000"/>
                <w:kern w:val="2"/>
                <w:sz w:val="18"/>
                <w:szCs w:val="18"/>
                <w:lang w:val="en" w:eastAsia="zh-CN" w:bidi="ar-SA"/>
              </w:rPr>
            </w:pPr>
            <w:r>
              <w:rPr>
                <w:rFonts w:hint="eastAsia" w:ascii="Times New Roman" w:hAnsi="Times New Roman" w:eastAsia="宋体" w:cs="Times New Roman"/>
                <w:color w:val="000000"/>
                <w:sz w:val="18"/>
                <w:szCs w:val="18"/>
                <w:lang w:val="en-US" w:eastAsia="zh-CN"/>
              </w:rPr>
              <w:t>总  分</w:t>
            </w:r>
          </w:p>
        </w:tc>
        <w:tc>
          <w:tcPr>
            <w:tcW w:w="6485" w:type="dxa"/>
            <w:noWrap w:val="0"/>
            <w:vAlign w:val="center"/>
          </w:tcPr>
          <w:p>
            <w:pPr>
              <w:shd w:val="clear" w:color="auto" w:fill="auto"/>
              <w:spacing w:line="220" w:lineRule="exact"/>
              <w:rPr>
                <w:rFonts w:hint="eastAsia"/>
                <w:snapToGrid w:val="0"/>
                <w:color w:val="000000"/>
                <w:kern w:val="0"/>
                <w:sz w:val="18"/>
                <w:szCs w:val="18"/>
                <w:lang w:val="en-US" w:eastAsia="zh-CN" w:bidi="ar-SA"/>
              </w:rPr>
            </w:pPr>
          </w:p>
        </w:tc>
        <w:tc>
          <w:tcPr>
            <w:tcW w:w="855" w:type="dxa"/>
            <w:gridSpan w:val="2"/>
            <w:noWrap w:val="0"/>
            <w:vAlign w:val="top"/>
          </w:tcPr>
          <w:p>
            <w:pPr>
              <w:shd w:val="clear" w:color="auto" w:fill="auto"/>
              <w:spacing w:line="300" w:lineRule="exact"/>
              <w:jc w:val="center"/>
              <w:rPr>
                <w:rFonts w:hint="default" w:eastAsia="仿宋"/>
                <w:color w:val="000000"/>
                <w:kern w:val="2"/>
                <w:sz w:val="21"/>
                <w:szCs w:val="21"/>
                <w:lang w:val="en-US" w:eastAsia="zh-CN" w:bidi="ar-SA"/>
              </w:rPr>
            </w:pPr>
          </w:p>
        </w:tc>
        <w:tc>
          <w:tcPr>
            <w:tcW w:w="557" w:type="dxa"/>
            <w:noWrap w:val="0"/>
            <w:vAlign w:val="top"/>
          </w:tcPr>
          <w:p>
            <w:pPr>
              <w:shd w:val="clear" w:color="auto" w:fill="auto"/>
              <w:spacing w:line="300" w:lineRule="exact"/>
              <w:rPr>
                <w:rFonts w:eastAsia="仿宋"/>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trPr>
        <w:tc>
          <w:tcPr>
            <w:tcW w:w="1039" w:type="dxa"/>
            <w:noWrap w:val="0"/>
            <w:vAlign w:val="center"/>
          </w:tcPr>
          <w:p>
            <w:pPr>
              <w:shd w:val="clear" w:color="auto" w:fill="auto"/>
              <w:spacing w:line="240" w:lineRule="exact"/>
              <w:jc w:val="center"/>
              <w:rPr>
                <w:rFonts w:hint="eastAsia" w:eastAsia="宋体"/>
                <w:color w:val="000000"/>
                <w:sz w:val="18"/>
                <w:szCs w:val="18"/>
                <w:lang w:val="en" w:eastAsia="zh-CN"/>
              </w:rPr>
            </w:pPr>
            <w:r>
              <w:rPr>
                <w:rFonts w:hint="eastAsia"/>
                <w:color w:val="000000"/>
                <w:sz w:val="18"/>
                <w:szCs w:val="18"/>
                <w:lang w:val="en" w:eastAsia="zh-CN"/>
              </w:rPr>
              <w:t>年检结论</w:t>
            </w:r>
          </w:p>
        </w:tc>
        <w:tc>
          <w:tcPr>
            <w:tcW w:w="7897" w:type="dxa"/>
            <w:gridSpan w:val="4"/>
            <w:noWrap w:val="0"/>
            <w:vAlign w:val="center"/>
          </w:tcPr>
          <w:p>
            <w:pPr>
              <w:shd w:val="clear" w:color="auto" w:fill="auto"/>
              <w:spacing w:line="240" w:lineRule="exact"/>
              <w:jc w:val="center"/>
              <w:rPr>
                <w:color w:val="000000"/>
                <w:sz w:val="18"/>
                <w:szCs w:val="18"/>
              </w:rPr>
            </w:pPr>
          </w:p>
        </w:tc>
      </w:tr>
    </w:tbl>
    <w:p>
      <w:pPr>
        <w:shd w:val="clear" w:color="auto" w:fill="auto"/>
        <w:spacing w:line="320" w:lineRule="exact"/>
        <w:ind w:firstLine="480" w:firstLineChars="200"/>
        <w:rPr>
          <w:rFonts w:hint="eastAsia"/>
          <w:color w:val="000000"/>
          <w:sz w:val="24"/>
          <w:lang w:eastAsia="zh-CN"/>
        </w:rPr>
      </w:pPr>
    </w:p>
    <w:p>
      <w:pPr>
        <w:shd w:val="clear" w:color="auto" w:fill="auto"/>
        <w:spacing w:line="320" w:lineRule="exact"/>
        <w:ind w:firstLine="480" w:firstLineChars="200"/>
        <w:rPr>
          <w:rFonts w:hint="eastAsia"/>
          <w:color w:val="000000"/>
          <w:sz w:val="24"/>
          <w:lang w:eastAsia="zh-CN"/>
        </w:rPr>
      </w:pPr>
      <w:r>
        <w:rPr>
          <w:rFonts w:hint="eastAsia"/>
          <w:color w:val="000000"/>
          <w:sz w:val="24"/>
          <w:lang w:eastAsia="zh-CN"/>
        </w:rPr>
        <w:t>备注：解释权归苍溪县教育和科学技术局。</w:t>
      </w:r>
    </w:p>
    <w:p>
      <w:pPr>
        <w:shd w:val="clear" w:color="auto" w:fill="auto"/>
        <w:spacing w:line="320" w:lineRule="exact"/>
        <w:ind w:firstLine="480" w:firstLineChars="200"/>
        <w:rPr>
          <w:rFonts w:hint="eastAsia"/>
          <w:color w:val="000000"/>
          <w:sz w:val="24"/>
          <w:lang w:eastAsia="zh-CN"/>
        </w:rPr>
      </w:pPr>
    </w:p>
    <w:p>
      <w:pPr>
        <w:shd w:val="clear" w:color="auto" w:fill="auto"/>
        <w:spacing w:line="320" w:lineRule="exact"/>
        <w:ind w:firstLine="480" w:firstLineChars="200"/>
        <w:rPr>
          <w:rFonts w:hint="eastAsia"/>
          <w:color w:val="000000"/>
          <w:sz w:val="24"/>
          <w:lang w:val="en-US" w:eastAsia="zh-CN"/>
        </w:rPr>
      </w:pPr>
      <w:r>
        <w:rPr>
          <w:rFonts w:hint="eastAsia"/>
          <w:color w:val="000000"/>
          <w:sz w:val="24"/>
          <w:lang w:eastAsia="zh-CN"/>
        </w:rPr>
        <w:t>组长（</w:t>
      </w:r>
      <w:r>
        <w:rPr>
          <w:rFonts w:hint="eastAsia"/>
          <w:color w:val="000000"/>
          <w:sz w:val="24"/>
          <w:lang w:val="en-US" w:eastAsia="zh-CN"/>
        </w:rPr>
        <w:t>签字）：                       年检成员（签字）：</w:t>
      </w:r>
    </w:p>
    <w:p>
      <w:pPr>
        <w:shd w:val="clear" w:color="auto" w:fill="auto"/>
        <w:spacing w:line="320" w:lineRule="exact"/>
        <w:ind w:firstLine="480" w:firstLineChars="200"/>
        <w:rPr>
          <w:rFonts w:hint="eastAsia"/>
          <w:color w:val="000000"/>
          <w:sz w:val="24"/>
          <w:lang w:val="en-US" w:eastAsia="zh-CN"/>
        </w:rPr>
      </w:pPr>
    </w:p>
    <w:p>
      <w:pPr>
        <w:shd w:val="clear" w:color="auto" w:fill="auto"/>
        <w:spacing w:line="320" w:lineRule="exact"/>
        <w:ind w:firstLine="480" w:firstLineChars="200"/>
        <w:rPr>
          <w:rFonts w:hint="eastAsia"/>
          <w:color w:val="000000"/>
          <w:sz w:val="24"/>
          <w:lang w:val="en-US" w:eastAsia="zh-CN"/>
        </w:rPr>
        <w:sectPr>
          <w:headerReference r:id="rId5" w:type="default"/>
          <w:footerReference r:id="rId6" w:type="default"/>
          <w:pgSz w:w="11907" w:h="16840"/>
          <w:pgMar w:top="1701" w:right="1474" w:bottom="1587" w:left="1587" w:header="851" w:footer="1587" w:gutter="0"/>
          <w:pgBorders>
            <w:top w:val="none" w:sz="0" w:space="0"/>
            <w:left w:val="none" w:sz="0" w:space="0"/>
            <w:bottom w:val="none" w:sz="0" w:space="0"/>
            <w:right w:val="none" w:sz="0" w:space="0"/>
          </w:pgBorders>
          <w:pgNumType w:fmt="decimal"/>
          <w:cols w:space="720" w:num="1"/>
          <w:rtlGutter w:val="0"/>
          <w:docGrid w:linePitch="381" w:charSpace="0"/>
        </w:sectPr>
      </w:pPr>
      <w:r>
        <w:rPr>
          <w:rFonts w:hint="eastAsia"/>
          <w:color w:val="000000"/>
          <w:sz w:val="24"/>
          <w:lang w:val="en-US" w:eastAsia="zh-CN"/>
        </w:rPr>
        <w:t>举办者（签字 盖公章）：              年检时间：2023年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DU4NjlmYzY2ZTlkNzIxMmMxOWVmNGRlOGY3NjgifQ=="/>
  </w:docVars>
  <w:rsids>
    <w:rsidRoot w:val="789A4AAB"/>
    <w:rsid w:val="789A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400" w:lineRule="atLeast"/>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Default"/>
    <w:autoRedefine/>
    <w:qFormat/>
    <w:uiPriority w:val="0"/>
    <w:pPr>
      <w:widowControl w:val="0"/>
      <w:autoSpaceDE w:val="0"/>
      <w:autoSpaceDN w:val="0"/>
      <w:adjustRightInd w:val="0"/>
    </w:pPr>
    <w:rPr>
      <w:rFonts w:ascii="Calibri"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2024-01-30T08:40:00Z</dcterms:created>
  <dc:creator>谢yl</dc:creator>
  <cp:lastModifiedBy>谢yl</cp:lastModifiedBy>
  <dcterms:modified xsi:type="dcterms:W3CDTF">2024-01-30T08:40:50Z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3A5CFB2E58944FFB97FC7EA1D691D497_11</vt:lpwstr>
  </property>
</Properties>
</file>