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sz w:val="72"/>
          <w:szCs w:val="72"/>
        </w:rPr>
      </w:pPr>
      <w:bookmarkStart w:id="0" w:name="_Toc15377425"/>
      <w:bookmarkStart w:id="1" w:name="_Toc15377193"/>
      <w:bookmarkStart w:id="2" w:name="_Toc15378441"/>
      <w:bookmarkStart w:id="3" w:name="_Toc15396475"/>
      <w:bookmarkStart w:id="4" w:name="_Toc15396597"/>
      <w:bookmarkStart w:id="5" w:name="_Toc15306267"/>
    </w:p>
    <w:p>
      <w:pPr>
        <w:pStyle w:val="2"/>
        <w:spacing w:before="93"/>
        <w:rPr>
          <w:rFonts w:ascii="方正小标宋简体" w:hAnsi="宋体" w:eastAsia="方正小标宋简体"/>
          <w:sz w:val="72"/>
          <w:szCs w:val="72"/>
        </w:rPr>
      </w:pPr>
    </w:p>
    <w:p>
      <w:pPr>
        <w:pStyle w:val="2"/>
        <w:spacing w:before="93"/>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p>
      <w:pPr>
        <w:adjustRightInd w:val="0"/>
        <w:snapToGrid w:val="0"/>
        <w:spacing w:line="360" w:lineRule="auto"/>
        <w:jc w:val="center"/>
        <w:outlineLvl w:val="0"/>
        <w:rPr>
          <w:rFonts w:ascii="方正小标宋简体" w:hAnsi="方正小标宋简体" w:eastAsia="方正小标宋简体" w:cs="方正小标宋简体"/>
          <w:sz w:val="72"/>
          <w:szCs w:val="72"/>
        </w:rPr>
      </w:pPr>
      <w:r>
        <w:rPr>
          <w:rFonts w:hint="eastAsia" w:ascii="方正小标宋简体" w:hAnsi="方正小标宋简体" w:eastAsia="方正小标宋简体" w:cs="方正小标宋简体"/>
          <w:sz w:val="72"/>
          <w:szCs w:val="72"/>
        </w:rPr>
        <w:t>2021年度</w:t>
      </w:r>
      <w:bookmarkEnd w:id="0"/>
      <w:bookmarkEnd w:id="1"/>
      <w:bookmarkEnd w:id="2"/>
      <w:bookmarkEnd w:id="3"/>
      <w:bookmarkEnd w:id="4"/>
    </w:p>
    <w:bookmarkEnd w:id="5"/>
    <w:p>
      <w:pPr>
        <w:adjustRightInd w:val="0"/>
        <w:snapToGrid w:val="0"/>
        <w:spacing w:line="360" w:lineRule="auto"/>
        <w:jc w:val="center"/>
        <w:outlineLvl w:val="0"/>
        <w:rPr>
          <w:rFonts w:ascii="方正小标宋简体" w:hAnsi="方正小标宋简体" w:eastAsia="方正小标宋简体" w:cs="方正小标宋简体"/>
          <w:sz w:val="72"/>
          <w:szCs w:val="72"/>
        </w:rPr>
      </w:pPr>
      <w:bookmarkStart w:id="6" w:name="_Toc15377426"/>
      <w:bookmarkStart w:id="7" w:name="_Toc15377194"/>
      <w:bookmarkStart w:id="8" w:name="_Toc15378442"/>
      <w:bookmarkStart w:id="9" w:name="_Toc15306268"/>
      <w:bookmarkStart w:id="10" w:name="_Toc15396598"/>
      <w:bookmarkStart w:id="11" w:name="_Toc15396476"/>
      <w:r>
        <w:rPr>
          <w:rFonts w:hint="eastAsia" w:ascii="方正小标宋简体" w:hAnsi="方正小标宋简体" w:eastAsia="方正小标宋简体" w:cs="方正小标宋简体"/>
          <w:sz w:val="72"/>
          <w:szCs w:val="72"/>
        </w:rPr>
        <w:t>苍溪县司法局部门决算</w:t>
      </w:r>
      <w:bookmarkEnd w:id="6"/>
      <w:bookmarkEnd w:id="7"/>
      <w:bookmarkEnd w:id="8"/>
      <w:bookmarkEnd w:id="9"/>
      <w:bookmarkEnd w:id="10"/>
      <w:bookmarkEnd w:id="11"/>
    </w:p>
    <w:p>
      <w:pPr>
        <w:widowControl/>
        <w:jc w:val="center"/>
        <w:rPr>
          <w:rFonts w:ascii="黑体" w:hAnsi="黑体" w:eastAsia="黑体"/>
          <w:sz w:val="48"/>
          <w:szCs w:val="48"/>
        </w:rPr>
      </w:pPr>
      <w:r>
        <w:rPr>
          <w:rFonts w:ascii="方正小标宋简体" w:hAnsi="宋体" w:eastAsia="方正小标宋简体"/>
          <w:sz w:val="36"/>
          <w:szCs w:val="36"/>
        </w:rPr>
        <w:br w:type="page"/>
      </w:r>
      <w:r>
        <w:rPr>
          <w:rFonts w:hint="eastAsia" w:ascii="黑体" w:hAnsi="黑体" w:eastAsia="黑体"/>
          <w:sz w:val="48"/>
          <w:szCs w:val="48"/>
        </w:rPr>
        <w:t>目录</w:t>
      </w:r>
    </w:p>
    <w:p>
      <w:pPr>
        <w:widowControl/>
        <w:jc w:val="center"/>
        <w:rPr>
          <w:rFonts w:ascii="黑体" w:hAnsi="黑体" w:eastAsia="黑体" w:cstheme="minorBidi"/>
          <w:sz w:val="28"/>
          <w:szCs w:val="28"/>
        </w:rPr>
      </w:pPr>
    </w:p>
    <w:p>
      <w:pPr>
        <w:pStyle w:val="11"/>
        <w:rPr>
          <w:rFonts w:hint="eastAsia" w:eastAsia="仿宋"/>
          <w:highlight w:val="red"/>
          <w:lang w:eastAsia="zh-CN"/>
        </w:rPr>
      </w:pPr>
      <w:r>
        <w:rPr>
          <w:rFonts w:hint="eastAsia"/>
        </w:rPr>
        <w:t>公开时间：2022年9月</w:t>
      </w:r>
      <w:r>
        <w:rPr>
          <w:rFonts w:hint="eastAsia"/>
          <w:lang w:val="en-US" w:eastAsia="zh-CN"/>
        </w:rPr>
        <w:t>23</w:t>
      </w:r>
      <w:r>
        <w:rPr>
          <w:rFonts w:hint="eastAsia"/>
        </w:rPr>
        <w:t>日</w:t>
      </w:r>
    </w:p>
    <w:p/>
    <w:p>
      <w:pPr>
        <w:pStyle w:val="11"/>
        <w:adjustRightInd w:val="0"/>
        <w:snapToGrid w:val="0"/>
        <w:spacing w:before="0" w:line="440" w:lineRule="exact"/>
        <w:jc w:val="left"/>
        <w:rPr>
          <w:rFonts w:hint="eastAsia" w:ascii="Times New Roman" w:hAnsi="Times New Roman" w:eastAsia="宋体" w:cs="Times New Roman"/>
          <w:kern w:val="2"/>
          <w:sz w:val="24"/>
          <w:szCs w:val="24"/>
          <w:lang w:val="en-US" w:eastAsia="zh-CN" w:bidi="ar-SA"/>
        </w:rPr>
      </w:pPr>
      <w:r>
        <w:rPr>
          <w:rFonts w:hint="eastAsia"/>
          <w:sz w:val="24"/>
        </w:rPr>
        <w:t>第一部分</w:t>
      </w:r>
      <w:r>
        <w:rPr>
          <w:sz w:val="24"/>
        </w:rPr>
        <w:t xml:space="preserve"> </w:t>
      </w:r>
      <w:r>
        <w:rPr>
          <w:rFonts w:hint="eastAsia"/>
          <w:sz w:val="24"/>
        </w:rPr>
        <w:t>部门概况</w:t>
      </w:r>
      <w:r>
        <w:rPr>
          <w:rFonts w:hint="eastAsia" w:ascii="Times New Roman" w:hAnsi="Times New Roman" w:eastAsia="宋体" w:cs="Times New Roman"/>
          <w:kern w:val="2"/>
          <w:sz w:val="24"/>
          <w:szCs w:val="24"/>
          <w:lang w:val="en-US" w:eastAsia="zh-CN" w:bidi="ar-SA"/>
        </w:rPr>
        <w:t>·························４</w:t>
      </w:r>
    </w:p>
    <w:p>
      <w:pPr>
        <w:pStyle w:val="12"/>
        <w:adjustRightInd w:val="0"/>
        <w:snapToGrid w:val="0"/>
        <w:spacing w:line="440" w:lineRule="exact"/>
        <w:jc w:val="left"/>
        <w:rPr>
          <w:rFonts w:ascii="仿宋" w:hAnsi="仿宋" w:eastAsia="仿宋"/>
          <w:sz w:val="24"/>
        </w:rPr>
      </w:pPr>
      <w:r>
        <w:rPr>
          <w:rFonts w:hint="eastAsia"/>
          <w:sz w:val="24"/>
        </w:rPr>
        <w:t>一、基本职能及主要工作</w:t>
      </w:r>
      <w:r>
        <w:rPr>
          <w:rFonts w:hint="eastAsia"/>
          <w:sz w:val="24"/>
          <w:lang w:val="en-US" w:eastAsia="zh-CN"/>
        </w:rPr>
        <w:t>·························４</w:t>
      </w:r>
    </w:p>
    <w:p>
      <w:pPr>
        <w:pStyle w:val="12"/>
        <w:adjustRightInd w:val="0"/>
        <w:snapToGrid w:val="0"/>
        <w:spacing w:line="440" w:lineRule="exact"/>
        <w:jc w:val="left"/>
        <w:rPr>
          <w:rFonts w:ascii="仿宋" w:hAnsi="仿宋" w:eastAsia="仿宋" w:cstheme="minorBidi"/>
          <w:sz w:val="24"/>
        </w:rPr>
      </w:pPr>
      <w:r>
        <w:rPr>
          <w:rFonts w:hint="eastAsia"/>
          <w:sz w:val="24"/>
        </w:rPr>
        <w:t>二、机构设置</w:t>
      </w:r>
      <w:r>
        <w:rPr>
          <w:rFonts w:hint="eastAsia"/>
          <w:sz w:val="24"/>
          <w:lang w:val="en-US" w:eastAsia="zh-CN"/>
        </w:rPr>
        <w:t>··························7</w:t>
      </w:r>
    </w:p>
    <w:p>
      <w:pPr>
        <w:pStyle w:val="11"/>
        <w:adjustRightInd w:val="0"/>
        <w:snapToGrid w:val="0"/>
        <w:spacing w:before="0" w:line="440" w:lineRule="exact"/>
        <w:jc w:val="left"/>
        <w:rPr>
          <w:sz w:val="24"/>
          <w:szCs w:val="24"/>
        </w:rPr>
      </w:pPr>
      <w:r>
        <w:rPr>
          <w:rFonts w:hint="eastAsia"/>
          <w:sz w:val="24"/>
        </w:rPr>
        <w:t>第二部分 2021年度部门决算情况说明</w:t>
      </w:r>
      <w:r>
        <w:rPr>
          <w:rFonts w:hint="eastAsia" w:ascii="Times New Roman" w:hAnsi="Times New Roman" w:eastAsia="宋体" w:cs="Times New Roman"/>
          <w:kern w:val="2"/>
          <w:sz w:val="24"/>
          <w:szCs w:val="24"/>
          <w:lang w:val="en-US" w:eastAsia="zh-CN" w:bidi="ar-SA"/>
        </w:rPr>
        <w:t>·························８</w:t>
      </w:r>
    </w:p>
    <w:p>
      <w:pPr>
        <w:pStyle w:val="12"/>
        <w:adjustRightInd w:val="0"/>
        <w:snapToGrid w:val="0"/>
        <w:spacing w:line="440" w:lineRule="exact"/>
        <w:jc w:val="left"/>
        <w:rPr>
          <w:rFonts w:hint="eastAsia" w:ascii="仿宋" w:hAnsi="仿宋" w:eastAsia="仿宋" w:cs="Times New Roman"/>
          <w:kern w:val="2"/>
          <w:sz w:val="24"/>
          <w:szCs w:val="28"/>
          <w:lang w:val="en-US" w:eastAsia="zh-CN" w:bidi="ar-SA"/>
        </w:rPr>
      </w:pPr>
      <w:r>
        <w:rPr>
          <w:rFonts w:hint="eastAsia"/>
          <w:sz w:val="24"/>
        </w:rPr>
        <w:t>一、收入支出决算总体情况说明</w:t>
      </w:r>
      <w:r>
        <w:rPr>
          <w:rFonts w:hint="eastAsia"/>
          <w:sz w:val="24"/>
          <w:lang w:val="en-US" w:eastAsia="zh-CN"/>
        </w:rPr>
        <w:t>·························８</w:t>
      </w:r>
    </w:p>
    <w:p>
      <w:pPr>
        <w:pStyle w:val="12"/>
        <w:adjustRightInd w:val="0"/>
        <w:snapToGrid w:val="0"/>
        <w:spacing w:line="440" w:lineRule="exact"/>
        <w:jc w:val="left"/>
        <w:rPr>
          <w:rFonts w:ascii="仿宋" w:hAnsi="仿宋" w:eastAsia="仿宋" w:cstheme="minorBidi"/>
          <w:sz w:val="24"/>
        </w:rPr>
      </w:pPr>
      <w:r>
        <w:rPr>
          <w:rFonts w:hint="eastAsia"/>
          <w:sz w:val="24"/>
        </w:rPr>
        <w:t>二、收入决算情况说明</w:t>
      </w:r>
      <w:r>
        <w:rPr>
          <w:rFonts w:hint="eastAsia"/>
          <w:sz w:val="24"/>
          <w:lang w:val="en-US" w:eastAsia="zh-CN"/>
        </w:rPr>
        <w:t>·························８</w:t>
      </w:r>
    </w:p>
    <w:p>
      <w:pPr>
        <w:pStyle w:val="12"/>
        <w:adjustRightInd w:val="0"/>
        <w:snapToGrid w:val="0"/>
        <w:spacing w:line="440" w:lineRule="exact"/>
        <w:jc w:val="left"/>
        <w:rPr>
          <w:rFonts w:ascii="仿宋" w:hAnsi="仿宋" w:eastAsia="仿宋" w:cstheme="minorBidi"/>
          <w:sz w:val="24"/>
        </w:rPr>
      </w:pPr>
      <w:r>
        <w:rPr>
          <w:rFonts w:hint="eastAsia"/>
          <w:sz w:val="24"/>
        </w:rPr>
        <w:t>三、支出决算情况说明</w:t>
      </w:r>
      <w:r>
        <w:rPr>
          <w:rFonts w:hint="eastAsia"/>
          <w:sz w:val="24"/>
          <w:lang w:val="en-US" w:eastAsia="zh-CN"/>
        </w:rPr>
        <w:t>·························９</w:t>
      </w:r>
    </w:p>
    <w:p>
      <w:pPr>
        <w:pStyle w:val="12"/>
        <w:adjustRightInd w:val="0"/>
        <w:snapToGrid w:val="0"/>
        <w:spacing w:line="440" w:lineRule="exact"/>
        <w:jc w:val="left"/>
        <w:rPr>
          <w:rFonts w:ascii="仿宋" w:hAnsi="仿宋" w:eastAsia="仿宋" w:cstheme="minorBidi"/>
          <w:sz w:val="24"/>
        </w:rPr>
      </w:pPr>
      <w:r>
        <w:rPr>
          <w:rFonts w:hint="eastAsia"/>
          <w:sz w:val="24"/>
        </w:rPr>
        <w:t>四、财政拨款收入支出决算总体情况说明</w:t>
      </w:r>
      <w:r>
        <w:rPr>
          <w:rFonts w:hint="eastAsia"/>
          <w:sz w:val="24"/>
          <w:lang w:val="en-US" w:eastAsia="zh-CN"/>
        </w:rPr>
        <w:t>·························９</w:t>
      </w:r>
    </w:p>
    <w:p>
      <w:pPr>
        <w:pStyle w:val="12"/>
        <w:adjustRightInd w:val="0"/>
        <w:snapToGrid w:val="0"/>
        <w:spacing w:line="440" w:lineRule="exact"/>
        <w:jc w:val="left"/>
        <w:rPr>
          <w:rFonts w:ascii="仿宋" w:hAnsi="仿宋" w:eastAsia="仿宋" w:cstheme="minorBidi"/>
          <w:sz w:val="24"/>
        </w:rPr>
      </w:pPr>
      <w:r>
        <w:rPr>
          <w:rFonts w:hint="eastAsia"/>
          <w:sz w:val="24"/>
        </w:rPr>
        <w:t>五、一般公共预算财政拨款支出决算情况说明</w:t>
      </w:r>
      <w:r>
        <w:rPr>
          <w:rFonts w:hint="eastAsia"/>
          <w:sz w:val="24"/>
          <w:lang w:val="en-US" w:eastAsia="zh-CN"/>
        </w:rPr>
        <w:t>····················</w:t>
      </w:r>
      <w:r>
        <w:rPr>
          <w:rFonts w:hint="eastAsia" w:ascii="宋体" w:hAnsi="宋体" w:eastAsia="宋体" w:cs="宋体"/>
          <w:sz w:val="24"/>
          <w:lang w:val="en-US" w:eastAsia="zh-CN"/>
        </w:rPr>
        <w:t>10</w:t>
      </w:r>
    </w:p>
    <w:p>
      <w:pPr>
        <w:pStyle w:val="12"/>
        <w:adjustRightInd w:val="0"/>
        <w:snapToGrid w:val="0"/>
        <w:spacing w:line="440" w:lineRule="exact"/>
        <w:jc w:val="left"/>
        <w:rPr>
          <w:rFonts w:hint="default" w:ascii="仿宋" w:hAnsi="仿宋" w:eastAsia="仿宋" w:cstheme="minorBidi"/>
          <w:sz w:val="24"/>
          <w:lang w:val="en-US"/>
        </w:rPr>
      </w:pPr>
      <w:r>
        <w:rPr>
          <w:rFonts w:hint="eastAsia"/>
          <w:sz w:val="24"/>
        </w:rPr>
        <w:t>六、一般公共预算财政拨款基本支出决算情况说明</w:t>
      </w:r>
      <w:r>
        <w:rPr>
          <w:rFonts w:hint="eastAsia"/>
          <w:sz w:val="24"/>
          <w:lang w:val="en-US" w:eastAsia="zh-CN"/>
        </w:rPr>
        <w:t>····················</w:t>
      </w:r>
      <w:r>
        <w:rPr>
          <w:rFonts w:hint="eastAsia" w:ascii="宋体" w:hAnsi="宋体" w:eastAsia="宋体" w:cs="宋体"/>
          <w:sz w:val="24"/>
          <w:lang w:val="en-US" w:eastAsia="zh-CN"/>
        </w:rPr>
        <w:t>11</w:t>
      </w:r>
    </w:p>
    <w:p>
      <w:pPr>
        <w:pStyle w:val="12"/>
        <w:adjustRightInd w:val="0"/>
        <w:snapToGrid w:val="0"/>
        <w:spacing w:line="440" w:lineRule="exact"/>
        <w:jc w:val="left"/>
        <w:rPr>
          <w:rFonts w:hint="default" w:ascii="仿宋" w:hAnsi="仿宋" w:eastAsia="仿宋" w:cstheme="minorBidi"/>
          <w:sz w:val="24"/>
          <w:lang w:val="en-US"/>
        </w:rPr>
      </w:pPr>
      <w:r>
        <w:rPr>
          <w:rFonts w:hint="eastAsia"/>
          <w:sz w:val="24"/>
        </w:rPr>
        <w:t>七、“三公”经费财政拨款支出决算情况说明</w:t>
      </w:r>
      <w:r>
        <w:rPr>
          <w:rFonts w:hint="eastAsia"/>
          <w:sz w:val="24"/>
          <w:lang w:val="en-US" w:eastAsia="zh-CN"/>
        </w:rPr>
        <w:t>·························</w:t>
      </w:r>
      <w:r>
        <w:rPr>
          <w:rFonts w:hint="eastAsia" w:ascii="宋体" w:hAnsi="宋体" w:eastAsia="宋体" w:cs="宋体"/>
          <w:sz w:val="24"/>
          <w:lang w:val="en-US" w:eastAsia="zh-CN"/>
        </w:rPr>
        <w:t>13</w:t>
      </w:r>
    </w:p>
    <w:p>
      <w:pPr>
        <w:pStyle w:val="12"/>
        <w:adjustRightInd w:val="0"/>
        <w:snapToGrid w:val="0"/>
        <w:spacing w:line="440" w:lineRule="exact"/>
        <w:jc w:val="left"/>
        <w:rPr>
          <w:rFonts w:hint="default" w:ascii="仿宋" w:hAnsi="仿宋" w:eastAsia="仿宋" w:cstheme="minorBidi"/>
          <w:sz w:val="24"/>
          <w:lang w:val="en-US"/>
        </w:rPr>
      </w:pPr>
      <w:r>
        <w:rPr>
          <w:rFonts w:hint="eastAsia"/>
          <w:sz w:val="24"/>
        </w:rPr>
        <w:t>八、政府性基金预算支出决算情况说明</w:t>
      </w:r>
      <w:r>
        <w:rPr>
          <w:rFonts w:hint="eastAsia"/>
          <w:sz w:val="24"/>
          <w:lang w:val="en-US" w:eastAsia="zh-CN"/>
        </w:rPr>
        <w:t>·························</w:t>
      </w:r>
      <w:r>
        <w:rPr>
          <w:rFonts w:hint="eastAsia" w:ascii="宋体" w:hAnsi="宋体" w:eastAsia="宋体" w:cs="宋体"/>
          <w:sz w:val="24"/>
          <w:lang w:val="en-US" w:eastAsia="zh-CN"/>
        </w:rPr>
        <w:t>14</w:t>
      </w:r>
    </w:p>
    <w:p>
      <w:pPr>
        <w:pStyle w:val="12"/>
        <w:adjustRightInd w:val="0"/>
        <w:snapToGrid w:val="0"/>
        <w:spacing w:line="440" w:lineRule="exact"/>
        <w:ind w:leftChars="0"/>
        <w:jc w:val="left"/>
        <w:rPr>
          <w:rFonts w:hint="default" w:asciiTheme="minorEastAsia" w:hAnsiTheme="minorEastAsia" w:eastAsiaTheme="minorEastAsia" w:cstheme="minorEastAsia"/>
          <w:sz w:val="24"/>
          <w:lang w:val="en-US"/>
        </w:rPr>
      </w:pPr>
      <w:r>
        <w:rPr>
          <w:rFonts w:hint="eastAsia" w:asciiTheme="minorEastAsia" w:hAnsiTheme="minorEastAsia" w:eastAsiaTheme="minorEastAsia" w:cstheme="minorEastAsia"/>
          <w:sz w:val="24"/>
        </w:rPr>
        <w:t>九、国有资本经营预算支出决算情况说明</w:t>
      </w:r>
      <w:r>
        <w:rPr>
          <w:rFonts w:hint="eastAsia"/>
          <w:sz w:val="24"/>
          <w:lang w:val="en-US" w:eastAsia="zh-CN"/>
        </w:rPr>
        <w:t>·························</w:t>
      </w:r>
      <w:r>
        <w:rPr>
          <w:rFonts w:hint="eastAsia" w:ascii="宋体" w:hAnsi="宋体" w:eastAsia="宋体" w:cs="宋体"/>
          <w:sz w:val="24"/>
          <w:lang w:val="en-US" w:eastAsia="zh-CN"/>
        </w:rPr>
        <w:t>15</w:t>
      </w:r>
    </w:p>
    <w:p>
      <w:pPr>
        <w:adjustRightInd w:val="0"/>
        <w:snapToGrid w:val="0"/>
        <w:spacing w:line="440" w:lineRule="exact"/>
        <w:ind w:firstLine="420" w:firstLineChars="175"/>
        <w:jc w:val="left"/>
        <w:rPr>
          <w:rFonts w:asciiTheme="minorEastAsia" w:hAnsiTheme="minorEastAsia" w:eastAsiaTheme="minorEastAsia" w:cstheme="minorEastAsia"/>
          <w:sz w:val="24"/>
        </w:rPr>
      </w:pPr>
      <w:r>
        <w:rPr>
          <w:rStyle w:val="17"/>
          <w:rFonts w:hint="eastAsia" w:asciiTheme="minorEastAsia" w:hAnsiTheme="minorEastAsia" w:eastAsiaTheme="minorEastAsia" w:cstheme="minorEastAsia"/>
          <w:color w:val="auto"/>
          <w:sz w:val="24"/>
          <w:u w:val="none"/>
        </w:rPr>
        <w:t>十、</w:t>
      </w:r>
      <w:r>
        <w:rPr>
          <w:rFonts w:hint="eastAsia" w:asciiTheme="minorEastAsia" w:hAnsiTheme="minorEastAsia" w:eastAsiaTheme="minorEastAsia" w:cstheme="minorEastAsia"/>
          <w:sz w:val="24"/>
        </w:rPr>
        <w:t>其他重要事项的情况说明</w:t>
      </w:r>
      <w:r>
        <w:rPr>
          <w:rFonts w:hint="eastAsia" w:ascii="Times New Roman" w:hAnsi="Times New Roman" w:eastAsia="宋体" w:cs="Times New Roman"/>
          <w:kern w:val="2"/>
          <w:sz w:val="24"/>
          <w:szCs w:val="24"/>
          <w:lang w:val="en-US" w:eastAsia="zh-CN" w:bidi="ar-SA"/>
        </w:rPr>
        <w:t>··················</w:t>
      </w:r>
      <w:r>
        <w:rPr>
          <w:rFonts w:hint="eastAsia"/>
          <w:sz w:val="24"/>
          <w:lang w:val="en-US" w:eastAsia="zh-CN"/>
        </w:rPr>
        <w:t>··</w:t>
      </w:r>
      <w:r>
        <w:rPr>
          <w:rFonts w:hint="eastAsia" w:ascii="宋体" w:hAnsi="宋体" w:eastAsia="宋体" w:cs="宋体"/>
          <w:kern w:val="2"/>
          <w:sz w:val="24"/>
          <w:szCs w:val="24"/>
          <w:lang w:val="en-US" w:eastAsia="zh-CN" w:bidi="ar-SA"/>
        </w:rPr>
        <w:t>15</w:t>
      </w:r>
    </w:p>
    <w:p>
      <w:pPr>
        <w:pStyle w:val="11"/>
        <w:adjustRightInd w:val="0"/>
        <w:snapToGrid w:val="0"/>
        <w:spacing w:before="0" w:line="440" w:lineRule="exact"/>
        <w:jc w:val="left"/>
        <w:rPr>
          <w:rFonts w:hint="default" w:ascii="Times New Roman" w:hAnsi="Times New Roman" w:eastAsia="宋体" w:cs="Times New Roman"/>
          <w:kern w:val="2"/>
          <w:sz w:val="24"/>
          <w:szCs w:val="24"/>
          <w:lang w:val="en-US" w:eastAsia="zh-CN" w:bidi="ar-SA"/>
        </w:rPr>
      </w:pPr>
      <w:r>
        <w:rPr>
          <w:rFonts w:hint="eastAsia"/>
          <w:sz w:val="24"/>
        </w:rPr>
        <w:t>第三部分</w:t>
      </w:r>
      <w:r>
        <w:rPr>
          <w:sz w:val="24"/>
        </w:rPr>
        <w:t xml:space="preserve"> </w:t>
      </w:r>
      <w:r>
        <w:rPr>
          <w:rFonts w:hint="eastAsia"/>
          <w:sz w:val="24"/>
        </w:rPr>
        <w:t>名词解释</w:t>
      </w:r>
      <w:r>
        <w:rPr>
          <w:rFonts w:hint="eastAsia" w:ascii="Times New Roman" w:hAnsi="Times New Roman" w:eastAsia="宋体" w:cs="Times New Roman"/>
          <w:kern w:val="2"/>
          <w:sz w:val="24"/>
          <w:szCs w:val="24"/>
          <w:lang w:val="en-US" w:eastAsia="zh-CN" w:bidi="ar-SA"/>
        </w:rPr>
        <w:t>·························17</w:t>
      </w:r>
    </w:p>
    <w:p>
      <w:pPr>
        <w:pStyle w:val="11"/>
        <w:adjustRightInd w:val="0"/>
        <w:snapToGrid w:val="0"/>
        <w:spacing w:before="0" w:line="440" w:lineRule="exact"/>
        <w:jc w:val="left"/>
        <w:rPr>
          <w:rFonts w:hint="default" w:cstheme="minorBidi"/>
          <w:sz w:val="24"/>
          <w:szCs w:val="24"/>
          <w:lang w:val="en-US"/>
        </w:rPr>
      </w:pPr>
      <w:r>
        <w:rPr>
          <w:rFonts w:hint="eastAsia"/>
          <w:sz w:val="24"/>
        </w:rPr>
        <w:t>第四部分</w:t>
      </w:r>
      <w:r>
        <w:rPr>
          <w:sz w:val="24"/>
        </w:rPr>
        <w:t xml:space="preserve"> </w:t>
      </w:r>
      <w:r>
        <w:rPr>
          <w:rFonts w:hint="eastAsia"/>
          <w:sz w:val="24"/>
        </w:rPr>
        <w:t>附件</w:t>
      </w:r>
      <w:r>
        <w:rPr>
          <w:rFonts w:hint="eastAsia" w:ascii="Times New Roman" w:hAnsi="Times New Roman" w:eastAsia="宋体" w:cs="Times New Roman"/>
          <w:kern w:val="2"/>
          <w:sz w:val="24"/>
          <w:szCs w:val="24"/>
          <w:lang w:val="en-US" w:eastAsia="zh-CN" w:bidi="ar-SA"/>
        </w:rPr>
        <w:t>···························20</w:t>
      </w:r>
    </w:p>
    <w:p>
      <w:pPr>
        <w:pStyle w:val="11"/>
        <w:adjustRightInd w:val="0"/>
        <w:snapToGrid w:val="0"/>
        <w:spacing w:before="0" w:line="440" w:lineRule="exact"/>
        <w:jc w:val="left"/>
        <w:rPr>
          <w:rFonts w:hint="default" w:eastAsia="仿宋" w:cstheme="minorBidi"/>
          <w:sz w:val="24"/>
          <w:szCs w:val="24"/>
          <w:lang w:val="en-US" w:eastAsia="zh-CN"/>
        </w:rPr>
      </w:pPr>
      <w:r>
        <w:rPr>
          <w:rFonts w:hint="eastAsia"/>
          <w:sz w:val="24"/>
        </w:rPr>
        <w:t>第五部分</w:t>
      </w:r>
      <w:r>
        <w:rPr>
          <w:sz w:val="24"/>
        </w:rPr>
        <w:t xml:space="preserve"> </w:t>
      </w:r>
      <w:r>
        <w:rPr>
          <w:rFonts w:hint="eastAsia"/>
          <w:sz w:val="24"/>
        </w:rPr>
        <w:t>附表</w:t>
      </w:r>
      <w:r>
        <w:rPr>
          <w:rFonts w:hint="eastAsia" w:ascii="Times New Roman" w:hAnsi="Times New Roman" w:eastAsia="宋体" w:cs="Times New Roman"/>
          <w:kern w:val="2"/>
          <w:sz w:val="24"/>
          <w:szCs w:val="24"/>
          <w:lang w:val="en-US" w:eastAsia="zh-CN" w:bidi="ar-SA"/>
        </w:rPr>
        <w:t>···························</w:t>
      </w:r>
      <w:r>
        <w:rPr>
          <w:rFonts w:hint="eastAsia" w:ascii="宋体" w:hAnsi="宋体" w:eastAsia="宋体" w:cs="宋体"/>
          <w:kern w:val="2"/>
          <w:sz w:val="24"/>
          <w:szCs w:val="24"/>
          <w:lang w:val="en-US" w:eastAsia="zh-CN" w:bidi="ar-SA"/>
        </w:rPr>
        <w:t>50</w:t>
      </w:r>
    </w:p>
    <w:p>
      <w:pPr>
        <w:pStyle w:val="12"/>
        <w:adjustRightInd w:val="0"/>
        <w:snapToGrid w:val="0"/>
        <w:spacing w:line="440" w:lineRule="exact"/>
        <w:jc w:val="left"/>
        <w:rPr>
          <w:rFonts w:ascii="仿宋" w:hAnsi="仿宋" w:eastAsia="仿宋" w:cstheme="minorBidi"/>
          <w:sz w:val="24"/>
        </w:rPr>
      </w:pPr>
      <w:r>
        <w:rPr>
          <w:rFonts w:hint="eastAsia" w:ascii="仿宋" w:hAnsi="仿宋" w:eastAsia="仿宋"/>
          <w:sz w:val="24"/>
        </w:rPr>
        <w:t>一、</w:t>
      </w:r>
      <w:r>
        <w:rPr>
          <w:rFonts w:hint="eastAsia"/>
          <w:sz w:val="24"/>
        </w:rPr>
        <w:t>收入支出决算总表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二、收入决算表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三、支出决算表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四、财政拨款收入支出决算总表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五、财政拨款支出决算明细表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六、一般公共预算财政拨款支出决算表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七、一般公共预算财政拨款支出决算明细表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八、一般公共预算财政拨款基本支出决算表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九、一般公共预算财政拨款项目支出决算表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十、一般公共预算财政拨款“三公”经费支出决算表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十一、政府性基金预算财政拨款收入支出决算表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十二、政府性基金预算财政拨款“三公”经费支出决算表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十三、国有资本经营预算财政拨款收入支出决算表</w:t>
      </w:r>
    </w:p>
    <w:p>
      <w:pPr>
        <w:pStyle w:val="12"/>
        <w:adjustRightInd w:val="0"/>
        <w:snapToGrid w:val="0"/>
        <w:spacing w:line="440" w:lineRule="exact"/>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十四、国有资本经营预算财政拨款支出决算表</w:t>
      </w:r>
    </w:p>
    <w:p>
      <w:pPr>
        <w:widowControl/>
        <w:spacing w:line="440" w:lineRule="exact"/>
        <w:jc w:val="left"/>
        <w:rPr>
          <w:rFonts w:ascii="仿宋" w:hAnsi="仿宋" w:eastAsia="仿宋"/>
          <w:bCs/>
          <w:kern w:val="44"/>
          <w:sz w:val="24"/>
        </w:rPr>
      </w:pPr>
      <w:bookmarkStart w:id="12" w:name="_Toc15396599"/>
      <w:bookmarkStart w:id="13" w:name="_Toc15377196"/>
      <w:r>
        <w:rPr>
          <w:rFonts w:ascii="仿宋" w:hAnsi="仿宋" w:eastAsia="仿宋"/>
          <w:b/>
          <w:sz w:val="24"/>
        </w:rPr>
        <w:br w:type="page"/>
      </w:r>
    </w:p>
    <w:p>
      <w:pPr>
        <w:pStyle w:val="3"/>
        <w:jc w:val="center"/>
        <w:rPr>
          <w:rStyle w:val="26"/>
          <w:rFonts w:ascii="黑体" w:hAnsi="黑体" w:eastAsia="黑体"/>
          <w:b/>
          <w:bCs w:val="0"/>
        </w:rPr>
      </w:pPr>
      <w:r>
        <w:rPr>
          <w:rFonts w:hint="eastAsia" w:ascii="黑体" w:hAnsi="黑体" w:eastAsia="黑体"/>
          <w:b w:val="0"/>
        </w:rPr>
        <w:t xml:space="preserve">第一部分 </w:t>
      </w:r>
      <w:r>
        <w:rPr>
          <w:rStyle w:val="26"/>
          <w:rFonts w:hint="eastAsia" w:ascii="黑体" w:hAnsi="黑体" w:eastAsia="黑体"/>
          <w:b w:val="0"/>
          <w:bCs w:val="0"/>
        </w:rPr>
        <w:t>部门概况</w:t>
      </w:r>
      <w:bookmarkEnd w:id="12"/>
      <w:bookmarkEnd w:id="13"/>
    </w:p>
    <w:p>
      <w:pPr>
        <w:pStyle w:val="4"/>
        <w:spacing w:line="580" w:lineRule="exact"/>
        <w:ind w:firstLine="640" w:firstLineChars="200"/>
        <w:rPr>
          <w:rStyle w:val="27"/>
          <w:rFonts w:ascii="仿宋" w:hAnsi="仿宋" w:eastAsia="仿宋"/>
          <w:b w:val="0"/>
          <w:bCs w:val="0"/>
        </w:rPr>
      </w:pPr>
      <w:bookmarkStart w:id="14" w:name="_Toc15396600"/>
      <w:bookmarkStart w:id="15" w:name="_Toc15377197"/>
      <w:r>
        <w:rPr>
          <w:rFonts w:hint="eastAsia" w:ascii="黑体" w:hAnsi="黑体" w:eastAsia="黑体"/>
          <w:b w:val="0"/>
        </w:rPr>
        <w:t>一、基</w:t>
      </w:r>
      <w:r>
        <w:rPr>
          <w:rStyle w:val="27"/>
          <w:rFonts w:hint="eastAsia" w:ascii="黑体" w:hAnsi="黑体" w:eastAsia="黑体"/>
          <w:b w:val="0"/>
          <w:bCs w:val="0"/>
        </w:rPr>
        <w:t>本职能及主要工作</w:t>
      </w:r>
      <w:bookmarkEnd w:id="14"/>
      <w:bookmarkEnd w:id="15"/>
    </w:p>
    <w:p>
      <w:pPr>
        <w:pStyle w:val="2"/>
        <w:adjustRightInd w:val="0"/>
        <w:snapToGrid w:val="0"/>
        <w:spacing w:before="93" w:line="580" w:lineRule="exact"/>
        <w:ind w:firstLine="672" w:firstLineChars="210"/>
        <w:outlineLvl w:val="2"/>
        <w:rPr>
          <w:rFonts w:ascii="仿宋" w:hAnsi="仿宋" w:eastAsia="仿宋"/>
          <w:bCs/>
          <w:sz w:val="32"/>
          <w:szCs w:val="32"/>
        </w:rPr>
      </w:pPr>
      <w:bookmarkStart w:id="16" w:name="_Toc15378445"/>
      <w:bookmarkStart w:id="17" w:name="_Toc15377198"/>
      <w:r>
        <w:rPr>
          <w:rFonts w:hint="eastAsia" w:ascii="仿宋" w:hAnsi="仿宋" w:eastAsia="仿宋"/>
          <w:bCs/>
          <w:sz w:val="32"/>
          <w:szCs w:val="32"/>
        </w:rPr>
        <w:t>（一）主要职能</w:t>
      </w:r>
      <w:bookmarkEnd w:id="16"/>
      <w:bookmarkEnd w:id="17"/>
    </w:p>
    <w:p>
      <w:pPr>
        <w:snapToGrid w:val="0"/>
        <w:spacing w:line="58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1．</w:t>
      </w:r>
      <w:r>
        <w:rPr>
          <w:rFonts w:hint="eastAsia" w:ascii="仿宋" w:hAnsi="仿宋" w:eastAsia="仿宋"/>
          <w:color w:val="auto"/>
          <w:sz w:val="32"/>
          <w:szCs w:val="32"/>
          <w:highlight w:val="none"/>
        </w:rPr>
        <w:t>承担全面依法治国、依法治省、依法治市和依法治县重大问题的政策研究，协调有关方面提出全面依法治县规划建议，负责有关重大决策部署督察工作。</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2．</w:t>
      </w:r>
      <w:r>
        <w:rPr>
          <w:rFonts w:hint="eastAsia" w:ascii="仿宋" w:hAnsi="仿宋" w:eastAsia="仿宋"/>
          <w:color w:val="auto"/>
          <w:sz w:val="32"/>
          <w:szCs w:val="32"/>
          <w:highlight w:val="none"/>
        </w:rPr>
        <w:t>负责协调县政府各部门、各乡镇人民政府实施法律、法规、规章中的有关争议和问题。</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3．</w:t>
      </w:r>
      <w:r>
        <w:rPr>
          <w:rFonts w:hint="eastAsia" w:ascii="仿宋" w:hAnsi="仿宋" w:eastAsia="仿宋"/>
          <w:color w:val="auto"/>
          <w:sz w:val="32"/>
          <w:szCs w:val="32"/>
          <w:highlight w:val="none"/>
        </w:rPr>
        <w:t>负责县政府规范性文件、重大行政决策发布前的合法性审查。承办县政府规范性文件的报送备案工作。负责县政府各部门、各乡镇人民政府规范性文件备案审查工作。组织开展县政府规范性文件清理。</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4．</w:t>
      </w:r>
      <w:r>
        <w:rPr>
          <w:rFonts w:hint="eastAsia" w:ascii="仿宋" w:hAnsi="仿宋" w:eastAsia="仿宋"/>
          <w:color w:val="auto"/>
          <w:sz w:val="32"/>
          <w:szCs w:val="32"/>
          <w:highlight w:val="none"/>
        </w:rPr>
        <w:t>指导监督县政府各部门、各乡镇人民政府依法行政工作。负责综合协调、监督检查行政执法，承担推进行政执法体制改革有关工作，推进严格规范公正文明执法。</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5．</w:t>
      </w:r>
      <w:r>
        <w:rPr>
          <w:rFonts w:hint="eastAsia" w:ascii="仿宋" w:hAnsi="仿宋" w:eastAsia="仿宋"/>
          <w:color w:val="auto"/>
          <w:sz w:val="32"/>
          <w:szCs w:val="32"/>
          <w:highlight w:val="none"/>
        </w:rPr>
        <w:t>指导监督全县行政复议、行政应诉和行政赔偿工作，承办向县政府申请的行政复议、行政赔偿案件，代理县政府行政应诉案件。</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6．</w:t>
      </w:r>
      <w:r>
        <w:rPr>
          <w:rFonts w:hint="eastAsia" w:ascii="仿宋" w:hAnsi="仿宋" w:eastAsia="仿宋"/>
          <w:color w:val="auto"/>
          <w:sz w:val="32"/>
          <w:szCs w:val="32"/>
          <w:highlight w:val="none"/>
        </w:rPr>
        <w:t>承担县政府法律顾问的聘任和管理，组织县政府行政行为听证等工作。</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7．</w:t>
      </w:r>
      <w:r>
        <w:rPr>
          <w:rFonts w:hint="eastAsia" w:ascii="仿宋" w:hAnsi="仿宋" w:eastAsia="仿宋"/>
          <w:color w:val="auto"/>
          <w:sz w:val="32"/>
          <w:szCs w:val="32"/>
          <w:highlight w:val="none"/>
        </w:rPr>
        <w:t>负责全县行政执法主体、人员资格审查和行政执法证、监督检查证的审核管理及人员培训工作。</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8．</w:t>
      </w:r>
      <w:r>
        <w:rPr>
          <w:rFonts w:hint="eastAsia" w:ascii="仿宋" w:hAnsi="仿宋" w:eastAsia="仿宋"/>
          <w:color w:val="auto"/>
          <w:sz w:val="32"/>
          <w:szCs w:val="32"/>
          <w:highlight w:val="none"/>
        </w:rPr>
        <w:t>负责拟订法治宣传教育规划，组织实施普法宣传工作，组织对外法治宣传。</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9．</w:t>
      </w:r>
      <w:r>
        <w:rPr>
          <w:rFonts w:hint="eastAsia" w:ascii="仿宋" w:hAnsi="仿宋" w:eastAsia="仿宋"/>
          <w:color w:val="auto"/>
          <w:sz w:val="32"/>
          <w:szCs w:val="32"/>
          <w:highlight w:val="none"/>
        </w:rPr>
        <w:t>推动人民参与和促进法治建设。指导依法治理和法治创建工作。指导人民调解、行政调解和行业性专业性调解等工作。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10．</w:t>
      </w:r>
      <w:r>
        <w:rPr>
          <w:rFonts w:hint="eastAsia" w:ascii="仿宋" w:hAnsi="仿宋" w:eastAsia="仿宋"/>
          <w:color w:val="auto"/>
          <w:sz w:val="32"/>
          <w:szCs w:val="32"/>
          <w:highlight w:val="none"/>
        </w:rPr>
        <w:t>负责并指导人民监督员的选任管理工作。指导监督人民陪审员选任工作。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11．</w:t>
      </w:r>
      <w:r>
        <w:rPr>
          <w:rFonts w:hint="eastAsia" w:ascii="仿宋" w:hAnsi="仿宋" w:eastAsia="仿宋"/>
          <w:color w:val="auto"/>
          <w:sz w:val="32"/>
          <w:szCs w:val="32"/>
          <w:highlight w:val="none"/>
        </w:rPr>
        <w:t>推进司法所建设</w:t>
      </w:r>
      <w:r>
        <w:rPr>
          <w:rFonts w:hint="eastAsia" w:ascii="仿宋_GB2312" w:hAnsi="仿宋" w:eastAsia="仿宋_GB2312"/>
          <w:sz w:val="32"/>
          <w:szCs w:val="32"/>
        </w:rPr>
        <w:t>。</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12．</w:t>
      </w:r>
      <w:r>
        <w:rPr>
          <w:rFonts w:hint="eastAsia" w:ascii="仿宋" w:hAnsi="仿宋" w:eastAsia="仿宋"/>
          <w:color w:val="auto"/>
          <w:sz w:val="32"/>
          <w:szCs w:val="32"/>
          <w:highlight w:val="none"/>
        </w:rPr>
        <w:t>将安全生产、职业健康法律法规纳入公民普法教育重要内容并会同有关部门开展宣传普及。</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13．</w:t>
      </w:r>
      <w:r>
        <w:rPr>
          <w:rFonts w:hint="eastAsia" w:ascii="仿宋" w:hAnsi="仿宋" w:eastAsia="仿宋"/>
          <w:color w:val="auto"/>
          <w:sz w:val="32"/>
          <w:szCs w:val="32"/>
          <w:highlight w:val="none"/>
        </w:rPr>
        <w:t>组织开展社区矫正工作、刑满释放人员帮教安置工作。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14．</w:t>
      </w:r>
      <w:r>
        <w:rPr>
          <w:rFonts w:hint="eastAsia" w:ascii="仿宋" w:hAnsi="仿宋" w:eastAsia="仿宋"/>
          <w:color w:val="auto"/>
          <w:sz w:val="32"/>
          <w:szCs w:val="32"/>
          <w:highlight w:val="none"/>
        </w:rPr>
        <w:t>负责拟订全县公共法律服务体系建设规划并指导实施，统筹和布局全县城乡、区域法律服务资源。</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15．</w:t>
      </w:r>
      <w:r>
        <w:rPr>
          <w:rFonts w:hint="eastAsia" w:ascii="仿宋" w:hAnsi="仿宋" w:eastAsia="仿宋"/>
          <w:color w:val="auto"/>
          <w:sz w:val="32"/>
          <w:szCs w:val="32"/>
          <w:highlight w:val="none"/>
        </w:rPr>
        <w:t>指导监督律师、法律援助、司法鉴定、公证、仲裁和基层法律服务工作。</w:t>
      </w:r>
    </w:p>
    <w:p>
      <w:pPr>
        <w:snapToGrid w:val="0"/>
        <w:spacing w:line="520" w:lineRule="exact"/>
        <w:ind w:firstLine="640" w:firstLineChars="200"/>
        <w:rPr>
          <w:rFonts w:ascii="仿宋" w:hAnsi="仿宋" w:eastAsia="仿宋"/>
          <w:bCs/>
          <w:sz w:val="32"/>
          <w:szCs w:val="32"/>
        </w:rPr>
      </w:pPr>
      <w:r>
        <w:rPr>
          <w:rFonts w:hint="eastAsia" w:ascii="仿宋_GB2312" w:hAnsi="仿宋" w:eastAsia="仿宋_GB2312"/>
          <w:sz w:val="32"/>
          <w:szCs w:val="32"/>
        </w:rPr>
        <w:t>16．</w:t>
      </w:r>
      <w:r>
        <w:rPr>
          <w:rFonts w:hint="eastAsia" w:ascii="仿宋" w:hAnsi="仿宋" w:eastAsia="仿宋"/>
          <w:color w:val="auto"/>
          <w:sz w:val="32"/>
          <w:szCs w:val="32"/>
          <w:highlight w:val="none"/>
        </w:rPr>
        <w:t>承办县委和县政府交办的其他事项。</w:t>
      </w:r>
    </w:p>
    <w:p>
      <w:pPr>
        <w:pStyle w:val="2"/>
        <w:adjustRightInd w:val="0"/>
        <w:snapToGrid w:val="0"/>
        <w:spacing w:before="93" w:line="600" w:lineRule="exact"/>
        <w:ind w:firstLine="672" w:firstLineChars="210"/>
        <w:outlineLvl w:val="2"/>
        <w:rPr>
          <w:rFonts w:ascii="仿宋" w:hAnsi="仿宋" w:eastAsia="仿宋"/>
          <w:bCs/>
          <w:sz w:val="32"/>
          <w:szCs w:val="32"/>
        </w:rPr>
      </w:pPr>
      <w:bookmarkStart w:id="18" w:name="_Toc15378446"/>
      <w:bookmarkStart w:id="19" w:name="_Toc15377199"/>
      <w:r>
        <w:rPr>
          <w:rFonts w:hint="eastAsia" w:ascii="仿宋" w:hAnsi="仿宋" w:eastAsia="仿宋"/>
          <w:bCs/>
          <w:sz w:val="32"/>
          <w:szCs w:val="32"/>
        </w:rPr>
        <w:t>（二）</w:t>
      </w:r>
      <w:r>
        <w:rPr>
          <w:rFonts w:ascii="仿宋" w:hAnsi="仿宋" w:eastAsia="仿宋"/>
          <w:bCs/>
          <w:sz w:val="32"/>
          <w:szCs w:val="32"/>
        </w:rPr>
        <w:t>20</w:t>
      </w:r>
      <w:r>
        <w:rPr>
          <w:rFonts w:hint="eastAsia" w:ascii="仿宋" w:hAnsi="仿宋" w:eastAsia="仿宋"/>
          <w:bCs/>
          <w:sz w:val="32"/>
          <w:szCs w:val="32"/>
        </w:rPr>
        <w:t>21年度重点工作完成情况</w:t>
      </w:r>
      <w:bookmarkEnd w:id="18"/>
      <w:bookmarkEnd w:id="19"/>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w:t>
      </w:r>
      <w:r>
        <w:rPr>
          <w:rFonts w:hint="eastAsia" w:ascii="仿宋" w:hAnsi="仿宋" w:eastAsia="仿宋"/>
          <w:color w:val="auto"/>
          <w:sz w:val="32"/>
          <w:szCs w:val="32"/>
          <w:highlight w:val="none"/>
        </w:rPr>
        <w:t>深入学习宣传习近平法治思想。把学习宣传贯彻习近平法治思想作为2021年度的重要政治任务，发挥好统筹全面依法治县职能作用，贯彻好“坚持抓住领导干部这个‘关键少数’”的要求，引导全县各级领导干部带头尊法、学法、守法、用法，提高运用法治思维和法治方式深化改革、推动发展、化解矛盾、维护稳定、应对风险的能力。引导全县各级各部门充分认识确立习近平法治思想在全面依法治国中指导地位的重大意义，全面准确领会习近平法治思想的核心要义、精神实质和实践要求，坚持不懈用习近平法治思想武装头脑、指导实践、推动工作。</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2．</w:t>
      </w:r>
      <w:r>
        <w:rPr>
          <w:rFonts w:hint="eastAsia" w:ascii="仿宋" w:hAnsi="仿宋" w:eastAsia="仿宋"/>
          <w:color w:val="auto"/>
          <w:sz w:val="32"/>
          <w:szCs w:val="32"/>
          <w:highlight w:val="none"/>
        </w:rPr>
        <w:t>继续深入推进全面依法治县。一是抓好法治建设规划设计。二是健全法治建设统筹机制。完善县委县政府法治建设议事协调机构现行制度，新建工作督查、重点工作通报等制度，推进法治建设规范、高效运行。三是统筹推进法治建设重点工作。充分发挥依法治县办参谋作用，统筹协调法治建设中的重大问题、重大任务。四是做好法治扶贫和乡村振兴有机结合。结合法律服务群众“最后一公里”，将法治扶贫触角延伸到基层，营造良好的法治环境，推动乡村振兴见实效，逐步实现由脱贫到振兴、由攻坚战到持久战。</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3．</w:t>
      </w:r>
      <w:r>
        <w:rPr>
          <w:rFonts w:hint="eastAsia" w:ascii="仿宋" w:hAnsi="仿宋" w:eastAsia="仿宋"/>
          <w:color w:val="auto"/>
          <w:sz w:val="32"/>
          <w:szCs w:val="32"/>
          <w:highlight w:val="none"/>
        </w:rPr>
        <w:t>着力推进法治政府建设。一是对接落实法治示范</w:t>
      </w:r>
      <w:r>
        <w:rPr>
          <w:rFonts w:hint="eastAsia" w:ascii="仿宋" w:hAnsi="仿宋" w:eastAsia="仿宋"/>
          <w:color w:val="auto"/>
          <w:sz w:val="32"/>
          <w:szCs w:val="32"/>
          <w:highlight w:val="none"/>
          <w:lang w:val="en-US" w:eastAsia="zh-CN"/>
        </w:rPr>
        <w:t>市</w:t>
      </w:r>
      <w:r>
        <w:rPr>
          <w:rFonts w:hint="eastAsia" w:ascii="仿宋" w:hAnsi="仿宋" w:eastAsia="仿宋"/>
          <w:color w:val="auto"/>
          <w:sz w:val="32"/>
          <w:szCs w:val="32"/>
          <w:highlight w:val="none"/>
        </w:rPr>
        <w:t>创建任务。围绕广元创建“全国法治政府建设示范市”工作要求，对接落实县级任务。二是强化行政执法监督。全面落实行政执法“三项制度”，常态化开展执法监督和专项执法督察工作，完成特邀监督员选任和使用工作。加强行政执法主体的业务指导和培训。三是严格合法性审查。落实县委常委会和县政府常务会议题合法性审查、规范性文件审查、重大行政决策合法性审查三项重点工作。</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4．</w:t>
      </w:r>
      <w:r>
        <w:rPr>
          <w:rFonts w:hint="eastAsia" w:ascii="仿宋" w:hAnsi="仿宋" w:eastAsia="仿宋"/>
          <w:color w:val="auto"/>
          <w:sz w:val="32"/>
          <w:szCs w:val="32"/>
          <w:highlight w:val="none"/>
        </w:rPr>
        <w:t>积极推进法治社会建设。一是推动完善矛盾纠纷多元化解机制。健全基层人民调解组织，加快推进专业性、行业性人民调解组织建设。二是深入推进普法依法治理。做好“八五”普法规划实施，进一步落实“谁执法谁普法”责任制、国家工作人员学法用法制度和法治宣传教育“四项制度”。深化法治宣传“三百”活动，深入开展法治示范创建，提升依法治理能力。三是提升社区矫正工作水平。深入宣传贯彻《</w:t>
      </w:r>
      <w:r>
        <w:rPr>
          <w:rFonts w:hint="eastAsia" w:ascii="仿宋" w:hAnsi="仿宋" w:eastAsia="仿宋"/>
          <w:color w:val="auto"/>
          <w:sz w:val="32"/>
          <w:szCs w:val="32"/>
          <w:highlight w:val="none"/>
          <w:lang w:val="en-US" w:eastAsia="zh-CN"/>
        </w:rPr>
        <w:t>中华人民共和国</w:t>
      </w:r>
      <w:r>
        <w:rPr>
          <w:rFonts w:hint="eastAsia" w:ascii="仿宋" w:hAnsi="仿宋" w:eastAsia="仿宋"/>
          <w:color w:val="auto"/>
          <w:sz w:val="32"/>
          <w:szCs w:val="32"/>
          <w:highlight w:val="none"/>
        </w:rPr>
        <w:t>社区矫正法》，修订完善社区矫正工作制度。四是加强行政复议与应诉工作。强化行政复议应诉工作队伍，建立健全行政复议应诉工作约谈机制、行政复议与行政诉讼工作联席会议制度。</w:t>
      </w:r>
    </w:p>
    <w:p>
      <w:pPr>
        <w:snapToGrid w:val="0"/>
        <w:spacing w:line="520" w:lineRule="exact"/>
        <w:ind w:firstLine="640" w:firstLineChars="200"/>
        <w:rPr>
          <w:rFonts w:hint="eastAsia" w:ascii="仿宋" w:hAnsi="仿宋" w:eastAsia="仿宋"/>
          <w:color w:val="auto"/>
          <w:sz w:val="32"/>
          <w:szCs w:val="32"/>
          <w:highlight w:val="none"/>
        </w:rPr>
      </w:pPr>
      <w:r>
        <w:rPr>
          <w:rFonts w:hint="eastAsia" w:ascii="仿宋_GB2312" w:hAnsi="仿宋" w:eastAsia="仿宋_GB2312"/>
          <w:sz w:val="32"/>
          <w:szCs w:val="32"/>
        </w:rPr>
        <w:t>5．</w:t>
      </w:r>
      <w:r>
        <w:rPr>
          <w:rFonts w:hint="eastAsia" w:ascii="仿宋" w:hAnsi="仿宋" w:eastAsia="仿宋"/>
          <w:color w:val="auto"/>
          <w:sz w:val="32"/>
          <w:szCs w:val="32"/>
          <w:highlight w:val="none"/>
        </w:rPr>
        <w:t>不断优化公共法律服务。一是加强公共法律服务体系建设。建好县级公共法律服务中心、乡镇公共法律服务站和村级公共法律服务室三级阵地。二是加强“智慧服务”建设。建成资源共建共享、互联互通、便捷普惠的服务体系，以适应新时代需求。三是加强重点人群法律服务。进一步实现对困难群众的应援优援，开展农民工维权异地协作机制，围绕重大工程建设、餐饮服务等重点领域开展民营企业“法治体检”。</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6．</w:t>
      </w:r>
      <w:r>
        <w:rPr>
          <w:rFonts w:hint="eastAsia" w:ascii="仿宋" w:hAnsi="仿宋" w:eastAsia="仿宋"/>
          <w:color w:val="auto"/>
          <w:sz w:val="32"/>
          <w:szCs w:val="32"/>
          <w:highlight w:val="none"/>
        </w:rPr>
        <w:t>持续加强疫情依法防控。一是履行好法律审查职能。对县委、县政府出台的有关疫情防控政策、措施和发布的公告以及有关疫情防控等行政规范性文件进行全覆盖合法性审查。二是发挥好执法规范作用。加强对疫情防控中的重大行政处罚案件及时进行指导，加强疫情防控期间的行政执法监督。依法做好涉及疫情防控的行政复议与行政应诉工作。三是扮演好法律服务角色。持续开展依法战“疫”等系列宣传活动，开展复工企业“法治体检”专项行动，营造依法科学有序防控疫情的良好法治氛围。</w:t>
      </w:r>
    </w:p>
    <w:p>
      <w:pPr>
        <w:pStyle w:val="4"/>
        <w:ind w:firstLine="640" w:firstLineChars="200"/>
        <w:rPr>
          <w:rStyle w:val="27"/>
          <w:b w:val="0"/>
          <w:bCs w:val="0"/>
        </w:rPr>
      </w:pPr>
      <w:bookmarkStart w:id="20" w:name="_Toc15396601"/>
      <w:bookmarkStart w:id="21" w:name="_Toc15377200"/>
      <w:r>
        <w:rPr>
          <w:rFonts w:hint="eastAsia" w:ascii="黑体" w:eastAsia="黑体"/>
          <w:b w:val="0"/>
        </w:rPr>
        <w:t>二、</w:t>
      </w:r>
      <w:r>
        <w:rPr>
          <w:rFonts w:hint="eastAsia" w:ascii="黑体" w:hAnsi="黑体" w:eastAsia="黑体"/>
          <w:b w:val="0"/>
        </w:rPr>
        <w:t>机</w:t>
      </w:r>
      <w:r>
        <w:rPr>
          <w:rStyle w:val="27"/>
          <w:rFonts w:hint="eastAsia" w:ascii="黑体" w:hAnsi="黑体" w:eastAsia="黑体"/>
          <w:b w:val="0"/>
          <w:bCs w:val="0"/>
        </w:rPr>
        <w:t>构设置</w:t>
      </w:r>
      <w:bookmarkEnd w:id="20"/>
      <w:bookmarkEnd w:id="21"/>
    </w:p>
    <w:p>
      <w:pPr>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苍溪县司法局下属二级单位</w:t>
      </w:r>
      <w:r>
        <w:rPr>
          <w:rFonts w:hint="eastAsia" w:ascii="仿宋" w:hAnsi="仿宋" w:eastAsia="仿宋"/>
          <w:color w:val="auto"/>
          <w:sz w:val="32"/>
          <w:szCs w:val="32"/>
          <w:highlight w:val="none"/>
          <w:lang w:val="en-US" w:eastAsia="zh-CN"/>
        </w:rPr>
        <w:t>1</w:t>
      </w:r>
      <w:r>
        <w:rPr>
          <w:rFonts w:hint="eastAsia" w:ascii="仿宋" w:hAnsi="仿宋" w:eastAsia="仿宋"/>
          <w:color w:val="auto"/>
          <w:sz w:val="32"/>
          <w:szCs w:val="32"/>
          <w:highlight w:val="none"/>
        </w:rPr>
        <w:t>个，其中行政单位</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个，参照公务员法管理的事业单位</w:t>
      </w:r>
      <w:r>
        <w:rPr>
          <w:rFonts w:hint="eastAsia" w:ascii="仿宋" w:hAnsi="仿宋" w:eastAsia="仿宋"/>
          <w:bCs/>
          <w:color w:val="auto"/>
          <w:sz w:val="32"/>
          <w:szCs w:val="32"/>
          <w:highlight w:val="none"/>
          <w:lang w:val="en-US" w:eastAsia="zh-CN"/>
        </w:rPr>
        <w:t>1</w:t>
      </w:r>
      <w:r>
        <w:rPr>
          <w:rFonts w:hint="eastAsia" w:ascii="仿宋" w:hAnsi="仿宋" w:eastAsia="仿宋"/>
          <w:color w:val="auto"/>
          <w:sz w:val="32"/>
          <w:szCs w:val="32"/>
          <w:highlight w:val="none"/>
        </w:rPr>
        <w:t>个</w:t>
      </w:r>
      <w:r>
        <w:rPr>
          <w:rFonts w:hint="eastAsia" w:ascii="仿宋" w:hAnsi="仿宋" w:eastAsia="仿宋"/>
          <w:color w:val="auto"/>
          <w:sz w:val="32"/>
          <w:szCs w:val="32"/>
          <w:highlight w:val="none"/>
          <w:lang w:eastAsia="zh-CN"/>
        </w:rPr>
        <w:t>（</w:t>
      </w:r>
      <w:r>
        <w:rPr>
          <w:rFonts w:hint="eastAsia" w:ascii="仿宋" w:hAnsi="仿宋" w:eastAsia="仿宋"/>
          <w:color w:val="auto"/>
          <w:sz w:val="32"/>
          <w:szCs w:val="32"/>
          <w:highlight w:val="none"/>
          <w:lang w:val="en-US" w:eastAsia="zh-CN"/>
        </w:rPr>
        <w:t>苍溪县司法局法律援助中心为非独立预算单位</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val="en-US" w:eastAsia="zh-CN"/>
        </w:rPr>
        <w:t>其所有收支业务全部纳入局机关的会计核算及预决算编制），</w:t>
      </w:r>
      <w:r>
        <w:rPr>
          <w:rFonts w:hint="eastAsia" w:ascii="仿宋" w:hAnsi="仿宋" w:eastAsia="仿宋"/>
          <w:color w:val="auto"/>
          <w:sz w:val="32"/>
          <w:szCs w:val="32"/>
          <w:highlight w:val="none"/>
        </w:rPr>
        <w:t>其他事业单位0个。</w:t>
      </w:r>
    </w:p>
    <w:p>
      <w:pPr>
        <w:pStyle w:val="3"/>
        <w:ind w:right="440"/>
        <w:jc w:val="center"/>
        <w:rPr>
          <w:rStyle w:val="26"/>
          <w:rFonts w:ascii="黑体" w:hAnsi="黑体" w:eastAsia="黑体"/>
          <w:b w:val="0"/>
          <w:bCs/>
        </w:rPr>
      </w:pPr>
      <w:bookmarkStart w:id="22" w:name="_Toc15377204"/>
      <w:bookmarkStart w:id="23" w:name="_Toc15396602"/>
      <w:r>
        <w:rPr>
          <w:rFonts w:hint="eastAsia" w:ascii="黑体" w:hAnsi="黑体" w:eastAsia="黑体"/>
          <w:b w:val="0"/>
        </w:rPr>
        <w:t>第二部分 2021年度</w:t>
      </w:r>
      <w:r>
        <w:rPr>
          <w:rStyle w:val="26"/>
          <w:rFonts w:hint="eastAsia" w:ascii="黑体" w:hAnsi="黑体" w:eastAsia="黑体"/>
          <w:b w:val="0"/>
          <w:bCs/>
        </w:rPr>
        <w:t>部门决算情况说明</w:t>
      </w:r>
      <w:bookmarkEnd w:id="22"/>
      <w:bookmarkEnd w:id="23"/>
    </w:p>
    <w:p/>
    <w:p>
      <w:pPr>
        <w:pStyle w:val="25"/>
        <w:numPr>
          <w:ilvl w:val="0"/>
          <w:numId w:val="1"/>
        </w:numPr>
        <w:spacing w:line="600" w:lineRule="exact"/>
        <w:ind w:firstLineChars="0"/>
        <w:outlineLvl w:val="1"/>
        <w:rPr>
          <w:rStyle w:val="27"/>
          <w:rFonts w:ascii="黑体" w:hAnsi="黑体" w:eastAsia="黑体"/>
          <w:b w:val="0"/>
        </w:rPr>
      </w:pPr>
      <w:bookmarkStart w:id="24" w:name="_Toc15396603"/>
      <w:bookmarkStart w:id="25" w:name="_Toc15377205"/>
      <w:r>
        <w:rPr>
          <w:rFonts w:hint="eastAsia" w:ascii="黑体" w:hAnsi="黑体" w:eastAsia="黑体"/>
          <w:sz w:val="32"/>
          <w:szCs w:val="32"/>
        </w:rPr>
        <w:t>收</w:t>
      </w:r>
      <w:r>
        <w:rPr>
          <w:rStyle w:val="27"/>
          <w:rFonts w:hint="eastAsia" w:ascii="黑体" w:hAnsi="黑体" w:eastAsia="黑体"/>
          <w:b w:val="0"/>
        </w:rPr>
        <w:t>入支出决算总体情况说明</w:t>
      </w:r>
      <w:bookmarkEnd w:id="24"/>
      <w:bookmarkEnd w:id="25"/>
    </w:p>
    <w:p>
      <w:pPr>
        <w:spacing w:line="600" w:lineRule="exact"/>
        <w:ind w:firstLine="640" w:firstLineChars="200"/>
        <w:rPr>
          <w:rFonts w:ascii="仿宋" w:hAnsi="仿宋" w:eastAsia="仿宋"/>
          <w:sz w:val="32"/>
          <w:szCs w:val="32"/>
        </w:rPr>
      </w:pPr>
      <w:r>
        <w:rPr>
          <w:rFonts w:hint="eastAsia" w:ascii="仿宋" w:hAnsi="仿宋" w:eastAsia="仿宋"/>
          <w:sz w:val="32"/>
          <w:szCs w:val="32"/>
        </w:rPr>
        <w:t>2021年度收、支总计1818.21万元。与2020年度相比，收、支总计各减少97.04万元，减少5</w:t>
      </w:r>
      <w:r>
        <w:rPr>
          <w:rFonts w:ascii="仿宋" w:hAnsi="仿宋" w:eastAsia="仿宋"/>
          <w:sz w:val="32"/>
          <w:szCs w:val="32"/>
        </w:rPr>
        <w:t>%</w:t>
      </w:r>
      <w:r>
        <w:rPr>
          <w:rFonts w:hint="eastAsia" w:ascii="仿宋" w:hAnsi="仿宋" w:eastAsia="仿宋"/>
          <w:sz w:val="32"/>
          <w:szCs w:val="32"/>
        </w:rPr>
        <w:t>。主要变动原因是部门人员变动及按照党中央、国务院关于过“紧日子”的要求，进一步压减行政运行支出。</w:t>
      </w:r>
    </w:p>
    <w:p>
      <w:pPr>
        <w:pStyle w:val="2"/>
        <w:spacing w:before="93"/>
      </w:pPr>
      <w:r>
        <w:drawing>
          <wp:inline distT="0" distB="0" distL="114300" distR="114300">
            <wp:extent cx="5314315" cy="2581910"/>
            <wp:effectExtent l="4445" t="4445" r="15240" b="23495"/>
            <wp:docPr id="2"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pPr>
        <w:spacing w:line="600" w:lineRule="exact"/>
        <w:ind w:firstLine="640" w:firstLineChars="200"/>
        <w:rPr>
          <w:rFonts w:ascii="仿宋" w:hAnsi="仿宋" w:eastAsia="仿宋"/>
          <w:color w:val="auto"/>
          <w:sz w:val="32"/>
          <w:szCs w:val="32"/>
        </w:rPr>
      </w:pPr>
      <w:r>
        <w:rPr>
          <w:rFonts w:hint="eastAsia" w:ascii="仿宋" w:hAnsi="仿宋" w:eastAsia="仿宋"/>
          <w:color w:val="auto"/>
          <w:sz w:val="32"/>
          <w:szCs w:val="32"/>
        </w:rPr>
        <w:t>（图</w:t>
      </w:r>
      <w:r>
        <w:rPr>
          <w:rFonts w:ascii="仿宋" w:hAnsi="仿宋" w:eastAsia="仿宋"/>
          <w:color w:val="auto"/>
          <w:sz w:val="32"/>
          <w:szCs w:val="32"/>
        </w:rPr>
        <w:t>1</w:t>
      </w:r>
      <w:r>
        <w:rPr>
          <w:rFonts w:hint="eastAsia" w:ascii="仿宋" w:hAnsi="仿宋" w:eastAsia="仿宋"/>
          <w:color w:val="auto"/>
          <w:sz w:val="32"/>
          <w:szCs w:val="32"/>
        </w:rPr>
        <w:t>：收、支决算总计变动情况图</w:t>
      </w:r>
      <w:r>
        <w:rPr>
          <w:rFonts w:hint="eastAsia" w:ascii="仿宋" w:hAnsi="仿宋" w:eastAsia="仿宋"/>
          <w:color w:val="auto"/>
          <w:sz w:val="32"/>
          <w:szCs w:val="32"/>
          <w:lang w:eastAsia="zh-CN"/>
        </w:rPr>
        <w:t>　</w:t>
      </w:r>
      <w:r>
        <w:rPr>
          <w:rFonts w:hint="eastAsia" w:ascii="仿宋" w:hAnsi="仿宋" w:eastAsia="仿宋"/>
          <w:color w:val="auto"/>
          <w:sz w:val="32"/>
          <w:szCs w:val="32"/>
          <w:highlight w:val="none"/>
          <w:lang w:eastAsia="zh-CN"/>
        </w:rPr>
        <w:t>单位：万元</w:t>
      </w:r>
      <w:r>
        <w:rPr>
          <w:rFonts w:hint="eastAsia" w:ascii="仿宋" w:hAnsi="仿宋" w:eastAsia="仿宋"/>
          <w:color w:val="auto"/>
          <w:sz w:val="32"/>
          <w:szCs w:val="32"/>
        </w:rPr>
        <w:t>）</w:t>
      </w:r>
    </w:p>
    <w:p>
      <w:pPr>
        <w:pStyle w:val="25"/>
        <w:numPr>
          <w:ilvl w:val="0"/>
          <w:numId w:val="1"/>
        </w:numPr>
        <w:spacing w:line="600" w:lineRule="exact"/>
        <w:ind w:firstLineChars="0"/>
        <w:outlineLvl w:val="1"/>
        <w:rPr>
          <w:rStyle w:val="27"/>
          <w:rFonts w:ascii="黑体" w:hAnsi="黑体" w:eastAsia="黑体"/>
          <w:b w:val="0"/>
        </w:rPr>
      </w:pPr>
      <w:bookmarkStart w:id="26" w:name="_Toc15396604"/>
      <w:bookmarkStart w:id="27" w:name="_Toc15377206"/>
      <w:r>
        <w:rPr>
          <w:rFonts w:hint="eastAsia" w:ascii="黑体" w:hAnsi="黑体" w:eastAsia="黑体"/>
          <w:sz w:val="32"/>
          <w:szCs w:val="32"/>
        </w:rPr>
        <w:t>收</w:t>
      </w:r>
      <w:r>
        <w:rPr>
          <w:rStyle w:val="27"/>
          <w:rFonts w:hint="eastAsia" w:ascii="黑体" w:hAnsi="黑体" w:eastAsia="黑体"/>
          <w:b w:val="0"/>
        </w:rPr>
        <w:t>入决算情况说明</w:t>
      </w:r>
      <w:bookmarkEnd w:id="26"/>
      <w:bookmarkEnd w:id="27"/>
    </w:p>
    <w:p>
      <w:pPr>
        <w:spacing w:line="600" w:lineRule="exact"/>
        <w:ind w:firstLine="640" w:firstLineChars="200"/>
        <w:outlineLvl w:val="1"/>
        <w:rPr>
          <w:rFonts w:ascii="仿宋" w:hAnsi="仿宋" w:eastAsia="仿宋"/>
          <w:color w:val="auto"/>
          <w:sz w:val="32"/>
          <w:szCs w:val="32"/>
        </w:rPr>
      </w:pPr>
      <w:r>
        <w:rPr>
          <w:rFonts w:ascii="仿宋" w:hAnsi="仿宋" w:eastAsia="仿宋"/>
          <w:color w:val="auto"/>
          <w:sz w:val="32"/>
          <w:szCs w:val="32"/>
        </w:rPr>
        <w:t>20</w:t>
      </w:r>
      <w:r>
        <w:rPr>
          <w:rFonts w:hint="eastAsia" w:ascii="仿宋" w:hAnsi="仿宋" w:eastAsia="仿宋"/>
          <w:color w:val="auto"/>
          <w:sz w:val="32"/>
          <w:szCs w:val="32"/>
        </w:rPr>
        <w:t>21年度本年收入合计1573.96万元，其中：一般公共预算财政拨款收入1383.66万元，占87.9</w:t>
      </w:r>
      <w:r>
        <w:rPr>
          <w:rFonts w:ascii="仿宋" w:hAnsi="仿宋" w:eastAsia="仿宋"/>
          <w:color w:val="auto"/>
          <w:sz w:val="32"/>
          <w:szCs w:val="32"/>
        </w:rPr>
        <w:t>%</w:t>
      </w:r>
      <w:r>
        <w:rPr>
          <w:rFonts w:hint="eastAsia" w:ascii="仿宋" w:hAnsi="仿宋" w:eastAsia="仿宋"/>
          <w:color w:val="auto"/>
          <w:sz w:val="32"/>
          <w:szCs w:val="32"/>
        </w:rPr>
        <w:t>；其他收入190.3万元，占12.1</w:t>
      </w:r>
      <w:r>
        <w:rPr>
          <w:rFonts w:ascii="仿宋" w:hAnsi="仿宋" w:eastAsia="仿宋"/>
          <w:color w:val="auto"/>
          <w:sz w:val="32"/>
          <w:szCs w:val="32"/>
        </w:rPr>
        <w:t>%</w:t>
      </w:r>
      <w:r>
        <w:rPr>
          <w:rFonts w:hint="eastAsia" w:ascii="仿宋" w:hAnsi="仿宋" w:eastAsia="仿宋"/>
          <w:color w:val="auto"/>
          <w:sz w:val="32"/>
          <w:szCs w:val="32"/>
        </w:rPr>
        <w:t>。</w:t>
      </w:r>
    </w:p>
    <w:p>
      <w:pPr>
        <w:spacing w:line="600" w:lineRule="exact"/>
        <w:outlineLvl w:val="1"/>
        <w:rPr>
          <w:rFonts w:ascii="仿宋" w:hAnsi="仿宋" w:eastAsia="仿宋"/>
          <w:sz w:val="32"/>
          <w:szCs w:val="32"/>
        </w:rPr>
      </w:pPr>
    </w:p>
    <w:p>
      <w:pPr>
        <w:pStyle w:val="2"/>
        <w:spacing w:before="93"/>
        <w:rPr>
          <w:rFonts w:ascii="仿宋" w:hAnsi="仿宋" w:eastAsia="仿宋"/>
          <w:sz w:val="32"/>
          <w:szCs w:val="32"/>
        </w:rPr>
      </w:pPr>
    </w:p>
    <w:p>
      <w:pPr>
        <w:pStyle w:val="2"/>
        <w:rPr>
          <w:rFonts w:hint="eastAsia" w:ascii="仿宋" w:hAnsi="仿宋" w:eastAsia="仿宋"/>
          <w:color w:val="FF0000"/>
          <w:sz w:val="32"/>
          <w:szCs w:val="32"/>
        </w:rPr>
      </w:pPr>
    </w:p>
    <w:p>
      <w:pPr>
        <w:pStyle w:val="2"/>
        <w:rPr>
          <w:rFonts w:hint="eastAsia" w:ascii="仿宋" w:hAnsi="仿宋" w:eastAsia="仿宋"/>
          <w:color w:val="FF0000"/>
          <w:sz w:val="32"/>
          <w:szCs w:val="32"/>
        </w:rPr>
      </w:pPr>
      <w:r>
        <w:drawing>
          <wp:inline distT="0" distB="0" distL="114300" distR="114300">
            <wp:extent cx="4572000" cy="2743200"/>
            <wp:effectExtent l="4445" t="4445" r="14605" b="14605"/>
            <wp:docPr id="9"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spacing w:line="600" w:lineRule="exact"/>
        <w:ind w:firstLine="640" w:firstLineChars="200"/>
        <w:rPr>
          <w:rFonts w:ascii="仿宋" w:hAnsi="仿宋" w:eastAsia="仿宋"/>
          <w:color w:val="auto"/>
          <w:sz w:val="32"/>
          <w:szCs w:val="32"/>
          <w:highlight w:val="none"/>
        </w:rPr>
      </w:pPr>
      <w:r>
        <w:rPr>
          <w:rFonts w:hint="eastAsia" w:ascii="仿宋" w:hAnsi="仿宋" w:eastAsia="仿宋"/>
          <w:color w:val="auto"/>
          <w:sz w:val="32"/>
          <w:szCs w:val="32"/>
          <w:highlight w:val="none"/>
        </w:rPr>
        <w:t>（图2：收入决算结构图）</w:t>
      </w:r>
    </w:p>
    <w:p>
      <w:pPr>
        <w:pStyle w:val="25"/>
        <w:numPr>
          <w:ilvl w:val="0"/>
          <w:numId w:val="1"/>
        </w:numPr>
        <w:spacing w:line="600" w:lineRule="exact"/>
        <w:ind w:firstLineChars="0"/>
        <w:outlineLvl w:val="1"/>
        <w:rPr>
          <w:rStyle w:val="27"/>
          <w:rFonts w:ascii="黑体" w:hAnsi="黑体" w:eastAsia="黑体"/>
          <w:b w:val="0"/>
        </w:rPr>
      </w:pPr>
      <w:bookmarkStart w:id="28" w:name="_Toc15377207"/>
      <w:bookmarkStart w:id="29" w:name="_Toc15396605"/>
      <w:r>
        <w:rPr>
          <w:rFonts w:hint="eastAsia" w:ascii="黑体" w:hAnsi="黑体" w:eastAsia="黑体"/>
          <w:sz w:val="32"/>
          <w:szCs w:val="32"/>
        </w:rPr>
        <w:t>支</w:t>
      </w:r>
      <w:r>
        <w:rPr>
          <w:rStyle w:val="27"/>
          <w:rFonts w:hint="eastAsia" w:ascii="黑体" w:hAnsi="黑体" w:eastAsia="黑体"/>
          <w:b w:val="0"/>
        </w:rPr>
        <w:t>出决算情况说明</w:t>
      </w:r>
      <w:bookmarkEnd w:id="28"/>
      <w:bookmarkEnd w:id="29"/>
    </w:p>
    <w:p>
      <w:pPr>
        <w:spacing w:line="600" w:lineRule="exact"/>
        <w:ind w:firstLine="640" w:firstLineChars="200"/>
        <w:outlineLvl w:val="1"/>
        <w:rPr>
          <w:rFonts w:ascii="仿宋" w:hAnsi="仿宋" w:eastAsia="仿宋"/>
          <w:sz w:val="32"/>
          <w:szCs w:val="32"/>
          <w:shd w:val="pct10" w:color="auto" w:fill="FFFFFF"/>
        </w:rPr>
      </w:pPr>
      <w:r>
        <w:rPr>
          <w:rFonts w:ascii="仿宋" w:hAnsi="仿宋" w:eastAsia="仿宋"/>
          <w:sz w:val="32"/>
          <w:szCs w:val="32"/>
        </w:rPr>
        <w:t>20</w:t>
      </w:r>
      <w:r>
        <w:rPr>
          <w:rFonts w:hint="eastAsia" w:ascii="仿宋" w:hAnsi="仿宋" w:eastAsia="仿宋"/>
          <w:sz w:val="32"/>
          <w:szCs w:val="32"/>
        </w:rPr>
        <w:t>21年度本年支出合计1554.85万元，其中：基本支出1182.42万元，占76</w:t>
      </w:r>
      <w:r>
        <w:rPr>
          <w:rFonts w:ascii="仿宋" w:hAnsi="仿宋" w:eastAsia="仿宋"/>
          <w:sz w:val="32"/>
          <w:szCs w:val="32"/>
        </w:rPr>
        <w:t>%</w:t>
      </w:r>
      <w:r>
        <w:rPr>
          <w:rFonts w:hint="eastAsia" w:ascii="仿宋" w:hAnsi="仿宋" w:eastAsia="仿宋"/>
          <w:sz w:val="32"/>
          <w:szCs w:val="32"/>
        </w:rPr>
        <w:t>；项目支出372.43万元，占24%。</w:t>
      </w:r>
    </w:p>
    <w:p>
      <w:pPr>
        <w:pStyle w:val="2"/>
        <w:spacing w:before="93"/>
        <w:rPr>
          <w:rFonts w:ascii="仿宋" w:hAnsi="仿宋" w:eastAsia="仿宋"/>
          <w:sz w:val="32"/>
          <w:szCs w:val="32"/>
          <w:shd w:val="pct10" w:color="auto" w:fill="FFFFFF"/>
        </w:rPr>
      </w:pPr>
      <w:r>
        <w:drawing>
          <wp:inline distT="0" distB="0" distL="114300" distR="114300">
            <wp:extent cx="4800600" cy="2419350"/>
            <wp:effectExtent l="4445" t="4445" r="14605" b="14605"/>
            <wp:docPr id="1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spacing w:line="600" w:lineRule="exact"/>
        <w:ind w:firstLine="640" w:firstLineChars="200"/>
        <w:rPr>
          <w:rFonts w:ascii="仿宋_GB2312" w:eastAsia="仿宋_GB2312"/>
          <w:color w:val="auto"/>
          <w:sz w:val="32"/>
          <w:szCs w:val="32"/>
        </w:rPr>
      </w:pPr>
      <w:r>
        <w:rPr>
          <w:rFonts w:hint="eastAsia" w:ascii="仿宋" w:hAnsi="仿宋" w:eastAsia="仿宋"/>
          <w:color w:val="auto"/>
          <w:sz w:val="32"/>
          <w:szCs w:val="32"/>
        </w:rPr>
        <w:t>（图3：支出决算结构图）</w:t>
      </w:r>
    </w:p>
    <w:p>
      <w:pPr>
        <w:spacing w:line="600" w:lineRule="exact"/>
        <w:ind w:firstLine="640" w:firstLineChars="200"/>
        <w:outlineLvl w:val="1"/>
        <w:rPr>
          <w:rStyle w:val="27"/>
          <w:rFonts w:ascii="黑体" w:hAnsi="黑体" w:eastAsia="黑体"/>
          <w:b w:val="0"/>
        </w:rPr>
      </w:pPr>
      <w:bookmarkStart w:id="30" w:name="_Toc15396606"/>
      <w:bookmarkStart w:id="31" w:name="_Toc15377208"/>
      <w:r>
        <w:rPr>
          <w:rFonts w:hint="eastAsia" w:ascii="黑体" w:hAnsi="黑体" w:eastAsia="黑体"/>
          <w:sz w:val="32"/>
          <w:szCs w:val="32"/>
        </w:rPr>
        <w:t>四、财</w:t>
      </w:r>
      <w:r>
        <w:rPr>
          <w:rStyle w:val="27"/>
          <w:rFonts w:hint="eastAsia" w:ascii="黑体" w:hAnsi="黑体" w:eastAsia="黑体"/>
          <w:b w:val="0"/>
        </w:rPr>
        <w:t>政拨款收入支出决算总体情况说明</w:t>
      </w:r>
      <w:bookmarkEnd w:id="30"/>
      <w:bookmarkEnd w:id="31"/>
    </w:p>
    <w:p>
      <w:pPr>
        <w:pStyle w:val="2"/>
        <w:spacing w:before="93"/>
        <w:ind w:firstLine="640" w:firstLineChars="20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21年度财政拨款收、支总计1437.93万元。与</w:t>
      </w:r>
      <w:r>
        <w:rPr>
          <w:rFonts w:ascii="仿宋" w:hAnsi="仿宋" w:eastAsia="仿宋"/>
          <w:sz w:val="32"/>
          <w:szCs w:val="32"/>
        </w:rPr>
        <w:t>20</w:t>
      </w:r>
      <w:r>
        <w:rPr>
          <w:rFonts w:hint="eastAsia" w:ascii="仿宋" w:hAnsi="仿宋" w:eastAsia="仿宋"/>
          <w:sz w:val="32"/>
          <w:szCs w:val="32"/>
        </w:rPr>
        <w:t>20年度相比，财政拨款收、支总计各减少43.23万元，减少2.9</w:t>
      </w:r>
      <w:r>
        <w:rPr>
          <w:rFonts w:ascii="仿宋" w:hAnsi="仿宋" w:eastAsia="仿宋"/>
          <w:sz w:val="32"/>
          <w:szCs w:val="32"/>
        </w:rPr>
        <w:t>%</w:t>
      </w:r>
      <w:r>
        <w:rPr>
          <w:rFonts w:hint="eastAsia" w:ascii="仿宋" w:hAnsi="仿宋" w:eastAsia="仿宋"/>
          <w:sz w:val="32"/>
          <w:szCs w:val="32"/>
        </w:rPr>
        <w:t>。主要变动原因是部门人员变动及按照党中央、国务院关于过“紧日子”的要求，进一步压减行政运行支出。</w:t>
      </w:r>
    </w:p>
    <w:p>
      <w:pPr>
        <w:pStyle w:val="2"/>
        <w:spacing w:before="93"/>
        <w:rPr>
          <w:rFonts w:ascii="仿宋" w:hAnsi="仿宋" w:eastAsia="仿宋"/>
          <w:sz w:val="32"/>
          <w:szCs w:val="32"/>
        </w:rPr>
      </w:pPr>
      <w:r>
        <w:drawing>
          <wp:inline distT="0" distB="0" distL="114300" distR="114300">
            <wp:extent cx="4980940" cy="2619375"/>
            <wp:effectExtent l="4445" t="4445" r="5715" b="5080"/>
            <wp:docPr id="5"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spacing w:line="600" w:lineRule="exact"/>
        <w:ind w:firstLine="640" w:firstLineChars="200"/>
        <w:rPr>
          <w:rFonts w:ascii="仿宋" w:hAnsi="仿宋" w:eastAsia="仿宋"/>
          <w:color w:val="auto"/>
          <w:sz w:val="32"/>
          <w:szCs w:val="32"/>
        </w:rPr>
      </w:pPr>
      <w:r>
        <w:rPr>
          <w:rFonts w:hint="eastAsia" w:ascii="仿宋" w:hAnsi="仿宋" w:eastAsia="仿宋"/>
          <w:color w:val="auto"/>
          <w:sz w:val="32"/>
          <w:szCs w:val="32"/>
          <w:lang w:eastAsia="zh-CN"/>
        </w:rPr>
        <w:t>（</w:t>
      </w:r>
      <w:r>
        <w:rPr>
          <w:rFonts w:hint="eastAsia" w:ascii="仿宋" w:hAnsi="仿宋" w:eastAsia="仿宋"/>
          <w:color w:val="auto"/>
          <w:sz w:val="32"/>
          <w:szCs w:val="32"/>
        </w:rPr>
        <w:t>图4：财政拨款收、支决算总计变动情况</w:t>
      </w:r>
      <w:r>
        <w:rPr>
          <w:rFonts w:hint="eastAsia" w:ascii="仿宋" w:hAnsi="仿宋" w:eastAsia="仿宋"/>
          <w:color w:val="auto"/>
          <w:sz w:val="32"/>
          <w:szCs w:val="32"/>
          <w:lang w:val="en-US" w:eastAsia="zh-CN"/>
        </w:rPr>
        <w:t xml:space="preserve"> </w:t>
      </w:r>
      <w:r>
        <w:rPr>
          <w:rFonts w:hint="eastAsia" w:ascii="仿宋" w:hAnsi="仿宋" w:eastAsia="仿宋"/>
          <w:color w:val="auto"/>
          <w:sz w:val="32"/>
          <w:szCs w:val="32"/>
          <w:highlight w:val="none"/>
          <w:lang w:eastAsia="zh-CN"/>
        </w:rPr>
        <w:t>单位：万元</w:t>
      </w:r>
      <w:r>
        <w:rPr>
          <w:rFonts w:hint="eastAsia" w:ascii="仿宋" w:hAnsi="仿宋" w:eastAsia="仿宋"/>
          <w:color w:val="auto"/>
          <w:sz w:val="32"/>
          <w:szCs w:val="32"/>
          <w:highlight w:val="none"/>
        </w:rPr>
        <w:t>）</w:t>
      </w:r>
      <w:bookmarkStart w:id="32" w:name="_Toc15396607"/>
      <w:bookmarkStart w:id="33" w:name="_Toc15377209"/>
    </w:p>
    <w:p>
      <w:pPr>
        <w:spacing w:line="600" w:lineRule="exact"/>
        <w:ind w:firstLine="640" w:firstLineChars="200"/>
        <w:outlineLvl w:val="1"/>
        <w:rPr>
          <w:rStyle w:val="27"/>
          <w:rFonts w:ascii="黑体" w:hAnsi="黑体" w:eastAsia="黑体"/>
          <w:b w:val="0"/>
        </w:rPr>
      </w:pPr>
      <w:r>
        <w:rPr>
          <w:rFonts w:hint="eastAsia" w:ascii="黑体" w:hAnsi="黑体" w:eastAsia="黑体"/>
          <w:sz w:val="32"/>
          <w:szCs w:val="32"/>
        </w:rPr>
        <w:t>五、</w:t>
      </w:r>
      <w:r>
        <w:rPr>
          <w:rFonts w:hint="eastAsia" w:ascii="黑体" w:hAnsi="黑体" w:eastAsia="黑体"/>
          <w:b/>
          <w:sz w:val="32"/>
          <w:szCs w:val="32"/>
        </w:rPr>
        <w:t>一</w:t>
      </w:r>
      <w:r>
        <w:rPr>
          <w:rStyle w:val="27"/>
          <w:rFonts w:hint="eastAsia" w:ascii="黑体" w:hAnsi="黑体" w:eastAsia="黑体"/>
          <w:b w:val="0"/>
        </w:rPr>
        <w:t>般公共预算财政拨款支出决算情况说明</w:t>
      </w:r>
      <w:bookmarkEnd w:id="32"/>
      <w:bookmarkEnd w:id="33"/>
    </w:p>
    <w:p>
      <w:pPr>
        <w:spacing w:line="600" w:lineRule="exact"/>
        <w:ind w:firstLine="643" w:firstLineChars="200"/>
        <w:outlineLvl w:val="2"/>
        <w:rPr>
          <w:rFonts w:ascii="仿宋" w:hAnsi="仿宋" w:eastAsia="仿宋"/>
          <w:b/>
          <w:sz w:val="32"/>
          <w:szCs w:val="32"/>
        </w:rPr>
      </w:pPr>
      <w:bookmarkStart w:id="34" w:name="_Toc15377210"/>
      <w:r>
        <w:rPr>
          <w:rFonts w:hint="eastAsia" w:ascii="仿宋" w:hAnsi="仿宋" w:eastAsia="仿宋"/>
          <w:b/>
          <w:sz w:val="32"/>
          <w:szCs w:val="32"/>
        </w:rPr>
        <w:t>（一）一般公共预算财政拨款支出决算总体情况</w:t>
      </w:r>
      <w:bookmarkEnd w:id="34"/>
    </w:p>
    <w:p>
      <w:pPr>
        <w:spacing w:line="600" w:lineRule="exact"/>
        <w:ind w:firstLine="640" w:firstLineChars="20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21年度一般公共预算财政拨款支出1437.93万元，占</w:t>
      </w:r>
      <w:r>
        <w:rPr>
          <w:rFonts w:hint="eastAsia" w:ascii="仿宋" w:hAnsi="仿宋" w:eastAsia="仿宋"/>
          <w:sz w:val="32"/>
          <w:szCs w:val="32"/>
          <w:highlight w:val="none"/>
        </w:rPr>
        <w:t>本年支出合计的</w:t>
      </w:r>
      <w:r>
        <w:rPr>
          <w:rFonts w:hint="eastAsia" w:ascii="仿宋" w:hAnsi="仿宋" w:eastAsia="仿宋"/>
          <w:sz w:val="32"/>
          <w:szCs w:val="32"/>
          <w:highlight w:val="none"/>
          <w:lang w:val="en-US" w:eastAsia="zh-CN"/>
        </w:rPr>
        <w:t>92.5</w:t>
      </w:r>
      <w:r>
        <w:rPr>
          <w:rFonts w:ascii="仿宋" w:hAnsi="仿宋" w:eastAsia="仿宋"/>
          <w:sz w:val="32"/>
          <w:szCs w:val="32"/>
          <w:highlight w:val="none"/>
        </w:rPr>
        <w:t>%</w:t>
      </w:r>
      <w:r>
        <w:rPr>
          <w:rFonts w:hint="eastAsia" w:ascii="仿宋" w:hAnsi="仿宋" w:eastAsia="仿宋"/>
          <w:sz w:val="32"/>
          <w:szCs w:val="32"/>
          <w:highlight w:val="none"/>
        </w:rPr>
        <w:t>。</w:t>
      </w:r>
      <w:r>
        <w:rPr>
          <w:rFonts w:hint="eastAsia" w:ascii="仿宋" w:hAnsi="仿宋" w:eastAsia="仿宋"/>
          <w:sz w:val="32"/>
          <w:szCs w:val="32"/>
        </w:rPr>
        <w:t>与</w:t>
      </w:r>
      <w:r>
        <w:rPr>
          <w:rFonts w:ascii="仿宋" w:hAnsi="仿宋" w:eastAsia="仿宋"/>
          <w:sz w:val="32"/>
          <w:szCs w:val="32"/>
        </w:rPr>
        <w:t>20</w:t>
      </w:r>
      <w:r>
        <w:rPr>
          <w:rFonts w:hint="eastAsia" w:ascii="仿宋" w:hAnsi="仿宋" w:eastAsia="仿宋"/>
          <w:sz w:val="32"/>
          <w:szCs w:val="32"/>
        </w:rPr>
        <w:t>20年度相比，一般公共预算财政拨款支出增加61.78万元，增长4.5</w:t>
      </w:r>
      <w:r>
        <w:rPr>
          <w:rFonts w:ascii="仿宋" w:hAnsi="仿宋" w:eastAsia="仿宋"/>
          <w:sz w:val="32"/>
          <w:szCs w:val="32"/>
        </w:rPr>
        <w:t>%</w:t>
      </w:r>
      <w:r>
        <w:rPr>
          <w:rFonts w:hint="eastAsia" w:ascii="仿宋" w:hAnsi="仿宋" w:eastAsia="仿宋"/>
          <w:sz w:val="32"/>
          <w:szCs w:val="32"/>
        </w:rPr>
        <w:t>。主要变动原因是人员变动及工资调标导致人员经费增加。</w:t>
      </w:r>
    </w:p>
    <w:p>
      <w:pPr>
        <w:pStyle w:val="2"/>
        <w:spacing w:before="93"/>
        <w:rPr>
          <w:rFonts w:ascii="仿宋" w:hAnsi="仿宋" w:eastAsia="仿宋"/>
          <w:sz w:val="32"/>
          <w:szCs w:val="32"/>
        </w:rPr>
      </w:pPr>
      <w:r>
        <w:drawing>
          <wp:inline distT="0" distB="0" distL="114300" distR="114300">
            <wp:extent cx="5257800" cy="2305050"/>
            <wp:effectExtent l="4445" t="4445" r="14605" b="14605"/>
            <wp:docPr id="6"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spacing w:line="600" w:lineRule="exact"/>
        <w:ind w:firstLine="640" w:firstLineChars="200"/>
        <w:rPr>
          <w:rFonts w:hint="eastAsia" w:ascii="仿宋" w:hAnsi="仿宋" w:eastAsia="仿宋"/>
          <w:color w:val="auto"/>
          <w:sz w:val="32"/>
          <w:szCs w:val="32"/>
          <w:highlight w:val="none"/>
          <w:lang w:eastAsia="zh-CN"/>
        </w:rPr>
      </w:pPr>
      <w:r>
        <w:rPr>
          <w:rFonts w:hint="eastAsia" w:ascii="仿宋" w:hAnsi="仿宋" w:eastAsia="仿宋"/>
          <w:color w:val="auto"/>
          <w:sz w:val="32"/>
          <w:szCs w:val="32"/>
          <w:lang w:eastAsia="zh-CN"/>
        </w:rPr>
        <w:t>（</w:t>
      </w:r>
      <w:r>
        <w:rPr>
          <w:rFonts w:hint="eastAsia" w:ascii="仿宋" w:hAnsi="仿宋" w:eastAsia="仿宋"/>
          <w:color w:val="auto"/>
          <w:sz w:val="32"/>
          <w:szCs w:val="32"/>
        </w:rPr>
        <w:t>图5：一般公共预算财政拨款支出决算变动情况</w:t>
      </w:r>
      <w:r>
        <w:rPr>
          <w:rFonts w:hint="eastAsia" w:ascii="仿宋" w:hAnsi="仿宋" w:eastAsia="仿宋"/>
          <w:color w:val="auto"/>
          <w:sz w:val="32"/>
          <w:szCs w:val="32"/>
          <w:lang w:val="en-US" w:eastAsia="zh-CN"/>
        </w:rPr>
        <w:t xml:space="preserve"> </w:t>
      </w:r>
      <w:r>
        <w:rPr>
          <w:rFonts w:hint="eastAsia" w:ascii="仿宋" w:hAnsi="仿宋" w:eastAsia="仿宋"/>
          <w:color w:val="auto"/>
          <w:sz w:val="32"/>
          <w:szCs w:val="32"/>
          <w:highlight w:val="none"/>
          <w:lang w:eastAsia="zh-CN"/>
        </w:rPr>
        <w:t>单位：万元）</w:t>
      </w:r>
    </w:p>
    <w:p>
      <w:pPr>
        <w:spacing w:line="600" w:lineRule="exact"/>
        <w:ind w:firstLine="643" w:firstLineChars="200"/>
        <w:outlineLvl w:val="2"/>
        <w:rPr>
          <w:rFonts w:ascii="仿宋" w:hAnsi="仿宋" w:eastAsia="仿宋"/>
          <w:b/>
          <w:sz w:val="32"/>
          <w:szCs w:val="32"/>
        </w:rPr>
      </w:pPr>
      <w:bookmarkStart w:id="35" w:name="_Toc15377211"/>
      <w:r>
        <w:rPr>
          <w:rFonts w:hint="eastAsia" w:ascii="仿宋" w:hAnsi="仿宋" w:eastAsia="仿宋"/>
          <w:b/>
          <w:sz w:val="32"/>
          <w:szCs w:val="32"/>
        </w:rPr>
        <w:t>（二）一般公共预算财政拨款支出决算结构情况</w:t>
      </w:r>
      <w:bookmarkEnd w:id="35"/>
    </w:p>
    <w:p>
      <w:pPr>
        <w:spacing w:line="600" w:lineRule="exact"/>
        <w:ind w:firstLine="64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21年度一般公共预算财政拨款支出1437.93万元，主要用于以下方面</w:t>
      </w:r>
      <w:r>
        <w:rPr>
          <w:rFonts w:ascii="仿宋" w:hAnsi="仿宋" w:eastAsia="仿宋"/>
          <w:sz w:val="32"/>
          <w:szCs w:val="32"/>
        </w:rPr>
        <w:t>:</w:t>
      </w:r>
      <w:r>
        <w:rPr>
          <w:rFonts w:hint="eastAsia" w:ascii="仿宋" w:hAnsi="仿宋" w:eastAsia="仿宋"/>
          <w:b/>
          <w:sz w:val="32"/>
          <w:szCs w:val="32"/>
        </w:rPr>
        <w:t>公共安全（类）</w:t>
      </w:r>
      <w:r>
        <w:rPr>
          <w:rFonts w:hint="eastAsia" w:ascii="仿宋" w:hAnsi="仿宋" w:eastAsia="仿宋"/>
          <w:sz w:val="32"/>
          <w:szCs w:val="32"/>
        </w:rPr>
        <w:t>支出1231.82万元，占85.7</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sz w:val="32"/>
          <w:szCs w:val="32"/>
        </w:rPr>
        <w:t>社会保障和就业（类）</w:t>
      </w:r>
      <w:r>
        <w:rPr>
          <w:rFonts w:hint="eastAsia" w:ascii="仿宋" w:hAnsi="仿宋" w:eastAsia="仿宋"/>
          <w:sz w:val="32"/>
          <w:szCs w:val="32"/>
        </w:rPr>
        <w:t>支出72.77万元，占5.1</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bCs/>
          <w:sz w:val="32"/>
          <w:szCs w:val="32"/>
        </w:rPr>
        <w:t>卫生健康</w:t>
      </w:r>
      <w:r>
        <w:rPr>
          <w:rFonts w:hint="eastAsia" w:ascii="仿宋" w:hAnsi="仿宋" w:eastAsia="仿宋"/>
          <w:b/>
          <w:sz w:val="32"/>
          <w:szCs w:val="32"/>
        </w:rPr>
        <w:t>（类）</w:t>
      </w:r>
      <w:r>
        <w:rPr>
          <w:rFonts w:hint="eastAsia" w:ascii="仿宋" w:hAnsi="仿宋" w:eastAsia="仿宋"/>
          <w:sz w:val="32"/>
          <w:szCs w:val="32"/>
        </w:rPr>
        <w:t>支出44.96万元，占3.1</w:t>
      </w:r>
      <w:r>
        <w:rPr>
          <w:rFonts w:ascii="仿宋" w:hAnsi="仿宋" w:eastAsia="仿宋"/>
          <w:sz w:val="32"/>
          <w:szCs w:val="32"/>
        </w:rPr>
        <w:t>%</w:t>
      </w:r>
      <w:r>
        <w:rPr>
          <w:rFonts w:hint="eastAsia" w:ascii="仿宋" w:hAnsi="仿宋" w:eastAsia="仿宋"/>
          <w:sz w:val="32"/>
          <w:szCs w:val="32"/>
        </w:rPr>
        <w:t>；</w:t>
      </w:r>
      <w:r>
        <w:rPr>
          <w:rFonts w:hint="eastAsia" w:ascii="仿宋" w:hAnsi="仿宋" w:eastAsia="仿宋"/>
          <w:b/>
          <w:bCs/>
          <w:sz w:val="32"/>
          <w:szCs w:val="32"/>
        </w:rPr>
        <w:t>住房保障</w:t>
      </w:r>
      <w:r>
        <w:rPr>
          <w:rFonts w:hint="eastAsia" w:ascii="仿宋" w:hAnsi="仿宋" w:eastAsia="仿宋"/>
          <w:b/>
          <w:sz w:val="32"/>
          <w:szCs w:val="32"/>
        </w:rPr>
        <w:t>（类）</w:t>
      </w:r>
      <w:r>
        <w:rPr>
          <w:rFonts w:hint="eastAsia" w:ascii="仿宋" w:hAnsi="仿宋" w:eastAsia="仿宋"/>
          <w:sz w:val="32"/>
          <w:szCs w:val="32"/>
        </w:rPr>
        <w:t>支出88.38万元，占6.1</w:t>
      </w:r>
      <w:r>
        <w:rPr>
          <w:rFonts w:ascii="仿宋" w:hAnsi="仿宋" w:eastAsia="仿宋"/>
          <w:sz w:val="32"/>
          <w:szCs w:val="32"/>
        </w:rPr>
        <w:t>%</w:t>
      </w:r>
      <w:r>
        <w:rPr>
          <w:rFonts w:hint="eastAsia" w:ascii="仿宋" w:hAnsi="仿宋" w:eastAsia="仿宋"/>
          <w:sz w:val="32"/>
          <w:szCs w:val="32"/>
        </w:rPr>
        <w:t>。</w:t>
      </w:r>
    </w:p>
    <w:p>
      <w:pPr>
        <w:pStyle w:val="2"/>
        <w:spacing w:before="93"/>
        <w:rPr>
          <w:rFonts w:ascii="仿宋" w:hAnsi="仿宋" w:eastAsia="仿宋"/>
          <w:sz w:val="32"/>
          <w:szCs w:val="32"/>
        </w:rPr>
      </w:pPr>
      <w:r>
        <w:drawing>
          <wp:inline distT="0" distB="0" distL="114300" distR="114300">
            <wp:extent cx="4572000" cy="2743200"/>
            <wp:effectExtent l="4445" t="4445" r="14605" b="14605"/>
            <wp:docPr id="10"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spacing w:line="600" w:lineRule="exact"/>
        <w:ind w:firstLine="640" w:firstLineChars="200"/>
        <w:rPr>
          <w:rFonts w:ascii="仿宋" w:hAnsi="仿宋" w:eastAsia="仿宋"/>
          <w:color w:val="auto"/>
          <w:sz w:val="32"/>
          <w:szCs w:val="32"/>
          <w:highlight w:val="red"/>
        </w:rPr>
      </w:pPr>
      <w:r>
        <w:rPr>
          <w:rFonts w:hint="eastAsia" w:ascii="仿宋" w:hAnsi="仿宋" w:eastAsia="仿宋"/>
          <w:color w:val="auto"/>
          <w:sz w:val="32"/>
          <w:szCs w:val="32"/>
        </w:rPr>
        <w:t>（图6：一般公共预算财政拨款支出决算结构</w:t>
      </w:r>
      <w:r>
        <w:rPr>
          <w:rFonts w:hint="eastAsia" w:ascii="仿宋" w:hAnsi="仿宋" w:eastAsia="仿宋"/>
          <w:color w:val="auto"/>
          <w:sz w:val="32"/>
          <w:szCs w:val="32"/>
          <w:highlight w:val="none"/>
        </w:rPr>
        <w:t>）</w:t>
      </w:r>
    </w:p>
    <w:p>
      <w:pPr>
        <w:spacing w:line="600" w:lineRule="exact"/>
        <w:ind w:firstLine="643" w:firstLineChars="200"/>
        <w:outlineLvl w:val="2"/>
        <w:rPr>
          <w:rFonts w:ascii="仿宋" w:hAnsi="仿宋" w:eastAsia="仿宋"/>
          <w:b/>
          <w:sz w:val="32"/>
          <w:szCs w:val="32"/>
        </w:rPr>
      </w:pPr>
      <w:bookmarkStart w:id="36" w:name="_Toc15377212"/>
      <w:r>
        <w:rPr>
          <w:rFonts w:hint="eastAsia" w:ascii="仿宋" w:hAnsi="仿宋" w:eastAsia="仿宋"/>
          <w:b/>
          <w:sz w:val="32"/>
          <w:szCs w:val="32"/>
        </w:rPr>
        <w:t>（三）一般公共预算财政拨款支出决算具体情况</w:t>
      </w:r>
      <w:bookmarkEnd w:id="36"/>
    </w:p>
    <w:p>
      <w:pPr>
        <w:spacing w:line="600" w:lineRule="exact"/>
        <w:ind w:firstLine="643" w:firstLineChars="200"/>
        <w:outlineLvl w:val="2"/>
        <w:rPr>
          <w:rFonts w:ascii="仿宋" w:hAnsi="仿宋" w:eastAsia="仿宋"/>
          <w:sz w:val="32"/>
          <w:szCs w:val="32"/>
        </w:rPr>
      </w:pPr>
      <w:bookmarkStart w:id="37" w:name="_Toc15377444"/>
      <w:bookmarkStart w:id="38" w:name="_Toc15377213"/>
      <w:bookmarkStart w:id="39" w:name="_Toc15378460"/>
      <w:r>
        <w:rPr>
          <w:rFonts w:hint="eastAsia" w:ascii="仿宋" w:hAnsi="仿宋" w:eastAsia="仿宋"/>
          <w:b/>
          <w:sz w:val="32"/>
          <w:szCs w:val="32"/>
        </w:rPr>
        <w:t>2021年度一般公共预算支出决算数为1437.93</w:t>
      </w:r>
      <w:r>
        <w:rPr>
          <w:rFonts w:hint="eastAsia" w:ascii="仿宋" w:hAnsi="仿宋" w:eastAsia="仿宋"/>
          <w:b/>
          <w:sz w:val="32"/>
          <w:szCs w:val="32"/>
          <w:highlight w:val="none"/>
          <w:lang w:eastAsia="zh-CN"/>
        </w:rPr>
        <w:t>万元</w:t>
      </w:r>
      <w:r>
        <w:rPr>
          <w:rFonts w:hint="eastAsia" w:ascii="仿宋" w:hAnsi="仿宋" w:eastAsia="仿宋"/>
          <w:sz w:val="32"/>
          <w:szCs w:val="32"/>
        </w:rPr>
        <w:t>，</w:t>
      </w:r>
      <w:r>
        <w:rPr>
          <w:rStyle w:val="16"/>
          <w:rFonts w:hint="eastAsia" w:ascii="仿宋" w:hAnsi="仿宋" w:eastAsia="仿宋"/>
          <w:bCs/>
          <w:sz w:val="32"/>
          <w:szCs w:val="32"/>
        </w:rPr>
        <w:t>完成预算100</w:t>
      </w:r>
      <w:r>
        <w:rPr>
          <w:rStyle w:val="16"/>
          <w:rFonts w:ascii="仿宋" w:hAnsi="仿宋" w:eastAsia="仿宋"/>
          <w:bCs/>
          <w:sz w:val="32"/>
          <w:szCs w:val="32"/>
        </w:rPr>
        <w:t>%</w:t>
      </w:r>
      <w:r>
        <w:rPr>
          <w:rStyle w:val="16"/>
          <w:rFonts w:hint="eastAsia" w:ascii="仿宋" w:hAnsi="仿宋" w:eastAsia="仿宋"/>
          <w:bCs/>
          <w:sz w:val="32"/>
          <w:szCs w:val="32"/>
        </w:rPr>
        <w:t>。其中：</w:t>
      </w:r>
      <w:bookmarkEnd w:id="37"/>
      <w:bookmarkEnd w:id="38"/>
      <w:bookmarkEnd w:id="39"/>
    </w:p>
    <w:p>
      <w:pPr>
        <w:numPr>
          <w:ilvl w:val="0"/>
          <w:numId w:val="0"/>
        </w:numPr>
        <w:spacing w:line="600" w:lineRule="exact"/>
        <w:ind w:firstLine="643" w:firstLineChars="200"/>
        <w:rPr>
          <w:rStyle w:val="16"/>
          <w:rFonts w:hint="eastAsia" w:ascii="仿宋" w:hAnsi="仿宋" w:eastAsia="仿宋"/>
          <w:b w:val="0"/>
          <w:bCs/>
          <w:color w:val="auto"/>
          <w:sz w:val="32"/>
          <w:szCs w:val="32"/>
        </w:rPr>
      </w:pPr>
      <w:r>
        <w:rPr>
          <w:rFonts w:hint="eastAsia" w:ascii="仿宋" w:hAnsi="仿宋" w:eastAsia="仿宋"/>
          <w:b/>
          <w:color w:val="auto"/>
          <w:sz w:val="32"/>
          <w:szCs w:val="32"/>
          <w:lang w:val="en-US" w:eastAsia="zh-CN"/>
        </w:rPr>
        <w:t>1．</w:t>
      </w:r>
      <w:r>
        <w:rPr>
          <w:rFonts w:hint="eastAsia" w:ascii="仿宋" w:hAnsi="仿宋" w:eastAsia="仿宋"/>
          <w:b/>
          <w:color w:val="auto"/>
          <w:sz w:val="32"/>
          <w:szCs w:val="32"/>
        </w:rPr>
        <w:t>公共安全</w:t>
      </w:r>
      <w:r>
        <w:rPr>
          <w:rStyle w:val="16"/>
          <w:rFonts w:hint="eastAsia" w:ascii="仿宋" w:hAnsi="仿宋" w:eastAsia="仿宋"/>
          <w:bCs/>
          <w:color w:val="auto"/>
          <w:sz w:val="32"/>
          <w:szCs w:val="32"/>
        </w:rPr>
        <w:t>（类）司法（款）行政运行（项）</w:t>
      </w:r>
      <w:r>
        <w:rPr>
          <w:rStyle w:val="16"/>
          <w:rFonts w:ascii="仿宋" w:hAnsi="仿宋" w:eastAsia="仿宋"/>
          <w:bCs/>
          <w:color w:val="auto"/>
          <w:sz w:val="32"/>
          <w:szCs w:val="32"/>
        </w:rPr>
        <w:t>:</w:t>
      </w:r>
      <w:r>
        <w:rPr>
          <w:rStyle w:val="16"/>
          <w:rFonts w:ascii="仿宋" w:hAnsi="仿宋" w:eastAsia="仿宋"/>
          <w:b w:val="0"/>
          <w:bCs/>
          <w:color w:val="auto"/>
          <w:sz w:val="32"/>
          <w:szCs w:val="32"/>
        </w:rPr>
        <w:t xml:space="preserve"> </w:t>
      </w:r>
      <w:r>
        <w:rPr>
          <w:rStyle w:val="16"/>
          <w:rFonts w:hint="eastAsia" w:ascii="仿宋" w:hAnsi="仿宋" w:eastAsia="仿宋"/>
          <w:b w:val="0"/>
          <w:bCs/>
          <w:color w:val="auto"/>
          <w:sz w:val="32"/>
          <w:szCs w:val="32"/>
        </w:rPr>
        <w:t>支出决算为</w:t>
      </w:r>
      <w:r>
        <w:rPr>
          <w:rStyle w:val="16"/>
          <w:rFonts w:hint="eastAsia" w:ascii="仿宋" w:hAnsi="仿宋" w:eastAsia="仿宋"/>
          <w:b w:val="0"/>
          <w:bCs/>
          <w:color w:val="auto"/>
          <w:sz w:val="32"/>
          <w:szCs w:val="32"/>
          <w:lang w:val="en-US" w:eastAsia="zh-CN"/>
        </w:rPr>
        <w:t>956.47</w:t>
      </w:r>
      <w:r>
        <w:rPr>
          <w:rStyle w:val="16"/>
          <w:rFonts w:hint="eastAsia" w:ascii="仿宋" w:hAnsi="仿宋" w:eastAsia="仿宋"/>
          <w:b w:val="0"/>
          <w:bCs/>
          <w:color w:val="auto"/>
          <w:sz w:val="32"/>
          <w:szCs w:val="32"/>
        </w:rPr>
        <w:t>万元，完成预算100</w:t>
      </w:r>
      <w:r>
        <w:rPr>
          <w:rStyle w:val="16"/>
          <w:rFonts w:ascii="仿宋" w:hAnsi="仿宋" w:eastAsia="仿宋"/>
          <w:b w:val="0"/>
          <w:bCs/>
          <w:color w:val="auto"/>
          <w:sz w:val="32"/>
          <w:szCs w:val="32"/>
        </w:rPr>
        <w:t>%</w:t>
      </w:r>
      <w:r>
        <w:rPr>
          <w:rStyle w:val="16"/>
          <w:rFonts w:hint="eastAsia" w:ascii="仿宋" w:hAnsi="仿宋" w:eastAsia="仿宋"/>
          <w:b w:val="0"/>
          <w:bCs/>
          <w:color w:val="auto"/>
          <w:sz w:val="32"/>
          <w:szCs w:val="32"/>
        </w:rPr>
        <w:t>。</w:t>
      </w:r>
    </w:p>
    <w:p>
      <w:pPr>
        <w:numPr>
          <w:ilvl w:val="0"/>
          <w:numId w:val="0"/>
        </w:numPr>
        <w:spacing w:line="600" w:lineRule="exact"/>
        <w:rPr>
          <w:rStyle w:val="16"/>
          <w:rFonts w:hint="eastAsia" w:ascii="仿宋" w:hAnsi="仿宋" w:eastAsia="仿宋"/>
          <w:b w:val="0"/>
          <w:bCs/>
          <w:color w:val="auto"/>
          <w:sz w:val="32"/>
          <w:szCs w:val="32"/>
        </w:rPr>
      </w:pPr>
      <w:r>
        <w:rPr>
          <w:rFonts w:hint="eastAsia" w:ascii="仿宋" w:hAnsi="仿宋" w:eastAsia="仿宋"/>
          <w:b/>
          <w:color w:val="auto"/>
          <w:sz w:val="32"/>
          <w:szCs w:val="32"/>
          <w:lang w:eastAsia="zh-CN"/>
        </w:rPr>
        <w:t>　　２．</w:t>
      </w:r>
      <w:r>
        <w:rPr>
          <w:rFonts w:hint="eastAsia" w:ascii="仿宋" w:hAnsi="仿宋" w:eastAsia="仿宋"/>
          <w:b/>
          <w:color w:val="auto"/>
          <w:sz w:val="32"/>
          <w:szCs w:val="32"/>
        </w:rPr>
        <w:t>公共安全</w:t>
      </w:r>
      <w:r>
        <w:rPr>
          <w:rStyle w:val="16"/>
          <w:rFonts w:hint="eastAsia" w:ascii="仿宋" w:hAnsi="仿宋" w:eastAsia="仿宋"/>
          <w:bCs/>
          <w:color w:val="auto"/>
          <w:sz w:val="32"/>
          <w:szCs w:val="32"/>
        </w:rPr>
        <w:t>（类）司法（款）</w:t>
      </w:r>
      <w:r>
        <w:rPr>
          <w:rStyle w:val="16"/>
          <w:rFonts w:hint="eastAsia" w:ascii="仿宋" w:hAnsi="仿宋" w:eastAsia="仿宋"/>
          <w:bCs/>
          <w:color w:val="auto"/>
          <w:sz w:val="32"/>
          <w:szCs w:val="32"/>
          <w:lang w:val="en-US" w:eastAsia="zh-CN"/>
        </w:rPr>
        <w:t>普法宣传</w:t>
      </w:r>
      <w:r>
        <w:rPr>
          <w:rStyle w:val="16"/>
          <w:rFonts w:hint="eastAsia" w:ascii="仿宋" w:hAnsi="仿宋" w:eastAsia="仿宋"/>
          <w:bCs/>
          <w:color w:val="auto"/>
          <w:sz w:val="32"/>
          <w:szCs w:val="32"/>
        </w:rPr>
        <w:t>（项）</w:t>
      </w:r>
      <w:r>
        <w:rPr>
          <w:rStyle w:val="16"/>
          <w:rFonts w:ascii="仿宋" w:hAnsi="仿宋" w:eastAsia="仿宋"/>
          <w:bCs/>
          <w:color w:val="auto"/>
          <w:sz w:val="32"/>
          <w:szCs w:val="32"/>
        </w:rPr>
        <w:t>:</w:t>
      </w:r>
      <w:r>
        <w:rPr>
          <w:rStyle w:val="16"/>
          <w:rFonts w:ascii="仿宋" w:hAnsi="仿宋" w:eastAsia="仿宋"/>
          <w:b w:val="0"/>
          <w:bCs/>
          <w:color w:val="auto"/>
          <w:sz w:val="32"/>
          <w:szCs w:val="32"/>
        </w:rPr>
        <w:t xml:space="preserve"> </w:t>
      </w:r>
      <w:r>
        <w:rPr>
          <w:rStyle w:val="16"/>
          <w:rFonts w:hint="eastAsia" w:ascii="仿宋" w:hAnsi="仿宋" w:eastAsia="仿宋"/>
          <w:b w:val="0"/>
          <w:bCs/>
          <w:color w:val="auto"/>
          <w:sz w:val="32"/>
          <w:szCs w:val="32"/>
        </w:rPr>
        <w:t>支出决算为</w:t>
      </w:r>
      <w:r>
        <w:rPr>
          <w:rStyle w:val="16"/>
          <w:rFonts w:hint="eastAsia" w:ascii="仿宋" w:hAnsi="仿宋" w:eastAsia="仿宋"/>
          <w:b w:val="0"/>
          <w:bCs/>
          <w:color w:val="auto"/>
          <w:sz w:val="32"/>
          <w:szCs w:val="32"/>
          <w:lang w:val="en-US" w:eastAsia="zh-CN"/>
        </w:rPr>
        <w:t>22</w:t>
      </w:r>
      <w:r>
        <w:rPr>
          <w:rStyle w:val="16"/>
          <w:rFonts w:hint="eastAsia" w:ascii="仿宋" w:hAnsi="仿宋" w:eastAsia="仿宋"/>
          <w:b w:val="0"/>
          <w:bCs/>
          <w:color w:val="auto"/>
          <w:sz w:val="32"/>
          <w:szCs w:val="32"/>
        </w:rPr>
        <w:t>万元，完成预算100</w:t>
      </w:r>
      <w:r>
        <w:rPr>
          <w:rStyle w:val="16"/>
          <w:rFonts w:ascii="仿宋" w:hAnsi="仿宋" w:eastAsia="仿宋"/>
          <w:b w:val="0"/>
          <w:bCs/>
          <w:color w:val="auto"/>
          <w:sz w:val="32"/>
          <w:szCs w:val="32"/>
        </w:rPr>
        <w:t>%</w:t>
      </w:r>
      <w:r>
        <w:rPr>
          <w:rStyle w:val="16"/>
          <w:rFonts w:hint="eastAsia" w:ascii="仿宋" w:hAnsi="仿宋" w:eastAsia="仿宋"/>
          <w:b w:val="0"/>
          <w:bCs/>
          <w:color w:val="auto"/>
          <w:sz w:val="32"/>
          <w:szCs w:val="32"/>
        </w:rPr>
        <w:t>。</w:t>
      </w:r>
    </w:p>
    <w:p>
      <w:pPr>
        <w:numPr>
          <w:ilvl w:val="0"/>
          <w:numId w:val="0"/>
        </w:numPr>
        <w:spacing w:line="600" w:lineRule="exact"/>
        <w:rPr>
          <w:rStyle w:val="16"/>
          <w:rFonts w:hint="eastAsia" w:ascii="仿宋" w:hAnsi="仿宋" w:eastAsia="仿宋"/>
          <w:b w:val="0"/>
          <w:bCs/>
          <w:color w:val="auto"/>
          <w:sz w:val="32"/>
          <w:szCs w:val="32"/>
        </w:rPr>
      </w:pPr>
      <w:r>
        <w:rPr>
          <w:rFonts w:hint="eastAsia" w:ascii="仿宋" w:hAnsi="仿宋" w:eastAsia="仿宋"/>
          <w:b/>
          <w:color w:val="auto"/>
          <w:sz w:val="32"/>
          <w:szCs w:val="32"/>
          <w:lang w:eastAsia="zh-CN"/>
        </w:rPr>
        <w:t>　　３．</w:t>
      </w:r>
      <w:r>
        <w:rPr>
          <w:rFonts w:hint="eastAsia" w:ascii="仿宋" w:hAnsi="仿宋" w:eastAsia="仿宋"/>
          <w:b/>
          <w:color w:val="auto"/>
          <w:sz w:val="32"/>
          <w:szCs w:val="32"/>
        </w:rPr>
        <w:t>公共安全</w:t>
      </w:r>
      <w:r>
        <w:rPr>
          <w:rStyle w:val="16"/>
          <w:rFonts w:hint="eastAsia" w:ascii="仿宋" w:hAnsi="仿宋" w:eastAsia="仿宋"/>
          <w:bCs/>
          <w:color w:val="auto"/>
          <w:sz w:val="32"/>
          <w:szCs w:val="32"/>
        </w:rPr>
        <w:t>（类）司法（款）</w:t>
      </w:r>
      <w:r>
        <w:rPr>
          <w:rStyle w:val="16"/>
          <w:rFonts w:hint="eastAsia" w:ascii="仿宋" w:hAnsi="仿宋" w:eastAsia="仿宋"/>
          <w:bCs/>
          <w:color w:val="auto"/>
          <w:sz w:val="32"/>
          <w:szCs w:val="32"/>
          <w:lang w:val="en-US" w:eastAsia="zh-CN"/>
        </w:rPr>
        <w:t>公共法律服务</w:t>
      </w:r>
      <w:r>
        <w:rPr>
          <w:rStyle w:val="16"/>
          <w:rFonts w:hint="eastAsia" w:ascii="仿宋" w:hAnsi="仿宋" w:eastAsia="仿宋"/>
          <w:bCs/>
          <w:color w:val="auto"/>
          <w:sz w:val="32"/>
          <w:szCs w:val="32"/>
        </w:rPr>
        <w:t>（项）</w:t>
      </w:r>
      <w:r>
        <w:rPr>
          <w:rStyle w:val="16"/>
          <w:rFonts w:ascii="仿宋" w:hAnsi="仿宋" w:eastAsia="仿宋"/>
          <w:bCs/>
          <w:color w:val="auto"/>
          <w:sz w:val="32"/>
          <w:szCs w:val="32"/>
        </w:rPr>
        <w:t>:</w:t>
      </w:r>
      <w:r>
        <w:rPr>
          <w:rStyle w:val="16"/>
          <w:rFonts w:ascii="仿宋" w:hAnsi="仿宋" w:eastAsia="仿宋"/>
          <w:b w:val="0"/>
          <w:bCs/>
          <w:color w:val="auto"/>
          <w:sz w:val="32"/>
          <w:szCs w:val="32"/>
        </w:rPr>
        <w:t xml:space="preserve"> </w:t>
      </w:r>
      <w:r>
        <w:rPr>
          <w:rStyle w:val="16"/>
          <w:rFonts w:hint="eastAsia" w:ascii="仿宋" w:hAnsi="仿宋" w:eastAsia="仿宋"/>
          <w:b w:val="0"/>
          <w:bCs/>
          <w:color w:val="auto"/>
          <w:sz w:val="32"/>
          <w:szCs w:val="32"/>
        </w:rPr>
        <w:t>支出决算为</w:t>
      </w:r>
      <w:r>
        <w:rPr>
          <w:rStyle w:val="16"/>
          <w:rFonts w:hint="eastAsia" w:ascii="仿宋" w:hAnsi="仿宋" w:eastAsia="仿宋"/>
          <w:b w:val="0"/>
          <w:bCs/>
          <w:color w:val="auto"/>
          <w:sz w:val="32"/>
          <w:szCs w:val="32"/>
          <w:lang w:val="en-US" w:eastAsia="zh-CN"/>
        </w:rPr>
        <w:t>53.63</w:t>
      </w:r>
      <w:r>
        <w:rPr>
          <w:rStyle w:val="16"/>
          <w:rFonts w:hint="eastAsia" w:ascii="仿宋" w:hAnsi="仿宋" w:eastAsia="仿宋"/>
          <w:b w:val="0"/>
          <w:bCs/>
          <w:color w:val="auto"/>
          <w:sz w:val="32"/>
          <w:szCs w:val="32"/>
        </w:rPr>
        <w:t>万元，完成预算100</w:t>
      </w:r>
      <w:r>
        <w:rPr>
          <w:rStyle w:val="16"/>
          <w:rFonts w:ascii="仿宋" w:hAnsi="仿宋" w:eastAsia="仿宋"/>
          <w:b w:val="0"/>
          <w:bCs/>
          <w:color w:val="auto"/>
          <w:sz w:val="32"/>
          <w:szCs w:val="32"/>
        </w:rPr>
        <w:t>%</w:t>
      </w:r>
      <w:r>
        <w:rPr>
          <w:rStyle w:val="16"/>
          <w:rFonts w:hint="eastAsia" w:ascii="仿宋" w:hAnsi="仿宋" w:eastAsia="仿宋"/>
          <w:b w:val="0"/>
          <w:bCs/>
          <w:color w:val="auto"/>
          <w:sz w:val="32"/>
          <w:szCs w:val="32"/>
        </w:rPr>
        <w:t>。</w:t>
      </w:r>
    </w:p>
    <w:p>
      <w:pPr>
        <w:numPr>
          <w:ilvl w:val="0"/>
          <w:numId w:val="0"/>
        </w:numPr>
        <w:spacing w:line="600" w:lineRule="exact"/>
        <w:rPr>
          <w:rStyle w:val="16"/>
          <w:rFonts w:hint="eastAsia" w:ascii="仿宋" w:hAnsi="仿宋" w:eastAsia="仿宋"/>
          <w:b w:val="0"/>
          <w:bCs/>
          <w:color w:val="auto"/>
          <w:sz w:val="32"/>
          <w:szCs w:val="32"/>
        </w:rPr>
      </w:pPr>
      <w:r>
        <w:rPr>
          <w:rFonts w:hint="eastAsia" w:ascii="仿宋" w:hAnsi="仿宋" w:eastAsia="仿宋"/>
          <w:b/>
          <w:color w:val="auto"/>
          <w:sz w:val="32"/>
          <w:szCs w:val="32"/>
          <w:lang w:eastAsia="zh-CN"/>
        </w:rPr>
        <w:t>　　４．</w:t>
      </w:r>
      <w:r>
        <w:rPr>
          <w:rFonts w:hint="eastAsia" w:ascii="仿宋" w:hAnsi="仿宋" w:eastAsia="仿宋"/>
          <w:b/>
          <w:color w:val="auto"/>
          <w:sz w:val="32"/>
          <w:szCs w:val="32"/>
        </w:rPr>
        <w:t>公共安全</w:t>
      </w:r>
      <w:r>
        <w:rPr>
          <w:rStyle w:val="16"/>
          <w:rFonts w:hint="eastAsia" w:ascii="仿宋" w:hAnsi="仿宋" w:eastAsia="仿宋"/>
          <w:bCs/>
          <w:color w:val="auto"/>
          <w:sz w:val="32"/>
          <w:szCs w:val="32"/>
        </w:rPr>
        <w:t>（类）司法（款）</w:t>
      </w:r>
      <w:r>
        <w:rPr>
          <w:rStyle w:val="16"/>
          <w:rFonts w:hint="eastAsia" w:ascii="仿宋" w:hAnsi="仿宋" w:eastAsia="仿宋"/>
          <w:bCs/>
          <w:color w:val="auto"/>
          <w:sz w:val="32"/>
          <w:szCs w:val="32"/>
          <w:lang w:val="en-US" w:eastAsia="zh-CN"/>
        </w:rPr>
        <w:t>社区矫正</w:t>
      </w:r>
      <w:r>
        <w:rPr>
          <w:rStyle w:val="16"/>
          <w:rFonts w:hint="eastAsia" w:ascii="仿宋" w:hAnsi="仿宋" w:eastAsia="仿宋"/>
          <w:bCs/>
          <w:color w:val="auto"/>
          <w:sz w:val="32"/>
          <w:szCs w:val="32"/>
        </w:rPr>
        <w:t>（项）</w:t>
      </w:r>
      <w:r>
        <w:rPr>
          <w:rStyle w:val="16"/>
          <w:rFonts w:ascii="仿宋" w:hAnsi="仿宋" w:eastAsia="仿宋"/>
          <w:bCs/>
          <w:color w:val="auto"/>
          <w:sz w:val="32"/>
          <w:szCs w:val="32"/>
        </w:rPr>
        <w:t>:</w:t>
      </w:r>
      <w:r>
        <w:rPr>
          <w:rStyle w:val="16"/>
          <w:rFonts w:ascii="仿宋" w:hAnsi="仿宋" w:eastAsia="仿宋"/>
          <w:b w:val="0"/>
          <w:bCs/>
          <w:color w:val="auto"/>
          <w:sz w:val="32"/>
          <w:szCs w:val="32"/>
        </w:rPr>
        <w:t xml:space="preserve"> </w:t>
      </w:r>
      <w:r>
        <w:rPr>
          <w:rStyle w:val="16"/>
          <w:rFonts w:hint="eastAsia" w:ascii="仿宋" w:hAnsi="仿宋" w:eastAsia="仿宋"/>
          <w:b w:val="0"/>
          <w:bCs/>
          <w:color w:val="auto"/>
          <w:sz w:val="32"/>
          <w:szCs w:val="32"/>
        </w:rPr>
        <w:t>支出决算为</w:t>
      </w:r>
      <w:r>
        <w:rPr>
          <w:rStyle w:val="16"/>
          <w:rFonts w:hint="eastAsia" w:ascii="仿宋" w:hAnsi="仿宋" w:eastAsia="仿宋"/>
          <w:b w:val="0"/>
          <w:bCs/>
          <w:color w:val="auto"/>
          <w:sz w:val="32"/>
          <w:szCs w:val="32"/>
          <w:lang w:val="en-US" w:eastAsia="zh-CN"/>
        </w:rPr>
        <w:t>37</w:t>
      </w:r>
      <w:r>
        <w:rPr>
          <w:rStyle w:val="16"/>
          <w:rFonts w:hint="eastAsia" w:ascii="仿宋" w:hAnsi="仿宋" w:eastAsia="仿宋"/>
          <w:b w:val="0"/>
          <w:bCs/>
          <w:color w:val="auto"/>
          <w:sz w:val="32"/>
          <w:szCs w:val="32"/>
        </w:rPr>
        <w:t>万元，完成预算100</w:t>
      </w:r>
      <w:r>
        <w:rPr>
          <w:rStyle w:val="16"/>
          <w:rFonts w:ascii="仿宋" w:hAnsi="仿宋" w:eastAsia="仿宋"/>
          <w:b w:val="0"/>
          <w:bCs/>
          <w:color w:val="auto"/>
          <w:sz w:val="32"/>
          <w:szCs w:val="32"/>
        </w:rPr>
        <w:t>%</w:t>
      </w:r>
      <w:r>
        <w:rPr>
          <w:rStyle w:val="16"/>
          <w:rFonts w:hint="eastAsia" w:ascii="仿宋" w:hAnsi="仿宋" w:eastAsia="仿宋"/>
          <w:b w:val="0"/>
          <w:bCs/>
          <w:color w:val="auto"/>
          <w:sz w:val="32"/>
          <w:szCs w:val="32"/>
        </w:rPr>
        <w:t>。</w:t>
      </w:r>
    </w:p>
    <w:p>
      <w:pPr>
        <w:numPr>
          <w:ilvl w:val="0"/>
          <w:numId w:val="0"/>
        </w:numPr>
        <w:spacing w:line="600" w:lineRule="exact"/>
        <w:rPr>
          <w:rStyle w:val="16"/>
          <w:rFonts w:hint="eastAsia" w:ascii="仿宋" w:hAnsi="仿宋" w:eastAsia="仿宋"/>
          <w:b w:val="0"/>
          <w:bCs/>
          <w:color w:val="auto"/>
          <w:sz w:val="32"/>
          <w:szCs w:val="32"/>
        </w:rPr>
      </w:pPr>
      <w:r>
        <w:rPr>
          <w:rStyle w:val="16"/>
          <w:rFonts w:hint="eastAsia" w:ascii="仿宋" w:hAnsi="仿宋" w:eastAsia="仿宋"/>
          <w:bCs/>
          <w:sz w:val="32"/>
          <w:szCs w:val="32"/>
          <w:lang w:val="en-US" w:eastAsia="zh-CN"/>
        </w:rPr>
        <w:t>　　５．公共安全（类）司法（款）其他司法支出（项）: 支</w:t>
      </w:r>
      <w:r>
        <w:rPr>
          <w:rStyle w:val="16"/>
          <w:rFonts w:hint="eastAsia" w:ascii="仿宋" w:hAnsi="仿宋" w:eastAsia="仿宋"/>
          <w:b w:val="0"/>
          <w:bCs/>
          <w:color w:val="auto"/>
          <w:sz w:val="32"/>
          <w:szCs w:val="32"/>
        </w:rPr>
        <w:t>出决算为</w:t>
      </w:r>
      <w:r>
        <w:rPr>
          <w:rStyle w:val="16"/>
          <w:rFonts w:hint="eastAsia" w:ascii="仿宋" w:hAnsi="仿宋" w:eastAsia="仿宋"/>
          <w:b w:val="0"/>
          <w:bCs/>
          <w:color w:val="auto"/>
          <w:sz w:val="32"/>
          <w:szCs w:val="32"/>
          <w:lang w:val="en-US" w:eastAsia="zh-CN"/>
        </w:rPr>
        <w:t>162.72</w:t>
      </w:r>
      <w:r>
        <w:rPr>
          <w:rStyle w:val="16"/>
          <w:rFonts w:hint="eastAsia" w:ascii="仿宋" w:hAnsi="仿宋" w:eastAsia="仿宋"/>
          <w:b w:val="0"/>
          <w:bCs/>
          <w:color w:val="auto"/>
          <w:sz w:val="32"/>
          <w:szCs w:val="32"/>
        </w:rPr>
        <w:t>万元，完成预算100</w:t>
      </w:r>
      <w:r>
        <w:rPr>
          <w:rStyle w:val="16"/>
          <w:rFonts w:ascii="仿宋" w:hAnsi="仿宋" w:eastAsia="仿宋"/>
          <w:b w:val="0"/>
          <w:bCs/>
          <w:color w:val="auto"/>
          <w:sz w:val="32"/>
          <w:szCs w:val="32"/>
        </w:rPr>
        <w:t>%</w:t>
      </w:r>
      <w:r>
        <w:rPr>
          <w:rStyle w:val="16"/>
          <w:rFonts w:hint="eastAsia" w:ascii="仿宋" w:hAnsi="仿宋" w:eastAsia="仿宋"/>
          <w:b w:val="0"/>
          <w:bCs/>
          <w:color w:val="auto"/>
          <w:sz w:val="32"/>
          <w:szCs w:val="32"/>
        </w:rPr>
        <w:t>。</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lang w:val="en-US" w:eastAsia="zh-CN"/>
        </w:rPr>
        <w:t>6</w:t>
      </w:r>
      <w:r>
        <w:rPr>
          <w:rFonts w:hint="eastAsia" w:ascii="仿宋_GB2312" w:hAnsi="宋体" w:eastAsia="仿宋_GB2312"/>
          <w:sz w:val="32"/>
          <w:szCs w:val="32"/>
          <w:lang w:val="zh-CN"/>
        </w:rPr>
        <w:t>．</w:t>
      </w:r>
      <w:r>
        <w:rPr>
          <w:rStyle w:val="16"/>
          <w:rFonts w:hint="eastAsia" w:ascii="仿宋" w:hAnsi="仿宋" w:eastAsia="仿宋"/>
          <w:bCs/>
          <w:sz w:val="32"/>
          <w:szCs w:val="32"/>
        </w:rPr>
        <w:t>社会保障和就业（类）行政事业单位养老支出（款）机关事业单位基本养老保险缴费支出（项）</w:t>
      </w:r>
      <w:r>
        <w:rPr>
          <w:rStyle w:val="16"/>
          <w:rFonts w:ascii="仿宋" w:hAnsi="仿宋" w:eastAsia="仿宋"/>
          <w:bCs/>
          <w:sz w:val="32"/>
          <w:szCs w:val="32"/>
        </w:rPr>
        <w:t>:</w:t>
      </w:r>
      <w:r>
        <w:rPr>
          <w:rStyle w:val="16"/>
          <w:rFonts w:ascii="仿宋" w:hAnsi="仿宋" w:eastAsia="仿宋"/>
          <w:b w:val="0"/>
          <w:bCs/>
          <w:sz w:val="32"/>
          <w:szCs w:val="32"/>
        </w:rPr>
        <w:t xml:space="preserve"> </w:t>
      </w:r>
      <w:r>
        <w:rPr>
          <w:rStyle w:val="16"/>
          <w:rFonts w:hint="eastAsia" w:ascii="仿宋" w:hAnsi="仿宋" w:eastAsia="仿宋"/>
          <w:b w:val="0"/>
          <w:bCs/>
          <w:sz w:val="32"/>
          <w:szCs w:val="32"/>
        </w:rPr>
        <w:t>支出决算为72.77万元，完成预算100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lang w:val="en-US" w:eastAsia="zh-CN"/>
        </w:rPr>
        <w:t>7</w:t>
      </w:r>
      <w:r>
        <w:rPr>
          <w:rFonts w:hint="eastAsia" w:ascii="仿宋_GB2312" w:hAnsi="宋体" w:eastAsia="仿宋_GB2312"/>
          <w:sz w:val="32"/>
          <w:szCs w:val="32"/>
          <w:lang w:val="zh-CN"/>
        </w:rPr>
        <w:t>．</w:t>
      </w:r>
      <w:r>
        <w:rPr>
          <w:rFonts w:hint="eastAsia" w:ascii="仿宋" w:hAnsi="仿宋" w:eastAsia="仿宋"/>
          <w:b/>
          <w:bCs/>
          <w:sz w:val="32"/>
          <w:szCs w:val="32"/>
        </w:rPr>
        <w:t>卫生健康</w:t>
      </w:r>
      <w:r>
        <w:rPr>
          <w:rStyle w:val="16"/>
          <w:rFonts w:hint="eastAsia" w:ascii="仿宋" w:hAnsi="仿宋" w:eastAsia="仿宋"/>
          <w:bCs/>
          <w:sz w:val="32"/>
          <w:szCs w:val="32"/>
        </w:rPr>
        <w:t>（类）行政事业单位医疗（款）行政单位医疗（项）</w:t>
      </w:r>
      <w:r>
        <w:rPr>
          <w:rStyle w:val="16"/>
          <w:rFonts w:ascii="仿宋" w:hAnsi="仿宋" w:eastAsia="仿宋"/>
          <w:bCs/>
          <w:sz w:val="32"/>
          <w:szCs w:val="32"/>
        </w:rPr>
        <w:t>:</w:t>
      </w:r>
      <w:r>
        <w:rPr>
          <w:rStyle w:val="16"/>
          <w:rFonts w:hint="eastAsia" w:ascii="仿宋" w:hAnsi="仿宋" w:eastAsia="仿宋"/>
          <w:b w:val="0"/>
          <w:bCs/>
          <w:sz w:val="32"/>
          <w:szCs w:val="32"/>
        </w:rPr>
        <w:t>支出决算为44.96万元，完成预算100</w:t>
      </w:r>
      <w:r>
        <w:rPr>
          <w:rStyle w:val="16"/>
          <w:rFonts w:ascii="仿宋" w:hAnsi="仿宋" w:eastAsia="仿宋"/>
          <w:b w:val="0"/>
          <w:bCs/>
          <w:sz w:val="32"/>
          <w:szCs w:val="32"/>
        </w:rPr>
        <w:t>%</w:t>
      </w:r>
      <w:r>
        <w:rPr>
          <w:rStyle w:val="16"/>
          <w:rFonts w:hint="eastAsia" w:ascii="仿宋" w:hAnsi="仿宋" w:eastAsia="仿宋"/>
          <w:b w:val="0"/>
          <w:bCs/>
          <w:sz w:val="32"/>
          <w:szCs w:val="32"/>
        </w:rPr>
        <w:t>。</w:t>
      </w:r>
    </w:p>
    <w:p>
      <w:pPr>
        <w:spacing w:line="600" w:lineRule="exact"/>
        <w:ind w:firstLine="643" w:firstLineChars="200"/>
        <w:rPr>
          <w:rFonts w:ascii="仿宋" w:hAnsi="仿宋" w:eastAsia="仿宋"/>
          <w:b/>
          <w:sz w:val="32"/>
          <w:szCs w:val="32"/>
        </w:rPr>
      </w:pPr>
      <w:r>
        <w:rPr>
          <w:rStyle w:val="16"/>
          <w:rFonts w:hint="eastAsia" w:ascii="仿宋" w:hAnsi="仿宋" w:eastAsia="仿宋"/>
          <w:bCs/>
          <w:sz w:val="32"/>
          <w:szCs w:val="32"/>
          <w:lang w:val="en-US" w:eastAsia="zh-CN"/>
        </w:rPr>
        <w:t>8</w:t>
      </w:r>
      <w:r>
        <w:rPr>
          <w:rFonts w:hint="eastAsia" w:ascii="仿宋_GB2312" w:hAnsi="宋体" w:eastAsia="仿宋_GB2312"/>
          <w:sz w:val="32"/>
          <w:szCs w:val="32"/>
          <w:lang w:val="zh-CN"/>
        </w:rPr>
        <w:t>．</w:t>
      </w:r>
      <w:r>
        <w:rPr>
          <w:rFonts w:hint="eastAsia" w:ascii="仿宋" w:hAnsi="仿宋" w:eastAsia="仿宋"/>
          <w:b/>
          <w:bCs/>
          <w:sz w:val="32"/>
          <w:szCs w:val="32"/>
        </w:rPr>
        <w:t>住</w:t>
      </w:r>
      <w:r>
        <w:rPr>
          <w:rStyle w:val="16"/>
          <w:rFonts w:hint="eastAsia" w:ascii="仿宋" w:hAnsi="仿宋" w:eastAsia="仿宋"/>
          <w:bCs/>
          <w:sz w:val="32"/>
          <w:szCs w:val="32"/>
        </w:rPr>
        <w:t>房保障（类）住房改革支出（款）住房公积金（项）</w:t>
      </w:r>
      <w:r>
        <w:rPr>
          <w:rStyle w:val="16"/>
          <w:rFonts w:ascii="仿宋" w:hAnsi="仿宋" w:eastAsia="仿宋"/>
          <w:bCs/>
          <w:sz w:val="32"/>
          <w:szCs w:val="32"/>
        </w:rPr>
        <w:t>:</w:t>
      </w:r>
      <w:r>
        <w:rPr>
          <w:rStyle w:val="16"/>
          <w:rFonts w:hint="eastAsia" w:ascii="仿宋" w:hAnsi="仿宋" w:eastAsia="仿宋"/>
          <w:b w:val="0"/>
          <w:bCs/>
          <w:sz w:val="32"/>
          <w:szCs w:val="32"/>
        </w:rPr>
        <w:t>支出决算为88.38万元，完成预算100%。</w:t>
      </w:r>
    </w:p>
    <w:p>
      <w:pPr>
        <w:tabs>
          <w:tab w:val="right" w:pos="8306"/>
        </w:tabs>
        <w:spacing w:line="600" w:lineRule="exact"/>
        <w:ind w:firstLine="640"/>
        <w:outlineLvl w:val="1"/>
        <w:rPr>
          <w:rStyle w:val="27"/>
        </w:rPr>
      </w:pPr>
      <w:bookmarkStart w:id="40" w:name="_Toc15396608"/>
      <w:bookmarkStart w:id="41" w:name="_Toc15377214"/>
      <w:r>
        <w:rPr>
          <w:rFonts w:hint="eastAsia" w:ascii="黑体" w:eastAsia="黑体"/>
          <w:sz w:val="32"/>
          <w:szCs w:val="32"/>
        </w:rPr>
        <w:t>六</w:t>
      </w:r>
      <w:r>
        <w:rPr>
          <w:rFonts w:hint="eastAsia" w:ascii="黑体" w:eastAsia="黑体"/>
          <w:b/>
          <w:sz w:val="32"/>
          <w:szCs w:val="32"/>
        </w:rPr>
        <w:t>、</w:t>
      </w:r>
      <w:r>
        <w:rPr>
          <w:rFonts w:hint="eastAsia" w:ascii="黑体" w:hAnsi="黑体" w:eastAsia="黑体"/>
          <w:b/>
          <w:sz w:val="32"/>
          <w:szCs w:val="32"/>
        </w:rPr>
        <w:t>一</w:t>
      </w:r>
      <w:r>
        <w:rPr>
          <w:rStyle w:val="27"/>
          <w:rFonts w:hint="eastAsia" w:ascii="黑体" w:hAnsi="黑体" w:eastAsia="黑体"/>
          <w:b w:val="0"/>
        </w:rPr>
        <w:t>般公共预算财政拨款基本支出决算情况说明</w:t>
      </w:r>
      <w:bookmarkEnd w:id="40"/>
      <w:bookmarkEnd w:id="41"/>
      <w:r>
        <w:rPr>
          <w:rStyle w:val="27"/>
          <w:rFonts w:ascii="黑体" w:hAnsi="黑体" w:eastAsia="黑体"/>
          <w:b w:val="0"/>
        </w:rPr>
        <w:tab/>
      </w:r>
    </w:p>
    <w:p>
      <w:pPr>
        <w:spacing w:line="600" w:lineRule="exact"/>
        <w:ind w:firstLine="645"/>
        <w:rPr>
          <w:rFonts w:ascii="仿宋" w:hAnsi="仿宋" w:eastAsia="仿宋"/>
          <w:color w:val="auto"/>
          <w:sz w:val="32"/>
          <w:szCs w:val="32"/>
        </w:rPr>
      </w:pPr>
      <w:r>
        <w:rPr>
          <w:rFonts w:ascii="仿宋" w:hAnsi="仿宋" w:eastAsia="仿宋"/>
          <w:color w:val="auto"/>
          <w:sz w:val="32"/>
          <w:szCs w:val="32"/>
        </w:rPr>
        <w:t>20</w:t>
      </w:r>
      <w:r>
        <w:rPr>
          <w:rFonts w:hint="eastAsia" w:ascii="仿宋" w:hAnsi="仿宋" w:eastAsia="仿宋"/>
          <w:color w:val="auto"/>
          <w:sz w:val="32"/>
          <w:szCs w:val="32"/>
        </w:rPr>
        <w:t>21年度一般公共预算财政拨款基本支出11</w:t>
      </w:r>
      <w:r>
        <w:rPr>
          <w:rFonts w:hint="eastAsia" w:ascii="仿宋" w:hAnsi="仿宋" w:eastAsia="仿宋"/>
          <w:color w:val="auto"/>
          <w:sz w:val="32"/>
          <w:szCs w:val="32"/>
          <w:lang w:val="en-US" w:eastAsia="zh-CN"/>
        </w:rPr>
        <w:t>62.58</w:t>
      </w:r>
      <w:r>
        <w:rPr>
          <w:rFonts w:hint="eastAsia" w:ascii="仿宋" w:hAnsi="仿宋" w:eastAsia="仿宋"/>
          <w:color w:val="auto"/>
          <w:sz w:val="32"/>
          <w:szCs w:val="32"/>
        </w:rPr>
        <w:t>万元，其中：</w:t>
      </w:r>
    </w:p>
    <w:p>
      <w:pPr>
        <w:spacing w:line="600" w:lineRule="exact"/>
        <w:ind w:firstLine="645"/>
        <w:rPr>
          <w:rFonts w:hint="eastAsia" w:ascii="仿宋" w:hAnsi="仿宋" w:eastAsia="仿宋"/>
          <w:color w:val="auto"/>
          <w:sz w:val="32"/>
          <w:szCs w:val="32"/>
          <w:lang w:eastAsia="zh-CN"/>
        </w:rPr>
      </w:pPr>
      <w:r>
        <w:rPr>
          <w:rFonts w:hint="eastAsia" w:ascii="仿宋" w:hAnsi="仿宋" w:eastAsia="仿宋"/>
          <w:color w:val="auto"/>
          <w:sz w:val="32"/>
          <w:szCs w:val="32"/>
        </w:rPr>
        <w:t>人员经费</w:t>
      </w:r>
      <w:r>
        <w:rPr>
          <w:rFonts w:hint="eastAsia" w:ascii="仿宋" w:hAnsi="仿宋" w:eastAsia="仿宋"/>
          <w:color w:val="auto"/>
          <w:sz w:val="32"/>
          <w:szCs w:val="32"/>
          <w:lang w:val="en-US" w:eastAsia="zh-CN"/>
        </w:rPr>
        <w:t>1064.54</w:t>
      </w:r>
      <w:r>
        <w:rPr>
          <w:rFonts w:hint="eastAsia" w:ascii="仿宋" w:hAnsi="仿宋" w:eastAsia="仿宋"/>
          <w:color w:val="auto"/>
          <w:sz w:val="32"/>
          <w:szCs w:val="32"/>
        </w:rPr>
        <w:t>万元，主要包括：基本工资、津贴补贴、奖金、绩效工资、机关事业单位基本养老保险缴费、职业年金缴费、其他社会保障缴费、其他工资福利支出、奖励金、住房公积金、</w:t>
      </w:r>
      <w:r>
        <w:rPr>
          <w:rFonts w:hint="eastAsia" w:ascii="仿宋" w:hAnsi="仿宋" w:eastAsia="仿宋"/>
          <w:color w:val="auto"/>
          <w:sz w:val="32"/>
          <w:szCs w:val="32"/>
          <w:lang w:val="en-US" w:eastAsia="zh-CN"/>
        </w:rPr>
        <w:t>生活补助、</w:t>
      </w:r>
      <w:r>
        <w:rPr>
          <w:rFonts w:hint="eastAsia" w:ascii="仿宋" w:hAnsi="仿宋" w:eastAsia="仿宋"/>
          <w:color w:val="auto"/>
          <w:sz w:val="32"/>
          <w:szCs w:val="32"/>
        </w:rPr>
        <w:t>其他对个人和家庭的补助支出等。</w:t>
      </w:r>
    </w:p>
    <w:p>
      <w:pPr>
        <w:spacing w:line="600" w:lineRule="exact"/>
        <w:ind w:firstLine="645"/>
        <w:rPr>
          <w:rFonts w:ascii="仿宋" w:hAnsi="仿宋" w:eastAsia="仿宋"/>
          <w:sz w:val="32"/>
          <w:szCs w:val="32"/>
        </w:rPr>
      </w:pPr>
      <w:r>
        <w:rPr>
          <w:rFonts w:hint="eastAsia" w:ascii="仿宋" w:hAnsi="仿宋" w:eastAsia="仿宋"/>
          <w:color w:val="auto"/>
          <w:sz w:val="32"/>
          <w:szCs w:val="32"/>
        </w:rPr>
        <w:t>公用经费</w:t>
      </w:r>
      <w:r>
        <w:rPr>
          <w:rFonts w:hint="eastAsia" w:ascii="仿宋" w:hAnsi="仿宋" w:eastAsia="仿宋"/>
          <w:color w:val="auto"/>
          <w:sz w:val="32"/>
          <w:szCs w:val="32"/>
          <w:lang w:val="en-US" w:eastAsia="zh-CN"/>
        </w:rPr>
        <w:t>98.04</w:t>
      </w:r>
      <w:r>
        <w:rPr>
          <w:rFonts w:hint="eastAsia" w:ascii="仿宋" w:hAnsi="仿宋" w:eastAsia="仿宋"/>
          <w:color w:val="auto"/>
          <w:sz w:val="32"/>
          <w:szCs w:val="32"/>
        </w:rPr>
        <w:t>万元，</w:t>
      </w:r>
      <w:r>
        <w:rPr>
          <w:rFonts w:hint="eastAsia" w:ascii="仿宋" w:hAnsi="仿宋" w:eastAsia="仿宋"/>
          <w:sz w:val="32"/>
          <w:szCs w:val="32"/>
        </w:rPr>
        <w:t>主要包括：办公费、印刷费、咨询费、水费、电费、邮电费、物业管理费、差旅费、维修（护）费、租赁费、公务接待费、劳务费、工会经费、公务用车运行维护费、其他交通费、其他商品和服务支出。</w:t>
      </w:r>
    </w:p>
    <w:p>
      <w:pPr>
        <w:spacing w:line="600" w:lineRule="exact"/>
        <w:ind w:firstLine="640"/>
        <w:outlineLvl w:val="1"/>
        <w:rPr>
          <w:rStyle w:val="27"/>
          <w:rFonts w:ascii="黑体" w:hAnsi="黑体" w:eastAsia="黑体"/>
          <w:b w:val="0"/>
        </w:rPr>
      </w:pPr>
      <w:bookmarkStart w:id="42" w:name="_Toc15396609"/>
      <w:bookmarkStart w:id="43" w:name="_Toc15377215"/>
      <w:r>
        <w:rPr>
          <w:rFonts w:hint="eastAsia" w:ascii="黑体" w:eastAsia="黑体"/>
          <w:sz w:val="32"/>
          <w:szCs w:val="32"/>
        </w:rPr>
        <w:t>七、</w:t>
      </w:r>
      <w:r>
        <w:rPr>
          <w:rStyle w:val="27"/>
          <w:rFonts w:hint="eastAsia" w:ascii="黑体" w:hAnsi="黑体" w:eastAsia="黑体"/>
        </w:rPr>
        <w:t>“</w:t>
      </w:r>
      <w:r>
        <w:rPr>
          <w:rStyle w:val="27"/>
          <w:rFonts w:hint="eastAsia" w:ascii="黑体" w:hAnsi="黑体" w:eastAsia="黑体"/>
          <w:b w:val="0"/>
        </w:rPr>
        <w:t>三公”经费财政拨款支出决算情况说明</w:t>
      </w:r>
      <w:bookmarkEnd w:id="42"/>
      <w:bookmarkEnd w:id="43"/>
    </w:p>
    <w:p>
      <w:pPr>
        <w:spacing w:line="600" w:lineRule="exact"/>
        <w:ind w:firstLine="640"/>
        <w:outlineLvl w:val="2"/>
        <w:rPr>
          <w:rFonts w:ascii="仿宋" w:hAnsi="仿宋" w:eastAsia="仿宋"/>
          <w:b/>
          <w:sz w:val="32"/>
          <w:szCs w:val="32"/>
        </w:rPr>
      </w:pPr>
      <w:bookmarkStart w:id="44" w:name="_Toc15377216"/>
      <w:r>
        <w:rPr>
          <w:rFonts w:hint="eastAsia" w:ascii="仿宋" w:hAnsi="仿宋" w:eastAsia="仿宋"/>
          <w:b/>
          <w:sz w:val="32"/>
          <w:szCs w:val="32"/>
        </w:rPr>
        <w:t>（一）“三公”经费财政拨款支出决算总体情况说明</w:t>
      </w:r>
      <w:bookmarkEnd w:id="44"/>
    </w:p>
    <w:p>
      <w:pPr>
        <w:spacing w:line="600" w:lineRule="exact"/>
        <w:ind w:firstLine="64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21年度“三公”经费财政拨款支出决算为16.8</w:t>
      </w:r>
      <w:r>
        <w:rPr>
          <w:rFonts w:hint="eastAsia" w:ascii="仿宋" w:hAnsi="仿宋" w:eastAsia="仿宋"/>
          <w:sz w:val="32"/>
          <w:szCs w:val="32"/>
          <w:lang w:val="en-US" w:eastAsia="zh-CN"/>
        </w:rPr>
        <w:t>5</w:t>
      </w:r>
      <w:r>
        <w:rPr>
          <w:rFonts w:hint="eastAsia" w:ascii="仿宋" w:hAnsi="仿宋" w:eastAsia="仿宋"/>
          <w:sz w:val="32"/>
          <w:szCs w:val="32"/>
        </w:rPr>
        <w:t>万元，完成预算</w:t>
      </w:r>
      <w:r>
        <w:rPr>
          <w:rFonts w:hint="eastAsia" w:ascii="仿宋" w:hAnsi="仿宋" w:eastAsia="仿宋"/>
          <w:sz w:val="32"/>
          <w:szCs w:val="32"/>
          <w:lang w:val="en-US" w:eastAsia="zh-CN"/>
        </w:rPr>
        <w:t>100</w:t>
      </w:r>
      <w:r>
        <w:rPr>
          <w:rFonts w:ascii="仿宋" w:hAnsi="仿宋" w:eastAsia="仿宋"/>
          <w:sz w:val="32"/>
          <w:szCs w:val="32"/>
        </w:rPr>
        <w:t>%</w:t>
      </w:r>
      <w:r>
        <w:rPr>
          <w:rFonts w:hint="eastAsia" w:ascii="仿宋" w:hAnsi="仿宋" w:eastAsia="仿宋"/>
          <w:sz w:val="32"/>
          <w:szCs w:val="32"/>
        </w:rPr>
        <w:t>。</w:t>
      </w:r>
    </w:p>
    <w:p>
      <w:pPr>
        <w:spacing w:line="600" w:lineRule="exact"/>
        <w:ind w:firstLine="640"/>
        <w:outlineLvl w:val="2"/>
        <w:rPr>
          <w:rFonts w:ascii="仿宋" w:hAnsi="仿宋" w:eastAsia="仿宋"/>
          <w:b/>
          <w:sz w:val="32"/>
          <w:szCs w:val="32"/>
        </w:rPr>
      </w:pPr>
      <w:bookmarkStart w:id="45" w:name="_Toc15377217"/>
      <w:r>
        <w:rPr>
          <w:rFonts w:hint="eastAsia" w:ascii="仿宋" w:hAnsi="仿宋" w:eastAsia="仿宋"/>
          <w:b/>
          <w:sz w:val="32"/>
          <w:szCs w:val="32"/>
        </w:rPr>
        <w:t>（二）“三公”经费财政拨款支出决算具体情况说明</w:t>
      </w:r>
      <w:bookmarkEnd w:id="45"/>
    </w:p>
    <w:p>
      <w:pPr>
        <w:spacing w:line="600" w:lineRule="exact"/>
        <w:ind w:firstLine="640"/>
        <w:rPr>
          <w:rFonts w:ascii="仿宋" w:hAnsi="仿宋" w:eastAsia="仿宋"/>
          <w:sz w:val="32"/>
          <w:szCs w:val="32"/>
        </w:rPr>
      </w:pPr>
      <w:r>
        <w:rPr>
          <w:rFonts w:ascii="仿宋" w:hAnsi="仿宋" w:eastAsia="仿宋"/>
          <w:sz w:val="32"/>
          <w:szCs w:val="32"/>
        </w:rPr>
        <w:t>20</w:t>
      </w:r>
      <w:r>
        <w:rPr>
          <w:rFonts w:hint="eastAsia" w:ascii="仿宋" w:hAnsi="仿宋" w:eastAsia="仿宋"/>
          <w:sz w:val="32"/>
          <w:szCs w:val="32"/>
        </w:rPr>
        <w:t>21年度“三公”经费财政拨款支出决算中，因公出国（境）费支出决算0万元，</w:t>
      </w:r>
      <w:r>
        <w:rPr>
          <w:rFonts w:hint="eastAsia" w:ascii="仿宋" w:hAnsi="仿宋" w:eastAsia="仿宋"/>
          <w:sz w:val="32"/>
          <w:szCs w:val="32"/>
          <w:lang w:val="en-US" w:eastAsia="zh-CN"/>
        </w:rPr>
        <w:t>年初未安排预算</w:t>
      </w:r>
      <w:r>
        <w:rPr>
          <w:rFonts w:hint="eastAsia" w:ascii="仿宋" w:hAnsi="仿宋" w:eastAsia="仿宋"/>
          <w:sz w:val="32"/>
          <w:szCs w:val="32"/>
        </w:rPr>
        <w:t>；公务用车购置及运行维护费支出决算1</w:t>
      </w:r>
      <w:r>
        <w:rPr>
          <w:rFonts w:hint="eastAsia" w:ascii="仿宋" w:hAnsi="仿宋" w:eastAsia="仿宋"/>
          <w:color w:val="auto"/>
          <w:sz w:val="32"/>
          <w:szCs w:val="32"/>
        </w:rPr>
        <w:t>3.27万元，占78.</w:t>
      </w:r>
      <w:r>
        <w:rPr>
          <w:rFonts w:hint="eastAsia" w:ascii="仿宋" w:hAnsi="仿宋" w:eastAsia="仿宋"/>
          <w:color w:val="auto"/>
          <w:sz w:val="32"/>
          <w:szCs w:val="32"/>
          <w:lang w:val="en-US" w:eastAsia="zh-CN"/>
        </w:rPr>
        <w:t>8</w:t>
      </w:r>
      <w:r>
        <w:rPr>
          <w:rFonts w:ascii="仿宋" w:hAnsi="仿宋" w:eastAsia="仿宋"/>
          <w:color w:val="auto"/>
          <w:sz w:val="32"/>
          <w:szCs w:val="32"/>
        </w:rPr>
        <w:t>%</w:t>
      </w:r>
      <w:r>
        <w:rPr>
          <w:rFonts w:hint="eastAsia" w:ascii="仿宋" w:hAnsi="仿宋" w:eastAsia="仿宋"/>
          <w:color w:val="auto"/>
          <w:sz w:val="32"/>
          <w:szCs w:val="32"/>
        </w:rPr>
        <w:t>；公务接待费支出决算3.58万元，占21.2</w:t>
      </w:r>
      <w:r>
        <w:rPr>
          <w:rFonts w:ascii="仿宋" w:hAnsi="仿宋" w:eastAsia="仿宋"/>
          <w:color w:val="auto"/>
          <w:sz w:val="32"/>
          <w:szCs w:val="32"/>
        </w:rPr>
        <w:t>%</w:t>
      </w:r>
      <w:r>
        <w:rPr>
          <w:rFonts w:hint="eastAsia" w:ascii="仿宋" w:hAnsi="仿宋" w:eastAsia="仿宋"/>
          <w:color w:val="auto"/>
          <w:sz w:val="32"/>
          <w:szCs w:val="32"/>
        </w:rPr>
        <w:t>。具体</w:t>
      </w:r>
      <w:r>
        <w:rPr>
          <w:rFonts w:hint="eastAsia" w:ascii="仿宋" w:hAnsi="仿宋" w:eastAsia="仿宋"/>
          <w:color w:val="auto"/>
          <w:sz w:val="32"/>
          <w:szCs w:val="32"/>
        </w:rPr>
        <w:t>情况如下：</w:t>
      </w:r>
    </w:p>
    <w:p>
      <w:pPr>
        <w:pStyle w:val="2"/>
        <w:spacing w:before="93"/>
        <w:rPr>
          <w:rFonts w:ascii="仿宋" w:hAnsi="仿宋" w:eastAsia="仿宋"/>
          <w:sz w:val="32"/>
          <w:szCs w:val="32"/>
        </w:rPr>
      </w:pPr>
      <w:r>
        <w:drawing>
          <wp:inline distT="0" distB="0" distL="114300" distR="114300">
            <wp:extent cx="4847590" cy="2695575"/>
            <wp:effectExtent l="4445" t="5080" r="5715" b="4445"/>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bookmarkStart w:id="73" w:name="_GoBack"/>
      <w:bookmarkEnd w:id="73"/>
    </w:p>
    <w:p>
      <w:pPr>
        <w:spacing w:line="600" w:lineRule="exact"/>
        <w:ind w:firstLine="640"/>
        <w:rPr>
          <w:rFonts w:hint="eastAsia" w:ascii="仿宋" w:hAnsi="仿宋" w:eastAsia="仿宋"/>
          <w:color w:val="auto"/>
          <w:sz w:val="32"/>
          <w:szCs w:val="32"/>
        </w:rPr>
      </w:pPr>
      <w:r>
        <w:rPr>
          <w:rFonts w:hint="eastAsia" w:ascii="仿宋" w:hAnsi="仿宋" w:eastAsia="仿宋"/>
          <w:color w:val="auto"/>
          <w:sz w:val="32"/>
          <w:szCs w:val="32"/>
        </w:rPr>
        <w:t>（图7：“三公”经费财政拨款支出结构）</w:t>
      </w:r>
    </w:p>
    <w:p>
      <w:pPr>
        <w:spacing w:line="600" w:lineRule="exact"/>
        <w:ind w:firstLine="640"/>
        <w:rPr>
          <w:rStyle w:val="16"/>
          <w:rFonts w:hint="eastAsia" w:ascii="仿宋" w:hAnsi="仿宋" w:eastAsia="仿宋"/>
          <w:b w:val="0"/>
          <w:bCs/>
          <w:sz w:val="32"/>
          <w:szCs w:val="32"/>
        </w:rPr>
      </w:pPr>
      <w:r>
        <w:rPr>
          <w:rFonts w:ascii="仿宋_GB2312" w:eastAsia="仿宋_GB2312"/>
          <w:b/>
          <w:sz w:val="32"/>
          <w:szCs w:val="32"/>
        </w:rPr>
        <w:t>1</w:t>
      </w:r>
      <w:r>
        <w:rPr>
          <w:rFonts w:hint="eastAsia" w:ascii="仿宋_GB2312" w:hAnsi="宋体" w:eastAsia="仿宋_GB2312"/>
          <w:sz w:val="32"/>
          <w:szCs w:val="32"/>
          <w:lang w:val="zh-CN"/>
        </w:rPr>
        <w:t>．</w:t>
      </w:r>
      <w:r>
        <w:rPr>
          <w:rFonts w:hint="eastAsia" w:ascii="仿宋_GB2312" w:eastAsia="仿宋_GB2312"/>
          <w:b/>
          <w:sz w:val="32"/>
          <w:szCs w:val="32"/>
        </w:rPr>
        <w:t>因公出国（境）经费支出</w:t>
      </w:r>
      <w:r>
        <w:rPr>
          <w:rFonts w:hint="eastAsia" w:ascii="仿宋_GB2312" w:eastAsia="仿宋_GB2312"/>
          <w:sz w:val="32"/>
          <w:szCs w:val="32"/>
        </w:rPr>
        <w:t>0万元，</w:t>
      </w:r>
      <w:r>
        <w:rPr>
          <w:rFonts w:hint="eastAsia" w:ascii="仿宋" w:hAnsi="仿宋" w:eastAsia="仿宋"/>
          <w:sz w:val="32"/>
          <w:szCs w:val="32"/>
          <w:lang w:val="en-US" w:eastAsia="zh-CN"/>
        </w:rPr>
        <w:t>年初未安排预算，与上年度持平，与上年数无变化</w:t>
      </w:r>
      <w:r>
        <w:rPr>
          <w:rStyle w:val="16"/>
          <w:rFonts w:hint="eastAsia" w:ascii="仿宋" w:hAnsi="仿宋" w:eastAsia="仿宋"/>
          <w:b w:val="0"/>
          <w:bCs/>
          <w:sz w:val="32"/>
          <w:szCs w:val="32"/>
        </w:rPr>
        <w:t>。</w:t>
      </w:r>
    </w:p>
    <w:p>
      <w:pPr>
        <w:spacing w:line="600" w:lineRule="exact"/>
        <w:ind w:firstLine="640"/>
        <w:rPr>
          <w:rFonts w:ascii="仿宋_GB2312" w:eastAsia="仿宋_GB2312"/>
          <w:b/>
          <w:sz w:val="32"/>
          <w:szCs w:val="32"/>
        </w:rPr>
      </w:pPr>
      <w:r>
        <w:rPr>
          <w:rFonts w:ascii="仿宋_GB2312" w:eastAsia="仿宋_GB2312"/>
          <w:b/>
          <w:sz w:val="32"/>
          <w:szCs w:val="32"/>
        </w:rPr>
        <w:t>2</w:t>
      </w:r>
      <w:r>
        <w:rPr>
          <w:rFonts w:hint="eastAsia" w:ascii="仿宋_GB2312" w:hAnsi="宋体" w:eastAsia="仿宋_GB2312"/>
          <w:sz w:val="32"/>
          <w:szCs w:val="32"/>
          <w:lang w:val="zh-CN"/>
        </w:rPr>
        <w:t>．</w:t>
      </w:r>
      <w:r>
        <w:rPr>
          <w:rFonts w:hint="eastAsia" w:ascii="仿宋_GB2312" w:eastAsia="仿宋_GB2312"/>
          <w:b/>
          <w:sz w:val="32"/>
          <w:szCs w:val="32"/>
        </w:rPr>
        <w:t>公务用车购置及运行维护费支出</w:t>
      </w:r>
      <w:r>
        <w:rPr>
          <w:rFonts w:hint="eastAsia" w:ascii="仿宋_GB2312" w:eastAsia="仿宋_GB2312"/>
          <w:sz w:val="32"/>
          <w:szCs w:val="32"/>
        </w:rPr>
        <w:t>13.27万元,</w:t>
      </w:r>
      <w:r>
        <w:rPr>
          <w:rStyle w:val="16"/>
          <w:rFonts w:hint="eastAsia" w:ascii="仿宋" w:hAnsi="仿宋" w:eastAsia="仿宋"/>
          <w:b w:val="0"/>
          <w:bCs/>
          <w:sz w:val="32"/>
          <w:szCs w:val="32"/>
        </w:rPr>
        <w:t>完成预算</w:t>
      </w:r>
      <w:r>
        <w:rPr>
          <w:rStyle w:val="16"/>
          <w:rFonts w:hint="eastAsia" w:ascii="仿宋" w:hAnsi="仿宋" w:eastAsia="仿宋"/>
          <w:b w:val="0"/>
          <w:bCs/>
          <w:color w:val="auto"/>
          <w:sz w:val="32"/>
          <w:szCs w:val="32"/>
          <w:lang w:val="en-US" w:eastAsia="zh-CN"/>
        </w:rPr>
        <w:t>100</w:t>
      </w:r>
      <w:r>
        <w:rPr>
          <w:rStyle w:val="16"/>
          <w:rFonts w:ascii="仿宋" w:hAnsi="仿宋" w:eastAsia="仿宋"/>
          <w:b w:val="0"/>
          <w:bCs/>
          <w:color w:val="auto"/>
          <w:sz w:val="32"/>
          <w:szCs w:val="32"/>
        </w:rPr>
        <w:t>%</w:t>
      </w:r>
      <w:r>
        <w:rPr>
          <w:rStyle w:val="16"/>
          <w:rFonts w:hint="eastAsia" w:ascii="仿宋" w:hAnsi="仿宋" w:eastAsia="仿宋"/>
          <w:b w:val="0"/>
          <w:bCs/>
          <w:color w:val="auto"/>
          <w:sz w:val="32"/>
          <w:szCs w:val="32"/>
        </w:rPr>
        <w:t>。</w:t>
      </w:r>
      <w:r>
        <w:rPr>
          <w:rFonts w:hint="eastAsia" w:ascii="仿宋_GB2312" w:eastAsia="仿宋_GB2312"/>
          <w:sz w:val="32"/>
          <w:szCs w:val="32"/>
        </w:rPr>
        <w:t>公务用车购置及运行维护费支出决算比</w:t>
      </w:r>
      <w:r>
        <w:rPr>
          <w:rFonts w:ascii="仿宋_GB2312" w:eastAsia="仿宋_GB2312"/>
          <w:sz w:val="32"/>
          <w:szCs w:val="32"/>
        </w:rPr>
        <w:t>20</w:t>
      </w:r>
      <w:r>
        <w:rPr>
          <w:rFonts w:hint="eastAsia" w:ascii="仿宋_GB2312" w:eastAsia="仿宋_GB2312"/>
          <w:sz w:val="32"/>
          <w:szCs w:val="32"/>
        </w:rPr>
        <w:t>20年度减少27.85万元，下降67.7</w:t>
      </w:r>
      <w:r>
        <w:rPr>
          <w:rFonts w:ascii="仿宋_GB2312" w:eastAsia="仿宋_GB2312"/>
          <w:sz w:val="32"/>
          <w:szCs w:val="32"/>
        </w:rPr>
        <w:t>%</w:t>
      </w:r>
      <w:r>
        <w:rPr>
          <w:rFonts w:hint="eastAsia" w:ascii="仿宋_GB2312" w:eastAsia="仿宋_GB2312"/>
          <w:sz w:val="32"/>
          <w:szCs w:val="32"/>
        </w:rPr>
        <w:t>。主要原因是2020年度新购执法车一辆，2021年度未购置公务用车。</w:t>
      </w:r>
    </w:p>
    <w:p>
      <w:pPr>
        <w:spacing w:line="600" w:lineRule="exact"/>
        <w:ind w:firstLine="640" w:firstLineChars="200"/>
        <w:rPr>
          <w:rFonts w:ascii="仿宋_GB2312" w:eastAsia="仿宋_GB2312"/>
          <w:b/>
          <w:sz w:val="32"/>
          <w:szCs w:val="32"/>
        </w:rPr>
      </w:pPr>
      <w:r>
        <w:rPr>
          <w:rFonts w:hint="eastAsia" w:ascii="仿宋_GB2312" w:eastAsia="仿宋_GB2312"/>
          <w:sz w:val="32"/>
          <w:szCs w:val="32"/>
        </w:rPr>
        <w:t>其中：</w:t>
      </w:r>
      <w:r>
        <w:rPr>
          <w:rFonts w:hint="eastAsia" w:ascii="仿宋_GB2312" w:eastAsia="仿宋_GB2312"/>
          <w:b/>
          <w:sz w:val="32"/>
          <w:szCs w:val="32"/>
        </w:rPr>
        <w:t>公务用车购置支出</w:t>
      </w:r>
      <w:r>
        <w:rPr>
          <w:rFonts w:hint="eastAsia" w:ascii="仿宋_GB2312" w:eastAsia="仿宋_GB2312"/>
          <w:sz w:val="32"/>
          <w:szCs w:val="32"/>
        </w:rPr>
        <w:t>0万元。截至</w:t>
      </w:r>
      <w:r>
        <w:rPr>
          <w:rFonts w:ascii="仿宋_GB2312" w:eastAsia="仿宋_GB2312"/>
          <w:sz w:val="32"/>
          <w:szCs w:val="32"/>
        </w:rPr>
        <w:t>20</w:t>
      </w:r>
      <w:r>
        <w:rPr>
          <w:rFonts w:hint="eastAsia" w:ascii="仿宋_GB2312" w:eastAsia="仿宋_GB2312"/>
          <w:sz w:val="32"/>
          <w:szCs w:val="32"/>
        </w:rPr>
        <w:t>21年</w:t>
      </w:r>
      <w:r>
        <w:rPr>
          <w:rFonts w:ascii="仿宋_GB2312" w:eastAsia="仿宋_GB2312"/>
          <w:sz w:val="32"/>
          <w:szCs w:val="32"/>
        </w:rPr>
        <w:t>12</w:t>
      </w:r>
      <w:r>
        <w:rPr>
          <w:rFonts w:hint="eastAsia" w:ascii="仿宋_GB2312" w:eastAsia="仿宋_GB2312"/>
          <w:sz w:val="32"/>
          <w:szCs w:val="32"/>
        </w:rPr>
        <w:t>月底，单位共有公务用车4辆，其中：轿车0辆、越野车3辆、载客汽车0辆。</w:t>
      </w:r>
    </w:p>
    <w:p>
      <w:pPr>
        <w:spacing w:line="600" w:lineRule="exact"/>
        <w:ind w:firstLine="640"/>
        <w:rPr>
          <w:rFonts w:ascii="仿宋_GB2312" w:eastAsia="仿宋_GB2312"/>
          <w:sz w:val="32"/>
          <w:szCs w:val="32"/>
        </w:rPr>
      </w:pPr>
      <w:r>
        <w:rPr>
          <w:rFonts w:hint="eastAsia" w:ascii="仿宋_GB2312" w:eastAsia="仿宋_GB2312"/>
          <w:b/>
          <w:sz w:val="32"/>
          <w:szCs w:val="32"/>
        </w:rPr>
        <w:t>公务用车运行维护费支出</w:t>
      </w:r>
      <w:r>
        <w:rPr>
          <w:rFonts w:hint="eastAsia" w:ascii="仿宋_GB2312" w:eastAsia="仿宋_GB2312"/>
          <w:sz w:val="32"/>
          <w:szCs w:val="32"/>
        </w:rPr>
        <w:t>13.27万元。主要用于执法监督、普法宣传、社区矫正、安置帮教等司法行政工作所需的公务用车燃料费、维修费、过路过桥费、保险费等支出。</w:t>
      </w:r>
    </w:p>
    <w:p>
      <w:pPr>
        <w:spacing w:line="600" w:lineRule="exact"/>
        <w:ind w:firstLine="640"/>
        <w:rPr>
          <w:rFonts w:ascii="仿宋_GB2312" w:eastAsia="仿宋_GB2312"/>
          <w:sz w:val="32"/>
          <w:szCs w:val="32"/>
        </w:rPr>
      </w:pPr>
      <w:r>
        <w:rPr>
          <w:rFonts w:ascii="仿宋_GB2312" w:eastAsia="仿宋_GB2312"/>
          <w:b/>
          <w:sz w:val="32"/>
          <w:szCs w:val="32"/>
        </w:rPr>
        <w:t>3</w:t>
      </w:r>
      <w:r>
        <w:rPr>
          <w:rFonts w:hint="eastAsia" w:ascii="仿宋_GB2312" w:hAnsi="宋体" w:eastAsia="仿宋_GB2312"/>
          <w:sz w:val="32"/>
          <w:szCs w:val="32"/>
          <w:lang w:val="zh-CN"/>
        </w:rPr>
        <w:t>．</w:t>
      </w:r>
      <w:r>
        <w:rPr>
          <w:rFonts w:hint="eastAsia" w:ascii="仿宋_GB2312" w:eastAsia="仿宋_GB2312"/>
          <w:b/>
          <w:sz w:val="32"/>
          <w:szCs w:val="32"/>
        </w:rPr>
        <w:t>公务接待费支出</w:t>
      </w:r>
      <w:r>
        <w:rPr>
          <w:rFonts w:hint="eastAsia" w:ascii="仿宋_GB2312" w:eastAsia="仿宋_GB2312"/>
          <w:sz w:val="32"/>
          <w:szCs w:val="32"/>
        </w:rPr>
        <w:t>3.58万元，</w:t>
      </w:r>
      <w:r>
        <w:rPr>
          <w:rStyle w:val="16"/>
          <w:rFonts w:hint="eastAsia" w:ascii="仿宋" w:hAnsi="仿宋" w:eastAsia="仿宋"/>
          <w:b w:val="0"/>
          <w:bCs/>
          <w:sz w:val="32"/>
          <w:szCs w:val="32"/>
        </w:rPr>
        <w:t>完成预</w:t>
      </w:r>
      <w:r>
        <w:rPr>
          <w:rStyle w:val="16"/>
          <w:rFonts w:hint="eastAsia" w:ascii="仿宋" w:hAnsi="仿宋" w:eastAsia="仿宋"/>
          <w:b w:val="0"/>
          <w:bCs/>
          <w:color w:val="auto"/>
          <w:sz w:val="32"/>
          <w:szCs w:val="32"/>
        </w:rPr>
        <w:t>算</w:t>
      </w:r>
      <w:r>
        <w:rPr>
          <w:rStyle w:val="16"/>
          <w:rFonts w:hint="eastAsia" w:ascii="仿宋" w:hAnsi="仿宋" w:eastAsia="仿宋"/>
          <w:b w:val="0"/>
          <w:bCs/>
          <w:color w:val="auto"/>
          <w:sz w:val="32"/>
          <w:szCs w:val="32"/>
          <w:lang w:val="en-US" w:eastAsia="zh-CN"/>
        </w:rPr>
        <w:t>100</w:t>
      </w:r>
      <w:r>
        <w:rPr>
          <w:rStyle w:val="16"/>
          <w:rFonts w:ascii="仿宋" w:hAnsi="仿宋" w:eastAsia="仿宋"/>
          <w:b w:val="0"/>
          <w:bCs/>
          <w:color w:val="auto"/>
          <w:sz w:val="32"/>
          <w:szCs w:val="32"/>
        </w:rPr>
        <w:t>%</w:t>
      </w:r>
      <w:r>
        <w:rPr>
          <w:rStyle w:val="16"/>
          <w:rFonts w:hint="eastAsia" w:ascii="仿宋" w:hAnsi="仿宋" w:eastAsia="仿宋"/>
          <w:b w:val="0"/>
          <w:bCs/>
          <w:color w:val="auto"/>
          <w:sz w:val="32"/>
          <w:szCs w:val="32"/>
        </w:rPr>
        <w:t>。</w:t>
      </w:r>
      <w:r>
        <w:rPr>
          <w:rFonts w:hint="eastAsia" w:ascii="仿宋_GB2312" w:eastAsia="仿宋_GB2312"/>
          <w:color w:val="auto"/>
          <w:sz w:val="32"/>
          <w:szCs w:val="32"/>
        </w:rPr>
        <w:t>公</w:t>
      </w:r>
      <w:r>
        <w:rPr>
          <w:rFonts w:hint="eastAsia" w:ascii="仿宋_GB2312" w:eastAsia="仿宋_GB2312"/>
          <w:sz w:val="32"/>
          <w:szCs w:val="32"/>
        </w:rPr>
        <w:t>务接待费支出决算比</w:t>
      </w:r>
      <w:r>
        <w:rPr>
          <w:rFonts w:ascii="仿宋_GB2312" w:eastAsia="仿宋_GB2312"/>
          <w:sz w:val="32"/>
          <w:szCs w:val="32"/>
        </w:rPr>
        <w:t>20</w:t>
      </w:r>
      <w:r>
        <w:rPr>
          <w:rFonts w:hint="eastAsia" w:ascii="仿宋_GB2312" w:eastAsia="仿宋_GB2312"/>
          <w:sz w:val="32"/>
          <w:szCs w:val="32"/>
        </w:rPr>
        <w:t>20年度减少3.67万元，下降50.6</w:t>
      </w:r>
      <w:r>
        <w:rPr>
          <w:rFonts w:ascii="仿宋_GB2312" w:eastAsia="仿宋_GB2312"/>
          <w:sz w:val="32"/>
          <w:szCs w:val="32"/>
        </w:rPr>
        <w:t>%</w:t>
      </w:r>
      <w:r>
        <w:rPr>
          <w:rFonts w:hint="eastAsia" w:ascii="仿宋_GB2312" w:eastAsia="仿宋_GB2312"/>
          <w:sz w:val="32"/>
          <w:szCs w:val="32"/>
        </w:rPr>
        <w:t>。主要原因是疫情原因公务接待减少。其中：</w:t>
      </w:r>
    </w:p>
    <w:p>
      <w:pPr>
        <w:spacing w:line="600" w:lineRule="exact"/>
        <w:ind w:firstLine="640"/>
        <w:rPr>
          <w:rFonts w:ascii="仿宋_GB2312" w:eastAsia="仿宋_GB2312"/>
          <w:sz w:val="32"/>
          <w:szCs w:val="32"/>
        </w:rPr>
      </w:pPr>
      <w:r>
        <w:rPr>
          <w:rFonts w:hint="eastAsia" w:ascii="仿宋" w:hAnsi="仿宋" w:eastAsia="仿宋"/>
          <w:b/>
          <w:sz w:val="32"/>
          <w:szCs w:val="32"/>
        </w:rPr>
        <w:t>国内公务接待支出</w:t>
      </w:r>
      <w:r>
        <w:rPr>
          <w:rFonts w:hint="eastAsia" w:ascii="仿宋" w:hAnsi="仿宋" w:eastAsia="仿宋"/>
          <w:sz w:val="32"/>
          <w:szCs w:val="32"/>
        </w:rPr>
        <w:t>3.58</w:t>
      </w:r>
      <w:r>
        <w:rPr>
          <w:rFonts w:hint="eastAsia" w:ascii="仿宋_GB2312" w:eastAsia="仿宋_GB2312"/>
          <w:sz w:val="32"/>
          <w:szCs w:val="32"/>
        </w:rPr>
        <w:t>万元，主要用于执法监督、普法宣传、社区矫正、安置帮教等司法行政工作执行公务、开展业务活动开支的交通费、住宿费、用餐费等。国内公务接待42批次，265人次（不包括陪同人员），共计支出3.58万元，具体内容包括：上级部门及各县区来苍指导工作及考察学习等公务接待支出。</w:t>
      </w:r>
    </w:p>
    <w:p>
      <w:pPr>
        <w:spacing w:line="600" w:lineRule="exact"/>
        <w:ind w:firstLine="643" w:firstLineChars="200"/>
        <w:rPr>
          <w:rFonts w:ascii="黑体" w:eastAsia="黑体"/>
          <w:sz w:val="32"/>
          <w:szCs w:val="32"/>
        </w:rPr>
      </w:pPr>
      <w:r>
        <w:rPr>
          <w:rFonts w:hint="eastAsia" w:ascii="仿宋" w:hAnsi="仿宋" w:eastAsia="仿宋"/>
          <w:b/>
          <w:sz w:val="32"/>
          <w:szCs w:val="32"/>
        </w:rPr>
        <w:t>外事接待支出</w:t>
      </w:r>
      <w:r>
        <w:rPr>
          <w:rFonts w:hint="eastAsia" w:ascii="仿宋" w:hAnsi="仿宋" w:eastAsia="仿宋"/>
          <w:sz w:val="32"/>
          <w:szCs w:val="32"/>
        </w:rPr>
        <w:t>0</w:t>
      </w:r>
      <w:r>
        <w:rPr>
          <w:rFonts w:hint="eastAsia" w:ascii="仿宋_GB2312" w:eastAsia="仿宋_GB2312"/>
          <w:sz w:val="32"/>
          <w:szCs w:val="32"/>
        </w:rPr>
        <w:t>万元，外事接待0批次，0人，共计支出0万元。</w:t>
      </w:r>
      <w:bookmarkStart w:id="46" w:name="_Toc15377218"/>
      <w:bookmarkStart w:id="47" w:name="_Toc15396610"/>
    </w:p>
    <w:p>
      <w:pPr>
        <w:spacing w:line="600" w:lineRule="exact"/>
        <w:ind w:firstLine="640"/>
        <w:outlineLvl w:val="1"/>
        <w:rPr>
          <w:rStyle w:val="27"/>
          <w:rFonts w:ascii="黑体" w:hAnsi="黑体" w:eastAsia="黑体"/>
        </w:rPr>
      </w:pPr>
      <w:r>
        <w:rPr>
          <w:rFonts w:hint="eastAsia" w:ascii="黑体" w:eastAsia="黑体"/>
          <w:sz w:val="32"/>
          <w:szCs w:val="32"/>
        </w:rPr>
        <w:t>八、</w:t>
      </w:r>
      <w:r>
        <w:rPr>
          <w:rStyle w:val="27"/>
          <w:rFonts w:hint="eastAsia" w:ascii="黑体" w:hAnsi="黑体" w:eastAsia="黑体"/>
          <w:b w:val="0"/>
        </w:rPr>
        <w:t>政府性基金预算支出决算情况说明</w:t>
      </w:r>
      <w:bookmarkEnd w:id="46"/>
      <w:bookmarkEnd w:id="47"/>
    </w:p>
    <w:p>
      <w:pPr>
        <w:spacing w:line="600" w:lineRule="exact"/>
        <w:ind w:firstLine="64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21年度政府性基金预算财政拨款支出0万元。</w:t>
      </w:r>
    </w:p>
    <w:p>
      <w:pPr>
        <w:numPr>
          <w:ilvl w:val="0"/>
          <w:numId w:val="2"/>
        </w:numPr>
        <w:spacing w:line="600" w:lineRule="exact"/>
        <w:ind w:firstLine="640"/>
        <w:outlineLvl w:val="1"/>
        <w:rPr>
          <w:rStyle w:val="27"/>
          <w:rFonts w:ascii="黑体" w:hAnsi="黑体" w:eastAsia="黑体"/>
          <w:b w:val="0"/>
        </w:rPr>
      </w:pPr>
      <w:bookmarkStart w:id="48" w:name="_Toc15377219"/>
      <w:bookmarkStart w:id="49" w:name="_Toc15396611"/>
      <w:r>
        <w:rPr>
          <w:rStyle w:val="27"/>
          <w:rFonts w:hint="eastAsia" w:ascii="黑体" w:hAnsi="黑体" w:eastAsia="黑体"/>
          <w:b w:val="0"/>
        </w:rPr>
        <w:t>国有资本经营预算支出决算情况说明</w:t>
      </w:r>
      <w:bookmarkEnd w:id="48"/>
      <w:bookmarkEnd w:id="49"/>
    </w:p>
    <w:p>
      <w:pPr>
        <w:spacing w:line="600" w:lineRule="exact"/>
        <w:ind w:firstLine="64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21年度国有资本经营预算财政拨款支出0万元。</w:t>
      </w:r>
    </w:p>
    <w:p>
      <w:pPr>
        <w:numPr>
          <w:ilvl w:val="0"/>
          <w:numId w:val="2"/>
        </w:numPr>
        <w:spacing w:line="600" w:lineRule="exact"/>
        <w:ind w:firstLine="640"/>
        <w:outlineLvl w:val="1"/>
        <w:rPr>
          <w:rStyle w:val="27"/>
          <w:rFonts w:ascii="黑体" w:hAnsi="黑体" w:eastAsia="黑体"/>
          <w:b w:val="0"/>
        </w:rPr>
      </w:pPr>
      <w:bookmarkStart w:id="50" w:name="_Toc15377221"/>
      <w:bookmarkStart w:id="51" w:name="_Toc15396612"/>
      <w:r>
        <w:rPr>
          <w:rStyle w:val="27"/>
          <w:rFonts w:hint="eastAsia" w:ascii="黑体" w:hAnsi="黑体" w:eastAsia="黑体"/>
          <w:b w:val="0"/>
        </w:rPr>
        <w:t>其他重要事项的情况说明</w:t>
      </w:r>
      <w:bookmarkEnd w:id="50"/>
      <w:bookmarkEnd w:id="51"/>
    </w:p>
    <w:p>
      <w:pPr>
        <w:spacing w:line="600" w:lineRule="exact"/>
        <w:ind w:firstLine="643" w:firstLineChars="200"/>
        <w:outlineLvl w:val="2"/>
        <w:rPr>
          <w:rFonts w:ascii="仿宋" w:hAnsi="仿宋" w:eastAsia="仿宋"/>
          <w:sz w:val="32"/>
          <w:szCs w:val="32"/>
        </w:rPr>
      </w:pPr>
      <w:bookmarkStart w:id="52" w:name="_Toc15377222"/>
      <w:r>
        <w:rPr>
          <w:rFonts w:hint="eastAsia" w:ascii="仿宋" w:hAnsi="仿宋" w:eastAsia="仿宋"/>
          <w:b/>
          <w:sz w:val="32"/>
          <w:szCs w:val="32"/>
        </w:rPr>
        <w:t>（一）机关运行经费支出情况</w:t>
      </w:r>
      <w:bookmarkEnd w:id="52"/>
    </w:p>
    <w:p>
      <w:pPr>
        <w:spacing w:line="600" w:lineRule="exact"/>
        <w:ind w:firstLine="640" w:firstLineChars="20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21年度，苍溪县司法局机关运行经费支出98.04万元，比</w:t>
      </w:r>
      <w:r>
        <w:rPr>
          <w:rFonts w:ascii="仿宋_GB2312" w:eastAsia="仿宋_GB2312"/>
          <w:sz w:val="32"/>
          <w:szCs w:val="32"/>
        </w:rPr>
        <w:t>20</w:t>
      </w:r>
      <w:r>
        <w:rPr>
          <w:rFonts w:hint="eastAsia" w:ascii="仿宋_GB2312" w:eastAsia="仿宋_GB2312"/>
          <w:sz w:val="32"/>
          <w:szCs w:val="32"/>
        </w:rPr>
        <w:t>20年度减少54.11万元，下降35.6</w:t>
      </w:r>
      <w:r>
        <w:rPr>
          <w:rFonts w:ascii="仿宋_GB2312" w:eastAsia="仿宋_GB2312"/>
          <w:sz w:val="32"/>
          <w:szCs w:val="32"/>
        </w:rPr>
        <w:t>%</w:t>
      </w:r>
      <w:r>
        <w:rPr>
          <w:rFonts w:hint="eastAsia" w:ascii="仿宋_GB2312" w:eastAsia="仿宋_GB2312"/>
          <w:sz w:val="32"/>
          <w:szCs w:val="32"/>
        </w:rPr>
        <w:t>。主要原因是落实过紧日子的政策。</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53" w:name="_Toc15377223"/>
      <w:r>
        <w:rPr>
          <w:rFonts w:hint="eastAsia" w:ascii="仿宋" w:hAnsi="仿宋" w:eastAsia="仿宋"/>
          <w:b/>
          <w:sz w:val="32"/>
          <w:szCs w:val="32"/>
        </w:rPr>
        <w:t>（二）政府采购支出情况</w:t>
      </w:r>
      <w:bookmarkEnd w:id="53"/>
    </w:p>
    <w:p>
      <w:pPr>
        <w:spacing w:line="600" w:lineRule="exact"/>
        <w:ind w:firstLine="640" w:firstLineChars="200"/>
        <w:rPr>
          <w:rFonts w:ascii="仿宋_GB2312" w:eastAsia="仿宋_GB2312"/>
          <w:sz w:val="32"/>
          <w:szCs w:val="32"/>
        </w:rPr>
      </w:pPr>
      <w:r>
        <w:rPr>
          <w:rFonts w:ascii="仿宋_GB2312" w:eastAsia="仿宋_GB2312"/>
          <w:sz w:val="32"/>
          <w:szCs w:val="32"/>
        </w:rPr>
        <w:t>20</w:t>
      </w:r>
      <w:r>
        <w:rPr>
          <w:rFonts w:hint="eastAsia" w:ascii="仿宋_GB2312" w:eastAsia="仿宋_GB2312"/>
          <w:sz w:val="32"/>
          <w:szCs w:val="32"/>
        </w:rPr>
        <w:t>21年度，苍溪县司法局政府采购支出总额21.04万元，其中：政府采购货物支出21.04万元、政府采购工程支出0万元、政府采购服务支出0万元。主要用于司法所普法宣传等工日常作。授予中小企业合同金额21.04万元，占政府采购支出总额的100</w:t>
      </w:r>
      <w:r>
        <w:rPr>
          <w:rFonts w:ascii="仿宋_GB2312" w:eastAsia="仿宋_GB2312"/>
          <w:sz w:val="32"/>
          <w:szCs w:val="32"/>
        </w:rPr>
        <w:t>%</w:t>
      </w:r>
      <w:r>
        <w:rPr>
          <w:rFonts w:hint="eastAsia" w:ascii="仿宋_GB2312" w:eastAsia="仿宋_GB2312"/>
          <w:sz w:val="32"/>
          <w:szCs w:val="32"/>
        </w:rPr>
        <w:t>，其中：授予小微企业合同金额21.04万元，占政府采购支出总额的100</w:t>
      </w:r>
      <w:r>
        <w:rPr>
          <w:rFonts w:ascii="仿宋_GB2312" w:eastAsia="仿宋_GB2312"/>
          <w:sz w:val="32"/>
          <w:szCs w:val="32"/>
        </w:rPr>
        <w:t>%</w:t>
      </w:r>
      <w:r>
        <w:rPr>
          <w:rFonts w:hint="eastAsia" w:ascii="仿宋_GB2312" w:eastAsia="仿宋_GB2312"/>
          <w:sz w:val="32"/>
          <w:szCs w:val="32"/>
        </w:rPr>
        <w:t>。</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54" w:name="_Toc15377224"/>
      <w:r>
        <w:rPr>
          <w:rFonts w:hint="eastAsia" w:ascii="仿宋" w:hAnsi="仿宋" w:eastAsia="仿宋"/>
          <w:b/>
          <w:sz w:val="32"/>
          <w:szCs w:val="32"/>
        </w:rPr>
        <w:t>（三）国有资产占有使用情况</w:t>
      </w:r>
      <w:bookmarkEnd w:id="54"/>
    </w:p>
    <w:p>
      <w:pPr>
        <w:autoSpaceDE w:val="0"/>
        <w:autoSpaceDN w:val="0"/>
        <w:adjustRightInd w:val="0"/>
        <w:spacing w:line="600" w:lineRule="exact"/>
        <w:ind w:firstLine="640" w:firstLineChars="200"/>
        <w:jc w:val="left"/>
        <w:rPr>
          <w:rFonts w:ascii="仿宋_GB2312" w:eastAsia="仿宋_GB2312"/>
          <w:sz w:val="32"/>
          <w:szCs w:val="32"/>
        </w:rPr>
      </w:pPr>
      <w:r>
        <w:rPr>
          <w:rFonts w:hint="eastAsia" w:ascii="仿宋_GB2312" w:eastAsia="仿宋_GB2312"/>
          <w:sz w:val="32"/>
          <w:szCs w:val="32"/>
        </w:rPr>
        <w:t>截至</w:t>
      </w:r>
      <w:r>
        <w:rPr>
          <w:rFonts w:ascii="仿宋_GB2312" w:eastAsia="仿宋_GB2312"/>
          <w:sz w:val="32"/>
          <w:szCs w:val="32"/>
        </w:rPr>
        <w:t>20</w:t>
      </w:r>
      <w:r>
        <w:rPr>
          <w:rFonts w:hint="eastAsia" w:ascii="仿宋_GB2312" w:eastAsia="仿宋_GB2312"/>
          <w:sz w:val="32"/>
          <w:szCs w:val="32"/>
        </w:rPr>
        <w:t>21年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日，苍溪县司法局共有车辆4辆，其中：主要领导干部用车0辆、机要通信用车0辆、应急保障用车0辆、其他用车4辆，其他用车主要是用于执法监督、普法宣传、社区矫正、安置帮教等司法行政工作。单价</w:t>
      </w:r>
      <w:r>
        <w:rPr>
          <w:rFonts w:ascii="仿宋_GB2312" w:eastAsia="仿宋_GB2312"/>
          <w:sz w:val="32"/>
          <w:szCs w:val="32"/>
        </w:rPr>
        <w:t>50</w:t>
      </w:r>
      <w:r>
        <w:rPr>
          <w:rFonts w:hint="eastAsia" w:ascii="仿宋_GB2312" w:eastAsia="仿宋_GB2312"/>
          <w:sz w:val="32"/>
          <w:szCs w:val="32"/>
        </w:rPr>
        <w:t>万元以上通用设备0台（套），单价</w:t>
      </w:r>
      <w:r>
        <w:rPr>
          <w:rFonts w:ascii="仿宋_GB2312" w:eastAsia="仿宋_GB2312"/>
          <w:sz w:val="32"/>
          <w:szCs w:val="32"/>
        </w:rPr>
        <w:t>100</w:t>
      </w:r>
      <w:r>
        <w:rPr>
          <w:rFonts w:hint="eastAsia" w:ascii="仿宋_GB2312" w:eastAsia="仿宋_GB2312"/>
          <w:sz w:val="32"/>
          <w:szCs w:val="32"/>
        </w:rPr>
        <w:t>万元以上专用设备0台（套）。</w:t>
      </w:r>
    </w:p>
    <w:p>
      <w:pPr>
        <w:autoSpaceDE w:val="0"/>
        <w:autoSpaceDN w:val="0"/>
        <w:adjustRightInd w:val="0"/>
        <w:spacing w:line="600" w:lineRule="exact"/>
        <w:ind w:firstLine="643" w:firstLineChars="200"/>
        <w:jc w:val="left"/>
        <w:outlineLvl w:val="2"/>
        <w:rPr>
          <w:rFonts w:ascii="仿宋" w:hAnsi="仿宋" w:eastAsia="仿宋"/>
          <w:b/>
          <w:sz w:val="32"/>
          <w:szCs w:val="32"/>
        </w:rPr>
      </w:pPr>
      <w:r>
        <w:rPr>
          <w:rFonts w:hint="eastAsia" w:ascii="仿宋" w:hAnsi="仿宋" w:eastAsia="仿宋"/>
          <w:b/>
          <w:sz w:val="32"/>
          <w:szCs w:val="32"/>
        </w:rPr>
        <w:t>（四）预算绩效管理情况</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根据预算绩效管理要求，本部门在2021年度预算编制阶段，组织对苍溪县司法局社区矫正、普法宣传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其他司法支出</w:t>
      </w:r>
      <w:r>
        <w:rPr>
          <w:rFonts w:hint="eastAsia" w:ascii="仿宋_GB2312" w:hAnsi="仿宋_GB2312" w:eastAsia="仿宋_GB2312" w:cs="仿宋_GB2312"/>
          <w:sz w:val="32"/>
          <w:szCs w:val="32"/>
        </w:rPr>
        <w:t>等</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个项目开展了预算事前绩效评估，对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个项目编制了绩效目标，预算执行过程中，选取</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个项目开展绩效监控，年终执行完毕后，对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个项目开展了绩效自评。同时，本部门对2021年度部门整体开展绩效自评，《2021年度苍溪县司法局部门整体绩效评价报告》见附件（第四部分）。</w:t>
      </w:r>
    </w:p>
    <w:p>
      <w:pPr>
        <w:widowControl/>
        <w:jc w:val="left"/>
        <w:rPr>
          <w:rFonts w:ascii="仿宋_GB2312" w:eastAsia="仿宋_GB2312"/>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pStyle w:val="2"/>
        <w:spacing w:before="93"/>
        <w:rPr>
          <w:b/>
          <w:sz w:val="32"/>
          <w:szCs w:val="32"/>
        </w:rPr>
      </w:pPr>
    </w:p>
    <w:p>
      <w:pPr>
        <w:numPr>
          <w:ilvl w:val="0"/>
          <w:numId w:val="3"/>
        </w:numPr>
        <w:spacing w:line="600" w:lineRule="exact"/>
        <w:ind w:firstLine="660" w:firstLineChars="150"/>
        <w:jc w:val="center"/>
        <w:outlineLvl w:val="0"/>
        <w:rPr>
          <w:rStyle w:val="26"/>
          <w:rFonts w:ascii="黑体" w:hAnsi="黑体" w:eastAsia="黑体"/>
          <w:b w:val="0"/>
        </w:rPr>
      </w:pPr>
      <w:bookmarkStart w:id="55" w:name="_Toc15396613"/>
      <w:bookmarkStart w:id="56" w:name="_Toc15377225"/>
      <w:r>
        <w:rPr>
          <w:rFonts w:hint="eastAsia" w:ascii="黑体" w:hAnsi="黑体" w:eastAsia="黑体"/>
          <w:sz w:val="44"/>
          <w:szCs w:val="44"/>
        </w:rPr>
        <w:t>名</w:t>
      </w:r>
      <w:r>
        <w:rPr>
          <w:rStyle w:val="26"/>
          <w:rFonts w:hint="eastAsia" w:ascii="黑体" w:hAnsi="黑体" w:eastAsia="黑体"/>
          <w:b w:val="0"/>
        </w:rPr>
        <w:t>词解释</w:t>
      </w:r>
      <w:bookmarkEnd w:id="55"/>
      <w:bookmarkEnd w:id="56"/>
    </w:p>
    <w:p>
      <w:pPr>
        <w:spacing w:line="600" w:lineRule="exact"/>
        <w:jc w:val="left"/>
        <w:rPr>
          <w:rFonts w:ascii="宋体"/>
          <w:b/>
          <w:sz w:val="44"/>
          <w:szCs w:val="44"/>
        </w:rPr>
      </w:pPr>
    </w:p>
    <w:p>
      <w:pPr>
        <w:pStyle w:val="24"/>
        <w:spacing w:line="576" w:lineRule="exact"/>
        <w:ind w:firstLine="640" w:firstLineChars="200"/>
        <w:rPr>
          <w:rFonts w:ascii="仿宋_GB2312" w:eastAsia="仿宋_GB2312"/>
          <w:color w:val="auto"/>
          <w:sz w:val="32"/>
          <w:szCs w:val="32"/>
        </w:rPr>
      </w:pPr>
      <w:r>
        <w:rPr>
          <w:rFonts w:ascii="仿宋_GB2312" w:eastAsia="仿宋_GB2312"/>
          <w:color w:val="auto"/>
          <w:sz w:val="32"/>
          <w:szCs w:val="32"/>
        </w:rPr>
        <w:t>1</w:t>
      </w:r>
      <w:r>
        <w:rPr>
          <w:rFonts w:hint="eastAsia" w:ascii="仿宋_GB2312" w:eastAsia="仿宋_GB2312"/>
          <w:color w:val="auto"/>
          <w:sz w:val="32"/>
          <w:szCs w:val="32"/>
        </w:rPr>
        <w:t>．财政拨款收入：指单位从同级财政部门取得的财政预算资金。</w:t>
      </w:r>
    </w:p>
    <w:p>
      <w:pPr>
        <w:pStyle w:val="24"/>
        <w:spacing w:line="576"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eastAsia="zh-CN"/>
        </w:rPr>
        <w:t>２</w:t>
      </w:r>
      <w:r>
        <w:rPr>
          <w:rFonts w:hint="eastAsia" w:ascii="仿宋_GB2312" w:eastAsia="仿宋_GB2312"/>
          <w:color w:val="auto"/>
          <w:sz w:val="32"/>
          <w:szCs w:val="32"/>
        </w:rPr>
        <w:t>．其他收入：指单位取得的除上述收入以外的各项收入。主要是司法部、法制日报、全国公证协会、全国律师协会等为单位的捐赠收入。</w:t>
      </w:r>
      <w:r>
        <w:rPr>
          <w:rFonts w:ascii="仿宋_GB2312" w:eastAsia="仿宋_GB2312"/>
          <w:color w:val="auto"/>
          <w:sz w:val="32"/>
          <w:szCs w:val="32"/>
        </w:rPr>
        <w:t xml:space="preserve"> </w:t>
      </w:r>
    </w:p>
    <w:p>
      <w:pPr>
        <w:pStyle w:val="24"/>
        <w:spacing w:line="576"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eastAsia="zh-CN"/>
        </w:rPr>
        <w:t>３</w:t>
      </w:r>
      <w:r>
        <w:rPr>
          <w:rFonts w:hint="eastAsia" w:ascii="仿宋_GB2312" w:eastAsia="仿宋_GB2312"/>
          <w:color w:val="auto"/>
          <w:sz w:val="32"/>
          <w:szCs w:val="32"/>
        </w:rPr>
        <w:t>．年初结转和结余：指以前年度尚未完成、结转到本年按有关规定继续使用的资金。</w:t>
      </w:r>
      <w:r>
        <w:rPr>
          <w:rFonts w:ascii="仿宋_GB2312" w:eastAsia="仿宋_GB2312"/>
          <w:color w:val="auto"/>
          <w:sz w:val="32"/>
          <w:szCs w:val="32"/>
        </w:rPr>
        <w:t xml:space="preserve"> </w:t>
      </w:r>
    </w:p>
    <w:p>
      <w:pPr>
        <w:pStyle w:val="24"/>
        <w:spacing w:line="576"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4</w:t>
      </w:r>
      <w:r>
        <w:rPr>
          <w:rFonts w:hint="eastAsia" w:ascii="仿宋_GB2312" w:eastAsia="仿宋_GB2312"/>
          <w:color w:val="auto"/>
          <w:sz w:val="32"/>
          <w:szCs w:val="32"/>
        </w:rPr>
        <w:t>．年末结转和结余：指单位按有关规定结转到下年或以后年度继续使用的资金。</w:t>
      </w:r>
    </w:p>
    <w:p>
      <w:pPr>
        <w:spacing w:line="576" w:lineRule="exact"/>
        <w:ind w:firstLine="640" w:firstLineChars="200"/>
        <w:rPr>
          <w:rFonts w:ascii="仿宋_GB2312" w:eastAsia="仿宋_GB2312"/>
          <w:sz w:val="32"/>
          <w:szCs w:val="32"/>
          <w:highlight w:val="none"/>
        </w:rPr>
      </w:pPr>
      <w:r>
        <w:rPr>
          <w:rFonts w:hint="eastAsia" w:ascii="仿宋_GB2312" w:eastAsia="仿宋_GB2312"/>
          <w:sz w:val="32"/>
          <w:szCs w:val="32"/>
          <w:lang w:val="en-US" w:eastAsia="zh-CN"/>
        </w:rPr>
        <w:t>5</w:t>
      </w:r>
      <w:r>
        <w:rPr>
          <w:rFonts w:hint="eastAsia" w:ascii="仿宋_GB2312" w:eastAsia="仿宋_GB2312"/>
          <w:sz w:val="32"/>
          <w:szCs w:val="32"/>
        </w:rPr>
        <w:t>．公共安全（类）司法（款）</w:t>
      </w:r>
      <w:r>
        <w:rPr>
          <w:rFonts w:hint="eastAsia" w:ascii="仿宋_GB2312" w:eastAsia="仿宋_GB2312"/>
          <w:sz w:val="32"/>
          <w:szCs w:val="32"/>
          <w:highlight w:val="none"/>
        </w:rPr>
        <w:t>行政运行（项）: 指司法行政事务</w:t>
      </w:r>
      <w:r>
        <w:rPr>
          <w:rFonts w:hint="eastAsia" w:ascii="仿宋_GB2312" w:eastAsia="仿宋_GB2312"/>
          <w:sz w:val="32"/>
          <w:szCs w:val="32"/>
          <w:highlight w:val="none"/>
          <w:lang w:val="en-US" w:eastAsia="zh-CN"/>
        </w:rPr>
        <w:t>基本</w:t>
      </w:r>
      <w:r>
        <w:rPr>
          <w:rFonts w:hint="eastAsia" w:ascii="仿宋_GB2312" w:eastAsia="仿宋_GB2312"/>
          <w:sz w:val="32"/>
          <w:szCs w:val="32"/>
          <w:highlight w:val="none"/>
        </w:rPr>
        <w:t>支出。</w:t>
      </w:r>
    </w:p>
    <w:p>
      <w:pPr>
        <w:spacing w:line="576" w:lineRule="exact"/>
        <w:ind w:firstLine="640" w:firstLineChars="200"/>
        <w:rPr>
          <w:rFonts w:ascii="仿宋_GB2312" w:eastAsia="仿宋_GB2312"/>
          <w:sz w:val="32"/>
          <w:szCs w:val="32"/>
        </w:rPr>
      </w:pPr>
      <w:r>
        <w:rPr>
          <w:rFonts w:hint="eastAsia" w:ascii="仿宋_GB2312" w:eastAsia="仿宋_GB2312"/>
          <w:sz w:val="32"/>
          <w:szCs w:val="32"/>
          <w:lang w:val="en-US" w:eastAsia="zh-CN"/>
        </w:rPr>
        <w:t>6</w:t>
      </w:r>
      <w:r>
        <w:rPr>
          <w:rFonts w:hint="eastAsia" w:ascii="仿宋_GB2312" w:eastAsia="仿宋_GB2312"/>
          <w:sz w:val="32"/>
          <w:szCs w:val="32"/>
        </w:rPr>
        <w:t>．公共安全（类）司法（款）普法宣传（项）：指各级司法行政部门用于组织各种媒体的宣传、普法装备与设施、宣传资料、对外宣传、法制作品的审读评审等方面的支出。</w:t>
      </w:r>
    </w:p>
    <w:p>
      <w:pPr>
        <w:spacing w:line="576" w:lineRule="exact"/>
        <w:ind w:firstLine="640" w:firstLineChars="200"/>
        <w:rPr>
          <w:rFonts w:ascii="仿宋_GB2312" w:eastAsia="仿宋_GB2312"/>
          <w:sz w:val="32"/>
          <w:szCs w:val="32"/>
        </w:rPr>
      </w:pPr>
      <w:r>
        <w:rPr>
          <w:rFonts w:hint="eastAsia" w:ascii="仿宋_GB2312" w:eastAsia="仿宋_GB2312"/>
          <w:sz w:val="32"/>
          <w:szCs w:val="32"/>
          <w:lang w:val="en-US" w:eastAsia="zh-CN"/>
        </w:rPr>
        <w:t>7</w:t>
      </w:r>
      <w:r>
        <w:rPr>
          <w:rFonts w:hint="eastAsia" w:ascii="仿宋_GB2312" w:eastAsia="仿宋_GB2312"/>
          <w:sz w:val="32"/>
          <w:szCs w:val="32"/>
        </w:rPr>
        <w:t>．公共安全（类）司法（款）</w:t>
      </w:r>
      <w:r>
        <w:rPr>
          <w:rFonts w:hint="eastAsia" w:ascii="仿宋_GB2312" w:eastAsia="仿宋_GB2312"/>
          <w:sz w:val="32"/>
          <w:szCs w:val="32"/>
          <w:lang w:val="en-US" w:eastAsia="zh-CN"/>
        </w:rPr>
        <w:t>公共法律服务</w:t>
      </w:r>
      <w:r>
        <w:rPr>
          <w:rFonts w:hint="eastAsia" w:ascii="仿宋_GB2312" w:eastAsia="仿宋_GB2312"/>
          <w:sz w:val="32"/>
          <w:szCs w:val="32"/>
        </w:rPr>
        <w:t>（项）：指各级法律援助机构用于开展</w:t>
      </w:r>
      <w:r>
        <w:rPr>
          <w:rFonts w:hint="eastAsia" w:ascii="仿宋_GB2312" w:eastAsia="仿宋_GB2312"/>
          <w:sz w:val="32"/>
          <w:szCs w:val="32"/>
          <w:lang w:val="en-US" w:eastAsia="zh-CN"/>
        </w:rPr>
        <w:t>公共法律服务</w:t>
      </w:r>
      <w:r>
        <w:rPr>
          <w:rFonts w:hint="eastAsia" w:ascii="仿宋_GB2312" w:eastAsia="仿宋_GB2312"/>
          <w:sz w:val="32"/>
          <w:szCs w:val="32"/>
        </w:rPr>
        <w:t>工作的支出。</w:t>
      </w:r>
    </w:p>
    <w:p>
      <w:pPr>
        <w:spacing w:line="576" w:lineRule="exact"/>
        <w:ind w:firstLine="640" w:firstLineChars="200"/>
        <w:rPr>
          <w:rFonts w:ascii="仿宋_GB2312" w:eastAsia="仿宋_GB2312"/>
          <w:sz w:val="32"/>
          <w:szCs w:val="32"/>
        </w:rPr>
      </w:pPr>
      <w:r>
        <w:rPr>
          <w:rFonts w:hint="eastAsia" w:ascii="仿宋_GB2312" w:eastAsia="仿宋_GB2312"/>
          <w:sz w:val="32"/>
          <w:szCs w:val="32"/>
          <w:lang w:val="en-US" w:eastAsia="zh-CN"/>
        </w:rPr>
        <w:t>8</w:t>
      </w:r>
      <w:r>
        <w:rPr>
          <w:rFonts w:hint="eastAsia" w:ascii="仿宋_GB2312" w:eastAsia="仿宋_GB2312"/>
          <w:sz w:val="32"/>
          <w:szCs w:val="32"/>
        </w:rPr>
        <w:t>．公共安全（类）司法（款）社区矫正（项）：指司法行政部门用于社区矫正的支出。</w:t>
      </w:r>
    </w:p>
    <w:p>
      <w:pPr>
        <w:spacing w:line="576" w:lineRule="exact"/>
        <w:ind w:firstLine="640" w:firstLineChars="200"/>
        <w:rPr>
          <w:rFonts w:ascii="仿宋_GB2312" w:eastAsia="仿宋_GB2312"/>
          <w:sz w:val="32"/>
          <w:szCs w:val="32"/>
        </w:rPr>
      </w:pPr>
      <w:r>
        <w:rPr>
          <w:rFonts w:hint="eastAsia" w:ascii="仿宋_GB2312" w:eastAsia="仿宋_GB2312"/>
          <w:sz w:val="32"/>
          <w:szCs w:val="32"/>
          <w:lang w:val="en-US" w:eastAsia="zh-CN"/>
        </w:rPr>
        <w:t>9</w:t>
      </w:r>
      <w:r>
        <w:rPr>
          <w:rFonts w:hint="eastAsia" w:ascii="仿宋_GB2312" w:eastAsia="仿宋_GB2312"/>
          <w:sz w:val="32"/>
          <w:szCs w:val="32"/>
        </w:rPr>
        <w:t>．公共安全（类）司法（款）</w:t>
      </w:r>
      <w:r>
        <w:rPr>
          <w:rFonts w:hint="eastAsia" w:ascii="仿宋_GB2312" w:eastAsia="仿宋_GB2312"/>
          <w:sz w:val="32"/>
          <w:szCs w:val="32"/>
          <w:highlight w:val="none"/>
        </w:rPr>
        <w:t>其他司法支出</w:t>
      </w:r>
      <w:r>
        <w:rPr>
          <w:rFonts w:hint="eastAsia" w:ascii="仿宋_GB2312" w:eastAsia="仿宋_GB2312"/>
          <w:sz w:val="32"/>
          <w:szCs w:val="32"/>
          <w:highlight w:val="none"/>
          <w:lang w:eastAsia="zh-CN"/>
        </w:rPr>
        <w:t>（</w:t>
      </w:r>
      <w:r>
        <w:rPr>
          <w:rFonts w:hint="eastAsia" w:ascii="仿宋_GB2312" w:eastAsia="仿宋_GB2312"/>
          <w:sz w:val="32"/>
          <w:szCs w:val="32"/>
          <w:highlight w:val="none"/>
          <w:lang w:val="en-US" w:eastAsia="zh-CN"/>
        </w:rPr>
        <w:t>项）</w:t>
      </w:r>
      <w:r>
        <w:rPr>
          <w:rFonts w:hint="eastAsia" w:ascii="仿宋_GB2312" w:eastAsia="仿宋_GB2312"/>
          <w:sz w:val="32"/>
          <w:szCs w:val="32"/>
          <w:highlight w:val="none"/>
        </w:rPr>
        <w:t>：反</w:t>
      </w:r>
      <w:r>
        <w:rPr>
          <w:rFonts w:hint="eastAsia" w:ascii="仿宋_GB2312" w:eastAsia="仿宋_GB2312"/>
          <w:sz w:val="32"/>
          <w:szCs w:val="32"/>
        </w:rPr>
        <w:t>映司法行政部门发生的人民调解、安置帮教、法制政府、执法监督、扶贫帮扶、业务办案经费及业务装备等支出。</w:t>
      </w:r>
    </w:p>
    <w:p>
      <w:pPr>
        <w:spacing w:line="576" w:lineRule="exact"/>
        <w:ind w:firstLine="640" w:firstLineChars="200"/>
        <w:rPr>
          <w:rFonts w:ascii="仿宋_GB2312" w:eastAsia="仿宋_GB2312"/>
          <w:sz w:val="32"/>
          <w:szCs w:val="32"/>
        </w:rPr>
      </w:pPr>
      <w:r>
        <w:rPr>
          <w:rFonts w:hint="eastAsia" w:ascii="仿宋_GB2312" w:eastAsia="仿宋_GB2312"/>
          <w:sz w:val="32"/>
          <w:szCs w:val="32"/>
        </w:rPr>
        <w:t>1</w:t>
      </w:r>
      <w:r>
        <w:rPr>
          <w:rFonts w:hint="eastAsia" w:ascii="仿宋_GB2312" w:eastAsia="仿宋_GB2312"/>
          <w:sz w:val="32"/>
          <w:szCs w:val="32"/>
          <w:lang w:val="en-US" w:eastAsia="zh-CN"/>
        </w:rPr>
        <w:t>0</w:t>
      </w:r>
      <w:r>
        <w:rPr>
          <w:rFonts w:hint="eastAsia" w:ascii="仿宋_GB2312" w:eastAsia="仿宋_GB2312"/>
          <w:sz w:val="32"/>
          <w:szCs w:val="32"/>
        </w:rPr>
        <w:t>．社会保障和就业（类）行政事业单位养老支出（款）机关事业单位基本养老保险缴费支出（项）：指机关事业单位实施养老保险制度由单位缴纳的基本养老保险费支出。</w:t>
      </w:r>
    </w:p>
    <w:p>
      <w:pPr>
        <w:spacing w:line="576" w:lineRule="exact"/>
        <w:ind w:firstLine="640" w:firstLineChars="200"/>
        <w:rPr>
          <w:rFonts w:ascii="仿宋_GB2312" w:eastAsia="仿宋_GB2312"/>
          <w:sz w:val="32"/>
          <w:szCs w:val="32"/>
        </w:rPr>
      </w:pPr>
      <w:r>
        <w:rPr>
          <w:rFonts w:hint="eastAsia" w:ascii="仿宋_GB2312" w:eastAsia="仿宋_GB2312"/>
          <w:color w:val="auto"/>
          <w:sz w:val="32"/>
          <w:szCs w:val="32"/>
        </w:rPr>
        <w:t>1</w:t>
      </w:r>
      <w:r>
        <w:rPr>
          <w:rFonts w:hint="eastAsia" w:ascii="仿宋_GB2312" w:eastAsia="仿宋_GB2312"/>
          <w:color w:val="auto"/>
          <w:sz w:val="32"/>
          <w:szCs w:val="32"/>
          <w:lang w:val="en-US" w:eastAsia="zh-CN"/>
        </w:rPr>
        <w:t>1．</w:t>
      </w:r>
      <w:r>
        <w:rPr>
          <w:rFonts w:hint="eastAsia" w:ascii="仿宋_GB2312" w:eastAsia="仿宋_GB2312"/>
          <w:sz w:val="32"/>
          <w:szCs w:val="32"/>
        </w:rPr>
        <w:t>卫生健康支出（类）行政事业单位医疗（款）行政单位医疗（项）：指财政部门集中安排的行政单位基本医疗保险缴费经费。</w:t>
      </w:r>
    </w:p>
    <w:p>
      <w:pPr>
        <w:spacing w:line="576" w:lineRule="exact"/>
        <w:ind w:firstLine="640" w:firstLineChars="200"/>
        <w:rPr>
          <w:rFonts w:ascii="仿宋_GB2312" w:eastAsia="仿宋_GB2312"/>
          <w:sz w:val="32"/>
          <w:szCs w:val="32"/>
        </w:rPr>
      </w:pPr>
      <w:r>
        <w:rPr>
          <w:rFonts w:hint="eastAsia" w:ascii="仿宋_GB2312" w:eastAsia="仿宋_GB2312"/>
          <w:color w:val="auto"/>
          <w:sz w:val="32"/>
          <w:szCs w:val="32"/>
        </w:rPr>
        <w:t>1</w:t>
      </w:r>
      <w:r>
        <w:rPr>
          <w:rFonts w:hint="eastAsia" w:ascii="仿宋_GB2312" w:eastAsia="仿宋_GB2312"/>
          <w:color w:val="auto"/>
          <w:sz w:val="32"/>
          <w:szCs w:val="32"/>
          <w:lang w:val="en-US" w:eastAsia="zh-CN"/>
        </w:rPr>
        <w:t>2</w:t>
      </w:r>
      <w:r>
        <w:rPr>
          <w:rFonts w:hint="eastAsia" w:ascii="仿宋_GB2312" w:eastAsia="仿宋_GB2312"/>
          <w:color w:val="auto"/>
          <w:sz w:val="32"/>
          <w:szCs w:val="32"/>
        </w:rPr>
        <w:t>．</w:t>
      </w:r>
      <w:r>
        <w:rPr>
          <w:rFonts w:hint="eastAsia" w:ascii="仿宋_GB2312" w:eastAsia="仿宋_GB2312"/>
          <w:sz w:val="32"/>
          <w:szCs w:val="32"/>
        </w:rPr>
        <w:t>住房保障支出（类）住房改革支出（款）住房公积金（项）：反映行政事业单位按人力资源和社会保障部、财政部规定的基本工资和津贴补贴以及规定比例为职工缴纳的住房公积金。</w:t>
      </w:r>
    </w:p>
    <w:p>
      <w:pPr>
        <w:spacing w:line="576" w:lineRule="exact"/>
        <w:ind w:firstLine="640" w:firstLineChars="200"/>
        <w:rPr>
          <w:rFonts w:ascii="仿宋_GB2312" w:eastAsia="仿宋_GB2312"/>
          <w:sz w:val="32"/>
          <w:szCs w:val="32"/>
        </w:rPr>
      </w:pPr>
      <w:r>
        <w:rPr>
          <w:rFonts w:hint="eastAsia" w:ascii="仿宋_GB2312" w:eastAsia="仿宋_GB2312"/>
          <w:sz w:val="32"/>
          <w:szCs w:val="32"/>
          <w:lang w:val="en-US" w:eastAsia="zh-CN"/>
        </w:rPr>
        <w:t>13．</w:t>
      </w:r>
      <w:r>
        <w:rPr>
          <w:rFonts w:hint="eastAsia" w:ascii="仿宋_GB2312" w:eastAsia="仿宋_GB2312"/>
          <w:sz w:val="32"/>
          <w:szCs w:val="32"/>
        </w:rPr>
        <w:t>基本支出：指为保障机构正常运转、完成日常工作任务而发生的人员支出和公用支出。</w:t>
      </w:r>
    </w:p>
    <w:p>
      <w:pPr>
        <w:spacing w:line="576" w:lineRule="exact"/>
        <w:ind w:firstLine="640" w:firstLineChars="200"/>
        <w:rPr>
          <w:rFonts w:ascii="仿宋_GB2312" w:eastAsia="仿宋_GB2312"/>
          <w:sz w:val="32"/>
          <w:szCs w:val="32"/>
        </w:rPr>
      </w:pPr>
      <w:r>
        <w:rPr>
          <w:rFonts w:hint="eastAsia" w:ascii="仿宋_GB2312" w:eastAsia="仿宋_GB2312"/>
          <w:sz w:val="32"/>
          <w:szCs w:val="32"/>
          <w:lang w:val="en-US" w:eastAsia="zh-CN"/>
        </w:rPr>
        <w:t>14．</w:t>
      </w:r>
      <w:r>
        <w:rPr>
          <w:rFonts w:hint="eastAsia" w:ascii="仿宋_GB2312" w:eastAsia="仿宋_GB2312"/>
          <w:sz w:val="32"/>
          <w:szCs w:val="32"/>
        </w:rPr>
        <w:t>项目支出：指在基本支出之外为完成特定行政任务和事业发展目标所发生的支出。</w:t>
      </w:r>
      <w:r>
        <w:rPr>
          <w:rFonts w:ascii="仿宋_GB2312" w:eastAsia="仿宋_GB2312"/>
          <w:sz w:val="32"/>
          <w:szCs w:val="32"/>
        </w:rPr>
        <w:t xml:space="preserve"> </w:t>
      </w:r>
    </w:p>
    <w:p>
      <w:pPr>
        <w:pStyle w:val="24"/>
        <w:spacing w:line="576"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15．</w:t>
      </w:r>
      <w:r>
        <w:rPr>
          <w:rFonts w:hint="eastAsia" w:ascii="仿宋_GB2312" w:eastAsia="仿宋_GB2312"/>
          <w:color w:val="auto"/>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支出。</w:t>
      </w:r>
    </w:p>
    <w:p>
      <w:pPr>
        <w:pStyle w:val="24"/>
        <w:spacing w:line="576"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16．</w:t>
      </w:r>
      <w:r>
        <w:rPr>
          <w:rFonts w:hint="eastAsia" w:ascii="仿宋_GB2312" w:eastAsia="仿宋_GB2312"/>
          <w:color w:val="auto"/>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pStyle w:val="24"/>
        <w:spacing w:line="560" w:lineRule="exact"/>
        <w:ind w:firstLine="640" w:firstLineChars="200"/>
        <w:rPr>
          <w:rFonts w:ascii="仿宋_GB2312" w:eastAsia="仿宋_GB2312" w:cs="黑体"/>
          <w:color w:val="auto"/>
          <w:sz w:val="32"/>
          <w:szCs w:val="32"/>
        </w:rPr>
      </w:pPr>
    </w:p>
    <w:p>
      <w:pPr>
        <w:spacing w:line="600" w:lineRule="exact"/>
        <w:jc w:val="center"/>
        <w:outlineLvl w:val="0"/>
        <w:rPr>
          <w:rStyle w:val="26"/>
          <w:rFonts w:ascii="黑体" w:hAnsi="黑体" w:eastAsia="黑体"/>
          <w:b w:val="0"/>
        </w:rPr>
      </w:pPr>
      <w:bookmarkStart w:id="57" w:name="_Toc15396614"/>
      <w:bookmarkStart w:id="58" w:name="_Toc15377226"/>
      <w:r>
        <w:rPr>
          <w:rFonts w:hint="eastAsia" w:ascii="黑体" w:hAnsi="黑体" w:eastAsia="黑体"/>
          <w:sz w:val="44"/>
          <w:szCs w:val="44"/>
        </w:rPr>
        <w:t>第</w:t>
      </w:r>
      <w:r>
        <w:rPr>
          <w:rStyle w:val="26"/>
          <w:rFonts w:hint="eastAsia" w:ascii="黑体" w:hAnsi="黑体" w:eastAsia="黑体"/>
          <w:b w:val="0"/>
        </w:rPr>
        <w:t>四部分 附件</w:t>
      </w:r>
      <w:bookmarkEnd w:id="57"/>
    </w:p>
    <w:p>
      <w:pPr>
        <w:spacing w:line="572" w:lineRule="exact"/>
        <w:jc w:val="left"/>
        <w:outlineLvl w:val="0"/>
        <w:rPr>
          <w:rFonts w:ascii="方正小标宋简体" w:hAnsi="方正小标宋简体" w:eastAsia="方正小标宋简体" w:cs="方正小标宋简体"/>
          <w:sz w:val="44"/>
          <w:szCs w:val="44"/>
        </w:rPr>
      </w:pPr>
      <w:r>
        <w:rPr>
          <w:rFonts w:hint="eastAsia" w:ascii="黑体" w:hAnsi="黑体" w:eastAsia="黑体" w:cs="黑体"/>
          <w:sz w:val="32"/>
          <w:szCs w:val="32"/>
        </w:rPr>
        <w:t>附件</w:t>
      </w:r>
    </w:p>
    <w:p>
      <w:pPr>
        <w:spacing w:line="572" w:lineRule="exact"/>
        <w:jc w:val="center"/>
        <w:rPr>
          <w:rFonts w:ascii="方正小标宋简体" w:hAnsi="宋体" w:eastAsia="方正小标宋简体"/>
          <w:kern w:val="0"/>
          <w:sz w:val="40"/>
          <w:szCs w:val="44"/>
          <w:lang w:val="zh-CN"/>
        </w:rPr>
      </w:pPr>
      <w:r>
        <w:rPr>
          <w:rFonts w:hint="eastAsia" w:ascii="方正小标宋简体" w:hAnsi="宋体" w:eastAsia="方正小标宋简体"/>
          <w:kern w:val="0"/>
          <w:sz w:val="40"/>
          <w:szCs w:val="44"/>
        </w:rPr>
        <w:t>2021年</w:t>
      </w:r>
      <w:r>
        <w:rPr>
          <w:rFonts w:hint="eastAsia" w:ascii="方正小标宋简体" w:hAnsi="宋体" w:eastAsia="方正小标宋简体"/>
          <w:kern w:val="0"/>
          <w:sz w:val="40"/>
          <w:szCs w:val="44"/>
          <w:lang w:val="en-US" w:eastAsia="zh-CN"/>
        </w:rPr>
        <w:t>度</w:t>
      </w:r>
      <w:r>
        <w:rPr>
          <w:rFonts w:hint="eastAsia" w:ascii="方正小标宋简体" w:hAnsi="宋体" w:eastAsia="方正小标宋简体"/>
          <w:kern w:val="0"/>
          <w:sz w:val="40"/>
          <w:szCs w:val="44"/>
        </w:rPr>
        <w:t>苍溪县司法局部门整体绩效评价报告</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一、部门概况</w:t>
      </w:r>
    </w:p>
    <w:p>
      <w:pPr>
        <w:spacing w:line="560" w:lineRule="exact"/>
        <w:ind w:firstLine="640" w:firstLineChars="200"/>
        <w:rPr>
          <w:rFonts w:ascii="楷体_GB2312" w:hAnsi="仿宋" w:eastAsia="楷体_GB2312" w:cs="仿宋_GB2312"/>
          <w:sz w:val="32"/>
          <w:szCs w:val="32"/>
        </w:rPr>
      </w:pPr>
      <w:r>
        <w:rPr>
          <w:rFonts w:hint="eastAsia" w:ascii="楷体_GB2312" w:hAnsi="仿宋" w:eastAsia="楷体_GB2312" w:cs="仿宋_GB2312"/>
          <w:sz w:val="32"/>
          <w:szCs w:val="32"/>
        </w:rPr>
        <w:t>（一）机构组成</w:t>
      </w:r>
    </w:p>
    <w:p>
      <w:pPr>
        <w:spacing w:line="576" w:lineRule="exact"/>
        <w:ind w:firstLine="640" w:firstLineChars="200"/>
        <w:rPr>
          <w:rFonts w:eastAsia="仿宋_GB2312" w:cs="仿宋_GB2312"/>
          <w:color w:val="auto"/>
          <w:sz w:val="32"/>
          <w:szCs w:val="32"/>
          <w:highlight w:val="red"/>
          <w:lang w:bidi="ar"/>
        </w:rPr>
      </w:pPr>
      <w:r>
        <w:rPr>
          <w:rFonts w:hint="eastAsia" w:ascii="仿宋_GB2312" w:hAnsi="黑体" w:eastAsia="仿宋_GB2312"/>
          <w:color w:val="auto"/>
          <w:sz w:val="32"/>
          <w:szCs w:val="32"/>
        </w:rPr>
        <w:t>苍溪县司法局下属二级预算单</w:t>
      </w:r>
      <w:r>
        <w:rPr>
          <w:rFonts w:hint="eastAsia" w:ascii="仿宋_GB2312" w:hAnsi="黑体" w:eastAsia="仿宋_GB2312"/>
          <w:color w:val="auto"/>
          <w:sz w:val="32"/>
          <w:szCs w:val="32"/>
          <w:lang w:val="en-US" w:eastAsia="zh-CN"/>
        </w:rPr>
        <w:t>1</w:t>
      </w:r>
      <w:r>
        <w:rPr>
          <w:rFonts w:hint="eastAsia" w:ascii="仿宋_GB2312" w:hAnsi="黑体" w:eastAsia="仿宋_GB2312"/>
          <w:color w:val="auto"/>
          <w:sz w:val="32"/>
          <w:szCs w:val="32"/>
        </w:rPr>
        <w:t>个，其中行政单位</w:t>
      </w:r>
      <w:r>
        <w:rPr>
          <w:rFonts w:hint="eastAsia" w:ascii="仿宋_GB2312" w:hAnsi="黑体" w:eastAsia="仿宋_GB2312"/>
          <w:color w:val="auto"/>
          <w:sz w:val="32"/>
          <w:szCs w:val="32"/>
          <w:lang w:val="en-US" w:eastAsia="zh-CN"/>
        </w:rPr>
        <w:t>1</w:t>
      </w:r>
      <w:r>
        <w:rPr>
          <w:rFonts w:hint="eastAsia" w:ascii="仿宋_GB2312" w:hAnsi="黑体" w:eastAsia="仿宋_GB2312"/>
          <w:color w:val="auto"/>
          <w:sz w:val="32"/>
          <w:szCs w:val="32"/>
        </w:rPr>
        <w:t>个，参照公务员法管理的事业单位0个，其他事业单位0个。</w:t>
      </w:r>
    </w:p>
    <w:p>
      <w:pPr>
        <w:spacing w:line="560" w:lineRule="exact"/>
        <w:ind w:firstLine="640" w:firstLineChars="200"/>
        <w:rPr>
          <w:rFonts w:ascii="楷体_GB2312" w:hAnsi="仿宋" w:eastAsia="楷体_GB2312" w:cs="仿宋_GB2312"/>
          <w:sz w:val="32"/>
          <w:szCs w:val="32"/>
        </w:rPr>
      </w:pPr>
      <w:r>
        <w:rPr>
          <w:rFonts w:hint="eastAsia" w:ascii="楷体_GB2312" w:hAnsi="仿宋" w:eastAsia="楷体_GB2312" w:cs="仿宋_GB2312"/>
          <w:sz w:val="32"/>
          <w:szCs w:val="32"/>
        </w:rPr>
        <w:t>（二）机构职能</w:t>
      </w:r>
    </w:p>
    <w:p>
      <w:pPr>
        <w:snapToGrid w:val="0"/>
        <w:spacing w:line="580" w:lineRule="exact"/>
        <w:ind w:firstLine="640" w:firstLineChars="200"/>
        <w:rPr>
          <w:rFonts w:ascii="仿宋_GB2312" w:hAnsi="仿宋" w:eastAsia="仿宋_GB2312"/>
          <w:sz w:val="32"/>
          <w:szCs w:val="32"/>
        </w:rPr>
      </w:pPr>
      <w:r>
        <w:rPr>
          <w:rFonts w:hint="eastAsia" w:ascii="仿宋_GB2312" w:hAnsi="仿宋" w:eastAsia="仿宋_GB2312"/>
          <w:sz w:val="32"/>
          <w:szCs w:val="32"/>
        </w:rPr>
        <w:t>1．承担全面依法治国、依法治省、依法治市和依法治县重大问题的政策研究，协调有关方面提出全面依法治县规划建议，负责有关重大决策部署督察工作。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2．负责协调县政府各部门、各乡镇人民政府实施法律、法规、规章中的有关争议和问题。</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3．负责县政府规范性文件、重大行政决策发布前的合法性审查。承办县政府规范性文件的报送备案工作。负责县政府各部门、各乡镇人民政府规范性文件备案审查工作。组织开展县政府规范性文件清理。</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4．指导监督县政府各部门、各乡镇人民政府依法行政工作。负责综合协调、监督检查行政执法，承担推进行政执法体制改革有关工作，推进严格规范公正文明执法。</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5．指导监督全县行政复议、行政应诉和行政赔偿工作，承办向县政府申请的行政复议、行政赔偿案件，代理县政府行政应诉案件。</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6．承担县政府法律顾问的聘任和管理，组织县政府行政行为听证等工作。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7．负责全县行政执法主体、人员资格审查和行政执法证、监督检查证的审核管理及人员培训工作。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8．负责拟订法治宣传教育规划，组织实施普法宣传工作，组织对外法治宣传。</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9．推动人民参与和促进法治建设。指导依法治理和法治创建工作。指导人民调解、行政调解和行业性专业性调解等工作。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10．负责并指导人民监督员的选任管理工作。指导监督人民陪审员选任工作。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11．推进司法所建设。</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12．将安全生产、职业健康法律法规纳入公民普法教育重要内容并会同有关部门开展宣传普及。</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13．组织开展社区矫正工作、刑满释放人员帮教安置工作。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14．负责拟订全县公共法律服务体系建设规划并指导实施，统筹和布局全县城乡、区域法律服务资源。</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15．指导监督律师、法律援助、司法鉴定、公证、仲裁和基层法律服务工作。</w:t>
      </w:r>
    </w:p>
    <w:p>
      <w:pPr>
        <w:snapToGrid w:val="0"/>
        <w:spacing w:line="520" w:lineRule="exact"/>
        <w:ind w:firstLine="640" w:firstLineChars="200"/>
        <w:rPr>
          <w:rFonts w:ascii="仿宋" w:hAnsi="仿宋" w:eastAsia="仿宋"/>
          <w:bCs/>
          <w:sz w:val="32"/>
          <w:szCs w:val="32"/>
        </w:rPr>
      </w:pPr>
      <w:r>
        <w:rPr>
          <w:rFonts w:hint="eastAsia" w:ascii="仿宋_GB2312" w:hAnsi="仿宋" w:eastAsia="仿宋_GB2312"/>
          <w:sz w:val="32"/>
          <w:szCs w:val="32"/>
        </w:rPr>
        <w:t>16．承办县委和县政府交办的其他事项。</w:t>
      </w:r>
    </w:p>
    <w:p>
      <w:pPr>
        <w:spacing w:line="560" w:lineRule="exact"/>
        <w:ind w:firstLine="480" w:firstLineChars="150"/>
        <w:rPr>
          <w:rFonts w:ascii="楷体_GB2312" w:hAnsi="仿宋" w:eastAsia="楷体_GB2312" w:cs="仿宋_GB2312"/>
          <w:sz w:val="32"/>
          <w:szCs w:val="32"/>
        </w:rPr>
      </w:pPr>
      <w:r>
        <w:rPr>
          <w:rFonts w:hint="eastAsia" w:ascii="楷体_GB2312" w:hAnsi="仿宋" w:eastAsia="楷体_GB2312" w:cs="仿宋_GB2312"/>
          <w:sz w:val="32"/>
          <w:szCs w:val="32"/>
        </w:rPr>
        <w:t>（三）人员概况</w:t>
      </w: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截</w:t>
      </w:r>
      <w:r>
        <w:rPr>
          <w:rFonts w:hint="eastAsia" w:ascii="仿宋_GB2312" w:hAnsi="仿宋" w:eastAsia="仿宋_GB2312"/>
          <w:sz w:val="32"/>
          <w:szCs w:val="32"/>
          <w:lang w:val="en-US" w:eastAsia="zh-CN"/>
        </w:rPr>
        <w:t>至</w:t>
      </w:r>
      <w:r>
        <w:rPr>
          <w:rFonts w:hint="eastAsia" w:ascii="仿宋_GB2312" w:hAnsi="仿宋" w:eastAsia="仿宋_GB2312"/>
          <w:sz w:val="32"/>
          <w:szCs w:val="32"/>
        </w:rPr>
        <w:t>2021年12月31日，共有在编职工67人，临聘人员10人。</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二、部门财政资金收支情况</w:t>
      </w:r>
    </w:p>
    <w:p>
      <w:pPr>
        <w:spacing w:line="560" w:lineRule="exact"/>
        <w:ind w:firstLine="640" w:firstLineChars="200"/>
        <w:rPr>
          <w:rFonts w:ascii="楷体_GB2312" w:hAnsi="仿宋" w:eastAsia="楷体_GB2312" w:cs="仿宋_GB2312"/>
          <w:sz w:val="32"/>
          <w:szCs w:val="32"/>
        </w:rPr>
      </w:pPr>
      <w:r>
        <w:rPr>
          <w:rFonts w:hint="eastAsia" w:ascii="楷体_GB2312" w:hAnsi="仿宋" w:eastAsia="楷体_GB2312" w:cs="仿宋_GB2312"/>
          <w:sz w:val="32"/>
          <w:szCs w:val="32"/>
        </w:rPr>
        <w:t>（一）部门财政收入情况</w:t>
      </w:r>
    </w:p>
    <w:p>
      <w:pPr>
        <w:widowControl/>
        <w:shd w:val="clear" w:color="auto" w:fill="FFFFFF"/>
        <w:ind w:firstLine="640"/>
        <w:rPr>
          <w:rFonts w:hint="eastAsia" w:ascii="仿宋_GB2312" w:eastAsia="仿宋_GB2312" w:hAnsiTheme="minorHAnsi" w:cstheme="minorBidi"/>
          <w:snapToGrid w:val="0"/>
          <w:color w:val="auto"/>
          <w:sz w:val="32"/>
          <w:szCs w:val="32"/>
        </w:rPr>
      </w:pPr>
      <w:r>
        <w:rPr>
          <w:rFonts w:hint="eastAsia" w:ascii="仿宋_GB2312" w:eastAsia="仿宋_GB2312" w:hAnsiTheme="minorHAnsi" w:cstheme="minorBidi"/>
          <w:snapToGrid w:val="0"/>
          <w:color w:val="auto"/>
          <w:sz w:val="32"/>
          <w:szCs w:val="32"/>
        </w:rPr>
        <w:t>苍溪县司法局2021年度收入</w:t>
      </w:r>
      <w:r>
        <w:rPr>
          <w:rFonts w:hint="eastAsia" w:ascii="仿宋_GB2312" w:eastAsia="仿宋_GB2312" w:hAnsiTheme="minorHAnsi" w:cstheme="minorBidi"/>
          <w:snapToGrid w:val="0"/>
          <w:color w:val="auto"/>
          <w:sz w:val="32"/>
          <w:szCs w:val="32"/>
          <w:lang w:val="en-US" w:eastAsia="zh-CN"/>
        </w:rPr>
        <w:t>合计1437.93</w:t>
      </w:r>
      <w:r>
        <w:rPr>
          <w:rFonts w:hint="eastAsia" w:ascii="仿宋_GB2312" w:eastAsia="仿宋_GB2312" w:hAnsiTheme="minorHAnsi" w:cstheme="minorBidi"/>
          <w:snapToGrid w:val="0"/>
          <w:color w:val="auto"/>
          <w:sz w:val="32"/>
          <w:szCs w:val="32"/>
        </w:rPr>
        <w:t>万元，其中：</w:t>
      </w:r>
      <w:r>
        <w:rPr>
          <w:rFonts w:hint="eastAsia" w:eastAsia="仿宋_GB2312" w:cs="仿宋_GB2312"/>
          <w:color w:val="auto"/>
          <w:sz w:val="32"/>
          <w:szCs w:val="32"/>
          <w:lang w:bidi="ar"/>
        </w:rPr>
        <w:t>一般</w:t>
      </w:r>
      <w:r>
        <w:rPr>
          <w:rFonts w:hint="eastAsia" w:eastAsia="仿宋_GB2312" w:cs="仿宋_GB2312"/>
          <w:color w:val="auto"/>
          <w:sz w:val="32"/>
          <w:szCs w:val="32"/>
          <w:lang w:val="en-US" w:eastAsia="zh-CN" w:bidi="ar"/>
        </w:rPr>
        <w:t>公共预算</w:t>
      </w:r>
      <w:r>
        <w:rPr>
          <w:rFonts w:hint="eastAsia" w:eastAsia="仿宋_GB2312" w:cs="仿宋_GB2312"/>
          <w:color w:val="auto"/>
          <w:sz w:val="32"/>
          <w:szCs w:val="32"/>
          <w:lang w:bidi="ar"/>
        </w:rPr>
        <w:t>财政拨款收入</w:t>
      </w:r>
      <w:r>
        <w:rPr>
          <w:rFonts w:hint="eastAsia" w:eastAsia="仿宋_GB2312" w:cs="仿宋_GB2312"/>
          <w:color w:val="auto"/>
          <w:sz w:val="32"/>
          <w:szCs w:val="32"/>
          <w:lang w:val="en-US" w:eastAsia="zh-CN" w:bidi="ar"/>
        </w:rPr>
        <w:t>1383.66</w:t>
      </w:r>
      <w:r>
        <w:rPr>
          <w:rFonts w:hint="eastAsia" w:eastAsia="仿宋_GB2312" w:cs="仿宋_GB2312"/>
          <w:color w:val="auto"/>
          <w:sz w:val="32"/>
          <w:szCs w:val="32"/>
          <w:lang w:bidi="ar"/>
        </w:rPr>
        <w:t>万元，</w:t>
      </w:r>
      <w:r>
        <w:rPr>
          <w:rFonts w:hint="eastAsia" w:eastAsia="仿宋_GB2312" w:cs="仿宋_GB2312"/>
          <w:color w:val="auto"/>
          <w:sz w:val="32"/>
          <w:szCs w:val="32"/>
          <w:lang w:val="en-US" w:eastAsia="zh-CN" w:bidi="ar"/>
        </w:rPr>
        <w:t>年初拨款结转和结余54.27万元</w:t>
      </w:r>
      <w:r>
        <w:rPr>
          <w:rFonts w:hint="eastAsia" w:ascii="仿宋_GB2312" w:eastAsia="仿宋_GB2312" w:hAnsiTheme="minorHAnsi" w:cstheme="minorBidi"/>
          <w:snapToGrid w:val="0"/>
          <w:color w:val="auto"/>
          <w:sz w:val="32"/>
          <w:szCs w:val="32"/>
        </w:rPr>
        <w:t>。</w:t>
      </w:r>
    </w:p>
    <w:p>
      <w:pPr>
        <w:spacing w:line="560" w:lineRule="exact"/>
        <w:ind w:firstLine="640" w:firstLineChars="200"/>
        <w:rPr>
          <w:rFonts w:ascii="楷体_GB2312" w:hAnsi="仿宋" w:eastAsia="楷体_GB2312" w:cs="仿宋_GB2312"/>
          <w:sz w:val="32"/>
          <w:szCs w:val="32"/>
        </w:rPr>
      </w:pPr>
      <w:r>
        <w:rPr>
          <w:rFonts w:hint="eastAsia" w:ascii="楷体_GB2312" w:hAnsi="仿宋" w:eastAsia="楷体_GB2312" w:cs="仿宋_GB2312"/>
          <w:sz w:val="32"/>
          <w:szCs w:val="32"/>
        </w:rPr>
        <w:t>（二）部门财政资金支出情况</w:t>
      </w:r>
    </w:p>
    <w:p>
      <w:pPr>
        <w:widowControl/>
        <w:shd w:val="clear" w:color="auto" w:fill="FFFFFF"/>
        <w:ind w:firstLine="640"/>
        <w:rPr>
          <w:rFonts w:hint="eastAsia" w:ascii="仿宋_GB2312" w:eastAsia="仿宋_GB2312" w:hAnsiTheme="minorHAnsi" w:cstheme="minorBidi"/>
          <w:snapToGrid w:val="0"/>
          <w:color w:val="auto"/>
          <w:sz w:val="32"/>
          <w:szCs w:val="32"/>
        </w:rPr>
      </w:pPr>
      <w:r>
        <w:rPr>
          <w:rFonts w:hint="eastAsia" w:ascii="仿宋_GB2312" w:eastAsia="仿宋_GB2312" w:hAnsiTheme="minorHAnsi" w:cstheme="minorBidi"/>
          <w:snapToGrid w:val="0"/>
          <w:color w:val="auto"/>
          <w:sz w:val="32"/>
          <w:szCs w:val="32"/>
        </w:rPr>
        <w:t>苍溪县司法局2021年度</w:t>
      </w:r>
      <w:r>
        <w:rPr>
          <w:rFonts w:hint="eastAsia" w:ascii="仿宋_GB2312" w:eastAsia="仿宋_GB2312" w:hAnsiTheme="minorHAnsi" w:cstheme="minorBidi"/>
          <w:snapToGrid w:val="0"/>
          <w:color w:val="auto"/>
          <w:sz w:val="32"/>
          <w:szCs w:val="32"/>
          <w:lang w:val="en-US" w:eastAsia="zh-CN"/>
        </w:rPr>
        <w:t>财政资金</w:t>
      </w:r>
      <w:r>
        <w:rPr>
          <w:rFonts w:hint="eastAsia" w:ascii="仿宋_GB2312" w:eastAsia="仿宋_GB2312" w:hAnsiTheme="minorHAnsi" w:cstheme="minorBidi"/>
          <w:snapToGrid w:val="0"/>
          <w:color w:val="auto"/>
          <w:sz w:val="32"/>
          <w:szCs w:val="32"/>
        </w:rPr>
        <w:t>支出</w:t>
      </w:r>
      <w:r>
        <w:rPr>
          <w:rFonts w:hint="eastAsia" w:ascii="仿宋_GB2312" w:eastAsia="仿宋_GB2312" w:hAnsiTheme="minorHAnsi" w:cstheme="minorBidi"/>
          <w:snapToGrid w:val="0"/>
          <w:color w:val="auto"/>
          <w:sz w:val="32"/>
          <w:szCs w:val="32"/>
          <w:lang w:val="en-US" w:eastAsia="zh-CN"/>
        </w:rPr>
        <w:t>合计1437.93</w:t>
      </w:r>
      <w:r>
        <w:rPr>
          <w:rFonts w:hint="eastAsia" w:ascii="仿宋_GB2312" w:eastAsia="仿宋_GB2312" w:hAnsiTheme="minorHAnsi" w:cstheme="minorBidi"/>
          <w:snapToGrid w:val="0"/>
          <w:color w:val="auto"/>
          <w:sz w:val="32"/>
          <w:szCs w:val="32"/>
        </w:rPr>
        <w:t>万元，占预算收入</w:t>
      </w:r>
      <w:r>
        <w:rPr>
          <w:rFonts w:hint="eastAsia" w:ascii="仿宋_GB2312" w:eastAsia="仿宋_GB2312" w:hAnsiTheme="minorHAnsi" w:cstheme="minorBidi"/>
          <w:snapToGrid w:val="0"/>
          <w:color w:val="auto"/>
          <w:sz w:val="32"/>
          <w:szCs w:val="32"/>
          <w:lang w:val="en-US" w:eastAsia="zh-CN"/>
        </w:rPr>
        <w:t>100</w:t>
      </w:r>
      <w:r>
        <w:rPr>
          <w:rFonts w:hint="eastAsia" w:ascii="仿宋_GB2312" w:eastAsia="仿宋_GB2312" w:hAnsiTheme="minorHAnsi" w:cstheme="minorBidi"/>
          <w:snapToGrid w:val="0"/>
          <w:color w:val="auto"/>
          <w:sz w:val="32"/>
          <w:szCs w:val="32"/>
        </w:rPr>
        <w:t>%，其中：</w:t>
      </w:r>
      <w:r>
        <w:rPr>
          <w:rFonts w:hint="eastAsia" w:ascii="仿宋_GB2312" w:eastAsia="仿宋_GB2312" w:hAnsiTheme="minorHAnsi" w:cstheme="minorBidi"/>
          <w:snapToGrid w:val="0"/>
          <w:color w:val="auto"/>
          <w:sz w:val="32"/>
          <w:szCs w:val="32"/>
          <w:lang w:val="en-US" w:eastAsia="zh-CN"/>
        </w:rPr>
        <w:t>基本支出1152.68万元</w:t>
      </w:r>
      <w:r>
        <w:rPr>
          <w:rFonts w:hint="eastAsia" w:ascii="仿宋_GB2312" w:eastAsia="仿宋_GB2312" w:hAnsiTheme="minorHAnsi" w:cstheme="minorBidi"/>
          <w:snapToGrid w:val="0"/>
          <w:color w:val="auto"/>
          <w:sz w:val="32"/>
          <w:szCs w:val="32"/>
        </w:rPr>
        <w:t>；项目支出</w:t>
      </w:r>
      <w:r>
        <w:rPr>
          <w:rFonts w:hint="eastAsia" w:ascii="仿宋_GB2312" w:eastAsia="仿宋_GB2312" w:hAnsiTheme="minorHAnsi" w:cstheme="minorBidi"/>
          <w:snapToGrid w:val="0"/>
          <w:color w:val="auto"/>
          <w:sz w:val="32"/>
          <w:szCs w:val="32"/>
          <w:lang w:val="en-US" w:eastAsia="zh-CN"/>
        </w:rPr>
        <w:t>275.35</w:t>
      </w:r>
      <w:r>
        <w:rPr>
          <w:rFonts w:hint="eastAsia" w:ascii="仿宋_GB2312" w:eastAsia="仿宋_GB2312" w:hAnsiTheme="minorHAnsi" w:cstheme="minorBidi"/>
          <w:snapToGrid w:val="0"/>
          <w:color w:val="auto"/>
          <w:sz w:val="32"/>
          <w:szCs w:val="32"/>
        </w:rPr>
        <w:t>万元。</w:t>
      </w:r>
    </w:p>
    <w:p>
      <w:pPr>
        <w:widowControl/>
        <w:adjustRightInd w:val="0"/>
        <w:snapToGrid w:val="0"/>
        <w:spacing w:line="572" w:lineRule="exact"/>
        <w:ind w:firstLine="640" w:firstLineChars="200"/>
        <w:contextualSpacing/>
        <w:jc w:val="left"/>
        <w:rPr>
          <w:rFonts w:ascii="黑体" w:hAnsi="宋体" w:eastAsia="黑体" w:cs="宋体"/>
          <w:kern w:val="0"/>
          <w:sz w:val="32"/>
          <w:szCs w:val="32"/>
          <w:shd w:val="clear" w:color="auto" w:fill="FFFFFF"/>
        </w:rPr>
      </w:pPr>
      <w:r>
        <w:rPr>
          <w:rFonts w:hint="eastAsia" w:ascii="黑体" w:hAnsi="宋体" w:eastAsia="黑体" w:cs="宋体"/>
          <w:kern w:val="0"/>
          <w:sz w:val="32"/>
          <w:szCs w:val="32"/>
          <w:shd w:val="clear" w:color="auto" w:fill="FFFFFF"/>
        </w:rPr>
        <w:t>三、部门整体预算绩效管理情况</w:t>
      </w:r>
    </w:p>
    <w:p>
      <w:pPr>
        <w:widowControl/>
        <w:adjustRightInd w:val="0"/>
        <w:snapToGrid w:val="0"/>
        <w:spacing w:line="572" w:lineRule="exact"/>
        <w:ind w:firstLine="640" w:firstLineChars="200"/>
        <w:contextualSpacing/>
        <w:jc w:val="left"/>
        <w:rPr>
          <w:rFonts w:ascii="仿宋_GB2312" w:hAnsi="宋体" w:eastAsia="仿宋_GB2312" w:cs="宋体"/>
          <w:kern w:val="0"/>
          <w:sz w:val="32"/>
          <w:szCs w:val="32"/>
          <w:shd w:val="clear" w:color="auto" w:fill="FFFFFF"/>
          <w:lang w:val="zh-CN"/>
        </w:rPr>
      </w:pPr>
      <w:r>
        <w:rPr>
          <w:rFonts w:hint="eastAsia" w:ascii="仿宋_GB2312" w:hAnsi="宋体" w:eastAsia="仿宋_GB2312" w:cs="宋体"/>
          <w:kern w:val="0"/>
          <w:sz w:val="32"/>
          <w:szCs w:val="32"/>
          <w:shd w:val="clear" w:color="auto" w:fill="FFFFFF"/>
          <w:lang w:val="zh-CN"/>
        </w:rPr>
        <w:t>（一）部门预算项目绩效管理。</w:t>
      </w:r>
    </w:p>
    <w:p>
      <w:pPr>
        <w:pStyle w:val="6"/>
        <w:spacing w:after="0" w:line="560" w:lineRule="exact"/>
        <w:ind w:left="0" w:leftChars="0" w:firstLine="640" w:firstLineChars="200"/>
        <w:jc w:val="left"/>
        <w:rPr>
          <w:rFonts w:ascii="仿宋_GB2312" w:hAnsi="楷体" w:cs="楷体"/>
          <w:bCs/>
          <w:snapToGrid w:val="0"/>
        </w:rPr>
      </w:pPr>
      <w:r>
        <w:rPr>
          <w:rFonts w:hint="eastAsia" w:ascii="仿宋_GB2312" w:hAnsi="楷体" w:cs="楷体"/>
          <w:bCs/>
          <w:snapToGrid w:val="0"/>
        </w:rPr>
        <w:t>1．预算编制</w:t>
      </w:r>
    </w:p>
    <w:p>
      <w:pPr>
        <w:pStyle w:val="6"/>
        <w:spacing w:after="0" w:line="560" w:lineRule="exact"/>
        <w:ind w:left="0" w:leftChars="0" w:firstLine="640" w:firstLineChars="200"/>
        <w:jc w:val="left"/>
        <w:rPr>
          <w:rFonts w:ascii="仿宋_GB2312" w:hAnsi="楷体" w:cs="楷体"/>
          <w:bCs/>
          <w:snapToGrid w:val="0"/>
        </w:rPr>
      </w:pPr>
      <w:r>
        <w:rPr>
          <w:rFonts w:hint="eastAsia" w:ascii="仿宋_GB2312" w:hAnsi="仿宋" w:cs="仿宋"/>
          <w:bCs/>
          <w:snapToGrid w:val="0"/>
        </w:rPr>
        <w:t>（1）报送时效</w:t>
      </w:r>
    </w:p>
    <w:p>
      <w:pPr>
        <w:pStyle w:val="6"/>
        <w:spacing w:after="0" w:line="560" w:lineRule="exact"/>
        <w:ind w:left="0" w:leftChars="0" w:firstLine="640" w:firstLineChars="200"/>
        <w:jc w:val="left"/>
        <w:rPr>
          <w:rFonts w:ascii="仿宋_GB2312"/>
          <w:snapToGrid w:val="0"/>
        </w:rPr>
      </w:pPr>
      <w:r>
        <w:rPr>
          <w:rFonts w:hint="eastAsia" w:ascii="仿宋_GB2312"/>
          <w:snapToGrid w:val="0"/>
        </w:rPr>
        <w:t>按照要求，2020年11月部门预算编制收集资料，12月编制出预算初稿，后经多方征求意见，按时上报了2021年度部门预算，经县十七届人大五次会议审查批准，高质量完成了预算编制工作。并根据《</w:t>
      </w:r>
      <w:r>
        <w:rPr>
          <w:rFonts w:hint="eastAsia" w:ascii="仿宋_GB2312"/>
          <w:snapToGrid w:val="0"/>
          <w:lang w:val="en-US" w:eastAsia="zh-CN"/>
        </w:rPr>
        <w:t>中华人民共和国</w:t>
      </w:r>
      <w:r>
        <w:rPr>
          <w:rFonts w:hint="eastAsia" w:ascii="仿宋_GB2312"/>
          <w:snapToGrid w:val="0"/>
        </w:rPr>
        <w:t>预算法》相关规定严格遵照执行。</w:t>
      </w:r>
    </w:p>
    <w:p>
      <w:pPr>
        <w:pStyle w:val="6"/>
        <w:spacing w:after="0" w:line="560" w:lineRule="exact"/>
        <w:ind w:left="0" w:leftChars="0" w:firstLine="640" w:firstLineChars="200"/>
        <w:jc w:val="left"/>
        <w:rPr>
          <w:rFonts w:ascii="仿宋_GB2312"/>
          <w:bCs/>
          <w:snapToGrid w:val="0"/>
        </w:rPr>
      </w:pPr>
      <w:r>
        <w:rPr>
          <w:rFonts w:hint="eastAsia" w:ascii="仿宋_GB2312"/>
          <w:bCs/>
          <w:snapToGrid w:val="0"/>
        </w:rPr>
        <w:t>（2）编制质量</w:t>
      </w:r>
    </w:p>
    <w:p>
      <w:pPr>
        <w:pStyle w:val="6"/>
        <w:spacing w:after="0" w:line="560" w:lineRule="exact"/>
        <w:ind w:left="0" w:leftChars="0" w:firstLine="642"/>
        <w:jc w:val="left"/>
        <w:rPr>
          <w:rFonts w:ascii="仿宋_GB2312" w:hAnsi="仿宋" w:cs="仿宋"/>
          <w:snapToGrid w:val="0"/>
        </w:rPr>
      </w:pPr>
      <w:r>
        <w:rPr>
          <w:rFonts w:hint="eastAsia" w:ascii="仿宋_GB2312"/>
          <w:snapToGrid w:val="0"/>
        </w:rPr>
        <w:t>部门预算编制完整无漏项，预算编制准确，基础信息和科目使用准确，单位编制、人员情况与供养人员横向联网系统数据相符；预算编制规范、项目名称、绩效指标、项目内容说明等合符规范。</w:t>
      </w:r>
    </w:p>
    <w:p>
      <w:pPr>
        <w:pStyle w:val="6"/>
        <w:spacing w:after="0" w:line="560" w:lineRule="exact"/>
        <w:ind w:left="0" w:leftChars="0" w:firstLine="640" w:firstLineChars="200"/>
        <w:jc w:val="left"/>
        <w:rPr>
          <w:rFonts w:ascii="仿宋_GB2312" w:hAnsi="楷体" w:cs="楷体"/>
          <w:bCs/>
          <w:snapToGrid w:val="0"/>
        </w:rPr>
      </w:pPr>
      <w:r>
        <w:rPr>
          <w:rFonts w:hint="eastAsia" w:ascii="仿宋_GB2312" w:hAnsi="楷体" w:cs="楷体"/>
          <w:bCs/>
          <w:snapToGrid w:val="0"/>
        </w:rPr>
        <w:t>2．预算执行</w:t>
      </w:r>
    </w:p>
    <w:p>
      <w:pPr>
        <w:pStyle w:val="6"/>
        <w:spacing w:after="0" w:line="560" w:lineRule="exact"/>
        <w:ind w:left="0" w:leftChars="0" w:firstLine="642"/>
        <w:jc w:val="left"/>
        <w:rPr>
          <w:rFonts w:ascii="仿宋_GB2312"/>
          <w:bCs/>
          <w:snapToGrid w:val="0"/>
        </w:rPr>
      </w:pPr>
      <w:r>
        <w:rPr>
          <w:rFonts w:hint="eastAsia" w:ascii="仿宋_GB2312"/>
          <w:bCs/>
          <w:snapToGrid w:val="0"/>
        </w:rPr>
        <w:t>（1）预算执行进度</w:t>
      </w:r>
    </w:p>
    <w:p>
      <w:pPr>
        <w:pStyle w:val="6"/>
        <w:spacing w:after="0" w:line="560" w:lineRule="exact"/>
        <w:ind w:left="0" w:leftChars="0" w:firstLine="642"/>
        <w:jc w:val="left"/>
        <w:rPr>
          <w:rFonts w:ascii="仿宋_GB2312" w:hAnsi="仿宋" w:cs="楷体"/>
          <w:bCs/>
          <w:snapToGrid w:val="0"/>
          <w:color w:val="auto"/>
        </w:rPr>
      </w:pPr>
      <w:r>
        <w:rPr>
          <w:rFonts w:hint="eastAsia" w:ascii="仿宋_GB2312" w:hAnsi="仿宋" w:cs="楷体"/>
          <w:bCs/>
          <w:snapToGrid w:val="0"/>
          <w:color w:val="auto"/>
        </w:rPr>
        <w:t>2021年度，</w:t>
      </w:r>
      <w:r>
        <w:rPr>
          <w:rFonts w:hint="eastAsia" w:ascii="仿宋_GB2312"/>
          <w:snapToGrid w:val="0"/>
          <w:color w:val="auto"/>
        </w:rPr>
        <w:t>我局财政预算拨款总收入</w:t>
      </w:r>
      <w:r>
        <w:rPr>
          <w:rFonts w:hint="eastAsia" w:ascii="仿宋_GB2312"/>
          <w:snapToGrid w:val="0"/>
          <w:color w:val="auto"/>
          <w:lang w:val="en-US" w:eastAsia="zh-CN"/>
        </w:rPr>
        <w:t>1437.93</w:t>
      </w:r>
      <w:r>
        <w:rPr>
          <w:rFonts w:hint="eastAsia" w:ascii="仿宋_GB2312"/>
          <w:snapToGrid w:val="0"/>
          <w:color w:val="auto"/>
        </w:rPr>
        <w:t>万元，实际支出</w:t>
      </w:r>
      <w:r>
        <w:rPr>
          <w:rFonts w:hint="eastAsia" w:ascii="仿宋_GB2312"/>
          <w:snapToGrid w:val="0"/>
          <w:color w:val="auto"/>
          <w:lang w:val="en-US" w:eastAsia="zh-CN"/>
        </w:rPr>
        <w:t>1437.93</w:t>
      </w:r>
      <w:r>
        <w:rPr>
          <w:rFonts w:hint="eastAsia" w:ascii="仿宋_GB2312" w:hAnsi="仿宋_GB2312" w:cs="仿宋_GB2312"/>
          <w:color w:val="auto"/>
        </w:rPr>
        <w:t>万</w:t>
      </w:r>
      <w:r>
        <w:rPr>
          <w:rFonts w:hint="eastAsia" w:ascii="仿宋_GB2312"/>
          <w:snapToGrid w:val="0"/>
          <w:color w:val="auto"/>
        </w:rPr>
        <w:t>元，</w:t>
      </w:r>
      <w:r>
        <w:rPr>
          <w:rFonts w:hint="eastAsia" w:ascii="仿宋_GB2312" w:hAnsi="仿宋" w:cs="楷体"/>
          <w:bCs/>
          <w:snapToGrid w:val="0"/>
          <w:color w:val="auto"/>
        </w:rPr>
        <w:t>完成预算进度为</w:t>
      </w:r>
      <w:r>
        <w:rPr>
          <w:rFonts w:hint="eastAsia" w:ascii="仿宋_GB2312" w:hAnsi="仿宋" w:cs="楷体"/>
          <w:bCs/>
          <w:snapToGrid w:val="0"/>
          <w:color w:val="auto"/>
          <w:lang w:val="en-US" w:eastAsia="zh-CN"/>
        </w:rPr>
        <w:t>100</w:t>
      </w:r>
      <w:r>
        <w:rPr>
          <w:rFonts w:hint="eastAsia" w:ascii="仿宋_GB2312" w:hAnsi="仿宋" w:cs="楷体"/>
          <w:bCs/>
          <w:snapToGrid w:val="0"/>
          <w:color w:val="auto"/>
        </w:rPr>
        <w:t>%。</w:t>
      </w:r>
    </w:p>
    <w:p>
      <w:pPr>
        <w:pStyle w:val="6"/>
        <w:spacing w:after="0" w:line="560" w:lineRule="exact"/>
        <w:ind w:left="0" w:leftChars="0" w:firstLine="640" w:firstLineChars="200"/>
        <w:jc w:val="left"/>
        <w:rPr>
          <w:rFonts w:ascii="仿宋_GB2312"/>
          <w:snapToGrid w:val="0"/>
        </w:rPr>
      </w:pPr>
      <w:r>
        <w:rPr>
          <w:rFonts w:hint="eastAsia" w:ascii="仿宋_GB2312" w:hAnsi="楷体" w:cs="楷体"/>
          <w:bCs/>
          <w:snapToGrid w:val="0"/>
        </w:rPr>
        <w:t>3．部门决算编制和审查</w:t>
      </w:r>
    </w:p>
    <w:p>
      <w:pPr>
        <w:pStyle w:val="6"/>
        <w:spacing w:after="0" w:line="560" w:lineRule="exact"/>
        <w:ind w:left="0" w:leftChars="0" w:firstLine="640" w:firstLineChars="200"/>
        <w:jc w:val="left"/>
        <w:rPr>
          <w:rFonts w:ascii="仿宋_GB2312"/>
          <w:snapToGrid w:val="0"/>
        </w:rPr>
      </w:pPr>
      <w:r>
        <w:rPr>
          <w:rFonts w:hint="eastAsia" w:ascii="仿宋_GB2312"/>
          <w:snapToGrid w:val="0"/>
        </w:rPr>
        <w:t>2021年度，我局严格按照县财政局要求及时编制财务决算报表，决算数据真实准确，决算编制人员与供养人员系统数据相符，并经县财政局审核批复。</w:t>
      </w:r>
    </w:p>
    <w:p>
      <w:pPr>
        <w:pStyle w:val="6"/>
        <w:spacing w:after="0" w:line="560" w:lineRule="exact"/>
        <w:ind w:left="0" w:leftChars="0" w:firstLine="640" w:firstLineChars="200"/>
        <w:jc w:val="left"/>
        <w:rPr>
          <w:rFonts w:ascii="仿宋_GB2312" w:hAnsi="楷体" w:cs="楷体"/>
          <w:bCs/>
          <w:snapToGrid w:val="0"/>
        </w:rPr>
      </w:pPr>
      <w:r>
        <w:rPr>
          <w:rFonts w:hint="eastAsia" w:ascii="仿宋_GB2312" w:hAnsi="楷体" w:cs="楷体"/>
          <w:bCs/>
          <w:snapToGrid w:val="0"/>
        </w:rPr>
        <w:t>4．财政资金综合管理情况</w:t>
      </w:r>
    </w:p>
    <w:p>
      <w:pPr>
        <w:pStyle w:val="6"/>
        <w:spacing w:after="0" w:line="560" w:lineRule="exact"/>
        <w:ind w:left="0" w:leftChars="0" w:firstLine="642"/>
        <w:jc w:val="left"/>
        <w:rPr>
          <w:rFonts w:ascii="仿宋_GB2312"/>
          <w:bCs/>
          <w:snapToGrid w:val="0"/>
        </w:rPr>
      </w:pPr>
      <w:r>
        <w:rPr>
          <w:rFonts w:hint="eastAsia" w:ascii="仿宋_GB2312"/>
          <w:bCs/>
          <w:snapToGrid w:val="0"/>
        </w:rPr>
        <w:t>（1）非税收入征收、上缴情况</w:t>
      </w:r>
    </w:p>
    <w:p>
      <w:pPr>
        <w:pStyle w:val="6"/>
        <w:spacing w:after="0" w:line="560" w:lineRule="exact"/>
        <w:ind w:left="0" w:leftChars="0" w:firstLine="642"/>
        <w:jc w:val="left"/>
        <w:rPr>
          <w:rFonts w:ascii="仿宋_GB2312"/>
          <w:snapToGrid w:val="0"/>
        </w:rPr>
      </w:pPr>
      <w:r>
        <w:rPr>
          <w:rFonts w:hint="eastAsia" w:ascii="仿宋_GB2312"/>
          <w:snapToGrid w:val="0"/>
        </w:rPr>
        <w:t>我局无非税收入。</w:t>
      </w:r>
    </w:p>
    <w:p>
      <w:pPr>
        <w:pStyle w:val="6"/>
        <w:spacing w:after="0" w:line="560" w:lineRule="exact"/>
        <w:ind w:left="0" w:leftChars="0" w:firstLine="642"/>
        <w:jc w:val="left"/>
        <w:rPr>
          <w:rFonts w:ascii="仿宋_GB2312" w:hAnsi="仿宋" w:cs="仿宋"/>
          <w:bCs/>
          <w:snapToGrid w:val="0"/>
        </w:rPr>
      </w:pPr>
      <w:r>
        <w:rPr>
          <w:rFonts w:hint="eastAsia" w:ascii="仿宋_GB2312"/>
          <w:bCs/>
          <w:snapToGrid w:val="0"/>
        </w:rPr>
        <w:t>（2）</w:t>
      </w:r>
      <w:r>
        <w:rPr>
          <w:rFonts w:hint="eastAsia" w:ascii="仿宋_GB2312" w:hAnsi="仿宋" w:cs="仿宋"/>
          <w:bCs/>
          <w:snapToGrid w:val="0"/>
        </w:rPr>
        <w:t>资产管理信息系统建设、资产清查上报情况</w:t>
      </w:r>
    </w:p>
    <w:p>
      <w:pPr>
        <w:pStyle w:val="6"/>
        <w:spacing w:after="0" w:line="560" w:lineRule="exact"/>
        <w:ind w:left="0" w:leftChars="0" w:firstLine="640"/>
        <w:jc w:val="left"/>
        <w:rPr>
          <w:rFonts w:ascii="仿宋_GB2312"/>
          <w:snapToGrid w:val="0"/>
        </w:rPr>
      </w:pPr>
      <w:r>
        <w:rPr>
          <w:rFonts w:hint="eastAsia" w:ascii="仿宋_GB2312"/>
          <w:snapToGrid w:val="0"/>
        </w:rPr>
        <w:t>2021年度，我局高度重视资产管理信息系统建设、资产清查这项工作，安排专人负责资产系统的维护工作，做好资产的清查，认真编写资产年报，为单位编制预决算提供真实可靠的数据基础。同时，通过资产清查，切实找出资产配置、使用、处置等各个环节的管理“真空”和“漏洞”，研究出台针对性强、切实有效的政策措施，防范资产风险，有效保证国有资产安全和完整。</w:t>
      </w:r>
    </w:p>
    <w:p>
      <w:pPr>
        <w:pStyle w:val="6"/>
        <w:spacing w:after="0" w:line="560" w:lineRule="exact"/>
        <w:ind w:left="0" w:leftChars="0" w:firstLine="640" w:firstLineChars="200"/>
        <w:jc w:val="left"/>
        <w:rPr>
          <w:rFonts w:ascii="仿宋_GB2312" w:hAnsi="仿宋" w:cs="仿宋"/>
          <w:bCs/>
          <w:snapToGrid w:val="0"/>
        </w:rPr>
      </w:pPr>
      <w:r>
        <w:rPr>
          <w:rFonts w:hint="eastAsia" w:ascii="仿宋_GB2312" w:hAnsi="仿宋" w:cs="仿宋"/>
          <w:bCs/>
          <w:snapToGrid w:val="0"/>
        </w:rPr>
        <w:t>（3）部门内部控制制度健全情况</w:t>
      </w:r>
    </w:p>
    <w:p>
      <w:pPr>
        <w:pStyle w:val="6"/>
        <w:spacing w:after="0" w:line="560" w:lineRule="exact"/>
        <w:ind w:left="0" w:leftChars="0" w:firstLine="642"/>
        <w:jc w:val="left"/>
        <w:rPr>
          <w:rFonts w:ascii="仿宋_GB2312"/>
          <w:snapToGrid w:val="0"/>
        </w:rPr>
      </w:pPr>
      <w:r>
        <w:rPr>
          <w:rFonts w:hint="eastAsia" w:ascii="仿宋_GB2312"/>
          <w:snapToGrid w:val="0"/>
        </w:rPr>
        <w:t>自2014年度《行政事业单位内部控制规范（试行）》实施以来，在坚持内部控制制度建设全面性、重要性、制衡性、适应性等原则的前提下，我局按照三定方案，先后制定了涵盖党风廉政建设、廉政风险防控、财务管理、差旅、接待、政府采购、固定资产及车辆管理等方面的内部控制管理制度和办法，并在工作中严格执行。</w:t>
      </w:r>
    </w:p>
    <w:p>
      <w:pPr>
        <w:pStyle w:val="6"/>
        <w:spacing w:after="0" w:line="560" w:lineRule="exact"/>
        <w:ind w:left="0" w:leftChars="0" w:firstLine="640" w:firstLineChars="200"/>
        <w:jc w:val="left"/>
        <w:rPr>
          <w:rFonts w:ascii="仿宋_GB2312" w:hAnsi="仿宋" w:cs="仿宋"/>
          <w:bCs/>
          <w:snapToGrid w:val="0"/>
        </w:rPr>
      </w:pPr>
      <w:r>
        <w:rPr>
          <w:rFonts w:hint="eastAsia" w:ascii="仿宋_GB2312" w:hAnsi="仿宋" w:cs="仿宋"/>
          <w:bCs/>
          <w:snapToGrid w:val="0"/>
        </w:rPr>
        <w:t>（4）预决算及绩效信息公开情况</w:t>
      </w:r>
    </w:p>
    <w:p>
      <w:pPr>
        <w:pStyle w:val="6"/>
        <w:spacing w:after="0" w:line="560" w:lineRule="exact"/>
        <w:ind w:left="0" w:leftChars="0"/>
        <w:jc w:val="left"/>
        <w:rPr>
          <w:rFonts w:ascii="仿宋_GB2312"/>
          <w:snapToGrid w:val="0"/>
        </w:rPr>
      </w:pPr>
      <w:r>
        <w:rPr>
          <w:rFonts w:hint="eastAsia" w:ascii="仿宋_GB2312" w:hAnsi="楷体" w:cs="楷体"/>
          <w:bCs/>
          <w:snapToGrid w:val="0"/>
        </w:rPr>
        <w:t xml:space="preserve">    </w:t>
      </w:r>
      <w:r>
        <w:rPr>
          <w:rFonts w:hint="eastAsia" w:ascii="仿宋_GB2312"/>
          <w:snapToGrid w:val="0"/>
        </w:rPr>
        <w:t>2021年度，我局以强化内部控制管理，严格预算约束，大力压缩行政成本性支出，抓好增收节支工作，确保干部职工工资、政策规定的各种津贴按时足额发放和单位正常运转为前提，严格按照《国务院办公厅政务公开工作要点》、《四川省预决算公开操作规程》及县财政局的相关规定，按时限圆满地完成了本年度预算及绩效信息在苍溪县人民政府官网的公开工作，公开数据完整、真实、准确。</w:t>
      </w:r>
    </w:p>
    <w:p>
      <w:pPr>
        <w:pStyle w:val="6"/>
        <w:spacing w:after="0" w:line="560" w:lineRule="exact"/>
        <w:ind w:left="0" w:leftChars="0" w:firstLine="640" w:firstLineChars="200"/>
        <w:jc w:val="left"/>
        <w:rPr>
          <w:rFonts w:ascii="仿宋_GB2312" w:hAnsi="仿宋" w:cs="仿宋"/>
          <w:bCs/>
          <w:snapToGrid w:val="0"/>
        </w:rPr>
      </w:pPr>
      <w:r>
        <w:rPr>
          <w:rFonts w:hint="eastAsia" w:ascii="仿宋_GB2312" w:hAnsi="仿宋" w:cs="仿宋"/>
          <w:bCs/>
          <w:snapToGrid w:val="0"/>
        </w:rPr>
        <w:t>（5）绩效评价开展、评价结果报告情况</w:t>
      </w:r>
    </w:p>
    <w:p>
      <w:pPr>
        <w:pStyle w:val="6"/>
        <w:spacing w:after="0" w:line="560" w:lineRule="exact"/>
        <w:ind w:left="0" w:leftChars="0" w:firstLine="640" w:firstLineChars="200"/>
        <w:jc w:val="left"/>
        <w:rPr>
          <w:rFonts w:ascii="仿宋_GB2312"/>
          <w:snapToGrid w:val="0"/>
        </w:rPr>
      </w:pPr>
      <w:r>
        <w:rPr>
          <w:rFonts w:hint="eastAsia" w:ascii="仿宋_GB2312"/>
          <w:snapToGrid w:val="0"/>
        </w:rPr>
        <w:t>2021年度，通过各项经费的使用，保障了干部职工的基本利益，提高了干部职工的工作积极性和责任心；保障了部门各项业务工作的进行，为各股室的良好运转起到了积极的推动作用，实现了年初制定的目标。</w:t>
      </w:r>
    </w:p>
    <w:p>
      <w:pPr>
        <w:pStyle w:val="6"/>
        <w:spacing w:after="0" w:line="560" w:lineRule="exact"/>
        <w:ind w:left="0" w:leftChars="0" w:firstLine="640" w:firstLineChars="200"/>
        <w:jc w:val="left"/>
        <w:rPr>
          <w:rFonts w:ascii="仿宋_GB2312" w:hAnsi="仿宋" w:cs="仿宋"/>
          <w:snapToGrid w:val="0"/>
        </w:rPr>
      </w:pPr>
      <w:r>
        <w:rPr>
          <w:rFonts w:hint="eastAsia" w:ascii="仿宋_GB2312" w:hAnsi="仿宋" w:cs="仿宋"/>
          <w:snapToGrid w:val="0"/>
        </w:rPr>
        <w:t>2021年度，</w:t>
      </w:r>
      <w:r>
        <w:rPr>
          <w:rFonts w:hint="eastAsia" w:ascii="仿宋_GB2312"/>
          <w:snapToGrid w:val="0"/>
        </w:rPr>
        <w:t>我局通过</w:t>
      </w:r>
      <w:r>
        <w:rPr>
          <w:rFonts w:hint="eastAsia" w:ascii="仿宋_GB2312" w:hAnsi="仿宋" w:cs="仿宋"/>
          <w:snapToGrid w:val="0"/>
        </w:rPr>
        <w:t>开展绩效自评，进一步了解资金使用是否达到了预期目标；了解资金管理是否规范、资金使用是否有效，检验资金支出效率和效果；分析存在问题及原因，及时总结经验，改进管理措施；不断增强和落实绩效管理责任，完善工作机制，有效提高资金管理水平和使用效益。</w:t>
      </w:r>
    </w:p>
    <w:p>
      <w:pPr>
        <w:pStyle w:val="6"/>
        <w:spacing w:after="0" w:line="560" w:lineRule="exact"/>
        <w:ind w:left="0" w:leftChars="0" w:firstLine="640" w:firstLineChars="200"/>
        <w:jc w:val="left"/>
        <w:rPr>
          <w:rFonts w:ascii="仿宋_GB2312" w:hAnsi="仿宋" w:cs="仿宋"/>
          <w:snapToGrid w:val="0"/>
        </w:rPr>
      </w:pPr>
      <w:r>
        <w:rPr>
          <w:rFonts w:hint="eastAsia" w:ascii="仿宋_GB2312" w:hAnsi="仿宋" w:cs="仿宋"/>
          <w:snapToGrid w:val="0"/>
        </w:rPr>
        <w:t>①领导重视，部门牵头，齐抓共管，形成了有力的领导和工作机制。根据工作职责，落实项目管理责任及预算执行责任，明确项目管理主体，认真做好项目实施的准备工作，保障项目实施进度高效有序。</w:t>
      </w:r>
    </w:p>
    <w:p>
      <w:pPr>
        <w:pStyle w:val="6"/>
        <w:spacing w:after="0" w:line="560" w:lineRule="exact"/>
        <w:ind w:left="0" w:leftChars="0" w:firstLine="640" w:firstLineChars="200"/>
        <w:jc w:val="left"/>
        <w:rPr>
          <w:rFonts w:ascii="仿宋_GB2312" w:hAnsi="仿宋" w:cs="仿宋"/>
          <w:snapToGrid w:val="0"/>
        </w:rPr>
      </w:pPr>
      <w:r>
        <w:rPr>
          <w:rFonts w:hint="eastAsia" w:ascii="仿宋_GB2312" w:hAnsi="仿宋" w:cs="仿宋"/>
          <w:snapToGrid w:val="0"/>
        </w:rPr>
        <w:t>②加强项目资金管理，严格按照专项资金管理办法从资金源头入手，落实责任，完善制度，合理使用，加强监管，做到既按照中央、省 、市、县财经管理要求开展好工作，又严格遵守财经纪律，做好厉行节约工作，确保将有限的资金发挥最大的效益。</w:t>
      </w:r>
    </w:p>
    <w:p>
      <w:pPr>
        <w:pStyle w:val="6"/>
        <w:spacing w:after="0" w:line="560" w:lineRule="exact"/>
        <w:ind w:left="0" w:leftChars="0" w:firstLine="640" w:firstLineChars="200"/>
        <w:jc w:val="left"/>
        <w:rPr>
          <w:rFonts w:ascii="仿宋_GB2312" w:hAnsi="仿宋" w:cs="仿宋"/>
          <w:snapToGrid w:val="0"/>
        </w:rPr>
      </w:pPr>
      <w:r>
        <w:rPr>
          <w:rFonts w:hint="eastAsia" w:ascii="仿宋_GB2312" w:hAnsi="仿宋" w:cs="仿宋"/>
          <w:snapToGrid w:val="0"/>
        </w:rPr>
        <w:t>③加强预算资金管理制度建设。结合单位工作实际，不断修订和完善相关财务管理制度，重视财务管理制度的执行与监督，使资金财务管理制度管理有章可循。</w:t>
      </w:r>
    </w:p>
    <w:p>
      <w:pPr>
        <w:pStyle w:val="6"/>
        <w:spacing w:after="0" w:line="560" w:lineRule="exact"/>
        <w:ind w:left="0" w:leftChars="0" w:firstLine="640" w:firstLineChars="200"/>
        <w:jc w:val="left"/>
        <w:rPr>
          <w:rFonts w:ascii="仿宋_GB2312" w:hAnsi="仿宋" w:cs="仿宋"/>
          <w:snapToGrid w:val="0"/>
        </w:rPr>
      </w:pPr>
      <w:r>
        <w:rPr>
          <w:rFonts w:hint="eastAsia" w:ascii="仿宋_GB2312" w:hAnsi="仿宋" w:cs="仿宋"/>
          <w:snapToGrid w:val="0"/>
        </w:rPr>
        <w:t>④加强行政单位会计制度和预算法学习培训，规范预算收支管理，严格按项目和进度执行预算，增强预算的约束力和严肃性。</w:t>
      </w:r>
    </w:p>
    <w:p>
      <w:pPr>
        <w:pStyle w:val="6"/>
        <w:spacing w:after="0" w:line="560" w:lineRule="exact"/>
        <w:ind w:left="0" w:leftChars="0" w:firstLine="640" w:firstLineChars="200"/>
        <w:jc w:val="left"/>
        <w:rPr>
          <w:rFonts w:ascii="仿宋_GB2312" w:hAnsi="仿宋" w:cs="仿宋"/>
          <w:snapToGrid w:val="0"/>
        </w:rPr>
      </w:pPr>
      <w:r>
        <w:rPr>
          <w:rFonts w:hint="eastAsia" w:ascii="仿宋_GB2312" w:hAnsi="仿宋" w:cs="仿宋"/>
          <w:snapToGrid w:val="0"/>
        </w:rPr>
        <w:t>通过整体支出绩效自评，综合评价认为：2021年度</w:t>
      </w:r>
      <w:r>
        <w:rPr>
          <w:rFonts w:hint="eastAsia" w:ascii="仿宋_GB2312"/>
          <w:snapToGrid w:val="0"/>
        </w:rPr>
        <w:t>我局</w:t>
      </w:r>
      <w:r>
        <w:rPr>
          <w:rFonts w:hint="eastAsia" w:ascii="仿宋_GB2312" w:hAnsi="仿宋" w:cs="仿宋"/>
          <w:snapToGrid w:val="0"/>
        </w:rPr>
        <w:t>绩效目标已完成，职责履行良好，履职效益明显，预算配置科学，预算执行有效，预算管理规范。</w:t>
      </w:r>
    </w:p>
    <w:p>
      <w:pPr>
        <w:pStyle w:val="6"/>
        <w:spacing w:after="0" w:line="560" w:lineRule="exact"/>
        <w:ind w:left="0" w:leftChars="0" w:firstLine="640" w:firstLineChars="200"/>
        <w:jc w:val="left"/>
        <w:rPr>
          <w:rFonts w:ascii="仿宋_GB2312" w:hAnsi="仿宋" w:cs="仿宋"/>
          <w:bCs/>
          <w:snapToGrid w:val="0"/>
        </w:rPr>
      </w:pPr>
      <w:r>
        <w:rPr>
          <w:rFonts w:hint="eastAsia" w:ascii="仿宋_GB2312" w:hAnsi="仿宋" w:cs="仿宋"/>
          <w:bCs/>
          <w:snapToGrid w:val="0"/>
        </w:rPr>
        <w:t>（6）财政政策执行</w:t>
      </w:r>
    </w:p>
    <w:p>
      <w:pPr>
        <w:pStyle w:val="6"/>
        <w:spacing w:after="0" w:line="560" w:lineRule="exact"/>
        <w:ind w:left="0" w:leftChars="0" w:firstLine="640" w:firstLineChars="200"/>
        <w:jc w:val="left"/>
        <w:rPr>
          <w:rFonts w:ascii="仿宋_GB2312"/>
          <w:snapToGrid w:val="0"/>
        </w:rPr>
      </w:pPr>
      <w:r>
        <w:rPr>
          <w:rFonts w:hint="eastAsia" w:ascii="仿宋_GB2312" w:hAnsi="仿宋" w:cs="仿宋"/>
          <w:snapToGrid w:val="0"/>
        </w:rPr>
        <w:t>①2021年度，</w:t>
      </w:r>
      <w:r>
        <w:rPr>
          <w:rFonts w:hint="eastAsia" w:ascii="仿宋_GB2312"/>
          <w:snapToGrid w:val="0"/>
        </w:rPr>
        <w:t>按照国库集中支付进行层层审批支付，我局所有财政资金的支付均经过财政监管；</w:t>
      </w:r>
    </w:p>
    <w:p>
      <w:pPr>
        <w:pStyle w:val="6"/>
        <w:spacing w:after="0" w:line="560" w:lineRule="exact"/>
        <w:ind w:left="0" w:leftChars="0" w:firstLine="640" w:firstLineChars="200"/>
        <w:jc w:val="left"/>
        <w:rPr>
          <w:rFonts w:ascii="仿宋_GB2312"/>
          <w:snapToGrid w:val="0"/>
        </w:rPr>
      </w:pPr>
      <w:r>
        <w:rPr>
          <w:rFonts w:hint="eastAsia" w:ascii="仿宋_GB2312" w:hAnsi="仿宋" w:cs="仿宋"/>
          <w:snapToGrid w:val="0"/>
        </w:rPr>
        <w:t>②</w:t>
      </w:r>
      <w:r>
        <w:rPr>
          <w:rFonts w:hint="eastAsia" w:ascii="仿宋_GB2312"/>
          <w:snapToGrid w:val="0"/>
        </w:rPr>
        <w:t>为进一步深化和完善公务卡改革，规范公务支出行为，提高公务支出透明度，提升单位财务管理水平，严格执行各项公务卡结算管理规定，认真抓好公务卡结算制度的落实；</w:t>
      </w:r>
    </w:p>
    <w:p>
      <w:pPr>
        <w:pStyle w:val="6"/>
        <w:spacing w:after="0" w:line="560" w:lineRule="exact"/>
        <w:ind w:left="0" w:leftChars="0" w:firstLine="640" w:firstLineChars="200"/>
        <w:jc w:val="left"/>
        <w:rPr>
          <w:rFonts w:ascii="仿宋_GB2312"/>
          <w:snapToGrid w:val="0"/>
        </w:rPr>
      </w:pPr>
      <w:r>
        <w:rPr>
          <w:rFonts w:hint="eastAsia" w:ascii="仿宋_GB2312" w:hAnsi="仿宋" w:cs="仿宋"/>
          <w:snapToGrid w:val="0"/>
        </w:rPr>
        <w:t>③</w:t>
      </w:r>
      <w:r>
        <w:rPr>
          <w:rFonts w:hint="eastAsia" w:ascii="仿宋_GB2312"/>
          <w:snapToGrid w:val="0"/>
        </w:rPr>
        <w:t>使用经费开支符合相关规定，“三公”经费严格按政府规定的目标进行限制和压缩。</w:t>
      </w:r>
    </w:p>
    <w:p>
      <w:pPr>
        <w:pStyle w:val="6"/>
        <w:spacing w:after="0" w:line="560" w:lineRule="exact"/>
        <w:ind w:left="0" w:leftChars="0" w:firstLine="640" w:firstLineChars="200"/>
        <w:jc w:val="left"/>
        <w:rPr>
          <w:rFonts w:ascii="仿宋_GB2312" w:hAnsi="仿宋" w:cs="仿宋"/>
          <w:bCs/>
          <w:snapToGrid w:val="0"/>
        </w:rPr>
      </w:pPr>
      <w:r>
        <w:rPr>
          <w:rFonts w:hint="eastAsia" w:ascii="仿宋_GB2312" w:hAnsi="仿宋" w:cs="仿宋"/>
          <w:bCs/>
          <w:snapToGrid w:val="0"/>
        </w:rPr>
        <w:t>（7）财经纪律执行情况</w:t>
      </w:r>
    </w:p>
    <w:p>
      <w:pPr>
        <w:pStyle w:val="6"/>
        <w:spacing w:after="0" w:line="560" w:lineRule="exact"/>
        <w:ind w:left="0" w:leftChars="0" w:firstLine="640" w:firstLineChars="200"/>
        <w:jc w:val="left"/>
        <w:rPr>
          <w:rFonts w:ascii="仿宋_GB2312"/>
          <w:snapToGrid w:val="0"/>
        </w:rPr>
      </w:pPr>
      <w:r>
        <w:rPr>
          <w:rFonts w:hint="eastAsia" w:ascii="仿宋_GB2312" w:hAnsi="仿宋" w:cs="仿宋"/>
          <w:snapToGrid w:val="0"/>
        </w:rPr>
        <w:t>2021年度，</w:t>
      </w:r>
      <w:r>
        <w:rPr>
          <w:rFonts w:hint="eastAsia" w:ascii="仿宋_GB2312"/>
          <w:snapToGrid w:val="0"/>
        </w:rPr>
        <w:t>我局严格按照各项财经纪律和财经法规执行，无违反财经纪律和违规之处的行为发生。</w:t>
      </w:r>
    </w:p>
    <w:p>
      <w:pPr>
        <w:spacing w:line="560" w:lineRule="exact"/>
        <w:ind w:firstLine="640" w:firstLineChars="200"/>
        <w:rPr>
          <w:rFonts w:ascii="楷体_GB2312" w:hAnsi="仿宋" w:eastAsia="楷体_GB2312" w:cs="楷体"/>
          <w:bCs/>
          <w:sz w:val="32"/>
          <w:szCs w:val="32"/>
        </w:rPr>
      </w:pPr>
      <w:r>
        <w:rPr>
          <w:rFonts w:hint="eastAsia" w:ascii="楷体_GB2312" w:hAnsi="仿宋" w:eastAsia="楷体_GB2312" w:cs="楷体"/>
          <w:bCs/>
          <w:sz w:val="32"/>
          <w:szCs w:val="32"/>
        </w:rPr>
        <w:t>（二）结果应用情况</w:t>
      </w:r>
    </w:p>
    <w:p>
      <w:pPr>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根据评价指标体系测算，本单位部门整体支出绩效评价结果等次为“优”，部门预算、部门整体支出绩效目标以及自评包括部门自评情况均按要求及时在《苍溪县人民政府公众信息网》进行了公开，自觉接受监督。针对评价报告中反应的问题，本部门认真开展自查自纠，不断加强学习，不断完善绩效评价指标体系，科学编制预算，严格预算执行，优化资源配置、控制节约成本、提高公共服务质量和财政资金使用效益，充分发挥本单位的职能作用。</w:t>
      </w:r>
    </w:p>
    <w:p>
      <w:pPr>
        <w:widowControl/>
        <w:numPr>
          <w:ilvl w:val="0"/>
          <w:numId w:val="4"/>
        </w:numPr>
        <w:adjustRightInd w:val="0"/>
        <w:snapToGrid w:val="0"/>
        <w:spacing w:line="580" w:lineRule="exact"/>
        <w:ind w:firstLine="640" w:firstLineChars="200"/>
        <w:contextualSpacing/>
        <w:jc w:val="left"/>
        <w:rPr>
          <w:rFonts w:ascii="仿宋_GB2312" w:hAnsi="宋体" w:eastAsia="仿宋_GB2312" w:cs="宋体"/>
          <w:kern w:val="0"/>
          <w:sz w:val="32"/>
          <w:szCs w:val="32"/>
          <w:shd w:val="clear" w:color="auto" w:fill="FFFFFF"/>
          <w:lang w:val="zh-CN"/>
        </w:rPr>
      </w:pPr>
      <w:r>
        <w:rPr>
          <w:rFonts w:hint="eastAsia" w:ascii="仿宋_GB2312" w:hAnsi="宋体" w:eastAsia="仿宋_GB2312" w:cs="宋体"/>
          <w:kern w:val="0"/>
          <w:sz w:val="32"/>
          <w:szCs w:val="32"/>
          <w:shd w:val="clear" w:color="auto" w:fill="FFFFFF"/>
          <w:lang w:val="zh-CN"/>
        </w:rPr>
        <w:t>自评质量</w:t>
      </w:r>
    </w:p>
    <w:p>
      <w:pPr>
        <w:widowControl/>
        <w:adjustRightInd w:val="0"/>
        <w:snapToGrid w:val="0"/>
        <w:spacing w:line="576" w:lineRule="exact"/>
        <w:ind w:firstLine="640" w:firstLineChars="200"/>
        <w:contextualSpacing/>
        <w:jc w:val="left"/>
        <w:rPr>
          <w:rFonts w:ascii="仿宋_GB2312" w:hAnsi="宋体" w:eastAsia="仿宋_GB2312"/>
          <w:sz w:val="32"/>
          <w:szCs w:val="32"/>
        </w:rPr>
      </w:pPr>
      <w:r>
        <w:rPr>
          <w:rFonts w:hint="eastAsia" w:ascii="仿宋_GB2312" w:hAnsi="宋体" w:eastAsia="仿宋_GB2312" w:cs="宋体"/>
          <w:kern w:val="0"/>
          <w:sz w:val="32"/>
          <w:szCs w:val="32"/>
          <w:shd w:val="clear" w:color="auto" w:fill="FFFFFF"/>
        </w:rPr>
        <w:t>县司法局部门整体支出自评</w:t>
      </w:r>
      <w:r>
        <w:rPr>
          <w:rFonts w:hint="eastAsia" w:ascii="仿宋_GB2312" w:hAnsi="宋体" w:eastAsia="仿宋_GB2312"/>
          <w:sz w:val="32"/>
          <w:szCs w:val="32"/>
          <w:lang w:val="zh-CN"/>
        </w:rPr>
        <w:t>自评分数为</w:t>
      </w:r>
      <w:r>
        <w:rPr>
          <w:rFonts w:hint="eastAsia" w:ascii="仿宋_GB2312" w:hAnsi="宋体" w:eastAsia="仿宋_GB2312"/>
          <w:sz w:val="32"/>
          <w:szCs w:val="32"/>
        </w:rPr>
        <w:t>90分，评价结论为优。</w:t>
      </w:r>
    </w:p>
    <w:p>
      <w:pPr>
        <w:widowControl/>
        <w:adjustRightInd w:val="0"/>
        <w:snapToGrid w:val="0"/>
        <w:spacing w:line="576" w:lineRule="exact"/>
        <w:ind w:firstLine="640" w:firstLineChars="200"/>
        <w:contextualSpacing/>
        <w:jc w:val="left"/>
        <w:rPr>
          <w:rFonts w:ascii="黑体" w:hAnsi="宋体" w:eastAsia="黑体" w:cs="宋体"/>
          <w:kern w:val="0"/>
          <w:sz w:val="32"/>
          <w:szCs w:val="32"/>
          <w:shd w:val="clear" w:color="auto" w:fill="FFFFFF"/>
        </w:rPr>
      </w:pPr>
      <w:r>
        <w:rPr>
          <w:rFonts w:hint="eastAsia" w:ascii="黑体" w:hAnsi="宋体" w:eastAsia="黑体" w:cs="宋体"/>
          <w:kern w:val="0"/>
          <w:sz w:val="32"/>
          <w:szCs w:val="32"/>
          <w:shd w:val="clear" w:color="auto" w:fill="FFFFFF"/>
        </w:rPr>
        <w:t>四、评价结论及建议</w:t>
      </w:r>
    </w:p>
    <w:p>
      <w:pPr>
        <w:spacing w:line="560" w:lineRule="exact"/>
        <w:ind w:firstLine="640" w:firstLineChars="200"/>
        <w:rPr>
          <w:rFonts w:ascii="楷体_GB2312" w:hAnsi="仿宋" w:eastAsia="楷体_GB2312"/>
          <w:sz w:val="32"/>
          <w:szCs w:val="32"/>
        </w:rPr>
      </w:pPr>
      <w:r>
        <w:rPr>
          <w:rFonts w:hint="eastAsia" w:ascii="楷体_GB2312" w:hAnsi="仿宋" w:eastAsia="楷体_GB2312"/>
          <w:sz w:val="32"/>
          <w:szCs w:val="32"/>
        </w:rPr>
        <w:t>（一）评价结论</w:t>
      </w: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一是科学合理地编制部门预算，预算结合本部门的事业发展计划、职责和任务测算，确保部门预算编制真实、准确、完整，切合单位实际。</w:t>
      </w: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二是要强化绩效管理考核，围绕绩效考核目标任务，层层分解落实，明确责任领导和责任单位及责任人，强化责任意识，使每位同志对自己的目标任务了然于胸，从而增强工作的主动性和积极性，使考核目标中涉及到的每一项任务都落到了实处，同时建立并执行考核目标执行情况跟踪检查制度，责任追究制度，使单位在合理使用资金，有效控制支出的情况下，确保了各项绩效考核指标保质保量完成。</w:t>
      </w:r>
    </w:p>
    <w:p>
      <w:pPr>
        <w:spacing w:line="560" w:lineRule="exact"/>
        <w:ind w:firstLine="640" w:firstLineChars="200"/>
        <w:rPr>
          <w:rFonts w:ascii="楷体_GB2312" w:hAnsi="仿宋" w:eastAsia="楷体_GB2312" w:cs="仿宋_GB2312"/>
          <w:sz w:val="32"/>
          <w:szCs w:val="32"/>
        </w:rPr>
      </w:pPr>
      <w:r>
        <w:rPr>
          <w:rFonts w:hint="eastAsia" w:ascii="楷体_GB2312" w:hAnsi="仿宋" w:eastAsia="楷体_GB2312" w:cs="仿宋_GB2312"/>
          <w:sz w:val="32"/>
          <w:szCs w:val="32"/>
        </w:rPr>
        <w:t>（二）存在问题</w:t>
      </w:r>
    </w:p>
    <w:p>
      <w:pPr>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机关的支出管理项目还有待进一步细化和量化，强化机关经费预算管理的刚性约束，项目支出按预算和工作进度执行，进一步规范各项支出。</w:t>
      </w:r>
    </w:p>
    <w:p>
      <w:pPr>
        <w:spacing w:line="560" w:lineRule="exact"/>
        <w:ind w:firstLine="640" w:firstLineChars="200"/>
        <w:rPr>
          <w:rFonts w:ascii="仿宋_GB2312" w:hAnsi="仿宋" w:eastAsia="仿宋_GB2312" w:cs="仿宋_GB2312"/>
          <w:sz w:val="32"/>
          <w:szCs w:val="32"/>
        </w:rPr>
      </w:pPr>
      <w:r>
        <w:rPr>
          <w:rFonts w:hint="eastAsia" w:ascii="楷体_GB2312" w:hAnsi="仿宋" w:eastAsia="楷体_GB2312" w:cs="仿宋_GB2312"/>
          <w:sz w:val="32"/>
          <w:szCs w:val="32"/>
        </w:rPr>
        <w:t>（三）改进建议</w:t>
      </w: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1．建议加强政策学习，提高思想认识。组织单位人员认真学习《预算法》等相关法规、制度，提高单位领导对全面预算管理的重视程度，增强财务人员的预算意识，坚持先有预算、后有支出，没有预算不得支出的支出理念。</w:t>
      </w: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2．建议细化预算指标，提高预算科学性。预算编制前根据年度内单位可预见的工作任务，确定单位年度预算目标，细化预算指标，科学合理编制部门预算，推进预算编制科学化、准确化。</w:t>
      </w:r>
    </w:p>
    <w:p>
      <w:pPr>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3．年度预算编制后，加强预算执行管理，根据实际情况，定期做好预算执行分析，掌握预算执行进度，及时找出预算实际执行情况与预算目标之间存在的差异，采取有效措施纠正偏差，提高预算执行的时效性和均衡性，同时为下一次科学、准确地编制部门预算积累经验。</w:t>
      </w:r>
    </w:p>
    <w:p>
      <w:pPr>
        <w:spacing w:line="580" w:lineRule="exact"/>
        <w:jc w:val="center"/>
        <w:rPr>
          <w:rFonts w:ascii="方正小标宋简体" w:hAnsi="方正小标宋简体" w:eastAsia="方正小标宋简体" w:cs="方正小标宋简体"/>
          <w:sz w:val="40"/>
          <w:szCs w:val="40"/>
        </w:rPr>
      </w:pPr>
    </w:p>
    <w:p>
      <w:pPr>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0"/>
          <w:szCs w:val="40"/>
        </w:rPr>
        <w:t>2021年</w:t>
      </w:r>
      <w:r>
        <w:rPr>
          <w:rFonts w:hint="eastAsia" w:ascii="方正小标宋简体" w:hAnsi="方正小标宋简体" w:eastAsia="方正小标宋简体" w:cs="方正小标宋简体"/>
          <w:sz w:val="40"/>
          <w:szCs w:val="40"/>
          <w:lang w:val="en-US" w:eastAsia="zh-CN"/>
        </w:rPr>
        <w:t>度</w:t>
      </w:r>
      <w:r>
        <w:rPr>
          <w:rFonts w:hint="eastAsia" w:ascii="方正小标宋简体" w:hAnsi="方正小标宋简体" w:eastAsia="方正小标宋简体" w:cs="方正小标宋简体"/>
          <w:sz w:val="40"/>
          <w:szCs w:val="40"/>
          <w:lang w:val="zh-CN"/>
        </w:rPr>
        <w:t>专项预算项目支出绩效自评报告</w:t>
      </w:r>
    </w:p>
    <w:p>
      <w:pPr>
        <w:spacing w:line="580" w:lineRule="exact"/>
        <w:jc w:val="center"/>
        <w:rPr>
          <w:rFonts w:ascii="楷体" w:hAnsi="楷体" w:eastAsia="楷体" w:cs="楷体"/>
          <w:sz w:val="32"/>
          <w:szCs w:val="32"/>
        </w:rPr>
      </w:pPr>
      <w:r>
        <w:rPr>
          <w:rFonts w:hint="eastAsia" w:ascii="楷体" w:hAnsi="楷体" w:eastAsia="楷体" w:cs="楷体"/>
          <w:sz w:val="32"/>
          <w:szCs w:val="32"/>
        </w:rPr>
        <w:t>（普法宣传项目）</w:t>
      </w:r>
    </w:p>
    <w:p>
      <w:pPr>
        <w:spacing w:line="600" w:lineRule="exact"/>
        <w:jc w:val="center"/>
        <w:outlineLvl w:val="0"/>
        <w:rPr>
          <w:rFonts w:ascii="黑体" w:hAnsi="黑体" w:eastAsia="黑体"/>
          <w:sz w:val="44"/>
          <w:szCs w:val="44"/>
        </w:rPr>
      </w:pPr>
    </w:p>
    <w:p>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60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600"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1．项目主管部门在该项目管理中的职能</w:t>
      </w:r>
    </w:p>
    <w:p>
      <w:pPr>
        <w:adjustRightInd w:val="0"/>
        <w:snapToGrid w:val="0"/>
        <w:spacing w:line="576" w:lineRule="exact"/>
        <w:ind w:firstLine="720"/>
        <w:rPr>
          <w:rFonts w:ascii="仿宋_GB2312" w:hAnsi="宋体" w:eastAsia="仿宋_GB2312"/>
          <w:sz w:val="32"/>
          <w:szCs w:val="32"/>
          <w:lang w:val="zh-CN"/>
        </w:rPr>
      </w:pPr>
      <w:r>
        <w:rPr>
          <w:rFonts w:hint="eastAsia" w:ascii="仿宋_GB2312" w:eastAsia="仿宋_GB2312"/>
          <w:sz w:val="32"/>
          <w:szCs w:val="32"/>
        </w:rPr>
        <w:t>拟订全县法治宣传教育规划并组织实施。指导监督县</w:t>
      </w:r>
      <w:r>
        <w:rPr>
          <w:rFonts w:hint="eastAsia" w:ascii="仿宋_GB2312" w:hAnsi="仿宋" w:eastAsia="仿宋_GB2312" w:cs="仿宋_GB2312"/>
          <w:sz w:val="32"/>
          <w:szCs w:val="32"/>
        </w:rPr>
        <w:t>政府各部门、</w:t>
      </w:r>
      <w:r>
        <w:rPr>
          <w:rFonts w:hint="eastAsia" w:ascii="仿宋_GB2312" w:hAnsi="仿宋" w:eastAsia="仿宋_GB2312" w:cs="仿宋"/>
          <w:sz w:val="32"/>
          <w:szCs w:val="32"/>
        </w:rPr>
        <w:t>各乡镇人民政府</w:t>
      </w:r>
      <w:r>
        <w:rPr>
          <w:rFonts w:hint="eastAsia" w:ascii="仿宋_GB2312" w:eastAsia="仿宋_GB2312"/>
          <w:sz w:val="32"/>
          <w:szCs w:val="32"/>
        </w:rPr>
        <w:t>“谁执法谁普法”的普法责任制落实工作。指导监督国家工作人员学法用法工作，推进全民普法。承担县政府常务会议会前学法工作。指导各部门、各乡镇、各行业依法治理和法治创建工作。组织对外法制宣传。指导社会主义法治文化建设。负责本系统文化建设、依法治理、法治创建、对外法治宣传及法治文化建设。</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．项目立项、资金申报的依据</w:t>
      </w:r>
    </w:p>
    <w:p>
      <w:pPr>
        <w:adjustRightInd w:val="0"/>
        <w:snapToGrid w:val="0"/>
        <w:spacing w:line="576"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普法宣传业务项目</w:t>
      </w:r>
      <w:r>
        <w:rPr>
          <w:rFonts w:hint="eastAsia" w:ascii="仿宋_GB2312" w:hAnsi="宋体" w:eastAsia="仿宋_GB2312"/>
          <w:sz w:val="32"/>
          <w:szCs w:val="32"/>
        </w:rPr>
        <w:t>2021</w:t>
      </w:r>
      <w:r>
        <w:rPr>
          <w:rFonts w:hint="eastAsia" w:ascii="仿宋_GB2312" w:hAnsi="宋体" w:eastAsia="仿宋_GB2312"/>
          <w:sz w:val="32"/>
          <w:szCs w:val="32"/>
          <w:lang w:val="zh-CN"/>
        </w:rPr>
        <w:t>年预算数为</w:t>
      </w:r>
      <w:r>
        <w:rPr>
          <w:rFonts w:hint="eastAsia" w:ascii="仿宋_GB2312" w:hAnsi="宋体" w:eastAsia="仿宋_GB2312"/>
          <w:sz w:val="32"/>
          <w:szCs w:val="32"/>
        </w:rPr>
        <w:t>22</w:t>
      </w:r>
      <w:r>
        <w:rPr>
          <w:rFonts w:hint="eastAsia" w:ascii="仿宋_GB2312" w:hAnsi="宋体" w:eastAsia="仿宋_GB2312"/>
          <w:sz w:val="32"/>
          <w:szCs w:val="32"/>
          <w:lang w:val="zh-CN"/>
        </w:rPr>
        <w:t>万元，主要</w:t>
      </w:r>
      <w:r>
        <w:rPr>
          <w:rFonts w:hint="eastAsia" w:ascii="仿宋_GB2312" w:hAnsi="宋体" w:eastAsia="仿宋_GB2312"/>
          <w:sz w:val="32"/>
          <w:szCs w:val="32"/>
        </w:rPr>
        <w:t>用于</w:t>
      </w:r>
      <w:r>
        <w:rPr>
          <w:rFonts w:hint="eastAsia" w:ascii="仿宋_GB2312" w:hAnsi="仿宋_GB2312" w:eastAsia="仿宋_GB2312" w:cs="仿宋_GB2312"/>
          <w:sz w:val="32"/>
          <w:szCs w:val="32"/>
        </w:rPr>
        <w:t>“一月一主题”法治宣传教育、“法律七进”、法治示范创建、法治扶贫等重点任务。</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．资金管理办法制定情况，资金支持具体项目的条件、范围与支持方式概况</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项目资金使用范围：主要用于</w:t>
      </w:r>
      <w:r>
        <w:rPr>
          <w:rFonts w:hint="eastAsia" w:ascii="仿宋_GB2312" w:hAnsi="仿宋_GB2312" w:eastAsia="仿宋_GB2312" w:cs="仿宋_GB2312"/>
          <w:sz w:val="32"/>
          <w:szCs w:val="32"/>
        </w:rPr>
        <w:t>“一月一主题”法治宣传教育、“124”宪法宣传、法治示范创建、法治扶贫等宣传资料的印制。</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4</w:t>
      </w:r>
      <w:r>
        <w:rPr>
          <w:rFonts w:hint="eastAsia" w:ascii="仿宋_GB2312" w:hAnsi="宋体" w:eastAsia="仿宋_GB2312"/>
          <w:sz w:val="32"/>
          <w:szCs w:val="32"/>
          <w:lang w:val="zh-CN"/>
        </w:rPr>
        <w:t>．资金分配的原则及考虑因素</w:t>
      </w:r>
    </w:p>
    <w:p>
      <w:pPr>
        <w:adjustRightInd w:val="0"/>
        <w:snapToGrid w:val="0"/>
        <w:spacing w:line="576" w:lineRule="exact"/>
        <w:ind w:firstLine="640" w:firstLineChars="200"/>
        <w:rPr>
          <w:rFonts w:ascii="楷体_GB2312" w:hAnsi="宋体" w:eastAsia="楷体_GB2312"/>
          <w:b/>
          <w:sz w:val="32"/>
          <w:szCs w:val="32"/>
          <w:lang w:val="zh-CN"/>
        </w:rPr>
      </w:pPr>
      <w:r>
        <w:rPr>
          <w:rFonts w:hint="eastAsia" w:ascii="仿宋_GB2312" w:hAnsi="宋体" w:eastAsia="仿宋_GB2312"/>
          <w:sz w:val="32"/>
          <w:szCs w:val="32"/>
          <w:lang w:val="zh-CN"/>
        </w:rPr>
        <w:t>科学合理安排资金预算支出，结合有限的项目资金，实现资金落到实处，强化执行过程监督，保障项目运行。</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．项目主要内容</w:t>
      </w:r>
    </w:p>
    <w:p>
      <w:pPr>
        <w:spacing w:line="576" w:lineRule="exact"/>
        <w:ind w:firstLine="640" w:firstLineChars="200"/>
        <w:rPr>
          <w:rFonts w:ascii="仿宋_GB2312" w:hAnsi="宋体" w:eastAsia="仿宋_GB2312"/>
          <w:sz w:val="32"/>
          <w:szCs w:val="32"/>
          <w:lang w:val="zh-CN"/>
        </w:rPr>
      </w:pPr>
      <w:r>
        <w:rPr>
          <w:rFonts w:hint="eastAsia" w:ascii="楷体_GB2312" w:hAnsi="楷体_GB2312" w:eastAsia="楷体_GB2312" w:cs="楷体_GB2312"/>
          <w:sz w:val="32"/>
          <w:szCs w:val="32"/>
        </w:rPr>
        <w:t>一是深入开展法治宣传营造法治氛围。</w:t>
      </w:r>
      <w:r>
        <w:rPr>
          <w:rFonts w:hint="eastAsia" w:ascii="仿宋_GB2312" w:hAnsi="仿宋_GB2312" w:eastAsia="仿宋_GB2312" w:cs="仿宋_GB2312"/>
          <w:sz w:val="32"/>
          <w:szCs w:val="32"/>
        </w:rPr>
        <w:t>印制《疫情防控法律法规应知应守》等宣传资料，结合司法行政职能，开展新冠肺炎疫情防控法律法规宣传工作，引导全社会依法防疫，为疫情防控工作提供有力法治保障。结合“3.8”“3.15”“4.15”“6.5”“12.4”等重要时间节点，开展主题法治宣传活动180余场次。</w:t>
      </w:r>
      <w:r>
        <w:rPr>
          <w:rFonts w:hint="eastAsia" w:ascii="楷体_GB2312" w:hAnsi="楷体_GB2312" w:eastAsia="楷体_GB2312" w:cs="楷体_GB2312"/>
          <w:sz w:val="32"/>
          <w:szCs w:val="32"/>
        </w:rPr>
        <w:t>二是</w:t>
      </w:r>
      <w:r>
        <w:rPr>
          <w:rFonts w:hint="eastAsia" w:ascii="仿宋_GB2312" w:hAnsi="仿宋_GB2312" w:eastAsia="仿宋_GB2312" w:cs="仿宋_GB2312"/>
          <w:sz w:val="32"/>
          <w:szCs w:val="32"/>
        </w:rPr>
        <w:t>持续加强“法律进乡村（社区）”工作。开展“传递公益温暖，助力乡村振兴”暨“送文化、送温暖、送健康、送法律”系列活动，提高乡村群众法治意识。实施乡村“法律明白人”培育工程，针对全县村（社区）“两委”干部、“法律明白人”等开展法律法规业务培训50场次2000余人。推进“法律进重点项目”</w:t>
      </w:r>
      <w:r>
        <w:rPr>
          <w:rFonts w:hint="eastAsia" w:ascii="楷体_GB2312" w:hAnsi="楷体_GB2312" w:eastAsia="楷体_GB2312" w:cs="楷体_GB2312"/>
          <w:sz w:val="32"/>
          <w:szCs w:val="32"/>
        </w:rPr>
        <w:t>，</w:t>
      </w:r>
      <w:r>
        <w:rPr>
          <w:rFonts w:hint="eastAsia" w:ascii="仿宋_GB2312" w:hAnsi="仿宋_GB2312" w:eastAsia="仿宋_GB2312" w:cs="仿宋_GB2312"/>
          <w:sz w:val="32"/>
          <w:szCs w:val="32"/>
        </w:rPr>
        <w:t>结合公共法律服务农民工专项行动，深入建筑工地等重点项目，普及《保障农民工工资支付条例》等法律法规，强化农民工维权意识。</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．项目应实现的具体绩效目标，包括目标的量化、细化情况以及项目实施进度计划等</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通过各种培训及宣传，普及法律法规，强化老百姓的法律意识。绩效目标在规定时间内均按质按量完成。</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．分析评价申报内容是否与实际相符，申报目标是否合理可行</w:t>
      </w:r>
    </w:p>
    <w:p>
      <w:pPr>
        <w:adjustRightInd w:val="0"/>
        <w:snapToGrid w:val="0"/>
        <w:spacing w:line="576" w:lineRule="exact"/>
        <w:ind w:firstLine="720"/>
        <w:rPr>
          <w:rFonts w:ascii="楷体_GB2312" w:hAnsi="宋体" w:eastAsia="楷体_GB2312"/>
          <w:b/>
          <w:sz w:val="32"/>
          <w:szCs w:val="32"/>
          <w:lang w:val="zh-CN"/>
        </w:rPr>
      </w:pPr>
      <w:r>
        <w:rPr>
          <w:rFonts w:hint="eastAsia" w:ascii="仿宋_GB2312" w:hAnsi="宋体" w:eastAsia="仿宋_GB2312"/>
          <w:sz w:val="32"/>
          <w:szCs w:val="32"/>
          <w:lang w:val="zh-CN"/>
        </w:rPr>
        <w:t>申报内容与实际相符，申报目标合理可行。</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576" w:lineRule="exact"/>
        <w:ind w:firstLine="720"/>
        <w:rPr>
          <w:rFonts w:ascii="黑体" w:hAnsi="宋体" w:eastAsia="黑体"/>
          <w:sz w:val="32"/>
          <w:szCs w:val="32"/>
        </w:rPr>
      </w:pPr>
      <w:r>
        <w:rPr>
          <w:rFonts w:hint="eastAsia" w:ascii="仿宋_GB2312" w:hAnsi="宋体" w:eastAsia="仿宋_GB2312"/>
          <w:sz w:val="32"/>
          <w:szCs w:val="32"/>
          <w:lang w:val="zh-CN"/>
        </w:rPr>
        <w:t>先由业务股室经办人员、财务人员共同草拟自评报告，分别报分管领导、主要领导审阅后再报送。最后进行自评。</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576"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根据财政安排，年初由本单位财务人员申报，经分管领导和负责人审核后交财政局审核，待财政审核后下发单位实施。</w:t>
      </w:r>
    </w:p>
    <w:p>
      <w:pPr>
        <w:adjustRightInd w:val="0"/>
        <w:snapToGrid w:val="0"/>
        <w:spacing w:line="576"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w:t>
      </w:r>
    </w:p>
    <w:p>
      <w:pPr>
        <w:adjustRightInd w:val="0"/>
        <w:snapToGrid w:val="0"/>
        <w:spacing w:line="576" w:lineRule="exact"/>
        <w:ind w:firstLine="720"/>
        <w:rPr>
          <w:rFonts w:ascii="仿宋_GB2312" w:hAnsi="宋体" w:eastAsia="仿宋_GB2312"/>
          <w:sz w:val="32"/>
          <w:szCs w:val="32"/>
          <w:lang w:val="zh-CN"/>
        </w:rPr>
      </w:pPr>
      <w:r>
        <w:rPr>
          <w:rFonts w:hint="eastAsia" w:ascii="楷体_GB2312" w:hAnsi="宋体" w:eastAsia="楷体_GB2312"/>
          <w:sz w:val="32"/>
          <w:szCs w:val="32"/>
        </w:rPr>
        <w:t>1．</w:t>
      </w:r>
      <w:r>
        <w:rPr>
          <w:rFonts w:hint="eastAsia" w:ascii="楷体_GB2312" w:hAnsi="宋体" w:eastAsia="楷体_GB2312"/>
          <w:sz w:val="32"/>
          <w:szCs w:val="32"/>
          <w:lang w:val="zh-CN"/>
        </w:rPr>
        <w:t>资金计划</w:t>
      </w:r>
    </w:p>
    <w:p>
      <w:pPr>
        <w:adjustRightInd w:val="0"/>
        <w:snapToGrid w:val="0"/>
        <w:spacing w:line="576" w:lineRule="exact"/>
        <w:ind w:firstLine="720"/>
        <w:rPr>
          <w:rFonts w:ascii="楷体_GB2312" w:hAnsi="宋体" w:eastAsia="楷体_GB2312"/>
          <w:sz w:val="32"/>
          <w:szCs w:val="32"/>
          <w:lang w:val="zh-CN"/>
        </w:rPr>
      </w:pPr>
      <w:r>
        <w:rPr>
          <w:rFonts w:hint="eastAsia" w:ascii="仿宋_GB2312" w:hAnsi="宋体" w:eastAsia="仿宋_GB2312"/>
          <w:sz w:val="32"/>
          <w:szCs w:val="32"/>
          <w:lang w:val="zh-CN"/>
        </w:rPr>
        <w:t>项目资金年初计划为</w:t>
      </w:r>
      <w:r>
        <w:rPr>
          <w:rFonts w:hint="eastAsia" w:ascii="仿宋_GB2312" w:hAnsi="宋体" w:eastAsia="仿宋_GB2312"/>
          <w:sz w:val="32"/>
          <w:szCs w:val="32"/>
        </w:rPr>
        <w:t>22</w:t>
      </w:r>
      <w:r>
        <w:rPr>
          <w:rFonts w:hint="eastAsia" w:ascii="仿宋_GB2312" w:hAnsi="宋体" w:eastAsia="仿宋_GB2312"/>
          <w:sz w:val="32"/>
          <w:szCs w:val="32"/>
          <w:lang w:val="zh-CN"/>
        </w:rPr>
        <w:t>万元，</w:t>
      </w:r>
      <w:r>
        <w:rPr>
          <w:rFonts w:hint="eastAsia" w:ascii="仿宋_GB2312" w:hAnsi="宋体" w:eastAsia="仿宋_GB2312"/>
          <w:sz w:val="32"/>
          <w:szCs w:val="32"/>
        </w:rPr>
        <w:t>为财政拨款</w:t>
      </w:r>
      <w:r>
        <w:rPr>
          <w:rFonts w:hint="eastAsia" w:ascii="仿宋_GB2312" w:hAnsi="宋体" w:eastAsia="仿宋_GB2312"/>
          <w:sz w:val="32"/>
          <w:szCs w:val="32"/>
          <w:lang w:val="zh-CN"/>
        </w:rPr>
        <w:t>。</w:t>
      </w:r>
    </w:p>
    <w:p>
      <w:pPr>
        <w:adjustRightInd w:val="0"/>
        <w:snapToGrid w:val="0"/>
        <w:spacing w:line="576" w:lineRule="exact"/>
        <w:ind w:firstLine="640" w:firstLineChars="200"/>
        <w:rPr>
          <w:rFonts w:ascii="楷体_GB2312" w:hAnsi="宋体" w:eastAsia="楷体_GB2312"/>
          <w:sz w:val="32"/>
          <w:szCs w:val="32"/>
          <w:lang w:val="zh-CN"/>
        </w:rPr>
      </w:pPr>
      <w:r>
        <w:rPr>
          <w:rFonts w:hint="eastAsia" w:ascii="楷体_GB2312" w:hAnsi="宋体" w:eastAsia="楷体_GB2312"/>
          <w:sz w:val="32"/>
          <w:szCs w:val="32"/>
        </w:rPr>
        <w:t>2．</w:t>
      </w:r>
      <w:r>
        <w:rPr>
          <w:rFonts w:hint="eastAsia" w:ascii="楷体_GB2312" w:hAnsi="宋体" w:eastAsia="楷体_GB2312"/>
          <w:sz w:val="32"/>
          <w:szCs w:val="32"/>
          <w:lang w:val="zh-CN"/>
        </w:rPr>
        <w:t>资金到位</w:t>
      </w:r>
    </w:p>
    <w:p>
      <w:pPr>
        <w:adjustRightInd w:val="0"/>
        <w:snapToGrid w:val="0"/>
        <w:spacing w:line="576" w:lineRule="exact"/>
        <w:rPr>
          <w:rFonts w:ascii="仿宋_GB2312" w:hAnsi="宋体" w:eastAsia="仿宋_GB2312"/>
          <w:sz w:val="32"/>
          <w:szCs w:val="32"/>
        </w:rPr>
      </w:pPr>
      <w:r>
        <w:rPr>
          <w:rFonts w:hint="eastAsia" w:ascii="楷体_GB2312" w:hAnsi="宋体" w:eastAsia="楷体_GB2312"/>
          <w:sz w:val="32"/>
          <w:szCs w:val="32"/>
        </w:rPr>
        <w:t xml:space="preserve">   </w:t>
      </w:r>
      <w:r>
        <w:rPr>
          <w:rFonts w:hint="eastAsia" w:ascii="仿宋_GB2312" w:hAnsi="宋体" w:eastAsia="仿宋_GB2312"/>
          <w:sz w:val="32"/>
          <w:szCs w:val="32"/>
        </w:rPr>
        <w:t xml:space="preserve"> 资金均按时到位。</w:t>
      </w:r>
    </w:p>
    <w:p>
      <w:pPr>
        <w:adjustRightInd w:val="0"/>
        <w:snapToGrid w:val="0"/>
        <w:spacing w:line="576" w:lineRule="exact"/>
        <w:ind w:firstLine="640" w:firstLineChars="200"/>
        <w:rPr>
          <w:rFonts w:ascii="楷体_GB2312" w:hAnsi="宋体" w:eastAsia="楷体_GB2312"/>
          <w:b/>
          <w:sz w:val="32"/>
          <w:szCs w:val="32"/>
          <w:lang w:val="zh-CN"/>
        </w:rPr>
      </w:pPr>
      <w:r>
        <w:rPr>
          <w:rFonts w:hint="eastAsia" w:ascii="楷体_GB2312" w:hAnsi="宋体" w:eastAsia="楷体_GB2312"/>
          <w:sz w:val="32"/>
          <w:szCs w:val="32"/>
        </w:rPr>
        <w:t>3．</w:t>
      </w:r>
      <w:r>
        <w:rPr>
          <w:rFonts w:hint="eastAsia" w:ascii="楷体_GB2312" w:hAnsi="宋体" w:eastAsia="楷体_GB2312"/>
          <w:sz w:val="32"/>
          <w:szCs w:val="32"/>
          <w:lang w:val="zh-CN"/>
        </w:rPr>
        <w:t>资金使用</w:t>
      </w:r>
    </w:p>
    <w:p>
      <w:pPr>
        <w:adjustRightInd w:val="0"/>
        <w:snapToGrid w:val="0"/>
        <w:spacing w:line="576" w:lineRule="exact"/>
        <w:ind w:firstLine="640" w:firstLineChars="200"/>
        <w:rPr>
          <w:rFonts w:ascii="楷体_GB2312" w:hAnsi="宋体" w:eastAsia="楷体_GB2312"/>
          <w:b/>
          <w:sz w:val="32"/>
          <w:szCs w:val="32"/>
          <w:lang w:val="zh-CN"/>
        </w:rPr>
      </w:pPr>
      <w:r>
        <w:rPr>
          <w:rFonts w:hint="eastAsia" w:ascii="仿宋_GB2312" w:hAnsi="宋体" w:eastAsia="仿宋_GB2312"/>
          <w:sz w:val="32"/>
          <w:szCs w:val="32"/>
          <w:lang w:val="zh-CN"/>
        </w:rPr>
        <w:t>科学合理安排资金预算支出，结合有限的项目资金，实现资金落到实处。</w:t>
      </w:r>
    </w:p>
    <w:p>
      <w:pPr>
        <w:adjustRightInd w:val="0"/>
        <w:snapToGrid w:val="0"/>
        <w:spacing w:line="576" w:lineRule="exact"/>
        <w:ind w:firstLine="643" w:firstLineChars="20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576" w:lineRule="exact"/>
        <w:ind w:firstLine="720"/>
        <w:rPr>
          <w:rFonts w:ascii="黑体" w:hAnsi="宋体" w:eastAsia="黑体"/>
          <w:sz w:val="32"/>
          <w:szCs w:val="32"/>
        </w:rPr>
      </w:pPr>
      <w:r>
        <w:rPr>
          <w:rFonts w:hint="eastAsia" w:ascii="仿宋_GB2312" w:hAnsi="宋体" w:eastAsia="仿宋_GB2312"/>
          <w:sz w:val="32"/>
          <w:szCs w:val="32"/>
        </w:rPr>
        <w:t>我局建立</w:t>
      </w:r>
      <w:r>
        <w:rPr>
          <w:rFonts w:hint="eastAsia" w:ascii="仿宋_GB2312" w:hAnsi="宋体" w:eastAsia="仿宋_GB2312"/>
          <w:sz w:val="32"/>
          <w:szCs w:val="32"/>
          <w:lang w:val="zh-CN"/>
        </w:rPr>
        <w:t>健全</w:t>
      </w:r>
      <w:r>
        <w:rPr>
          <w:rFonts w:hint="eastAsia" w:ascii="仿宋_GB2312" w:hAnsi="宋体" w:eastAsia="仿宋_GB2312"/>
          <w:sz w:val="32"/>
          <w:szCs w:val="32"/>
        </w:rPr>
        <w:t>了</w:t>
      </w:r>
      <w:r>
        <w:rPr>
          <w:rFonts w:hint="eastAsia" w:ascii="仿宋_GB2312" w:hAnsi="宋体" w:eastAsia="仿宋_GB2312"/>
          <w:sz w:val="32"/>
          <w:szCs w:val="32"/>
          <w:lang w:val="zh-CN"/>
        </w:rPr>
        <w:t>财务</w:t>
      </w:r>
      <w:r>
        <w:rPr>
          <w:rFonts w:hint="eastAsia" w:ascii="仿宋_GB2312" w:hAnsi="宋体" w:eastAsia="仿宋_GB2312"/>
          <w:sz w:val="32"/>
          <w:szCs w:val="32"/>
        </w:rPr>
        <w:t>管理</w:t>
      </w:r>
      <w:r>
        <w:rPr>
          <w:rFonts w:hint="eastAsia" w:ascii="仿宋_GB2312" w:hAnsi="宋体" w:eastAsia="仿宋_GB2312"/>
          <w:sz w:val="32"/>
          <w:szCs w:val="32"/>
          <w:lang w:val="zh-CN"/>
        </w:rPr>
        <w:t>制度，资金拨付严格按照财务管理制度进行管理，保证专款专用，资金发放复查由财务人员按照财务制度进行资金的审核、支付和核算，资金报销有发票、合同、验收清单等相关材料，手续完善，不存在虚假凭证的情况，会计严格执行财务管理制度，财务处理及时，核算规范。</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576"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结合项目组织实施管理办法，重点围绕以下内容进行分析评价，并对自评中发现的问题分析说明。</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（一）项目组织架构及实施流程</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该项目在实施过程中，各股室和司法所根据工作需要进行申请。</w:t>
      </w:r>
    </w:p>
    <w:p>
      <w:pPr>
        <w:adjustRightInd w:val="0"/>
        <w:snapToGrid w:val="0"/>
        <w:spacing w:line="576" w:lineRule="exact"/>
        <w:ind w:firstLine="643" w:firstLineChars="200"/>
        <w:rPr>
          <w:rFonts w:ascii="楷体_GB2312" w:hAnsi="宋体" w:eastAsia="楷体_GB2312"/>
          <w:b/>
          <w:sz w:val="32"/>
          <w:szCs w:val="32"/>
          <w:lang w:val="zh-CN"/>
        </w:rPr>
      </w:pPr>
      <w:r>
        <w:rPr>
          <w:rFonts w:hint="eastAsia" w:ascii="楷体_GB2312" w:hAnsi="宋体" w:eastAsia="楷体_GB2312"/>
          <w:b/>
          <w:sz w:val="32"/>
          <w:szCs w:val="32"/>
          <w:lang w:val="zh-CN"/>
        </w:rPr>
        <w:t>（</w:t>
      </w:r>
      <w:r>
        <w:rPr>
          <w:rFonts w:hint="eastAsia" w:ascii="楷体_GB2312" w:hAnsi="宋体" w:eastAsia="楷体_GB2312"/>
          <w:b/>
          <w:sz w:val="32"/>
          <w:szCs w:val="32"/>
        </w:rPr>
        <w:t>二</w:t>
      </w:r>
      <w:r>
        <w:rPr>
          <w:rFonts w:hint="eastAsia" w:ascii="楷体_GB2312" w:hAnsi="宋体" w:eastAsia="楷体_GB2312"/>
          <w:b/>
          <w:sz w:val="32"/>
          <w:szCs w:val="32"/>
          <w:lang w:val="zh-CN"/>
        </w:rPr>
        <w:t>）项目管理情况</w:t>
      </w:r>
    </w:p>
    <w:p>
      <w:pPr>
        <w:adjustRightInd w:val="0"/>
        <w:snapToGrid w:val="0"/>
        <w:spacing w:line="576" w:lineRule="exact"/>
        <w:ind w:firstLine="720"/>
        <w:rPr>
          <w:rFonts w:ascii="仿宋_GB2312" w:hAnsi="宋体" w:eastAsia="仿宋_GB2312"/>
          <w:sz w:val="32"/>
          <w:szCs w:val="32"/>
          <w:lang w:val="zh-CN"/>
        </w:rPr>
      </w:pPr>
      <w:r>
        <w:rPr>
          <w:rFonts w:hint="eastAsia" w:ascii="楷体_GB2312" w:hAnsi="宋体" w:eastAsia="楷体_GB2312"/>
          <w:b/>
          <w:sz w:val="32"/>
          <w:szCs w:val="32"/>
        </w:rPr>
        <w:t xml:space="preserve"> </w:t>
      </w:r>
      <w:r>
        <w:rPr>
          <w:rFonts w:hint="eastAsia" w:ascii="仿宋_GB2312" w:hAnsi="宋体" w:eastAsia="仿宋_GB2312"/>
          <w:sz w:val="32"/>
          <w:szCs w:val="32"/>
          <w:lang w:val="zh-CN"/>
        </w:rPr>
        <w:t>主要</w:t>
      </w:r>
      <w:r>
        <w:rPr>
          <w:rFonts w:hint="eastAsia" w:ascii="仿宋_GB2312" w:hAnsi="宋体" w:eastAsia="仿宋_GB2312"/>
          <w:sz w:val="32"/>
          <w:szCs w:val="32"/>
        </w:rPr>
        <w:t>用于</w:t>
      </w:r>
      <w:r>
        <w:rPr>
          <w:rFonts w:hint="eastAsia" w:ascii="仿宋_GB2312" w:hAnsi="仿宋_GB2312" w:eastAsia="仿宋_GB2312" w:cs="仿宋_GB2312"/>
          <w:sz w:val="32"/>
          <w:szCs w:val="32"/>
        </w:rPr>
        <w:t>“一月一主题”法治宣传教育、“法律七进”、法治示范创建、法治扶贫等重点任务的宣传。</w:t>
      </w:r>
    </w:p>
    <w:p>
      <w:pPr>
        <w:adjustRightInd w:val="0"/>
        <w:snapToGrid w:val="0"/>
        <w:spacing w:line="576" w:lineRule="exact"/>
        <w:ind w:firstLine="643" w:firstLineChars="200"/>
        <w:rPr>
          <w:rFonts w:ascii="仿宋_GB2312" w:hAnsi="宋体" w:eastAsia="仿宋_GB2312"/>
          <w:sz w:val="32"/>
          <w:szCs w:val="32"/>
          <w:lang w:val="zh-CN"/>
        </w:rPr>
      </w:pPr>
      <w:r>
        <w:rPr>
          <w:rFonts w:hint="eastAsia" w:ascii="楷体_GB2312" w:hAnsi="宋体" w:eastAsia="楷体_GB2312"/>
          <w:b/>
          <w:sz w:val="32"/>
          <w:szCs w:val="32"/>
          <w:lang w:val="zh-CN"/>
        </w:rPr>
        <w:t>（</w:t>
      </w:r>
      <w:r>
        <w:rPr>
          <w:rFonts w:hint="eastAsia" w:ascii="楷体_GB2312" w:hAnsi="宋体" w:eastAsia="楷体_GB2312"/>
          <w:b/>
          <w:sz w:val="32"/>
          <w:szCs w:val="32"/>
        </w:rPr>
        <w:t>三</w:t>
      </w:r>
      <w:r>
        <w:rPr>
          <w:rFonts w:hint="eastAsia" w:ascii="楷体_GB2312" w:hAnsi="宋体" w:eastAsia="楷体_GB2312"/>
          <w:b/>
          <w:sz w:val="32"/>
          <w:szCs w:val="32"/>
          <w:lang w:val="zh-CN"/>
        </w:rPr>
        <w:t>）项目监管情况</w:t>
      </w:r>
    </w:p>
    <w:p>
      <w:pPr>
        <w:adjustRightInd w:val="0"/>
        <w:snapToGrid w:val="0"/>
        <w:spacing w:line="576" w:lineRule="exact"/>
        <w:rPr>
          <w:rFonts w:ascii="仿宋_GB2312" w:hAnsi="宋体" w:eastAsia="仿宋_GB2312"/>
          <w:sz w:val="32"/>
          <w:szCs w:val="32"/>
        </w:rPr>
      </w:pPr>
      <w:r>
        <w:rPr>
          <w:rFonts w:hint="eastAsia" w:ascii="仿宋_GB2312" w:hAnsi="宋体" w:eastAsia="仿宋_GB2312"/>
          <w:sz w:val="32"/>
          <w:szCs w:val="32"/>
        </w:rPr>
        <w:t xml:space="preserve">     项目的实施报账由经办人初审，分管领导复核，出纳和会计再次复核，交主要领导审批，最后由分管财务领导审定。</w:t>
      </w:r>
    </w:p>
    <w:p>
      <w:pPr>
        <w:adjustRightInd w:val="0"/>
        <w:snapToGrid w:val="0"/>
        <w:spacing w:line="576"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spacing w:line="576" w:lineRule="exact"/>
        <w:ind w:firstLine="640" w:firstLineChars="200"/>
        <w:rPr>
          <w:rFonts w:ascii="楷体_GB2312" w:hAnsi="宋体" w:eastAsia="楷体_GB2312"/>
          <w:b/>
          <w:sz w:val="32"/>
          <w:szCs w:val="32"/>
          <w:lang w:val="zh-CN"/>
        </w:rPr>
      </w:pPr>
      <w:r>
        <w:rPr>
          <w:rFonts w:hint="eastAsia" w:ascii="仿宋_GB2312" w:hAnsi="仿宋_GB2312" w:eastAsia="仿宋_GB2312" w:cs="仿宋_GB2312"/>
          <w:sz w:val="32"/>
          <w:szCs w:val="32"/>
        </w:rPr>
        <w:t>印制《疫情防控法律法规应知应守》等宣传资料，组建5类法治专业小组，结合司法行政职能，开展新冠肺炎疫情防控法律法规宣传工作，引导全社会依法防疫，为疫情防控工作提供有力法治保障。结合“3.8”“3.15”“4.15”“6.5”“12.4”等重要时间节点，开展主题法治宣传活动180余场次。实施乡村“法律明白人”培育工程，针对全县村（社区）“两委”干部、“法律明白人”等开展法律法规业务培训50场次2000余人。推进“法律进重点项目”</w:t>
      </w:r>
      <w:r>
        <w:rPr>
          <w:rFonts w:hint="eastAsia" w:ascii="楷体_GB2312" w:hAnsi="楷体_GB2312" w:eastAsia="楷体_GB2312" w:cs="楷体_GB2312"/>
          <w:sz w:val="32"/>
          <w:szCs w:val="32"/>
        </w:rPr>
        <w:t>，</w:t>
      </w:r>
      <w:r>
        <w:rPr>
          <w:rFonts w:hint="eastAsia" w:ascii="仿宋_GB2312" w:hAnsi="仿宋_GB2312" w:eastAsia="仿宋_GB2312" w:cs="仿宋_GB2312"/>
          <w:sz w:val="32"/>
          <w:szCs w:val="32"/>
        </w:rPr>
        <w:t>结合公共法律服务农民工专项行动，深入建筑工地等重点项目，普及《保障农民工工资支付条例》等法律法规，强化农民工维权意识。</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widowControl/>
        <w:spacing w:line="576" w:lineRule="exact"/>
        <w:ind w:right="450" w:firstLine="640" w:firstLineChars="200"/>
        <w:jc w:val="left"/>
        <w:rPr>
          <w:rFonts w:ascii="黑体" w:hAnsi="宋体" w:eastAsia="黑体"/>
          <w:sz w:val="32"/>
          <w:szCs w:val="32"/>
        </w:rPr>
      </w:pPr>
      <w:r>
        <w:rPr>
          <w:rFonts w:hint="eastAsia" w:ascii="仿宋_GB2312" w:eastAsia="仿宋_GB2312" w:cs="仿宋_GB2312"/>
          <w:kern w:val="0"/>
          <w:sz w:val="32"/>
          <w:szCs w:val="32"/>
          <w:lang w:bidi="ar"/>
        </w:rPr>
        <w:t>提升群众法律意识知晓率70%以上，普法乡镇覆盖率100%。</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540"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tbl>
      <w:tblPr>
        <w:tblStyle w:val="14"/>
        <w:tblW w:w="9585"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15" w:type="dxa"/>
          <w:left w:w="15" w:type="dxa"/>
          <w:bottom w:w="15" w:type="dxa"/>
          <w:right w:w="15" w:type="dxa"/>
        </w:tblCellMar>
      </w:tblPr>
      <w:tblGrid>
        <w:gridCol w:w="2116"/>
        <w:gridCol w:w="690"/>
        <w:gridCol w:w="6252"/>
        <w:gridCol w:w="52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绩效指标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分值</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指标说明</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得分数</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一、项目资金管理情况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20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（一）资金到位落实情况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10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trHeight w:val="342" w:hRule="atLeast"/>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1、资金到位率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主要是考核项目承担单位实际到账的项目资金占应到账的项目资金之比。</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2、资金利用率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主要是考核项目承担单位实际用于项目的支出金额占项目实际到位金额之比。</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both"/>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（二）资金使用管理情况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1、财务制度健全性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主要是考核项目单位内部财务管理、会计核算制度合法完整性；是否有项目资金管理办法并符合有关制度规定。</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2、资金拨付合规性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主要是考核资金的拨付是否有完整的审批程序和手续。</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3、资金使用规范性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主要是考核项目支出是否存在截留、挤占、挪用、虚列支出等情况。</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二、项目绩效目标管理</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18</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1、是否设置绩效目标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主要是考核申报项目时是否设置绩效目标。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2、是否及时报送绩效目标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6</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主要是考核是否在规定时间内报送项目绩效目标。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6</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3、绩效目标是否细化</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主要是考核项目绩效目标量化、细化的科学性、合理性</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三、项目绩效实施情况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w:t>
            </w: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1、制度建设</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主要是考核项目实施单位建立绩效运行监控制度的质量</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2、监控机制</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主要是考核采取措施对绩效进行监控的有效性</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3、项目产出数量完成情况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主要是考核项目产出数量是否达到了预期的绩效目标，达到的程度情况。</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4、项目产出质量完成情况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主要是考核项目产出质量是否达到了预期的绩效目标，达到的程度情况。</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5、项目实施经济效益</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主要是考核项目实施所取得的实际效果是否达到了预期的经济效益目标。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6、项目实施社会效益</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主要是考核项目实施所取得的实际效果是否达到了预期的社会效益目标。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四、项目绩效评价管理</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18</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（一）开展评价的范围</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主要是考核项目绩效评价覆盖率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（二）开展评价的时效性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主要是考核是否及时完成绩效评价工作并及时报送绩效报告</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（三）评价报告的质量</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12</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12</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1、评价报告的完整性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主要是考核绩效报告和绩效评价报告是否符合格式要求，各项内容是否完整。</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2、评价报告的客观性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主要是考核评价结论是否客观公正。</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3、评价报告的合理性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主要是考核评价结论是否合理。</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4、评价报告的逻辑性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主要是考核报告中文字及数据是否有逻辑性。</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五、结果应用</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1、落实整改</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主要是考核是否落实评价整改意见并报送整改情况。</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2、绩效问责</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主要是考核是否建立绩效问责机制。</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3、结果公开</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主要是考核是否将绩效报告、绩效评价结果，按照相关要求，对外公开，接受社会监督。</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rPr>
                <w:rFonts w:ascii="仿宋" w:hAnsi="仿宋" w:eastAsia="仿宋" w:cs="仿宋"/>
                <w:sz w:val="18"/>
                <w:szCs w:val="18"/>
              </w:rPr>
            </w:pPr>
            <w:r>
              <w:rPr>
                <w:rFonts w:hint="eastAsia" w:ascii="仿宋" w:hAnsi="仿宋" w:eastAsia="仿宋" w:cs="仿宋"/>
                <w:sz w:val="18"/>
                <w:szCs w:val="18"/>
              </w:rPr>
              <w:t>合计</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rPr>
                <w:rFonts w:ascii="仿宋" w:hAnsi="仿宋" w:eastAsia="仿宋" w:cs="仿宋"/>
                <w:sz w:val="18"/>
                <w:szCs w:val="18"/>
              </w:rPr>
            </w:pPr>
            <w:r>
              <w:rPr>
                <w:rFonts w:hint="eastAsia" w:ascii="仿宋" w:hAnsi="仿宋" w:eastAsia="仿宋" w:cs="仿宋"/>
                <w:sz w:val="18"/>
                <w:szCs w:val="18"/>
              </w:rPr>
              <w:t>100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90</w:t>
            </w:r>
          </w:p>
        </w:tc>
      </w:tr>
    </w:tbl>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widowControl/>
        <w:spacing w:line="576" w:lineRule="exact"/>
        <w:ind w:right="450" w:firstLine="640" w:firstLineChars="200"/>
        <w:jc w:val="left"/>
        <w:rPr>
          <w:rFonts w:ascii="仿宋_GB2312" w:hAnsi="宋体" w:eastAsia="仿宋_GB2312"/>
          <w:sz w:val="32"/>
          <w:szCs w:val="32"/>
          <w:lang w:val="zh-CN"/>
        </w:rPr>
      </w:pPr>
      <w:r>
        <w:rPr>
          <w:rFonts w:ascii="仿宋_GB2312" w:hAnsi="仿宋_GB2312" w:eastAsia="仿宋_GB2312" w:cs="仿宋_GB2312"/>
          <w:kern w:val="0"/>
          <w:sz w:val="32"/>
          <w:szCs w:val="32"/>
          <w:lang w:bidi="ar"/>
        </w:rPr>
        <w:t>一是县级“体验式”法治教育场馆建设项目进度较慢。二是普法形式较为单一，大多仍采取摆摊咨询、送法下乡等形式，普法内容缺少互动性和趣味性。三是群众在一定程度上仍然存在“信访不信法”的惯性思维。</w:t>
      </w:r>
      <w:r>
        <w:rPr>
          <w:kern w:val="0"/>
          <w:sz w:val="32"/>
          <w:szCs w:val="32"/>
          <w:lang w:bidi="ar"/>
        </w:rPr>
        <w:t xml:space="preserve"> </w:t>
      </w:r>
      <w:r>
        <w:rPr>
          <w:rFonts w:ascii="仿宋_GB2312" w:hAnsi="宋体" w:eastAsia="仿宋_GB2312"/>
          <w:sz w:val="32"/>
          <w:szCs w:val="32"/>
          <w:lang w:val="zh-CN"/>
        </w:rPr>
        <w:tab/>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widowControl/>
        <w:spacing w:line="576" w:lineRule="exact"/>
        <w:ind w:right="450" w:firstLine="640" w:firstLineChars="200"/>
        <w:jc w:val="left"/>
        <w:rPr>
          <w:kern w:val="0"/>
          <w:sz w:val="32"/>
          <w:szCs w:val="32"/>
          <w:lang w:bidi="ar"/>
        </w:rPr>
      </w:pPr>
      <w:r>
        <w:rPr>
          <w:rFonts w:ascii="仿宋_GB2312" w:hAnsi="仿宋_GB2312" w:eastAsia="仿宋_GB2312" w:cs="仿宋_GB2312"/>
          <w:kern w:val="0"/>
          <w:sz w:val="32"/>
          <w:szCs w:val="32"/>
          <w:lang w:bidi="ar"/>
        </w:rPr>
        <w:t>一是要强化内部财务管理与监督，完善资金管理办法，建立健全财务管理机构，加强专项资金管理。二是科学合理设置评价指标，完善评价指标体系，提高自评水平。三是灵活机动调整项目评价指标，项目具体细化内容不可能一成不变，项目评价指标需要随着项目内容变化而做出调整。</w:t>
      </w:r>
      <w:r>
        <w:rPr>
          <w:kern w:val="0"/>
          <w:sz w:val="32"/>
          <w:szCs w:val="32"/>
          <w:lang w:bidi="ar"/>
        </w:rPr>
        <w:t xml:space="preserve"> </w:t>
      </w:r>
    </w:p>
    <w:p>
      <w:pPr>
        <w:widowControl/>
        <w:spacing w:line="576" w:lineRule="exact"/>
        <w:ind w:right="450"/>
        <w:jc w:val="left"/>
        <w:rPr>
          <w:rFonts w:ascii="仿宋_GB2312" w:hAnsi="宋体" w:eastAsia="仿宋_GB2312" w:cs="宋体"/>
          <w:kern w:val="0"/>
          <w:sz w:val="32"/>
          <w:szCs w:val="32"/>
          <w:shd w:val="clear" w:color="auto" w:fill="FFFFFF"/>
          <w:lang w:val="zh-CN"/>
        </w:rPr>
      </w:pPr>
    </w:p>
    <w:tbl>
      <w:tblPr>
        <w:tblStyle w:val="14"/>
        <w:tblpPr w:leftFromText="180" w:rightFromText="180" w:vertAnchor="text" w:horzAnchor="page" w:tblpX="1370" w:tblpY="1013"/>
        <w:tblOverlap w:val="never"/>
        <w:tblW w:w="9811" w:type="dxa"/>
        <w:tblInd w:w="0" w:type="dxa"/>
        <w:tblLayout w:type="fixed"/>
        <w:tblCellMar>
          <w:top w:w="0" w:type="dxa"/>
          <w:left w:w="108" w:type="dxa"/>
          <w:bottom w:w="0" w:type="dxa"/>
          <w:right w:w="108" w:type="dxa"/>
        </w:tblCellMar>
      </w:tblPr>
      <w:tblGrid>
        <w:gridCol w:w="1976"/>
        <w:gridCol w:w="1142"/>
        <w:gridCol w:w="1635"/>
        <w:gridCol w:w="1189"/>
        <w:gridCol w:w="1224"/>
        <w:gridCol w:w="2409"/>
        <w:gridCol w:w="236"/>
      </w:tblGrid>
      <w:tr>
        <w:tblPrEx>
          <w:tblCellMar>
            <w:top w:w="0" w:type="dxa"/>
            <w:left w:w="108" w:type="dxa"/>
            <w:bottom w:w="0" w:type="dxa"/>
            <w:right w:w="108" w:type="dxa"/>
          </w:tblCellMar>
        </w:tblPrEx>
        <w:trPr>
          <w:trHeight w:val="675" w:hRule="atLeast"/>
        </w:trPr>
        <w:tc>
          <w:tcPr>
            <w:tcW w:w="9575" w:type="dxa"/>
            <w:gridSpan w:val="6"/>
            <w:tcBorders>
              <w:top w:val="nil"/>
              <w:left w:val="nil"/>
              <w:bottom w:val="nil"/>
              <w:right w:val="nil"/>
            </w:tcBorders>
            <w:shd w:val="clear" w:color="auto" w:fill="auto"/>
            <w:vAlign w:val="center"/>
          </w:tcPr>
          <w:p>
            <w:pPr>
              <w:widowControl/>
              <w:textAlignment w:val="center"/>
              <w:rPr>
                <w:rFonts w:hint="eastAsia" w:ascii="宋体" w:hAnsi="宋体" w:cs="宋体"/>
                <w:b/>
                <w:sz w:val="32"/>
                <w:szCs w:val="32"/>
              </w:rPr>
            </w:pPr>
            <w:r>
              <w:rPr>
                <w:rFonts w:hint="eastAsia" w:ascii="宋体" w:hAnsi="宋体" w:cs="宋体"/>
                <w:b/>
                <w:sz w:val="32"/>
                <w:szCs w:val="32"/>
              </w:rPr>
              <w:t>2021年50万元以上（含）特定目标类部门预算项目绩效目标自评</w:t>
            </w:r>
          </w:p>
          <w:p>
            <w:pPr>
              <w:pStyle w:val="2"/>
              <w:jc w:val="center"/>
              <w:rPr>
                <w:rFonts w:hint="default" w:eastAsia="仿宋_GB2312"/>
                <w:lang w:val="en-US" w:eastAsia="zh-CN"/>
              </w:rPr>
            </w:pPr>
            <w:r>
              <w:rPr>
                <w:rFonts w:hint="eastAsia" w:ascii="宋体" w:hAnsi="宋体" w:cs="宋体"/>
                <w:b/>
                <w:sz w:val="32"/>
                <w:szCs w:val="32"/>
                <w:lang w:val="en-US" w:eastAsia="zh-CN"/>
              </w:rPr>
              <w:t>普法宣传项目</w:t>
            </w:r>
          </w:p>
        </w:tc>
        <w:tc>
          <w:tcPr>
            <w:tcW w:w="236" w:type="dxa"/>
            <w:tcBorders>
              <w:top w:val="nil"/>
              <w:left w:val="nil"/>
              <w:bottom w:val="nil"/>
              <w:right w:val="nil"/>
            </w:tcBorders>
            <w:shd w:val="clear" w:color="auto" w:fill="auto"/>
            <w:vAlign w:val="center"/>
          </w:tcPr>
          <w:p>
            <w:pPr>
              <w:widowControl/>
              <w:jc w:val="center"/>
              <w:textAlignment w:val="center"/>
              <w:rPr>
                <w:rFonts w:ascii="宋体" w:hAnsi="宋体" w:cs="宋体"/>
                <w:b/>
                <w:kern w:val="0"/>
                <w:sz w:val="32"/>
                <w:szCs w:val="32"/>
                <w:lang w:bidi="ar"/>
              </w:rPr>
            </w:pPr>
          </w:p>
        </w:tc>
      </w:tr>
      <w:tr>
        <w:tblPrEx>
          <w:tblCellMar>
            <w:top w:w="0" w:type="dxa"/>
            <w:left w:w="108" w:type="dxa"/>
            <w:bottom w:w="0" w:type="dxa"/>
            <w:right w:w="108" w:type="dxa"/>
          </w:tblCellMar>
        </w:tblPrEx>
        <w:trPr>
          <w:gridAfter w:val="1"/>
          <w:wAfter w:w="236" w:type="dxa"/>
          <w:trHeight w:val="254" w:hRule="atLeast"/>
        </w:trPr>
        <w:tc>
          <w:tcPr>
            <w:tcW w:w="31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ascii="宋体" w:hAnsi="宋体" w:cs="宋体"/>
                <w:sz w:val="24"/>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实施单位</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苍溪县司法局</w:t>
            </w:r>
          </w:p>
        </w:tc>
      </w:tr>
      <w:tr>
        <w:tblPrEx>
          <w:tblCellMar>
            <w:top w:w="0" w:type="dxa"/>
            <w:left w:w="108" w:type="dxa"/>
            <w:bottom w:w="0" w:type="dxa"/>
            <w:right w:w="108" w:type="dxa"/>
          </w:tblCellMar>
        </w:tblPrEx>
        <w:trPr>
          <w:gridAfter w:val="1"/>
          <w:wAfter w:w="236" w:type="dxa"/>
          <w:trHeight w:val="341" w:hRule="atLeast"/>
        </w:trPr>
        <w:tc>
          <w:tcPr>
            <w:tcW w:w="311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宋体" w:hAnsi="宋体" w:eastAsia="宋体" w:cs="宋体"/>
                <w:kern w:val="0"/>
                <w:sz w:val="24"/>
                <w:lang w:eastAsia="zh-CN" w:bidi="ar"/>
              </w:rPr>
            </w:pPr>
            <w:r>
              <w:rPr>
                <w:rFonts w:hint="eastAsia" w:ascii="宋体" w:hAnsi="宋体" w:cs="宋体"/>
                <w:kern w:val="0"/>
                <w:sz w:val="24"/>
                <w:lang w:bidi="ar"/>
              </w:rPr>
              <w:t>项目预算</w:t>
            </w:r>
          </w:p>
          <w:p>
            <w:pPr>
              <w:widowControl/>
              <w:spacing w:line="320" w:lineRule="exact"/>
              <w:jc w:val="center"/>
              <w:textAlignment w:val="center"/>
              <w:rPr>
                <w:rFonts w:hint="eastAsia" w:ascii="宋体" w:hAnsi="宋体" w:eastAsia="宋体" w:cs="宋体"/>
                <w:kern w:val="0"/>
                <w:sz w:val="24"/>
                <w:lang w:eastAsia="zh-CN" w:bidi="ar"/>
              </w:rPr>
            </w:pPr>
            <w:r>
              <w:rPr>
                <w:rFonts w:hint="eastAsia" w:ascii="宋体" w:hAnsi="宋体" w:cs="宋体"/>
                <w:kern w:val="0"/>
                <w:sz w:val="24"/>
                <w:lang w:bidi="ar"/>
              </w:rPr>
              <w:t>执行情况</w:t>
            </w:r>
          </w:p>
          <w:p>
            <w:pPr>
              <w:widowControl/>
              <w:spacing w:line="320" w:lineRule="exact"/>
              <w:jc w:val="center"/>
              <w:textAlignment w:val="center"/>
              <w:rPr>
                <w:rFonts w:ascii="宋体" w:hAnsi="宋体" w:cs="宋体"/>
                <w:sz w:val="24"/>
              </w:rPr>
            </w:pPr>
            <w:r>
              <w:rPr>
                <w:rFonts w:hint="eastAsia" w:ascii="宋体" w:hAnsi="宋体" w:cs="宋体"/>
                <w:kern w:val="0"/>
                <w:sz w:val="24"/>
                <w:lang w:bidi="ar"/>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22</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 xml:space="preserve"> 执行数：</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22</w:t>
            </w:r>
          </w:p>
        </w:tc>
      </w:tr>
      <w:tr>
        <w:tblPrEx>
          <w:tblCellMar>
            <w:top w:w="0" w:type="dxa"/>
            <w:left w:w="108" w:type="dxa"/>
            <w:bottom w:w="0" w:type="dxa"/>
            <w:right w:w="108" w:type="dxa"/>
          </w:tblCellMar>
        </w:tblPrEx>
        <w:trPr>
          <w:gridAfter w:val="1"/>
          <w:wAfter w:w="236" w:type="dxa"/>
          <w:trHeight w:val="555" w:hRule="atLeast"/>
        </w:trPr>
        <w:tc>
          <w:tcPr>
            <w:tcW w:w="311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lang w:bidi="ar"/>
              </w:rPr>
            </w:pPr>
            <w:r>
              <w:rPr>
                <w:rFonts w:hint="eastAsia" w:ascii="宋体" w:hAnsi="宋体" w:cs="宋体"/>
                <w:kern w:val="0"/>
                <w:sz w:val="24"/>
                <w:lang w:bidi="ar"/>
              </w:rPr>
              <w:t>其中：</w:t>
            </w:r>
          </w:p>
          <w:p>
            <w:pPr>
              <w:widowControl/>
              <w:spacing w:line="320" w:lineRule="exact"/>
              <w:jc w:val="left"/>
              <w:textAlignment w:val="center"/>
              <w:rPr>
                <w:rFonts w:ascii="宋体" w:hAnsi="宋体" w:cs="宋体"/>
                <w:sz w:val="24"/>
              </w:rPr>
            </w:pPr>
            <w:r>
              <w:rPr>
                <w:rFonts w:hint="eastAsia" w:ascii="宋体" w:hAnsi="宋体" w:cs="宋体"/>
                <w:kern w:val="0"/>
                <w:sz w:val="24"/>
                <w:lang w:bidi="ar"/>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22</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lang w:bidi="ar"/>
              </w:rPr>
            </w:pPr>
            <w:r>
              <w:rPr>
                <w:rFonts w:hint="eastAsia" w:ascii="宋体" w:hAnsi="宋体" w:cs="宋体"/>
                <w:kern w:val="0"/>
                <w:sz w:val="24"/>
                <w:lang w:bidi="ar"/>
              </w:rPr>
              <w:t>其中：</w:t>
            </w:r>
          </w:p>
          <w:p>
            <w:pPr>
              <w:widowControl/>
              <w:spacing w:line="320" w:lineRule="exact"/>
              <w:jc w:val="left"/>
              <w:textAlignment w:val="center"/>
              <w:rPr>
                <w:rFonts w:ascii="宋体" w:hAnsi="宋体" w:cs="宋体"/>
                <w:sz w:val="24"/>
              </w:rPr>
            </w:pPr>
            <w:r>
              <w:rPr>
                <w:rFonts w:hint="eastAsia" w:ascii="宋体" w:hAnsi="宋体" w:cs="宋体"/>
                <w:kern w:val="0"/>
                <w:sz w:val="24"/>
                <w:lang w:bidi="ar"/>
              </w:rPr>
              <w:t>财政拨款</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22</w:t>
            </w:r>
          </w:p>
        </w:tc>
      </w:tr>
      <w:tr>
        <w:tblPrEx>
          <w:tblCellMar>
            <w:top w:w="0" w:type="dxa"/>
            <w:left w:w="108" w:type="dxa"/>
            <w:bottom w:w="0" w:type="dxa"/>
            <w:right w:w="108" w:type="dxa"/>
          </w:tblCellMar>
        </w:tblPrEx>
        <w:trPr>
          <w:gridAfter w:val="1"/>
          <w:wAfter w:w="236" w:type="dxa"/>
          <w:trHeight w:val="341" w:hRule="atLeast"/>
        </w:trPr>
        <w:tc>
          <w:tcPr>
            <w:tcW w:w="311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其他资金</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p>
        </w:tc>
      </w:tr>
      <w:tr>
        <w:tblPrEx>
          <w:tblCellMar>
            <w:top w:w="0" w:type="dxa"/>
            <w:left w:w="108" w:type="dxa"/>
            <w:bottom w:w="0" w:type="dxa"/>
            <w:right w:w="108" w:type="dxa"/>
          </w:tblCellMar>
        </w:tblPrEx>
        <w:trPr>
          <w:gridAfter w:val="1"/>
          <w:wAfter w:w="236" w:type="dxa"/>
          <w:trHeight w:val="217" w:hRule="atLeast"/>
        </w:trPr>
        <w:tc>
          <w:tcPr>
            <w:tcW w:w="19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kern w:val="0"/>
                <w:sz w:val="24"/>
                <w:lang w:bidi="ar"/>
              </w:rPr>
            </w:pPr>
            <w:r>
              <w:rPr>
                <w:rFonts w:hint="eastAsia" w:ascii="宋体" w:hAnsi="宋体" w:cs="宋体"/>
                <w:kern w:val="0"/>
                <w:sz w:val="24"/>
                <w:lang w:bidi="ar"/>
              </w:rPr>
              <w:t>年度总体目标</w:t>
            </w:r>
          </w:p>
          <w:p>
            <w:pPr>
              <w:widowControl/>
              <w:spacing w:line="320" w:lineRule="exact"/>
              <w:jc w:val="center"/>
              <w:textAlignment w:val="center"/>
              <w:rPr>
                <w:rFonts w:ascii="宋体" w:hAnsi="宋体" w:cs="宋体"/>
                <w:sz w:val="24"/>
              </w:rPr>
            </w:pPr>
            <w:r>
              <w:rPr>
                <w:rFonts w:hint="eastAsia" w:ascii="宋体" w:hAnsi="宋体" w:cs="宋体"/>
                <w:kern w:val="0"/>
                <w:sz w:val="24"/>
                <w:lang w:bidi="ar"/>
              </w:rPr>
              <w:t>完成情况</w:t>
            </w: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预期目标</w:t>
            </w:r>
          </w:p>
        </w:tc>
        <w:tc>
          <w:tcPr>
            <w:tcW w:w="36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目标实际完成情况</w:t>
            </w:r>
          </w:p>
        </w:tc>
      </w:tr>
      <w:tr>
        <w:tblPrEx>
          <w:tblCellMar>
            <w:top w:w="0" w:type="dxa"/>
            <w:left w:w="108" w:type="dxa"/>
            <w:bottom w:w="0" w:type="dxa"/>
            <w:right w:w="108" w:type="dxa"/>
          </w:tblCellMar>
        </w:tblPrEx>
        <w:trPr>
          <w:gridAfter w:val="1"/>
          <w:wAfter w:w="236" w:type="dxa"/>
          <w:trHeight w:val="797" w:hRule="atLeast"/>
        </w:trPr>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18"/>
                <w:szCs w:val="18"/>
              </w:rPr>
            </w:pPr>
            <w:r>
              <w:rPr>
                <w:rFonts w:hint="eastAsia" w:ascii="宋体" w:cs="宋体"/>
                <w:sz w:val="18"/>
                <w:szCs w:val="18"/>
              </w:rPr>
              <w:t>全县范围内深入开展民法典及宪法宣传活动，建立落实“谁执法谁普法”责任制，健全完善普法法治宣传，加强全县法治文化建设。</w:t>
            </w:r>
          </w:p>
        </w:tc>
        <w:tc>
          <w:tcPr>
            <w:tcW w:w="3633" w:type="dxa"/>
            <w:gridSpan w:val="2"/>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18"/>
                <w:szCs w:val="18"/>
              </w:rPr>
            </w:pPr>
            <w:r>
              <w:rPr>
                <w:rFonts w:hint="eastAsia" w:ascii="宋体" w:cs="宋体"/>
                <w:sz w:val="18"/>
                <w:szCs w:val="18"/>
              </w:rPr>
              <w:t>全县范围内深入开展民法典及宪法宣传活动，建立落实“谁执法谁普法”责任制，健全完善普法法治宣传，加强全县法治文化建设。</w:t>
            </w:r>
          </w:p>
        </w:tc>
      </w:tr>
      <w:tr>
        <w:tblPrEx>
          <w:tblCellMar>
            <w:top w:w="0" w:type="dxa"/>
            <w:left w:w="108" w:type="dxa"/>
            <w:bottom w:w="0" w:type="dxa"/>
            <w:right w:w="108" w:type="dxa"/>
          </w:tblCellMar>
        </w:tblPrEx>
        <w:trPr>
          <w:gridAfter w:val="1"/>
          <w:wAfter w:w="236" w:type="dxa"/>
          <w:trHeight w:val="693" w:hRule="atLeast"/>
        </w:trPr>
        <w:tc>
          <w:tcPr>
            <w:tcW w:w="1976" w:type="dxa"/>
            <w:vMerge w:val="restart"/>
            <w:tcBorders>
              <w:top w:val="single" w:color="000000" w:sz="4" w:space="0"/>
              <w:left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年度绩效指标完成情况</w:t>
            </w:r>
          </w:p>
        </w:tc>
        <w:tc>
          <w:tcPr>
            <w:tcW w:w="1142" w:type="dxa"/>
            <w:tcBorders>
              <w:top w:val="single" w:color="000000" w:sz="4" w:space="0"/>
              <w:left w:val="nil"/>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一级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二级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三级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预期指标值</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实际完成指标值</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完成</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数量指标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对县级部门的检查抽查</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≥30次</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≥30次</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质量指标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提升群众法律意识</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知晓率≥60%</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知晓率≥60%</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时效指标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按法律规定时效</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按法律规定时效</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jc w:val="center"/>
              <w:textAlignment w:val="center"/>
              <w:rPr>
                <w:rFonts w:ascii="宋体" w:hAnsi="宋体"/>
                <w:kern w:val="0"/>
                <w:sz w:val="18"/>
                <w:szCs w:val="18"/>
              </w:rPr>
            </w:pPr>
            <w:r>
              <w:rPr>
                <w:rFonts w:hint="eastAsia" w:ascii="宋体" w:hAnsi="宋体" w:cs="宋体"/>
                <w:kern w:val="0"/>
                <w:sz w:val="18"/>
                <w:szCs w:val="18"/>
                <w:lang w:bidi="ar"/>
              </w:rPr>
              <w:t>按法律规定时效</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成本指标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项目专项经费控制数</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ascii="宋体" w:hAnsi="宋体" w:cs="宋体"/>
                <w:kern w:val="0"/>
                <w:sz w:val="18"/>
                <w:szCs w:val="18"/>
                <w:lang w:bidi="ar"/>
              </w:rPr>
              <w:t>≤</w:t>
            </w:r>
            <w:r>
              <w:rPr>
                <w:rFonts w:hint="eastAsia" w:ascii="宋体" w:hAnsi="宋体" w:cs="宋体"/>
                <w:kern w:val="0"/>
                <w:sz w:val="18"/>
                <w:szCs w:val="18"/>
                <w:lang w:bidi="ar"/>
              </w:rPr>
              <w:t>22万元</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ascii="宋体" w:hAnsi="宋体" w:cs="宋体"/>
                <w:kern w:val="0"/>
                <w:sz w:val="18"/>
                <w:szCs w:val="18"/>
                <w:lang w:bidi="ar"/>
              </w:rPr>
              <w:t>≤</w:t>
            </w:r>
            <w:r>
              <w:rPr>
                <w:rFonts w:hint="eastAsia" w:ascii="宋体" w:hAnsi="宋体" w:cs="宋体"/>
                <w:kern w:val="0"/>
                <w:sz w:val="18"/>
                <w:szCs w:val="18"/>
                <w:lang w:bidi="ar"/>
              </w:rPr>
              <w:t>22万元</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hint="eastAsia" w:ascii="仿宋_GB2312" w:hAnsi="仿宋_GB2312" w:eastAsia="仿宋_GB2312" w:cs="仿宋_GB2312"/>
                <w:kern w:val="0"/>
                <w:sz w:val="28"/>
                <w:szCs w:val="28"/>
                <w:lang w:eastAsia="zh-CN" w:bidi="ar"/>
              </w:rPr>
            </w:pPr>
            <w:r>
              <w:rPr>
                <w:rFonts w:hint="eastAsia" w:ascii="仿宋_GB2312" w:hAnsi="仿宋_GB2312" w:eastAsia="仿宋_GB2312" w:cs="仿宋_GB2312"/>
                <w:kern w:val="0"/>
                <w:sz w:val="28"/>
                <w:szCs w:val="28"/>
                <w:lang w:bidi="ar"/>
              </w:rPr>
              <w:t>效益</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社会效益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开展“法律七进”，加强法治文化建设</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每月不少于1次</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kern w:val="0"/>
                <w:sz w:val="18"/>
                <w:szCs w:val="18"/>
              </w:rPr>
            </w:pPr>
            <w:r>
              <w:rPr>
                <w:rFonts w:hint="eastAsia" w:ascii="宋体" w:hAnsi="宋体"/>
                <w:kern w:val="0"/>
                <w:sz w:val="18"/>
                <w:szCs w:val="18"/>
              </w:rPr>
              <w:t>每月不少于1次</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ind w:left="463" w:leftChars="87" w:hanging="280" w:hangingChars="100"/>
              <w:jc w:val="left"/>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生态效益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cs="宋体"/>
                <w:kern w:val="0"/>
                <w:sz w:val="18"/>
                <w:szCs w:val="18"/>
                <w:lang w:bidi="ar"/>
              </w:rPr>
            </w:pPr>
            <w:r>
              <w:rPr>
                <w:rFonts w:hint="eastAsia" w:ascii="宋体" w:hAnsi="宋体"/>
                <w:kern w:val="0"/>
                <w:sz w:val="18"/>
                <w:szCs w:val="18"/>
              </w:rPr>
              <w:t>开展“法律七进”，加强法治文化建设</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cs="宋体"/>
                <w:sz w:val="18"/>
                <w:szCs w:val="18"/>
              </w:rPr>
            </w:pPr>
            <w:r>
              <w:rPr>
                <w:rFonts w:hint="eastAsia" w:ascii="宋体" w:hAnsi="宋体"/>
                <w:kern w:val="0"/>
                <w:sz w:val="18"/>
                <w:szCs w:val="18"/>
              </w:rPr>
              <w:t>每月不少于1次</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cs="宋体"/>
                <w:sz w:val="18"/>
                <w:szCs w:val="18"/>
              </w:rPr>
            </w:pPr>
            <w:r>
              <w:rPr>
                <w:rFonts w:hint="eastAsia" w:ascii="宋体" w:hAnsi="宋体"/>
                <w:kern w:val="0"/>
                <w:sz w:val="18"/>
                <w:szCs w:val="18"/>
              </w:rPr>
              <w:t>每月不少于1次</w:t>
            </w:r>
          </w:p>
        </w:tc>
      </w:tr>
      <w:tr>
        <w:tblPrEx>
          <w:tblCellMar>
            <w:top w:w="0" w:type="dxa"/>
            <w:left w:w="108" w:type="dxa"/>
            <w:bottom w:w="0" w:type="dxa"/>
            <w:right w:w="108" w:type="dxa"/>
          </w:tblCellMar>
        </w:tblPrEx>
        <w:trPr>
          <w:gridAfter w:val="1"/>
          <w:wAfter w:w="236" w:type="dxa"/>
          <w:trHeight w:val="577"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可持续影响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cs="宋体"/>
                <w:kern w:val="0"/>
                <w:sz w:val="18"/>
                <w:szCs w:val="18"/>
                <w:lang w:bidi="ar"/>
              </w:rPr>
            </w:pPr>
            <w:r>
              <w:rPr>
                <w:rFonts w:hint="eastAsia" w:ascii="宋体" w:hAnsi="宋体"/>
                <w:kern w:val="0"/>
                <w:sz w:val="18"/>
                <w:szCs w:val="18"/>
              </w:rPr>
              <w:t>提高全民法制意识和法律水平</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cs="宋体"/>
                <w:sz w:val="18"/>
                <w:szCs w:val="18"/>
              </w:rPr>
            </w:pPr>
            <w:r>
              <w:rPr>
                <w:rFonts w:hint="eastAsia" w:ascii="宋体" w:hAnsi="宋体"/>
                <w:kern w:val="0"/>
                <w:sz w:val="18"/>
                <w:szCs w:val="18"/>
              </w:rPr>
              <w:t>普法乡镇覆盖率100%</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cs="宋体"/>
                <w:sz w:val="18"/>
                <w:szCs w:val="18"/>
              </w:rPr>
            </w:pPr>
            <w:r>
              <w:rPr>
                <w:rFonts w:hint="eastAsia" w:ascii="宋体" w:hAnsi="宋体"/>
                <w:kern w:val="0"/>
                <w:sz w:val="18"/>
                <w:szCs w:val="18"/>
              </w:rPr>
              <w:t>普法乡镇覆盖率100%</w:t>
            </w:r>
          </w:p>
        </w:tc>
      </w:tr>
      <w:tr>
        <w:tblPrEx>
          <w:tblCellMar>
            <w:top w:w="0" w:type="dxa"/>
            <w:left w:w="108" w:type="dxa"/>
            <w:bottom w:w="0" w:type="dxa"/>
            <w:right w:w="108" w:type="dxa"/>
          </w:tblCellMar>
        </w:tblPrEx>
        <w:trPr>
          <w:gridAfter w:val="1"/>
          <w:wAfter w:w="236" w:type="dxa"/>
          <w:trHeight w:val="530" w:hRule="atLeast"/>
        </w:trPr>
        <w:tc>
          <w:tcPr>
            <w:tcW w:w="1976" w:type="dxa"/>
            <w:vMerge w:val="continue"/>
            <w:tcBorders>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kern w:val="0"/>
                <w:sz w:val="28"/>
                <w:szCs w:val="28"/>
                <w:lang w:eastAsia="zh-CN" w:bidi="ar"/>
              </w:rPr>
            </w:pPr>
            <w:r>
              <w:rPr>
                <w:rFonts w:hint="eastAsia" w:ascii="仿宋_GB2312" w:hAnsi="仿宋_GB2312" w:eastAsia="仿宋_GB2312" w:cs="仿宋_GB2312"/>
                <w:kern w:val="0"/>
                <w:sz w:val="28"/>
                <w:szCs w:val="28"/>
                <w:lang w:bidi="ar"/>
              </w:rPr>
              <w:t>满意</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度指标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满意度</w:t>
            </w:r>
          </w:p>
          <w:p>
            <w:pPr>
              <w:widowControl/>
              <w:spacing w:line="320" w:lineRule="exact"/>
              <w:jc w:val="center"/>
              <w:textAlignment w:val="bottom"/>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kern w:val="0"/>
                <w:sz w:val="28"/>
                <w:szCs w:val="28"/>
                <w:lang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cs="宋体"/>
                <w:kern w:val="0"/>
                <w:sz w:val="18"/>
                <w:szCs w:val="18"/>
                <w:highlight w:val="red"/>
                <w:lang w:bidi="ar"/>
              </w:rPr>
            </w:pPr>
            <w:r>
              <w:rPr>
                <w:rFonts w:hint="eastAsia" w:ascii="仿宋_GB2312" w:hAnsi="仿宋_GB2312" w:eastAsia="仿宋_GB2312" w:cs="仿宋_GB2312"/>
                <w:sz w:val="28"/>
                <w:szCs w:val="28"/>
                <w:lang w:val="en-US" w:eastAsia="zh-CN"/>
              </w:rPr>
              <w:t>群众满</w:t>
            </w:r>
            <w:r>
              <w:rPr>
                <w:rFonts w:hint="eastAsia" w:ascii="仿宋_GB2312" w:hAnsi="仿宋_GB2312" w:eastAsia="仿宋_GB2312" w:cs="仿宋_GB2312"/>
                <w:kern w:val="0"/>
                <w:sz w:val="28"/>
                <w:szCs w:val="28"/>
                <w:lang w:val="en-US" w:eastAsia="zh-CN" w:bidi="ar"/>
              </w:rPr>
              <w:t>意度</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hint="default" w:ascii="宋体" w:eastAsia="宋体" w:cs="宋体"/>
                <w:sz w:val="18"/>
                <w:szCs w:val="18"/>
                <w:highlight w:val="red"/>
                <w:lang w:val="en-US" w:eastAsia="zh-CN"/>
              </w:rPr>
            </w:pPr>
            <w:r>
              <w:rPr>
                <w:rFonts w:hint="eastAsia" w:ascii="宋体" w:hAnsi="宋体"/>
                <w:kern w:val="0"/>
                <w:sz w:val="18"/>
                <w:szCs w:val="18"/>
              </w:rPr>
              <w:t>≥</w:t>
            </w:r>
            <w:r>
              <w:rPr>
                <w:rFonts w:hint="eastAsia" w:ascii="宋体" w:hAnsi="宋体"/>
                <w:kern w:val="0"/>
                <w:sz w:val="18"/>
                <w:szCs w:val="18"/>
                <w:lang w:val="en-US" w:eastAsia="zh-CN"/>
              </w:rPr>
              <w:t>90%</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cs="宋体"/>
                <w:sz w:val="18"/>
                <w:szCs w:val="18"/>
                <w:highlight w:val="red"/>
              </w:rPr>
            </w:pPr>
            <w:r>
              <w:rPr>
                <w:rFonts w:hint="eastAsia" w:ascii="宋体" w:hAnsi="宋体"/>
                <w:kern w:val="0"/>
                <w:sz w:val="18"/>
                <w:szCs w:val="18"/>
              </w:rPr>
              <w:t>≥</w:t>
            </w:r>
            <w:r>
              <w:rPr>
                <w:rFonts w:hint="eastAsia" w:ascii="宋体" w:hAnsi="宋体"/>
                <w:kern w:val="0"/>
                <w:sz w:val="18"/>
                <w:szCs w:val="18"/>
                <w:lang w:val="en-US" w:eastAsia="zh-CN"/>
              </w:rPr>
              <w:t>90%</w:t>
            </w:r>
          </w:p>
        </w:tc>
      </w:tr>
    </w:tbl>
    <w:p>
      <w:pPr>
        <w:widowControl/>
        <w:spacing w:line="576" w:lineRule="exact"/>
        <w:ind w:right="450"/>
        <w:jc w:val="left"/>
        <w:rPr>
          <w:rFonts w:ascii="仿宋_GB2312" w:hAnsi="宋体" w:eastAsia="仿宋_GB2312" w:cs="宋体"/>
          <w:kern w:val="0"/>
          <w:sz w:val="32"/>
          <w:szCs w:val="32"/>
          <w:shd w:val="clear" w:color="auto" w:fill="FFFFFF"/>
          <w:lang w:val="zh-CN"/>
        </w:rPr>
      </w:pPr>
      <w:r>
        <w:rPr>
          <w:rFonts w:hint="eastAsia" w:ascii="仿宋_GB2312" w:hAnsi="宋体" w:eastAsia="仿宋_GB2312" w:cs="宋体"/>
          <w:kern w:val="0"/>
          <w:sz w:val="32"/>
          <w:szCs w:val="32"/>
          <w:shd w:val="clear" w:color="auto" w:fill="FFFFFF"/>
          <w:lang w:val="zh-CN"/>
        </w:rPr>
        <w:t>附表：</w:t>
      </w:r>
    </w:p>
    <w:p>
      <w:pPr>
        <w:widowControl/>
        <w:spacing w:line="576" w:lineRule="exact"/>
        <w:jc w:val="left"/>
        <w:rPr>
          <w:rStyle w:val="32"/>
          <w:rFonts w:ascii="黑体" w:hAnsi="黑体" w:eastAsia="黑体"/>
          <w:b w:val="0"/>
        </w:rPr>
      </w:pPr>
      <w:r>
        <w:rPr>
          <w:rFonts w:hint="eastAsia" w:ascii="仿宋" w:hAnsi="仿宋" w:eastAsia="仿宋" w:cs="仿宋_GB2312"/>
          <w:sz w:val="32"/>
          <w:szCs w:val="32"/>
        </w:rPr>
        <w:t xml:space="preserve">     </w:t>
      </w:r>
    </w:p>
    <w:p>
      <w:pPr>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0"/>
          <w:szCs w:val="40"/>
        </w:rPr>
        <w:t>2021年</w:t>
      </w:r>
      <w:r>
        <w:rPr>
          <w:rFonts w:hint="eastAsia" w:ascii="方正小标宋简体" w:hAnsi="方正小标宋简体" w:eastAsia="方正小标宋简体" w:cs="方正小标宋简体"/>
          <w:sz w:val="40"/>
          <w:szCs w:val="40"/>
          <w:lang w:val="en-US" w:eastAsia="zh-CN"/>
        </w:rPr>
        <w:t>度</w:t>
      </w:r>
      <w:r>
        <w:rPr>
          <w:rFonts w:hint="eastAsia" w:ascii="方正小标宋简体" w:hAnsi="方正小标宋简体" w:eastAsia="方正小标宋简体" w:cs="方正小标宋简体"/>
          <w:sz w:val="40"/>
          <w:szCs w:val="40"/>
          <w:lang w:val="zh-CN"/>
        </w:rPr>
        <w:t>专项预算项目支出绩效自评报告</w:t>
      </w:r>
    </w:p>
    <w:p>
      <w:pPr>
        <w:spacing w:line="580" w:lineRule="exact"/>
        <w:jc w:val="center"/>
        <w:rPr>
          <w:rFonts w:ascii="楷体" w:hAnsi="楷体" w:eastAsia="楷体" w:cs="楷体"/>
          <w:sz w:val="32"/>
          <w:szCs w:val="32"/>
        </w:rPr>
      </w:pPr>
      <w:r>
        <w:rPr>
          <w:rFonts w:hint="eastAsia" w:ascii="楷体" w:hAnsi="楷体" w:eastAsia="楷体" w:cs="楷体"/>
          <w:sz w:val="32"/>
          <w:szCs w:val="32"/>
        </w:rPr>
        <w:t>（社区矫正专项业务经费项目）</w:t>
      </w:r>
    </w:p>
    <w:p>
      <w:pPr>
        <w:adjustRightInd w:val="0"/>
        <w:snapToGrid w:val="0"/>
        <w:spacing w:line="576"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．项目主管部门在该项目管理中的职能</w:t>
      </w:r>
    </w:p>
    <w:p>
      <w:pPr>
        <w:spacing w:line="576" w:lineRule="exact"/>
        <w:ind w:firstLine="627" w:firstLineChars="196"/>
        <w:rPr>
          <w:rFonts w:ascii="仿宋_GB2312" w:eastAsia="仿宋_GB2312"/>
          <w:sz w:val="32"/>
          <w:szCs w:val="32"/>
        </w:rPr>
      </w:pPr>
      <w:r>
        <w:rPr>
          <w:rFonts w:hint="eastAsia" w:ascii="仿宋_GB2312" w:hAnsi="仿宋" w:eastAsia="仿宋_GB2312" w:cs="仿宋_GB2312"/>
          <w:sz w:val="32"/>
          <w:szCs w:val="32"/>
        </w:rPr>
        <w:t>指导全县社区矫正工作</w:t>
      </w:r>
      <w:r>
        <w:rPr>
          <w:rFonts w:hint="eastAsia" w:ascii="仿宋" w:hAnsi="仿宋" w:eastAsia="仿宋" w:cs="仿宋_GB2312"/>
          <w:sz w:val="32"/>
          <w:szCs w:val="32"/>
        </w:rPr>
        <w:t>。</w:t>
      </w:r>
      <w:r>
        <w:rPr>
          <w:rFonts w:hint="eastAsia" w:ascii="仿宋_GB2312" w:eastAsia="仿宋_GB2312"/>
          <w:sz w:val="32"/>
          <w:szCs w:val="32"/>
        </w:rPr>
        <w:t>负责社区矫正法律、法规、规章和政策的执行工作。监督管理对社区矫正对象的刑罚执行、管理教育和帮扶工作。指导社会力量和志愿者参与社区矫正工作。</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．项目立项、资金申报的依据</w:t>
      </w:r>
    </w:p>
    <w:p>
      <w:pPr>
        <w:adjustRightInd w:val="0"/>
        <w:snapToGrid w:val="0"/>
        <w:spacing w:line="576" w:lineRule="exact"/>
        <w:ind w:firstLine="720"/>
        <w:rPr>
          <w:rFonts w:ascii="仿宋_GB2312" w:hAnsi="宋体" w:eastAsia="仿宋_GB2312"/>
          <w:sz w:val="32"/>
          <w:szCs w:val="32"/>
          <w:lang w:val="zh-CN"/>
        </w:rPr>
      </w:pPr>
      <w:r>
        <w:rPr>
          <w:rFonts w:hint="eastAsia" w:ascii="仿宋_GB2312" w:hAnsi="宋体" w:eastAsia="仿宋_GB2312"/>
          <w:sz w:val="32"/>
          <w:szCs w:val="32"/>
        </w:rPr>
        <w:t>社区矫正</w:t>
      </w:r>
      <w:r>
        <w:rPr>
          <w:rFonts w:hint="eastAsia" w:ascii="仿宋_GB2312" w:hAnsi="宋体" w:eastAsia="仿宋_GB2312"/>
          <w:sz w:val="32"/>
          <w:szCs w:val="32"/>
          <w:lang w:val="zh-CN"/>
        </w:rPr>
        <w:t>业务项目</w:t>
      </w:r>
      <w:r>
        <w:rPr>
          <w:rFonts w:hint="eastAsia" w:ascii="仿宋_GB2312" w:hAnsi="宋体" w:eastAsia="仿宋_GB2312"/>
          <w:sz w:val="32"/>
          <w:szCs w:val="32"/>
        </w:rPr>
        <w:t>2021</w:t>
      </w:r>
      <w:r>
        <w:rPr>
          <w:rFonts w:hint="eastAsia" w:ascii="仿宋_GB2312" w:hAnsi="宋体" w:eastAsia="仿宋_GB2312"/>
          <w:sz w:val="32"/>
          <w:szCs w:val="32"/>
          <w:lang w:val="zh-CN"/>
        </w:rPr>
        <w:t>年预算数为</w:t>
      </w:r>
      <w:r>
        <w:rPr>
          <w:rFonts w:hint="eastAsia" w:ascii="仿宋_GB2312" w:hAnsi="宋体" w:eastAsia="仿宋_GB2312"/>
          <w:sz w:val="32"/>
          <w:szCs w:val="32"/>
        </w:rPr>
        <w:t>37</w:t>
      </w:r>
      <w:r>
        <w:rPr>
          <w:rFonts w:hint="eastAsia" w:ascii="仿宋_GB2312" w:hAnsi="宋体" w:eastAsia="仿宋_GB2312"/>
          <w:sz w:val="32"/>
          <w:szCs w:val="32"/>
          <w:lang w:val="zh-CN"/>
        </w:rPr>
        <w:t>万元，主要</w:t>
      </w:r>
      <w:r>
        <w:rPr>
          <w:rFonts w:hint="eastAsia" w:ascii="仿宋_GB2312" w:hAnsi="宋体" w:eastAsia="仿宋_GB2312"/>
          <w:sz w:val="32"/>
          <w:szCs w:val="32"/>
        </w:rPr>
        <w:t>用于社区矫正工作的指导管理费、</w:t>
      </w:r>
      <w:r>
        <w:rPr>
          <w:rFonts w:hint="eastAsia" w:ascii="仿宋_GB2312" w:hAnsi="仿宋_GB2312" w:eastAsia="仿宋_GB2312" w:cs="仿宋_GB2312"/>
          <w:sz w:val="32"/>
          <w:szCs w:val="32"/>
        </w:rPr>
        <w:t>社区矫正工作宣传经费、培训经费、调查评估费、执行变更案件办理费、档案文书费、组织集中教育、心理矫正、社区服务等活动所发生的资料费、场地费。</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．资金管理办法制定情况，资金支持具体项目的条件、范围与支持方式概况</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项目资金使用范围：主要用于</w:t>
      </w:r>
      <w:r>
        <w:rPr>
          <w:rFonts w:hint="eastAsia" w:ascii="仿宋_GB2312" w:hAnsi="仿宋_GB2312" w:eastAsia="仿宋_GB2312" w:cs="仿宋_GB2312"/>
          <w:sz w:val="32"/>
          <w:szCs w:val="32"/>
        </w:rPr>
        <w:t>社区矫正业务工作的支出。</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4</w:t>
      </w:r>
      <w:r>
        <w:rPr>
          <w:rFonts w:hint="eastAsia" w:ascii="仿宋_GB2312" w:hAnsi="宋体" w:eastAsia="仿宋_GB2312"/>
          <w:sz w:val="32"/>
          <w:szCs w:val="32"/>
          <w:lang w:val="zh-CN"/>
        </w:rPr>
        <w:t>．资金分配的原则及考虑因素</w:t>
      </w:r>
    </w:p>
    <w:p>
      <w:pPr>
        <w:adjustRightInd w:val="0"/>
        <w:snapToGrid w:val="0"/>
        <w:spacing w:line="576" w:lineRule="exact"/>
        <w:ind w:firstLine="640" w:firstLineChars="200"/>
        <w:rPr>
          <w:rFonts w:ascii="楷体_GB2312" w:hAnsi="宋体" w:eastAsia="楷体_GB2312"/>
          <w:b/>
          <w:sz w:val="32"/>
          <w:szCs w:val="32"/>
          <w:lang w:val="zh-CN"/>
        </w:rPr>
      </w:pPr>
      <w:r>
        <w:rPr>
          <w:rFonts w:hint="eastAsia" w:ascii="仿宋_GB2312" w:hAnsi="宋体" w:eastAsia="仿宋_GB2312"/>
          <w:sz w:val="32"/>
          <w:szCs w:val="32"/>
          <w:lang w:val="zh-CN"/>
        </w:rPr>
        <w:t>科学合理安排资金预算支出，结合有限的项目资金，实现资金落到实处，强化执行过程监督，保障项目运行。</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．项目主要内容</w:t>
      </w:r>
    </w:p>
    <w:p>
      <w:pPr>
        <w:spacing w:line="576" w:lineRule="exact"/>
        <w:ind w:firstLine="640" w:firstLineChars="200"/>
        <w:rPr>
          <w:rFonts w:ascii="仿宋_GB2312" w:eastAsia="仿宋_GB2312"/>
          <w:sz w:val="32"/>
          <w:szCs w:val="32"/>
        </w:rPr>
      </w:pPr>
      <w:r>
        <w:rPr>
          <w:rFonts w:hint="eastAsia" w:ascii="楷体_GB2312" w:hAnsi="楷体_GB2312" w:eastAsia="楷体_GB2312" w:cs="楷体_GB2312"/>
          <w:sz w:val="32"/>
          <w:szCs w:val="32"/>
          <w:lang w:val="zh-CN"/>
        </w:rPr>
        <w:t>一是加强社区矫正人员监管。</w:t>
      </w:r>
      <w:r>
        <w:rPr>
          <w:rFonts w:hint="eastAsia" w:ascii="仿宋_GB2312" w:hAnsi="仿宋_GB2312" w:eastAsia="仿宋_GB2312"/>
          <w:sz w:val="32"/>
          <w:szCs w:val="32"/>
        </w:rPr>
        <w:t>在监管上，采用“人防+群防+智防”等手段强化社区矫正对象活动范围管控；通过“线上+线下”方式对社区矫正对象开展疫情防控宣传。</w:t>
      </w:r>
      <w:r>
        <w:rPr>
          <w:rFonts w:hint="eastAsia" w:ascii="楷体_GB2312" w:hAnsi="楷体_GB2312" w:eastAsia="楷体_GB2312" w:cs="楷体_GB2312"/>
          <w:sz w:val="32"/>
          <w:szCs w:val="32"/>
        </w:rPr>
        <w:t>二是加强刑满释放人员安置帮教。</w:t>
      </w:r>
      <w:r>
        <w:rPr>
          <w:rFonts w:hint="eastAsia" w:ascii="仿宋_GB2312" w:eastAsia="仿宋_GB2312"/>
          <w:sz w:val="32"/>
          <w:szCs w:val="32"/>
        </w:rPr>
        <w:t>根据司法部《关于充分发挥司法行政职能作用进一步加强刑满释放人员安置帮教工作的意见》和各级关于疫情防控有关要求，积极加强与监所、乡镇、家属对接，落实“必接必送”和疫情防控政策，严格落实居家隔离等疫情防控措施和安置帮教政策。</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．项目应实现的具体绩效目标，包括目标的量化、细化情况以及项目实施进度计划等</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通过各种培训及学习，社区矫正对象的法律意识增加，重新犯罪率为零。绩效目标在规定时间内均按质按量完成。</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．分析评价申报内容是否与实际相符，申报目标是否合理可行</w:t>
      </w:r>
    </w:p>
    <w:p>
      <w:pPr>
        <w:adjustRightInd w:val="0"/>
        <w:snapToGrid w:val="0"/>
        <w:spacing w:line="576" w:lineRule="exact"/>
        <w:ind w:firstLine="720"/>
        <w:rPr>
          <w:rFonts w:ascii="楷体_GB2312" w:hAnsi="宋体" w:eastAsia="楷体_GB2312"/>
          <w:b/>
          <w:sz w:val="32"/>
          <w:szCs w:val="32"/>
          <w:lang w:val="zh-CN"/>
        </w:rPr>
      </w:pPr>
      <w:r>
        <w:rPr>
          <w:rFonts w:hint="eastAsia" w:ascii="仿宋_GB2312" w:hAnsi="宋体" w:eastAsia="仿宋_GB2312"/>
          <w:sz w:val="32"/>
          <w:szCs w:val="32"/>
          <w:lang w:val="zh-CN"/>
        </w:rPr>
        <w:t>申报内容与实际相符，申报目标合理可行。</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576" w:lineRule="exact"/>
        <w:ind w:firstLine="720"/>
        <w:rPr>
          <w:rFonts w:ascii="黑体" w:hAnsi="宋体" w:eastAsia="黑体"/>
          <w:sz w:val="32"/>
          <w:szCs w:val="32"/>
        </w:rPr>
      </w:pPr>
      <w:r>
        <w:rPr>
          <w:rFonts w:hint="eastAsia" w:ascii="仿宋_GB2312" w:hAnsi="宋体" w:eastAsia="仿宋_GB2312"/>
          <w:sz w:val="32"/>
          <w:szCs w:val="32"/>
          <w:lang w:val="zh-CN"/>
        </w:rPr>
        <w:t>先由业务股室经办人员、财务人员共同草拟自评报告，分别报分管领导、主要领导审阅后再报送。最后进行自评。</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根据财政安排，年初由本单位财务人员申报，经分管领导和负责人审核后交财政局审核，待财政审核后下发单位实施。</w:t>
      </w:r>
    </w:p>
    <w:p>
      <w:pPr>
        <w:adjustRightInd w:val="0"/>
        <w:snapToGrid w:val="0"/>
        <w:spacing w:line="576"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w:t>
      </w:r>
    </w:p>
    <w:p>
      <w:pPr>
        <w:adjustRightInd w:val="0"/>
        <w:snapToGrid w:val="0"/>
        <w:spacing w:line="576" w:lineRule="exact"/>
        <w:ind w:firstLine="720"/>
        <w:rPr>
          <w:rFonts w:ascii="仿宋_GB2312" w:hAnsi="宋体" w:eastAsia="仿宋_GB2312"/>
          <w:sz w:val="32"/>
          <w:szCs w:val="32"/>
          <w:lang w:val="zh-CN"/>
        </w:rPr>
      </w:pPr>
      <w:r>
        <w:rPr>
          <w:rFonts w:ascii="楷体_GB2312" w:hAnsi="宋体" w:eastAsia="楷体_GB2312"/>
          <w:sz w:val="32"/>
          <w:szCs w:val="32"/>
          <w:lang w:val="zh-CN"/>
        </w:rPr>
        <w:t>1</w:t>
      </w:r>
      <w:r>
        <w:rPr>
          <w:rFonts w:hint="eastAsia" w:ascii="楷体_GB2312" w:hAnsi="宋体" w:eastAsia="楷体_GB2312"/>
          <w:sz w:val="32"/>
          <w:szCs w:val="32"/>
          <w:lang w:val="zh-CN"/>
        </w:rPr>
        <w:t>．资金计划</w:t>
      </w:r>
    </w:p>
    <w:p>
      <w:pPr>
        <w:adjustRightInd w:val="0"/>
        <w:snapToGrid w:val="0"/>
        <w:spacing w:line="576" w:lineRule="exact"/>
        <w:ind w:firstLine="720"/>
        <w:rPr>
          <w:rFonts w:ascii="楷体_GB2312" w:hAnsi="宋体" w:eastAsia="楷体_GB2312"/>
          <w:sz w:val="32"/>
          <w:szCs w:val="32"/>
          <w:lang w:val="zh-CN"/>
        </w:rPr>
      </w:pPr>
      <w:r>
        <w:rPr>
          <w:rFonts w:hint="eastAsia" w:ascii="仿宋_GB2312" w:hAnsi="宋体" w:eastAsia="仿宋_GB2312"/>
          <w:sz w:val="32"/>
          <w:szCs w:val="32"/>
          <w:lang w:val="zh-CN"/>
        </w:rPr>
        <w:t>项目资金年初计划为</w:t>
      </w:r>
      <w:r>
        <w:rPr>
          <w:rFonts w:hint="eastAsia" w:ascii="仿宋_GB2312" w:hAnsi="宋体" w:eastAsia="仿宋_GB2312"/>
          <w:sz w:val="32"/>
          <w:szCs w:val="32"/>
        </w:rPr>
        <w:t>37</w:t>
      </w:r>
      <w:r>
        <w:rPr>
          <w:rFonts w:hint="eastAsia" w:ascii="仿宋_GB2312" w:hAnsi="宋体" w:eastAsia="仿宋_GB2312"/>
          <w:sz w:val="32"/>
          <w:szCs w:val="32"/>
          <w:lang w:val="zh-CN"/>
        </w:rPr>
        <w:t>万元，</w:t>
      </w:r>
      <w:r>
        <w:rPr>
          <w:rFonts w:hint="eastAsia" w:ascii="仿宋_GB2312" w:hAnsi="宋体" w:eastAsia="仿宋_GB2312"/>
          <w:sz w:val="32"/>
          <w:szCs w:val="32"/>
        </w:rPr>
        <w:t>均为财政拨款</w:t>
      </w:r>
      <w:r>
        <w:rPr>
          <w:rFonts w:hint="eastAsia" w:ascii="仿宋_GB2312" w:hAnsi="宋体" w:eastAsia="仿宋_GB2312"/>
          <w:sz w:val="32"/>
          <w:szCs w:val="32"/>
          <w:lang w:val="zh-CN"/>
        </w:rPr>
        <w:t>。</w:t>
      </w:r>
    </w:p>
    <w:p>
      <w:pPr>
        <w:adjustRightInd w:val="0"/>
        <w:snapToGrid w:val="0"/>
        <w:spacing w:line="576" w:lineRule="exact"/>
        <w:ind w:firstLine="640" w:firstLineChars="200"/>
        <w:rPr>
          <w:rFonts w:ascii="楷体_GB2312" w:hAnsi="宋体" w:eastAsia="楷体_GB2312"/>
          <w:sz w:val="32"/>
          <w:szCs w:val="32"/>
          <w:lang w:val="zh-CN"/>
        </w:rPr>
      </w:pPr>
      <w:r>
        <w:rPr>
          <w:rFonts w:hint="eastAsia" w:ascii="楷体_GB2312" w:hAnsi="宋体" w:eastAsia="楷体_GB2312"/>
          <w:sz w:val="32"/>
          <w:szCs w:val="32"/>
        </w:rPr>
        <w:t>2．</w:t>
      </w:r>
      <w:r>
        <w:rPr>
          <w:rFonts w:hint="eastAsia" w:ascii="楷体_GB2312" w:hAnsi="宋体" w:eastAsia="楷体_GB2312"/>
          <w:sz w:val="32"/>
          <w:szCs w:val="32"/>
          <w:lang w:val="zh-CN"/>
        </w:rPr>
        <w:t>资金到位</w:t>
      </w:r>
    </w:p>
    <w:p>
      <w:pPr>
        <w:adjustRightInd w:val="0"/>
        <w:snapToGrid w:val="0"/>
        <w:spacing w:line="576" w:lineRule="exact"/>
        <w:rPr>
          <w:rFonts w:ascii="仿宋_GB2312" w:hAnsi="宋体" w:eastAsia="仿宋_GB2312"/>
          <w:sz w:val="32"/>
          <w:szCs w:val="32"/>
        </w:rPr>
      </w:pPr>
      <w:r>
        <w:rPr>
          <w:rFonts w:hint="eastAsia" w:ascii="楷体_GB2312" w:hAnsi="宋体" w:eastAsia="楷体_GB2312"/>
          <w:sz w:val="32"/>
          <w:szCs w:val="32"/>
        </w:rPr>
        <w:t xml:space="preserve">   </w:t>
      </w:r>
      <w:r>
        <w:rPr>
          <w:rFonts w:hint="eastAsia" w:ascii="仿宋_GB2312" w:hAnsi="宋体" w:eastAsia="仿宋_GB2312"/>
          <w:sz w:val="32"/>
          <w:szCs w:val="32"/>
        </w:rPr>
        <w:t xml:space="preserve"> 资金均按时到位。</w:t>
      </w:r>
    </w:p>
    <w:p>
      <w:pPr>
        <w:adjustRightInd w:val="0"/>
        <w:snapToGrid w:val="0"/>
        <w:spacing w:line="576" w:lineRule="exact"/>
        <w:ind w:left="630"/>
        <w:rPr>
          <w:rFonts w:ascii="楷体_GB2312" w:hAnsi="宋体" w:eastAsia="楷体_GB2312"/>
          <w:b/>
          <w:sz w:val="32"/>
          <w:szCs w:val="32"/>
          <w:lang w:val="zh-CN"/>
        </w:rPr>
      </w:pPr>
      <w:r>
        <w:rPr>
          <w:rFonts w:hint="eastAsia" w:ascii="楷体_GB2312" w:hAnsi="宋体" w:eastAsia="楷体_GB2312"/>
          <w:sz w:val="32"/>
          <w:szCs w:val="32"/>
        </w:rPr>
        <w:t>3．</w:t>
      </w:r>
      <w:r>
        <w:rPr>
          <w:rFonts w:hint="eastAsia" w:ascii="楷体_GB2312" w:hAnsi="宋体" w:eastAsia="楷体_GB2312"/>
          <w:sz w:val="32"/>
          <w:szCs w:val="32"/>
          <w:lang w:val="zh-CN"/>
        </w:rPr>
        <w:t>资金使用</w:t>
      </w:r>
      <w:r>
        <w:rPr>
          <w:rFonts w:hint="eastAsia" w:ascii="楷体_GB2312" w:hAnsi="宋体" w:eastAsia="楷体_GB2312"/>
          <w:sz w:val="32"/>
          <w:szCs w:val="32"/>
        </w:rPr>
        <w:t xml:space="preserve"> </w:t>
      </w:r>
    </w:p>
    <w:p>
      <w:pPr>
        <w:adjustRightInd w:val="0"/>
        <w:snapToGrid w:val="0"/>
        <w:spacing w:line="576" w:lineRule="exact"/>
        <w:ind w:firstLine="640" w:firstLineChars="200"/>
        <w:rPr>
          <w:rFonts w:ascii="楷体_GB2312" w:hAnsi="宋体" w:eastAsia="楷体_GB2312"/>
          <w:b/>
          <w:sz w:val="32"/>
          <w:szCs w:val="32"/>
          <w:lang w:val="zh-CN"/>
        </w:rPr>
      </w:pPr>
      <w:r>
        <w:rPr>
          <w:rFonts w:hint="eastAsia" w:ascii="仿宋_GB2312" w:hAnsi="宋体" w:eastAsia="仿宋_GB2312"/>
          <w:sz w:val="32"/>
          <w:szCs w:val="32"/>
          <w:lang w:val="zh-CN"/>
        </w:rPr>
        <w:t>科学合理安排资金预算支出，结合有限的项目资金，实现资金落到实处。</w:t>
      </w:r>
    </w:p>
    <w:p>
      <w:pPr>
        <w:adjustRightInd w:val="0"/>
        <w:snapToGrid w:val="0"/>
        <w:spacing w:line="576" w:lineRule="exact"/>
        <w:ind w:firstLine="643" w:firstLineChars="20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576" w:lineRule="exact"/>
        <w:ind w:firstLine="720"/>
        <w:rPr>
          <w:rFonts w:ascii="黑体" w:hAnsi="宋体" w:eastAsia="黑体"/>
          <w:sz w:val="32"/>
          <w:szCs w:val="32"/>
        </w:rPr>
      </w:pPr>
      <w:r>
        <w:rPr>
          <w:rFonts w:hint="eastAsia" w:ascii="仿宋_GB2312" w:hAnsi="宋体" w:eastAsia="仿宋_GB2312"/>
          <w:sz w:val="32"/>
          <w:szCs w:val="32"/>
        </w:rPr>
        <w:t>我局建立</w:t>
      </w:r>
      <w:r>
        <w:rPr>
          <w:rFonts w:hint="eastAsia" w:ascii="仿宋_GB2312" w:hAnsi="宋体" w:eastAsia="仿宋_GB2312"/>
          <w:sz w:val="32"/>
          <w:szCs w:val="32"/>
          <w:lang w:val="zh-CN"/>
        </w:rPr>
        <w:t>健全</w:t>
      </w:r>
      <w:r>
        <w:rPr>
          <w:rFonts w:hint="eastAsia" w:ascii="仿宋_GB2312" w:hAnsi="宋体" w:eastAsia="仿宋_GB2312"/>
          <w:sz w:val="32"/>
          <w:szCs w:val="32"/>
        </w:rPr>
        <w:t>了</w:t>
      </w:r>
      <w:r>
        <w:rPr>
          <w:rFonts w:hint="eastAsia" w:ascii="仿宋_GB2312" w:hAnsi="宋体" w:eastAsia="仿宋_GB2312"/>
          <w:sz w:val="32"/>
          <w:szCs w:val="32"/>
          <w:lang w:val="zh-CN"/>
        </w:rPr>
        <w:t>财务</w:t>
      </w:r>
      <w:r>
        <w:rPr>
          <w:rFonts w:hint="eastAsia" w:ascii="仿宋_GB2312" w:hAnsi="宋体" w:eastAsia="仿宋_GB2312"/>
          <w:sz w:val="32"/>
          <w:szCs w:val="32"/>
        </w:rPr>
        <w:t>管理</w:t>
      </w:r>
      <w:r>
        <w:rPr>
          <w:rFonts w:hint="eastAsia" w:ascii="仿宋_GB2312" w:hAnsi="宋体" w:eastAsia="仿宋_GB2312"/>
          <w:sz w:val="32"/>
          <w:szCs w:val="32"/>
          <w:lang w:val="zh-CN"/>
        </w:rPr>
        <w:t>制度，资金拨付严格按照财务管理制度进行管理，保证专款专用，资金发放复查由财务人员按照财务制度进行资金的审核、支付和核算，资金报销有发票、合同、验收清单等相关材料，手续完善，不存在虚假凭证的情况，会计严格执行财务管理制度，财务处理及时，核算规范。</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576"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结合项目组织实施管理办法，重点围绕以下内容进行分析评价，并对自评中发现的问题分析说明。</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（一）项目组织架构及实施流程</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该项目在实施过程中，各股室和司法所根据工作需要进行申请。</w:t>
      </w:r>
    </w:p>
    <w:p>
      <w:pPr>
        <w:adjustRightInd w:val="0"/>
        <w:snapToGrid w:val="0"/>
        <w:spacing w:line="576" w:lineRule="exact"/>
        <w:ind w:firstLine="643" w:firstLineChars="200"/>
        <w:rPr>
          <w:rFonts w:ascii="楷体_GB2312" w:hAnsi="宋体" w:eastAsia="楷体_GB2312"/>
          <w:b/>
          <w:sz w:val="32"/>
          <w:szCs w:val="32"/>
          <w:lang w:val="zh-CN"/>
        </w:rPr>
      </w:pPr>
      <w:r>
        <w:rPr>
          <w:rFonts w:hint="eastAsia" w:ascii="楷体_GB2312" w:hAnsi="宋体" w:eastAsia="楷体_GB2312"/>
          <w:b/>
          <w:sz w:val="32"/>
          <w:szCs w:val="32"/>
          <w:lang w:val="zh-CN"/>
        </w:rPr>
        <w:t>（</w:t>
      </w:r>
      <w:r>
        <w:rPr>
          <w:rFonts w:hint="eastAsia" w:ascii="楷体_GB2312" w:hAnsi="宋体" w:eastAsia="楷体_GB2312"/>
          <w:b/>
          <w:sz w:val="32"/>
          <w:szCs w:val="32"/>
        </w:rPr>
        <w:t>二</w:t>
      </w:r>
      <w:r>
        <w:rPr>
          <w:rFonts w:hint="eastAsia" w:ascii="楷体_GB2312" w:hAnsi="宋体" w:eastAsia="楷体_GB2312"/>
          <w:b/>
          <w:sz w:val="32"/>
          <w:szCs w:val="32"/>
          <w:lang w:val="zh-CN"/>
        </w:rPr>
        <w:t>）项目管理情况</w:t>
      </w:r>
    </w:p>
    <w:p>
      <w:pPr>
        <w:adjustRightInd w:val="0"/>
        <w:snapToGrid w:val="0"/>
        <w:spacing w:line="576" w:lineRule="exact"/>
        <w:ind w:firstLine="720"/>
        <w:rPr>
          <w:rFonts w:ascii="仿宋_GB2312" w:hAnsi="宋体" w:eastAsia="仿宋_GB2312"/>
          <w:sz w:val="32"/>
          <w:szCs w:val="32"/>
          <w:lang w:val="zh-CN"/>
        </w:rPr>
      </w:pPr>
      <w:r>
        <w:rPr>
          <w:rFonts w:hint="eastAsia" w:ascii="楷体_GB2312" w:hAnsi="宋体" w:eastAsia="楷体_GB2312"/>
          <w:b/>
          <w:sz w:val="32"/>
          <w:szCs w:val="32"/>
        </w:rPr>
        <w:t xml:space="preserve"> </w:t>
      </w:r>
      <w:r>
        <w:rPr>
          <w:rFonts w:hint="eastAsia" w:ascii="仿宋_GB2312" w:hAnsi="宋体" w:eastAsia="仿宋_GB2312"/>
          <w:sz w:val="32"/>
          <w:szCs w:val="32"/>
          <w:lang w:val="zh-CN"/>
        </w:rPr>
        <w:t>主要</w:t>
      </w:r>
      <w:r>
        <w:rPr>
          <w:rFonts w:hint="eastAsia" w:ascii="仿宋_GB2312" w:hAnsi="宋体" w:eastAsia="仿宋_GB2312"/>
          <w:sz w:val="32"/>
          <w:szCs w:val="32"/>
        </w:rPr>
        <w:t>用于</w:t>
      </w:r>
      <w:r>
        <w:rPr>
          <w:rFonts w:hint="eastAsia" w:ascii="仿宋_GB2312" w:hAnsi="仿宋_GB2312" w:eastAsia="仿宋_GB2312" w:cs="仿宋_GB2312"/>
          <w:sz w:val="32"/>
          <w:szCs w:val="32"/>
        </w:rPr>
        <w:t>社区矫正业务支出。</w:t>
      </w:r>
    </w:p>
    <w:p>
      <w:pPr>
        <w:adjustRightInd w:val="0"/>
        <w:snapToGrid w:val="0"/>
        <w:spacing w:line="576" w:lineRule="exact"/>
        <w:ind w:firstLine="643" w:firstLineChars="200"/>
        <w:rPr>
          <w:rFonts w:ascii="仿宋_GB2312" w:hAnsi="宋体" w:eastAsia="仿宋_GB2312"/>
          <w:sz w:val="32"/>
          <w:szCs w:val="32"/>
          <w:lang w:val="zh-CN"/>
        </w:rPr>
      </w:pPr>
      <w:r>
        <w:rPr>
          <w:rFonts w:hint="eastAsia" w:ascii="楷体_GB2312" w:hAnsi="宋体" w:eastAsia="楷体_GB2312"/>
          <w:b/>
          <w:sz w:val="32"/>
          <w:szCs w:val="32"/>
          <w:lang w:val="zh-CN"/>
        </w:rPr>
        <w:t>（</w:t>
      </w:r>
      <w:r>
        <w:rPr>
          <w:rFonts w:hint="eastAsia" w:ascii="楷体_GB2312" w:hAnsi="宋体" w:eastAsia="楷体_GB2312"/>
          <w:b/>
          <w:sz w:val="32"/>
          <w:szCs w:val="32"/>
        </w:rPr>
        <w:t>三</w:t>
      </w:r>
      <w:r>
        <w:rPr>
          <w:rFonts w:hint="eastAsia" w:ascii="楷体_GB2312" w:hAnsi="宋体" w:eastAsia="楷体_GB2312"/>
          <w:b/>
          <w:sz w:val="32"/>
          <w:szCs w:val="32"/>
          <w:lang w:val="zh-CN"/>
        </w:rPr>
        <w:t>）项目监管情况。</w:t>
      </w:r>
    </w:p>
    <w:p>
      <w:pPr>
        <w:adjustRightInd w:val="0"/>
        <w:snapToGrid w:val="0"/>
        <w:spacing w:line="576" w:lineRule="exact"/>
        <w:rPr>
          <w:rFonts w:ascii="仿宋_GB2312" w:hAnsi="宋体" w:eastAsia="仿宋_GB2312"/>
          <w:sz w:val="32"/>
          <w:szCs w:val="32"/>
        </w:rPr>
      </w:pPr>
      <w:r>
        <w:rPr>
          <w:rFonts w:hint="eastAsia" w:ascii="仿宋_GB2312" w:hAnsi="宋体" w:eastAsia="仿宋_GB2312"/>
          <w:sz w:val="32"/>
          <w:szCs w:val="32"/>
        </w:rPr>
        <w:t xml:space="preserve">      项目的实施报账由经办人初审，分管领导复核，出纳和会计再次复核，交主要领导审批，最后由分管财务领导审定。</w:t>
      </w:r>
    </w:p>
    <w:p>
      <w:pPr>
        <w:adjustRightInd w:val="0"/>
        <w:snapToGrid w:val="0"/>
        <w:spacing w:line="576"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spacing w:line="576" w:lineRule="exact"/>
        <w:ind w:firstLine="640" w:firstLineChars="200"/>
        <w:rPr>
          <w:rFonts w:ascii="仿宋_GB2312" w:eastAsia="仿宋_GB2312"/>
          <w:sz w:val="32"/>
          <w:szCs w:val="32"/>
        </w:rPr>
      </w:pPr>
      <w:r>
        <w:rPr>
          <w:rFonts w:hint="eastAsia" w:ascii="楷体_GB2312" w:hAnsi="楷体_GB2312" w:eastAsia="楷体_GB2312" w:cs="楷体_GB2312"/>
          <w:sz w:val="32"/>
          <w:szCs w:val="32"/>
          <w:lang w:val="zh-CN"/>
        </w:rPr>
        <w:t>一是加强社区矫正人员监管。</w:t>
      </w:r>
      <w:r>
        <w:rPr>
          <w:rFonts w:hint="eastAsia" w:ascii="仿宋_GB2312" w:hAnsi="仿宋_GB2312" w:eastAsia="仿宋_GB2312"/>
          <w:sz w:val="32"/>
          <w:szCs w:val="32"/>
        </w:rPr>
        <w:t>在监管上，采用“人防+群防+智防”等手段强化社区矫正对象活动范围管控；通过“线上+线下”方式对社区矫正对象开展疫情防控宣传。</w:t>
      </w:r>
      <w:r>
        <w:rPr>
          <w:rFonts w:hint="eastAsia" w:ascii="楷体_GB2312" w:hAnsi="楷体_GB2312" w:eastAsia="楷体_GB2312" w:cs="楷体_GB2312"/>
          <w:sz w:val="32"/>
          <w:szCs w:val="32"/>
        </w:rPr>
        <w:t>二是加强刑满释放人员安置帮教。</w:t>
      </w:r>
      <w:r>
        <w:rPr>
          <w:rFonts w:hint="eastAsia" w:ascii="仿宋_GB2312" w:eastAsia="仿宋_GB2312"/>
          <w:sz w:val="32"/>
          <w:szCs w:val="32"/>
        </w:rPr>
        <w:t>根据司法部《关于充分发挥司法行政职能作用进一步加强刑满释放人员安置帮教工作的意见》和各级关于疫情防控有关要求，积极加强与监所、乡镇、家属对接，落实“必接必送”和疫情防控政策，严格落实居家隔离等疫情防控措施和安置帮教政策。</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spacing w:line="576" w:lineRule="exact"/>
        <w:ind w:firstLine="640" w:firstLineChars="200"/>
        <w:rPr>
          <w:rFonts w:ascii="黑体" w:hAnsi="宋体" w:eastAsia="黑体"/>
          <w:sz w:val="32"/>
          <w:szCs w:val="32"/>
        </w:rPr>
      </w:pPr>
      <w:r>
        <w:rPr>
          <w:rFonts w:hint="eastAsia" w:ascii="仿宋_GB2312" w:hAnsi="宋体" w:eastAsia="仿宋_GB2312"/>
          <w:sz w:val="32"/>
          <w:szCs w:val="32"/>
        </w:rPr>
        <w:t>通过各种培训及学习，社区矫正对象的法律意识增加，重新犯罪率为零。</w:t>
      </w:r>
      <w:r>
        <w:rPr>
          <w:rFonts w:hint="eastAsia" w:ascii="仿宋" w:hAnsi="仿宋" w:eastAsia="仿宋" w:cs="仿宋_GB2312"/>
          <w:sz w:val="32"/>
          <w:szCs w:val="32"/>
        </w:rPr>
        <w:t>社区服刑人员未出现脱管、漏管、重新犯罪现象。</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tbl>
      <w:tblPr>
        <w:tblStyle w:val="14"/>
        <w:tblW w:w="9585"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15" w:type="dxa"/>
          <w:left w:w="15" w:type="dxa"/>
          <w:bottom w:w="15" w:type="dxa"/>
          <w:right w:w="15" w:type="dxa"/>
        </w:tblCellMar>
      </w:tblPr>
      <w:tblGrid>
        <w:gridCol w:w="2116"/>
        <w:gridCol w:w="690"/>
        <w:gridCol w:w="6252"/>
        <w:gridCol w:w="52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绩效指标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分值</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指标说明</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得分数</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一、项目资金管理情况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（一）资金到位落实情况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trHeight w:val="342" w:hRule="atLeast"/>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1、资金到位率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主要是考核项目承担单位实际到账的项目资金占应到账的项目资金之比。</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2、资金利用率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主要是考核项目承担单位实际用于项目的支出金额占项目实际到位金额之比。</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（二）资金使用管理情况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1、财务制度健全性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主要是考核项目单位内部财务管理、会计核算制度合法完整性；是否有项目资金管理办法并符合有关制度规定。</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2、资金拨付合规性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主要是考核资金的拨付是否有完整的审批程序和手续。</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3、资金使用规范性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主要是考核项目支出是否存在截留、挤占、挪用、虚列支出等情况。</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二、项目绩效目标管理</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19</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1、是否设置绩效目标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主要是考核申报项目时是否设置绩效目标。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2、是否及时报送绩效目标</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6</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主要是考核是否在规定时间内报送项目绩效目标。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3、绩效目标是否细化</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主要是考核项目绩效目标量化、细化的科学性、合理性</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三、项目绩效实施情况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29</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1、制度建设</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主要是考核项目实施单位建立绩效运行监控制度的质量</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2、监控机制</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主要是考核采取措施对绩效进行监控的有效性</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3、项目产出数量完成情况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主要是考核项目产出数量是否达到了预期的绩效目标，达到的程度情况。</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4、项目产出质量完成情况</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主要是考核项目产出质量是否达到了预期的绩效目标，达到的程度情况。</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5、项目实施经济效益</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主要是考核项目实施所取得的实际效果是否达到了预期的经济效益目标。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6、项目实施社会效益</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主要是考核项目实施所取得的实际效果是否达到了预期的社会效益目标。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四、项目绩效评价管理</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18</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（一）开展评价的范围</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主要是考核项目绩效评价覆盖率</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（二）开展评价的时效性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主要是考核是否及时完成绩效评价工作并及时报送绩效报告</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（三）评价报告的质量</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12</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12</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1、评价报告的完整性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主要是考核绩效报告和绩效评价报告是否符合格式要求，各项内容是否完整。</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2、评价报告的客观性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主要是考核评价结论是否客观公正。</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3、评价报告的合理性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主要是考核评价结论是否合理。</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4、评价报告的逻辑性</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主要是考核报告中文字及数据是否有逻辑性。</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五、结果应用</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1、落实整改</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主要是考核是否落实评价整改意见并报送整改情况。</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2、绩效问责</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主要是考核是否建立绩效问责机制。</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3、结果公开</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主要是考核是否将绩效报告、绩效评价结果，按照相关要求，对外公开，接受社会监督。</w:t>
            </w: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2116"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rPr>
                <w:rFonts w:ascii="仿宋" w:hAnsi="仿宋" w:eastAsia="仿宋" w:cs="仿宋"/>
                <w:sz w:val="18"/>
                <w:szCs w:val="18"/>
              </w:rPr>
            </w:pPr>
            <w:r>
              <w:rPr>
                <w:rFonts w:hint="eastAsia" w:ascii="仿宋" w:hAnsi="仿宋" w:eastAsia="仿宋" w:cs="仿宋"/>
                <w:sz w:val="18"/>
                <w:szCs w:val="18"/>
              </w:rPr>
              <w:t>合计</w:t>
            </w:r>
          </w:p>
        </w:tc>
        <w:tc>
          <w:tcPr>
            <w:tcW w:w="690"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rPr>
                <w:rFonts w:ascii="仿宋" w:hAnsi="仿宋" w:eastAsia="仿宋" w:cs="仿宋"/>
                <w:sz w:val="18"/>
                <w:szCs w:val="18"/>
              </w:rPr>
            </w:pPr>
            <w:r>
              <w:rPr>
                <w:rFonts w:hint="eastAsia" w:ascii="仿宋" w:hAnsi="仿宋" w:eastAsia="仿宋" w:cs="仿宋"/>
                <w:sz w:val="18"/>
                <w:szCs w:val="18"/>
              </w:rPr>
              <w:t>100</w:t>
            </w:r>
          </w:p>
        </w:tc>
        <w:tc>
          <w:tcPr>
            <w:tcW w:w="6252"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rPr>
                <w:rFonts w:ascii="仿宋" w:hAnsi="仿宋" w:eastAsia="仿宋" w:cs="仿宋"/>
                <w:sz w:val="18"/>
                <w:szCs w:val="18"/>
              </w:rPr>
            </w:pPr>
          </w:p>
        </w:tc>
        <w:tc>
          <w:tcPr>
            <w:tcW w:w="52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96</w:t>
            </w:r>
          </w:p>
        </w:tc>
      </w:tr>
    </w:tbl>
    <w:p>
      <w:pPr>
        <w:adjustRightInd w:val="0"/>
        <w:snapToGrid w:val="0"/>
        <w:spacing w:line="576" w:lineRule="exact"/>
        <w:ind w:firstLine="643" w:firstLineChars="200"/>
        <w:rPr>
          <w:rFonts w:ascii="楷体_GB2312" w:hAnsi="宋体" w:eastAsia="楷体_GB2312"/>
          <w:b/>
          <w:sz w:val="32"/>
          <w:szCs w:val="32"/>
          <w:lang w:val="zh-CN"/>
        </w:rPr>
      </w:pPr>
    </w:p>
    <w:p>
      <w:pPr>
        <w:adjustRightInd w:val="0"/>
        <w:snapToGrid w:val="0"/>
        <w:spacing w:line="576" w:lineRule="exact"/>
        <w:ind w:firstLine="643" w:firstLineChars="20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spacing w:line="576" w:lineRule="exact"/>
        <w:ind w:firstLine="640" w:firstLineChars="200"/>
        <w:rPr>
          <w:rFonts w:ascii="仿宋_GB2312" w:hAnsi="宋体" w:eastAsia="仿宋_GB2312"/>
          <w:sz w:val="32"/>
          <w:szCs w:val="32"/>
          <w:lang w:val="zh-CN"/>
        </w:rPr>
      </w:pPr>
      <w:r>
        <w:rPr>
          <w:rFonts w:hint="eastAsia" w:ascii="仿宋" w:hAnsi="仿宋" w:eastAsia="仿宋" w:cs="仿宋_GB2312"/>
          <w:sz w:val="32"/>
          <w:szCs w:val="32"/>
        </w:rPr>
        <w:t>一是司法所社区矫正工作人员严重不足，大部分司法所为1人所，且由于司法所属双重管理，司法所工作人员还要兼顾司法所其他工作，日常工作繁重，不利于我县社区矫正工作的有序发展;二是特殊人员监管问题。患有严重传染疾病的暂予监外执行人员成了社区矫正工作中的一道难题，给矫正工作带来了一定程度的困难。</w:t>
      </w:r>
      <w:r>
        <w:rPr>
          <w:kern w:val="0"/>
          <w:sz w:val="32"/>
          <w:szCs w:val="32"/>
          <w:lang w:bidi="ar"/>
        </w:rPr>
        <w:t xml:space="preserve"> </w:t>
      </w:r>
      <w:r>
        <w:rPr>
          <w:rFonts w:ascii="仿宋_GB2312" w:hAnsi="宋体" w:eastAsia="仿宋_GB2312"/>
          <w:sz w:val="32"/>
          <w:szCs w:val="32"/>
          <w:lang w:val="zh-CN"/>
        </w:rPr>
        <w:tab/>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widowControl/>
        <w:spacing w:line="576" w:lineRule="exact"/>
        <w:jc w:val="left"/>
        <w:rPr>
          <w:rFonts w:ascii="仿宋" w:hAnsi="仿宋" w:eastAsia="仿宋" w:cs="仿宋_GB2312"/>
          <w:sz w:val="32"/>
          <w:szCs w:val="32"/>
        </w:rPr>
      </w:pPr>
      <w:r>
        <w:rPr>
          <w:rFonts w:hint="eastAsia" w:ascii="仿宋" w:hAnsi="仿宋" w:eastAsia="仿宋" w:cs="仿宋_GB2312"/>
          <w:sz w:val="32"/>
          <w:szCs w:val="32"/>
        </w:rPr>
        <w:t xml:space="preserve">     增加人员的配备。</w:t>
      </w:r>
    </w:p>
    <w:p>
      <w:pPr>
        <w:widowControl/>
        <w:adjustRightInd w:val="0"/>
        <w:snapToGrid w:val="0"/>
        <w:spacing w:line="580" w:lineRule="exact"/>
        <w:contextualSpacing/>
        <w:jc w:val="left"/>
        <w:rPr>
          <w:rFonts w:ascii="仿宋_GB2312" w:hAnsi="宋体" w:eastAsia="仿宋_GB2312" w:cs="宋体"/>
          <w:kern w:val="0"/>
          <w:sz w:val="32"/>
          <w:szCs w:val="32"/>
          <w:shd w:val="clear" w:color="auto" w:fill="FFFFFF"/>
          <w:lang w:val="zh-CN"/>
        </w:rPr>
      </w:pPr>
    </w:p>
    <w:p>
      <w:pPr>
        <w:pStyle w:val="2"/>
        <w:rPr>
          <w:rFonts w:ascii="仿宋_GB2312" w:hAnsi="宋体" w:eastAsia="仿宋_GB2312" w:cs="宋体"/>
          <w:kern w:val="0"/>
          <w:sz w:val="32"/>
          <w:szCs w:val="32"/>
          <w:shd w:val="clear" w:color="auto" w:fill="FFFFFF"/>
          <w:lang w:val="zh-CN"/>
        </w:rPr>
      </w:pPr>
    </w:p>
    <w:tbl>
      <w:tblPr>
        <w:tblStyle w:val="14"/>
        <w:tblpPr w:leftFromText="180" w:rightFromText="180" w:vertAnchor="text" w:horzAnchor="page" w:tblpX="1364" w:tblpY="816"/>
        <w:tblOverlap w:val="never"/>
        <w:tblW w:w="9811" w:type="dxa"/>
        <w:tblInd w:w="0" w:type="dxa"/>
        <w:tblLayout w:type="fixed"/>
        <w:tblCellMar>
          <w:top w:w="0" w:type="dxa"/>
          <w:left w:w="108" w:type="dxa"/>
          <w:bottom w:w="0" w:type="dxa"/>
          <w:right w:w="108" w:type="dxa"/>
        </w:tblCellMar>
      </w:tblPr>
      <w:tblGrid>
        <w:gridCol w:w="1976"/>
        <w:gridCol w:w="1142"/>
        <w:gridCol w:w="1635"/>
        <w:gridCol w:w="1189"/>
        <w:gridCol w:w="1224"/>
        <w:gridCol w:w="2409"/>
        <w:gridCol w:w="236"/>
      </w:tblGrid>
      <w:tr>
        <w:tblPrEx>
          <w:tblCellMar>
            <w:top w:w="0" w:type="dxa"/>
            <w:left w:w="108" w:type="dxa"/>
            <w:bottom w:w="0" w:type="dxa"/>
            <w:right w:w="108" w:type="dxa"/>
          </w:tblCellMar>
        </w:tblPrEx>
        <w:trPr>
          <w:trHeight w:val="1380" w:hRule="atLeast"/>
        </w:trPr>
        <w:tc>
          <w:tcPr>
            <w:tcW w:w="9575" w:type="dxa"/>
            <w:gridSpan w:val="6"/>
            <w:tcBorders>
              <w:top w:val="nil"/>
              <w:left w:val="nil"/>
              <w:bottom w:val="nil"/>
              <w:right w:val="nil"/>
            </w:tcBorders>
            <w:shd w:val="clear" w:color="auto" w:fill="auto"/>
            <w:vAlign w:val="center"/>
          </w:tcPr>
          <w:p>
            <w:pPr>
              <w:widowControl/>
              <w:textAlignment w:val="center"/>
              <w:rPr>
                <w:rFonts w:hint="eastAsia" w:ascii="宋体" w:hAnsi="宋体" w:cs="宋体"/>
                <w:b/>
                <w:sz w:val="32"/>
                <w:szCs w:val="32"/>
              </w:rPr>
            </w:pPr>
            <w:r>
              <w:rPr>
                <w:rFonts w:hint="eastAsia" w:ascii="宋体" w:hAnsi="宋体" w:cs="宋体"/>
                <w:b/>
                <w:sz w:val="32"/>
                <w:szCs w:val="32"/>
              </w:rPr>
              <w:t>2021年50万元以上（含）特定目标类部门预算项目绩效目标自评</w:t>
            </w:r>
          </w:p>
          <w:p>
            <w:pPr>
              <w:pStyle w:val="2"/>
              <w:jc w:val="center"/>
            </w:pPr>
            <w:r>
              <w:rPr>
                <w:rFonts w:hint="eastAsia" w:ascii="楷体" w:hAnsi="楷体" w:eastAsia="楷体" w:cs="楷体"/>
                <w:sz w:val="32"/>
                <w:szCs w:val="32"/>
              </w:rPr>
              <w:t>社区矫正专项业务经费项目</w:t>
            </w:r>
          </w:p>
        </w:tc>
        <w:tc>
          <w:tcPr>
            <w:tcW w:w="236" w:type="dxa"/>
            <w:tcBorders>
              <w:top w:val="nil"/>
              <w:left w:val="nil"/>
              <w:bottom w:val="nil"/>
              <w:right w:val="nil"/>
            </w:tcBorders>
            <w:shd w:val="clear" w:color="auto" w:fill="auto"/>
            <w:vAlign w:val="center"/>
          </w:tcPr>
          <w:p>
            <w:pPr>
              <w:widowControl/>
              <w:jc w:val="center"/>
              <w:textAlignment w:val="center"/>
              <w:rPr>
                <w:rFonts w:ascii="宋体" w:hAnsi="宋体" w:cs="宋体"/>
                <w:b/>
                <w:kern w:val="0"/>
                <w:sz w:val="32"/>
                <w:szCs w:val="32"/>
                <w:lang w:bidi="ar"/>
              </w:rPr>
            </w:pPr>
          </w:p>
        </w:tc>
      </w:tr>
      <w:tr>
        <w:tblPrEx>
          <w:tblCellMar>
            <w:top w:w="0" w:type="dxa"/>
            <w:left w:w="108" w:type="dxa"/>
            <w:bottom w:w="0" w:type="dxa"/>
            <w:right w:w="108" w:type="dxa"/>
          </w:tblCellMar>
        </w:tblPrEx>
        <w:trPr>
          <w:gridAfter w:val="1"/>
          <w:wAfter w:w="236" w:type="dxa"/>
          <w:trHeight w:val="254" w:hRule="atLeast"/>
        </w:trPr>
        <w:tc>
          <w:tcPr>
            <w:tcW w:w="31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ascii="宋体" w:hAnsi="宋体" w:cs="宋体"/>
                <w:sz w:val="24"/>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实施单位</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苍溪县司法局</w:t>
            </w:r>
          </w:p>
        </w:tc>
      </w:tr>
      <w:tr>
        <w:tblPrEx>
          <w:tblCellMar>
            <w:top w:w="0" w:type="dxa"/>
            <w:left w:w="108" w:type="dxa"/>
            <w:bottom w:w="0" w:type="dxa"/>
            <w:right w:w="108" w:type="dxa"/>
          </w:tblCellMar>
        </w:tblPrEx>
        <w:trPr>
          <w:gridAfter w:val="1"/>
          <w:wAfter w:w="236" w:type="dxa"/>
          <w:trHeight w:val="341" w:hRule="atLeast"/>
        </w:trPr>
        <w:tc>
          <w:tcPr>
            <w:tcW w:w="311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宋体" w:hAnsi="宋体" w:eastAsia="宋体" w:cs="宋体"/>
                <w:kern w:val="0"/>
                <w:sz w:val="24"/>
                <w:lang w:eastAsia="zh-CN" w:bidi="ar"/>
              </w:rPr>
            </w:pPr>
            <w:r>
              <w:rPr>
                <w:rFonts w:hint="eastAsia" w:ascii="宋体" w:hAnsi="宋体" w:cs="宋体"/>
                <w:kern w:val="0"/>
                <w:sz w:val="24"/>
                <w:lang w:bidi="ar"/>
              </w:rPr>
              <w:t>项目预算</w:t>
            </w:r>
          </w:p>
          <w:p>
            <w:pPr>
              <w:widowControl/>
              <w:spacing w:line="320" w:lineRule="exact"/>
              <w:jc w:val="center"/>
              <w:textAlignment w:val="center"/>
              <w:rPr>
                <w:rFonts w:hint="eastAsia" w:ascii="宋体" w:hAnsi="宋体" w:eastAsia="宋体" w:cs="宋体"/>
                <w:kern w:val="0"/>
                <w:sz w:val="24"/>
                <w:lang w:eastAsia="zh-CN" w:bidi="ar"/>
              </w:rPr>
            </w:pPr>
            <w:r>
              <w:rPr>
                <w:rFonts w:hint="eastAsia" w:ascii="宋体" w:hAnsi="宋体" w:cs="宋体"/>
                <w:kern w:val="0"/>
                <w:sz w:val="24"/>
                <w:lang w:bidi="ar"/>
              </w:rPr>
              <w:t>执行情况</w:t>
            </w:r>
          </w:p>
          <w:p>
            <w:pPr>
              <w:widowControl/>
              <w:spacing w:line="320" w:lineRule="exact"/>
              <w:jc w:val="center"/>
              <w:textAlignment w:val="center"/>
              <w:rPr>
                <w:rFonts w:ascii="宋体" w:hAnsi="宋体" w:cs="宋体"/>
                <w:sz w:val="24"/>
              </w:rPr>
            </w:pPr>
            <w:r>
              <w:rPr>
                <w:rFonts w:hint="eastAsia" w:ascii="宋体" w:hAnsi="宋体" w:cs="宋体"/>
                <w:kern w:val="0"/>
                <w:sz w:val="24"/>
                <w:lang w:bidi="ar"/>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37</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 xml:space="preserve"> 执行数：</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37</w:t>
            </w:r>
          </w:p>
        </w:tc>
      </w:tr>
      <w:tr>
        <w:tblPrEx>
          <w:tblCellMar>
            <w:top w:w="0" w:type="dxa"/>
            <w:left w:w="108" w:type="dxa"/>
            <w:bottom w:w="0" w:type="dxa"/>
            <w:right w:w="108" w:type="dxa"/>
          </w:tblCellMar>
        </w:tblPrEx>
        <w:trPr>
          <w:gridAfter w:val="1"/>
          <w:wAfter w:w="236" w:type="dxa"/>
          <w:trHeight w:val="555" w:hRule="atLeast"/>
        </w:trPr>
        <w:tc>
          <w:tcPr>
            <w:tcW w:w="311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lang w:bidi="ar"/>
              </w:rPr>
            </w:pPr>
            <w:r>
              <w:rPr>
                <w:rFonts w:hint="eastAsia" w:ascii="宋体" w:hAnsi="宋体" w:cs="宋体"/>
                <w:kern w:val="0"/>
                <w:sz w:val="24"/>
                <w:lang w:bidi="ar"/>
              </w:rPr>
              <w:t>其中：</w:t>
            </w:r>
          </w:p>
          <w:p>
            <w:pPr>
              <w:widowControl/>
              <w:spacing w:line="320" w:lineRule="exact"/>
              <w:jc w:val="left"/>
              <w:textAlignment w:val="center"/>
              <w:rPr>
                <w:rFonts w:ascii="宋体" w:hAnsi="宋体" w:cs="宋体"/>
                <w:sz w:val="24"/>
              </w:rPr>
            </w:pPr>
            <w:r>
              <w:rPr>
                <w:rFonts w:hint="eastAsia" w:ascii="宋体" w:hAnsi="宋体" w:cs="宋体"/>
                <w:kern w:val="0"/>
                <w:sz w:val="24"/>
                <w:lang w:bidi="ar"/>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37</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lang w:bidi="ar"/>
              </w:rPr>
            </w:pPr>
            <w:r>
              <w:rPr>
                <w:rFonts w:hint="eastAsia" w:ascii="宋体" w:hAnsi="宋体" w:cs="宋体"/>
                <w:kern w:val="0"/>
                <w:sz w:val="24"/>
                <w:lang w:bidi="ar"/>
              </w:rPr>
              <w:t>其中：</w:t>
            </w:r>
          </w:p>
          <w:p>
            <w:pPr>
              <w:widowControl/>
              <w:spacing w:line="320" w:lineRule="exact"/>
              <w:jc w:val="left"/>
              <w:textAlignment w:val="center"/>
              <w:rPr>
                <w:rFonts w:ascii="宋体" w:hAnsi="宋体" w:cs="宋体"/>
                <w:sz w:val="24"/>
              </w:rPr>
            </w:pPr>
            <w:r>
              <w:rPr>
                <w:rFonts w:hint="eastAsia" w:ascii="宋体" w:hAnsi="宋体" w:cs="宋体"/>
                <w:kern w:val="0"/>
                <w:sz w:val="24"/>
                <w:lang w:bidi="ar"/>
              </w:rPr>
              <w:t>财政拨款</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37</w:t>
            </w:r>
          </w:p>
        </w:tc>
      </w:tr>
      <w:tr>
        <w:tblPrEx>
          <w:tblCellMar>
            <w:top w:w="0" w:type="dxa"/>
            <w:left w:w="108" w:type="dxa"/>
            <w:bottom w:w="0" w:type="dxa"/>
            <w:right w:w="108" w:type="dxa"/>
          </w:tblCellMar>
        </w:tblPrEx>
        <w:trPr>
          <w:gridAfter w:val="1"/>
          <w:wAfter w:w="236" w:type="dxa"/>
          <w:trHeight w:val="341" w:hRule="atLeast"/>
        </w:trPr>
        <w:tc>
          <w:tcPr>
            <w:tcW w:w="311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其他资金</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p>
        </w:tc>
      </w:tr>
      <w:tr>
        <w:tblPrEx>
          <w:tblCellMar>
            <w:top w:w="0" w:type="dxa"/>
            <w:left w:w="108" w:type="dxa"/>
            <w:bottom w:w="0" w:type="dxa"/>
            <w:right w:w="108" w:type="dxa"/>
          </w:tblCellMar>
        </w:tblPrEx>
        <w:trPr>
          <w:gridAfter w:val="1"/>
          <w:wAfter w:w="236" w:type="dxa"/>
          <w:trHeight w:val="217" w:hRule="atLeast"/>
        </w:trPr>
        <w:tc>
          <w:tcPr>
            <w:tcW w:w="19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kern w:val="0"/>
                <w:sz w:val="24"/>
                <w:lang w:bidi="ar"/>
              </w:rPr>
            </w:pPr>
            <w:r>
              <w:rPr>
                <w:rFonts w:hint="eastAsia" w:ascii="宋体" w:hAnsi="宋体" w:cs="宋体"/>
                <w:kern w:val="0"/>
                <w:sz w:val="24"/>
                <w:lang w:bidi="ar"/>
              </w:rPr>
              <w:t>年度总体目标</w:t>
            </w:r>
          </w:p>
          <w:p>
            <w:pPr>
              <w:widowControl/>
              <w:spacing w:line="320" w:lineRule="exact"/>
              <w:jc w:val="center"/>
              <w:textAlignment w:val="center"/>
              <w:rPr>
                <w:rFonts w:ascii="宋体" w:hAnsi="宋体" w:cs="宋体"/>
                <w:sz w:val="24"/>
              </w:rPr>
            </w:pPr>
            <w:r>
              <w:rPr>
                <w:rFonts w:hint="eastAsia" w:ascii="宋体" w:hAnsi="宋体" w:cs="宋体"/>
                <w:kern w:val="0"/>
                <w:sz w:val="24"/>
                <w:lang w:bidi="ar"/>
              </w:rPr>
              <w:t>完成情况</w:t>
            </w: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预期目标</w:t>
            </w:r>
          </w:p>
        </w:tc>
        <w:tc>
          <w:tcPr>
            <w:tcW w:w="36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目标实际完成情况</w:t>
            </w:r>
          </w:p>
        </w:tc>
      </w:tr>
      <w:tr>
        <w:tblPrEx>
          <w:tblCellMar>
            <w:top w:w="0" w:type="dxa"/>
            <w:left w:w="108" w:type="dxa"/>
            <w:bottom w:w="0" w:type="dxa"/>
            <w:right w:w="108" w:type="dxa"/>
          </w:tblCellMar>
        </w:tblPrEx>
        <w:trPr>
          <w:gridAfter w:val="1"/>
          <w:wAfter w:w="236" w:type="dxa"/>
          <w:trHeight w:val="797" w:hRule="atLeast"/>
        </w:trPr>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18"/>
                <w:szCs w:val="18"/>
              </w:rPr>
            </w:pPr>
            <w:r>
              <w:rPr>
                <w:rFonts w:hint="eastAsia" w:ascii="宋体" w:cs="宋体"/>
                <w:sz w:val="18"/>
                <w:szCs w:val="18"/>
              </w:rPr>
              <w:t>负责社区矫正法律、法规、规章和政策的执行工作。监督管理对社区矫正对象的刑罚执行、管理教育和帮扶工作。指导社会力量和志愿者参与社区矫正工作。</w:t>
            </w:r>
          </w:p>
        </w:tc>
        <w:tc>
          <w:tcPr>
            <w:tcW w:w="3633" w:type="dxa"/>
            <w:gridSpan w:val="2"/>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hAnsi="宋体" w:cs="宋体"/>
                <w:sz w:val="18"/>
                <w:szCs w:val="18"/>
              </w:rPr>
            </w:pPr>
            <w:r>
              <w:rPr>
                <w:rFonts w:hint="eastAsia" w:ascii="宋体" w:cs="宋体"/>
                <w:sz w:val="18"/>
                <w:szCs w:val="18"/>
              </w:rPr>
              <w:t>负责社区矫正法律、法规、规章和政策的执行工作。监督管理对社区矫正对象的刑罚执行、管理教育和帮扶工作。指导社会力量和志愿者参与社区矫正工作。</w:t>
            </w:r>
          </w:p>
        </w:tc>
      </w:tr>
      <w:tr>
        <w:tblPrEx>
          <w:tblCellMar>
            <w:top w:w="0" w:type="dxa"/>
            <w:left w:w="108" w:type="dxa"/>
            <w:bottom w:w="0" w:type="dxa"/>
            <w:right w:w="108" w:type="dxa"/>
          </w:tblCellMar>
        </w:tblPrEx>
        <w:trPr>
          <w:gridAfter w:val="1"/>
          <w:wAfter w:w="236" w:type="dxa"/>
          <w:trHeight w:val="693" w:hRule="atLeast"/>
        </w:trPr>
        <w:tc>
          <w:tcPr>
            <w:tcW w:w="1976" w:type="dxa"/>
            <w:vMerge w:val="restart"/>
            <w:tcBorders>
              <w:top w:val="single" w:color="000000" w:sz="4" w:space="0"/>
              <w:left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年度绩效指标完成情况</w:t>
            </w:r>
          </w:p>
        </w:tc>
        <w:tc>
          <w:tcPr>
            <w:tcW w:w="1142" w:type="dxa"/>
            <w:tcBorders>
              <w:top w:val="single" w:color="000000" w:sz="4" w:space="0"/>
              <w:left w:val="nil"/>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一级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二级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三级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预期指标值</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实际完成指标值</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完成</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数量指标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心理矫正（人次）</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每年≥80</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每年≥80</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质量指标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社区服刑人员重新就业率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≧90%</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≧90%</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时效指标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按时完成评估、人员接收、报到</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按法律规定时效</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按法律规定时效</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成本指标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项目专项经费控制数</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ascii="宋体" w:hAnsi="宋体" w:cs="宋体"/>
                <w:kern w:val="0"/>
                <w:sz w:val="18"/>
                <w:szCs w:val="18"/>
                <w:lang w:bidi="ar"/>
              </w:rPr>
              <w:t>≤</w:t>
            </w:r>
            <w:r>
              <w:rPr>
                <w:rFonts w:hint="eastAsia" w:ascii="宋体" w:hAnsi="宋体" w:cs="宋体"/>
                <w:kern w:val="0"/>
                <w:sz w:val="18"/>
                <w:szCs w:val="18"/>
                <w:lang w:bidi="ar"/>
              </w:rPr>
              <w:t>37万元</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37万元</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hint="eastAsia" w:ascii="仿宋_GB2312" w:hAnsi="仿宋_GB2312" w:eastAsia="仿宋_GB2312" w:cs="仿宋_GB2312"/>
                <w:kern w:val="0"/>
                <w:sz w:val="28"/>
                <w:szCs w:val="28"/>
                <w:lang w:eastAsia="zh-CN" w:bidi="ar"/>
              </w:rPr>
            </w:pPr>
            <w:r>
              <w:rPr>
                <w:rFonts w:hint="eastAsia" w:ascii="仿宋_GB2312" w:hAnsi="仿宋_GB2312" w:eastAsia="仿宋_GB2312" w:cs="仿宋_GB2312"/>
                <w:kern w:val="0"/>
                <w:sz w:val="28"/>
                <w:szCs w:val="28"/>
                <w:lang w:bidi="ar"/>
              </w:rPr>
              <w:t>效益</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社会效益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增强其法制观念，依法依规开展集中教育</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集中教育每月1次</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集中教育每月1次</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ind w:left="463" w:leftChars="87" w:hanging="280" w:hangingChars="100"/>
              <w:jc w:val="left"/>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生态效益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提高矫治水平，预防和减少重新违法犯罪</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cs="宋体"/>
                <w:sz w:val="18"/>
                <w:szCs w:val="18"/>
              </w:rPr>
            </w:pPr>
            <w:r>
              <w:rPr>
                <w:rFonts w:hint="eastAsia" w:ascii="宋体" w:hAnsi="宋体" w:cs="宋体"/>
                <w:kern w:val="0"/>
                <w:sz w:val="18"/>
                <w:szCs w:val="18"/>
                <w:lang w:bidi="ar"/>
              </w:rPr>
              <w:t>≤1%</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cs="宋体"/>
                <w:sz w:val="18"/>
                <w:szCs w:val="18"/>
              </w:rPr>
            </w:pPr>
            <w:r>
              <w:rPr>
                <w:rFonts w:hint="eastAsia" w:ascii="宋体" w:hAnsi="宋体" w:cs="宋体"/>
                <w:kern w:val="0"/>
                <w:sz w:val="18"/>
                <w:szCs w:val="18"/>
                <w:lang w:bidi="ar"/>
              </w:rPr>
              <w:t>≤1%</w:t>
            </w:r>
          </w:p>
        </w:tc>
      </w:tr>
      <w:tr>
        <w:tblPrEx>
          <w:tblCellMar>
            <w:top w:w="0" w:type="dxa"/>
            <w:left w:w="108" w:type="dxa"/>
            <w:bottom w:w="0" w:type="dxa"/>
            <w:right w:w="108" w:type="dxa"/>
          </w:tblCellMar>
        </w:tblPrEx>
        <w:trPr>
          <w:gridAfter w:val="1"/>
          <w:wAfter w:w="236" w:type="dxa"/>
          <w:trHeight w:val="577"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可持续影响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社区矫正人员重新违法犯罪率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cs="宋体"/>
                <w:sz w:val="18"/>
                <w:szCs w:val="18"/>
              </w:rPr>
            </w:pPr>
            <w:r>
              <w:rPr>
                <w:rFonts w:hint="eastAsia" w:ascii="宋体" w:hAnsi="宋体" w:cs="宋体"/>
                <w:kern w:val="0"/>
                <w:sz w:val="18"/>
                <w:szCs w:val="18"/>
                <w:lang w:bidi="ar"/>
              </w:rPr>
              <w:t>≤1%</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cs="宋体"/>
                <w:sz w:val="18"/>
                <w:szCs w:val="18"/>
              </w:rPr>
            </w:pPr>
            <w:r>
              <w:rPr>
                <w:rFonts w:hint="eastAsia" w:ascii="宋体" w:hAnsi="宋体" w:cs="宋体"/>
                <w:kern w:val="0"/>
                <w:sz w:val="18"/>
                <w:szCs w:val="18"/>
                <w:lang w:bidi="ar"/>
              </w:rPr>
              <w:t>≤1%</w:t>
            </w:r>
          </w:p>
        </w:tc>
      </w:tr>
      <w:tr>
        <w:tblPrEx>
          <w:tblCellMar>
            <w:top w:w="0" w:type="dxa"/>
            <w:left w:w="108" w:type="dxa"/>
            <w:bottom w:w="0" w:type="dxa"/>
            <w:right w:w="108" w:type="dxa"/>
          </w:tblCellMar>
        </w:tblPrEx>
        <w:trPr>
          <w:gridAfter w:val="1"/>
          <w:wAfter w:w="236" w:type="dxa"/>
          <w:trHeight w:val="785" w:hRule="atLeast"/>
        </w:trPr>
        <w:tc>
          <w:tcPr>
            <w:tcW w:w="1976" w:type="dxa"/>
            <w:vMerge w:val="continue"/>
            <w:tcBorders>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满意度</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满意度</w:t>
            </w:r>
          </w:p>
          <w:p>
            <w:pPr>
              <w:widowControl/>
              <w:snapToGrid w:val="0"/>
              <w:spacing w:line="320" w:lineRule="atLeast"/>
              <w:jc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hAnsi="宋体" w:cs="宋体"/>
                <w:kern w:val="0"/>
                <w:sz w:val="18"/>
                <w:szCs w:val="18"/>
                <w:lang w:bidi="ar"/>
              </w:rPr>
            </w:pPr>
            <w:r>
              <w:rPr>
                <w:rFonts w:hint="eastAsia" w:ascii="仿宋_GB2312" w:hAnsi="仿宋_GB2312" w:eastAsia="仿宋_GB2312" w:cs="仿宋_GB2312"/>
                <w:sz w:val="28"/>
                <w:szCs w:val="28"/>
                <w:lang w:val="en-US" w:eastAsia="zh-CN"/>
              </w:rPr>
              <w:t>群众满</w:t>
            </w:r>
            <w:r>
              <w:rPr>
                <w:rFonts w:hint="eastAsia" w:ascii="仿宋_GB2312" w:hAnsi="仿宋_GB2312" w:eastAsia="仿宋_GB2312" w:cs="仿宋_GB2312"/>
                <w:kern w:val="0"/>
                <w:sz w:val="28"/>
                <w:szCs w:val="28"/>
                <w:lang w:val="en-US" w:eastAsia="zh-CN" w:bidi="ar"/>
              </w:rPr>
              <w:t>意度</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rPr>
                <w:rFonts w:ascii="宋体" w:cs="宋体"/>
                <w:sz w:val="18"/>
                <w:szCs w:val="18"/>
              </w:rPr>
            </w:pPr>
            <w:r>
              <w:rPr>
                <w:rFonts w:hint="eastAsia" w:ascii="宋体" w:hAnsi="宋体"/>
                <w:kern w:val="0"/>
                <w:sz w:val="18"/>
                <w:szCs w:val="18"/>
              </w:rPr>
              <w:t>≥</w:t>
            </w:r>
            <w:r>
              <w:rPr>
                <w:rFonts w:hint="eastAsia" w:ascii="宋体" w:hAnsi="宋体"/>
                <w:kern w:val="0"/>
                <w:sz w:val="18"/>
                <w:szCs w:val="18"/>
                <w:lang w:val="en-US" w:eastAsia="zh-CN"/>
              </w:rPr>
              <w:t>90%</w:t>
            </w:r>
          </w:p>
        </w:tc>
        <w:tc>
          <w:tcPr>
            <w:tcW w:w="24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宋体" w:cs="宋体"/>
                <w:sz w:val="18"/>
                <w:szCs w:val="18"/>
              </w:rPr>
            </w:pPr>
            <w:r>
              <w:rPr>
                <w:rFonts w:hint="eastAsia" w:ascii="宋体" w:hAnsi="宋体"/>
                <w:kern w:val="0"/>
                <w:sz w:val="18"/>
                <w:szCs w:val="18"/>
              </w:rPr>
              <w:t>≥</w:t>
            </w:r>
            <w:r>
              <w:rPr>
                <w:rFonts w:hint="eastAsia" w:ascii="宋体" w:hAnsi="宋体"/>
                <w:kern w:val="0"/>
                <w:sz w:val="18"/>
                <w:szCs w:val="18"/>
                <w:lang w:val="en-US" w:eastAsia="zh-CN"/>
              </w:rPr>
              <w:t>90%</w:t>
            </w:r>
          </w:p>
        </w:tc>
      </w:tr>
    </w:tbl>
    <w:p>
      <w:pPr>
        <w:widowControl/>
        <w:adjustRightInd w:val="0"/>
        <w:snapToGrid w:val="0"/>
        <w:spacing w:line="580" w:lineRule="exact"/>
        <w:contextualSpacing/>
        <w:jc w:val="left"/>
        <w:rPr>
          <w:rFonts w:ascii="仿宋_GB2312" w:hAnsi="宋体" w:eastAsia="仿宋_GB2312" w:cs="宋体"/>
          <w:kern w:val="0"/>
          <w:sz w:val="32"/>
          <w:szCs w:val="32"/>
          <w:shd w:val="clear" w:color="auto" w:fill="FFFFFF"/>
          <w:lang w:val="zh-CN"/>
        </w:rPr>
      </w:pPr>
      <w:r>
        <w:rPr>
          <w:rFonts w:hint="eastAsia" w:ascii="仿宋_GB2312" w:hAnsi="宋体" w:eastAsia="仿宋_GB2312" w:cs="宋体"/>
          <w:kern w:val="0"/>
          <w:sz w:val="32"/>
          <w:szCs w:val="32"/>
          <w:shd w:val="clear" w:color="auto" w:fill="FFFFFF"/>
          <w:lang w:val="zh-CN"/>
        </w:rPr>
        <w:t>附表：</w:t>
      </w:r>
    </w:p>
    <w:p>
      <w:pPr>
        <w:spacing w:line="580" w:lineRule="exact"/>
        <w:jc w:val="center"/>
        <w:rPr>
          <w:rFonts w:ascii="方正小标宋简体" w:hAnsi="方正小标宋简体" w:eastAsia="方正小标宋简体" w:cs="方正小标宋简体"/>
          <w:sz w:val="44"/>
          <w:szCs w:val="44"/>
        </w:rPr>
      </w:pPr>
      <w:bookmarkStart w:id="59" w:name="_Toc15396618"/>
      <w:r>
        <w:rPr>
          <w:rFonts w:hint="eastAsia" w:ascii="方正小标宋简体" w:hAnsi="方正小标宋简体" w:eastAsia="方正小标宋简体" w:cs="方正小标宋简体"/>
          <w:sz w:val="40"/>
          <w:szCs w:val="40"/>
        </w:rPr>
        <w:t>2021年</w:t>
      </w:r>
      <w:r>
        <w:rPr>
          <w:rFonts w:hint="eastAsia" w:ascii="方正小标宋简体" w:hAnsi="方正小标宋简体" w:eastAsia="方正小标宋简体" w:cs="方正小标宋简体"/>
          <w:sz w:val="40"/>
          <w:szCs w:val="40"/>
          <w:lang w:val="en-US" w:eastAsia="zh-CN"/>
        </w:rPr>
        <w:t>度</w:t>
      </w:r>
      <w:r>
        <w:rPr>
          <w:rFonts w:hint="eastAsia" w:ascii="方正小标宋简体" w:hAnsi="方正小标宋简体" w:eastAsia="方正小标宋简体" w:cs="方正小标宋简体"/>
          <w:sz w:val="40"/>
          <w:szCs w:val="40"/>
          <w:lang w:val="zh-CN"/>
        </w:rPr>
        <w:t>专项预算项目支出绩效自评报告</w:t>
      </w:r>
    </w:p>
    <w:p>
      <w:pPr>
        <w:spacing w:line="580" w:lineRule="exact"/>
        <w:jc w:val="center"/>
        <w:rPr>
          <w:rFonts w:ascii="楷体" w:hAnsi="楷体" w:eastAsia="楷体" w:cs="楷体"/>
          <w:sz w:val="32"/>
          <w:szCs w:val="32"/>
        </w:rPr>
      </w:pPr>
      <w:r>
        <w:rPr>
          <w:rFonts w:hint="eastAsia" w:ascii="楷体" w:hAnsi="楷体" w:eastAsia="楷体" w:cs="楷体"/>
          <w:sz w:val="32"/>
          <w:szCs w:val="32"/>
        </w:rPr>
        <w:t>（其他司法支出）</w:t>
      </w:r>
    </w:p>
    <w:p>
      <w:pPr>
        <w:adjustRightInd w:val="0"/>
        <w:snapToGrid w:val="0"/>
        <w:spacing w:line="576"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（一）项目基本情况</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．说明项目主管部门（单位）在该项目管理中的职能</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其他司法业务项目包括人民调解、法治政府、执法监督、扶贫帮扶、中央转移支付业务经费、中央转移支付装备经费等工作。</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．项目立项、资金申报的依据</w:t>
      </w:r>
    </w:p>
    <w:p>
      <w:pPr>
        <w:adjustRightInd w:val="0"/>
        <w:snapToGrid w:val="0"/>
        <w:spacing w:line="576" w:lineRule="exact"/>
        <w:ind w:firstLine="720"/>
        <w:rPr>
          <w:rFonts w:ascii="仿宋_GB2312" w:hAnsi="宋体" w:eastAsia="仿宋_GB2312"/>
          <w:sz w:val="32"/>
          <w:szCs w:val="32"/>
          <w:lang w:val="zh-CN"/>
        </w:rPr>
      </w:pPr>
      <w:r>
        <w:rPr>
          <w:rFonts w:hint="eastAsia" w:ascii="仿宋_GB2312" w:hAnsi="宋体" w:eastAsia="仿宋_GB2312"/>
          <w:sz w:val="32"/>
          <w:szCs w:val="32"/>
        </w:rPr>
        <w:t>其他司法</w:t>
      </w:r>
      <w:r>
        <w:rPr>
          <w:rFonts w:hint="eastAsia" w:ascii="仿宋_GB2312" w:hAnsi="宋体" w:eastAsia="仿宋_GB2312"/>
          <w:sz w:val="32"/>
          <w:szCs w:val="32"/>
          <w:lang w:val="zh-CN"/>
        </w:rPr>
        <w:t>业务项目</w:t>
      </w:r>
      <w:r>
        <w:rPr>
          <w:rFonts w:hint="eastAsia" w:ascii="仿宋_GB2312" w:hAnsi="宋体" w:eastAsia="仿宋_GB2312"/>
          <w:sz w:val="32"/>
          <w:szCs w:val="32"/>
        </w:rPr>
        <w:t>2021</w:t>
      </w:r>
      <w:r>
        <w:rPr>
          <w:rFonts w:hint="eastAsia" w:ascii="仿宋_GB2312" w:hAnsi="宋体" w:eastAsia="仿宋_GB2312"/>
          <w:sz w:val="32"/>
          <w:szCs w:val="32"/>
          <w:lang w:val="zh-CN"/>
        </w:rPr>
        <w:t>年预算数为</w:t>
      </w:r>
      <w:r>
        <w:rPr>
          <w:rFonts w:hint="eastAsia" w:ascii="仿宋_GB2312" w:hAnsi="宋体" w:eastAsia="仿宋_GB2312"/>
          <w:sz w:val="32"/>
          <w:szCs w:val="32"/>
        </w:rPr>
        <w:t>162.72</w:t>
      </w:r>
      <w:r>
        <w:rPr>
          <w:rFonts w:hint="eastAsia" w:ascii="仿宋_GB2312" w:hAnsi="宋体" w:eastAsia="仿宋_GB2312"/>
          <w:sz w:val="32"/>
          <w:szCs w:val="32"/>
          <w:lang w:val="zh-CN"/>
        </w:rPr>
        <w:t>万元，主要</w:t>
      </w:r>
      <w:r>
        <w:rPr>
          <w:rFonts w:hint="eastAsia" w:ascii="仿宋_GB2312" w:hAnsi="宋体" w:eastAsia="仿宋_GB2312"/>
          <w:sz w:val="32"/>
          <w:szCs w:val="32"/>
        </w:rPr>
        <w:t>用于</w:t>
      </w:r>
      <w:r>
        <w:rPr>
          <w:rFonts w:hint="eastAsia" w:ascii="仿宋_GB2312" w:hAnsi="仿宋_GB2312" w:eastAsia="仿宋_GB2312" w:cs="仿宋_GB2312"/>
          <w:sz w:val="32"/>
          <w:szCs w:val="32"/>
        </w:rPr>
        <w:t>人民调解、法治政府、执法监督、扶贫帮扶、中央转移支付业务经费、中央转移支付装备经费。</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．资金管理办法制定情况，资金支持具体项目的条件、范围与支持方式概况</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项目资金使用范围：主要用于</w:t>
      </w:r>
      <w:r>
        <w:rPr>
          <w:rFonts w:hint="eastAsia" w:ascii="仿宋_GB2312" w:hAnsi="仿宋_GB2312" w:eastAsia="仿宋_GB2312" w:cs="仿宋_GB2312"/>
          <w:sz w:val="32"/>
          <w:szCs w:val="32"/>
        </w:rPr>
        <w:t>人民调解、法治政府、执法监督、扶贫帮扶、中央转移支付业务经费、中央转移支付装备经费。</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4</w:t>
      </w:r>
      <w:r>
        <w:rPr>
          <w:rFonts w:hint="eastAsia" w:ascii="仿宋_GB2312" w:hAnsi="宋体" w:eastAsia="仿宋_GB2312"/>
          <w:sz w:val="32"/>
          <w:szCs w:val="32"/>
          <w:lang w:val="zh-CN"/>
        </w:rPr>
        <w:t>．资金分配的原则及考虑因素</w:t>
      </w:r>
    </w:p>
    <w:p>
      <w:pPr>
        <w:adjustRightInd w:val="0"/>
        <w:snapToGrid w:val="0"/>
        <w:spacing w:line="576" w:lineRule="exact"/>
        <w:ind w:firstLine="640" w:firstLineChars="200"/>
        <w:rPr>
          <w:rFonts w:ascii="楷体_GB2312" w:hAnsi="宋体" w:eastAsia="楷体_GB2312"/>
          <w:b/>
          <w:sz w:val="32"/>
          <w:szCs w:val="32"/>
          <w:lang w:val="zh-CN"/>
        </w:rPr>
      </w:pPr>
      <w:r>
        <w:rPr>
          <w:rFonts w:hint="eastAsia" w:ascii="仿宋_GB2312" w:hAnsi="宋体" w:eastAsia="仿宋_GB2312"/>
          <w:sz w:val="32"/>
          <w:szCs w:val="32"/>
          <w:lang w:val="zh-CN"/>
        </w:rPr>
        <w:t>科学合理安排资金预算支出，结合有限的项目资金，实现资金落到实处，强化执行过程监督，保障项目运行。</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（二）项目绩效目标</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1</w:t>
      </w:r>
      <w:r>
        <w:rPr>
          <w:rFonts w:hint="eastAsia" w:ascii="仿宋_GB2312" w:hAnsi="宋体" w:eastAsia="仿宋_GB2312"/>
          <w:sz w:val="32"/>
          <w:szCs w:val="32"/>
          <w:lang w:val="zh-CN"/>
        </w:rPr>
        <w:t>．项目主要内容</w:t>
      </w:r>
    </w:p>
    <w:p>
      <w:pPr>
        <w:adjustRightInd w:val="0"/>
        <w:snapToGrid w:val="0"/>
        <w:spacing w:line="576" w:lineRule="exact"/>
        <w:ind w:firstLine="720"/>
        <w:rPr>
          <w:rFonts w:ascii="仿宋_GB2312" w:hAnsi="仿宋_GB2312" w:eastAsia="仿宋_GB2312" w:cs="仿宋_GB2312"/>
          <w:sz w:val="32"/>
          <w:szCs w:val="32"/>
        </w:rPr>
      </w:pPr>
      <w:r>
        <w:rPr>
          <w:rFonts w:hint="eastAsia" w:ascii="仿宋_GB2312" w:hAnsi="仿宋_GB2312" w:eastAsia="仿宋_GB2312" w:cs="仿宋_GB2312"/>
          <w:sz w:val="32"/>
          <w:szCs w:val="32"/>
        </w:rPr>
        <w:t>对全县行政执法证进行了年检。举办全县行政执法人员培训班四期，培训人次600余人。加大人民调解力量，全县调解矛盾纠纷调解成功率达99%。健全公共法律服务体系建设，重点健全完善县乡村三级公共法律服务体系。</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2</w:t>
      </w:r>
      <w:r>
        <w:rPr>
          <w:rFonts w:hint="eastAsia" w:ascii="仿宋_GB2312" w:hAnsi="宋体" w:eastAsia="仿宋_GB2312"/>
          <w:sz w:val="32"/>
          <w:szCs w:val="32"/>
          <w:lang w:val="zh-CN"/>
        </w:rPr>
        <w:t>．项目应实现的具体绩效目标，包括目标的量化、细化情况以及项目实施进度计划等</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通过各种培训及宣传，普及法律法规，强化老百姓的法律意识。绩效目标在规定时间内均按质按量完成。</w:t>
      </w:r>
    </w:p>
    <w:p>
      <w:pPr>
        <w:adjustRightInd w:val="0"/>
        <w:snapToGrid w:val="0"/>
        <w:spacing w:line="576" w:lineRule="exact"/>
        <w:ind w:firstLine="720"/>
        <w:rPr>
          <w:rFonts w:ascii="仿宋_GB2312" w:hAnsi="宋体" w:eastAsia="仿宋_GB2312"/>
          <w:sz w:val="32"/>
          <w:szCs w:val="32"/>
          <w:lang w:val="zh-CN"/>
        </w:rPr>
      </w:pPr>
      <w:r>
        <w:rPr>
          <w:rFonts w:ascii="仿宋_GB2312" w:hAnsi="宋体" w:eastAsia="仿宋_GB2312"/>
          <w:sz w:val="32"/>
          <w:szCs w:val="32"/>
          <w:lang w:val="zh-CN"/>
        </w:rPr>
        <w:t>3</w:t>
      </w:r>
      <w:r>
        <w:rPr>
          <w:rFonts w:hint="eastAsia" w:ascii="仿宋_GB2312" w:hAnsi="宋体" w:eastAsia="仿宋_GB2312"/>
          <w:sz w:val="32"/>
          <w:szCs w:val="32"/>
          <w:lang w:val="zh-CN"/>
        </w:rPr>
        <w:t>．分析评价申报内容是否与实际相符，申报目标是否合理可行</w:t>
      </w:r>
    </w:p>
    <w:p>
      <w:pPr>
        <w:adjustRightInd w:val="0"/>
        <w:snapToGrid w:val="0"/>
        <w:spacing w:line="576" w:lineRule="exact"/>
        <w:ind w:firstLine="720"/>
        <w:rPr>
          <w:rFonts w:ascii="楷体_GB2312" w:hAnsi="宋体" w:eastAsia="楷体_GB2312"/>
          <w:b/>
          <w:sz w:val="32"/>
          <w:szCs w:val="32"/>
          <w:lang w:val="zh-CN"/>
        </w:rPr>
      </w:pPr>
      <w:r>
        <w:rPr>
          <w:rFonts w:hint="eastAsia" w:ascii="仿宋_GB2312" w:hAnsi="宋体" w:eastAsia="仿宋_GB2312"/>
          <w:sz w:val="32"/>
          <w:szCs w:val="32"/>
          <w:lang w:val="zh-CN"/>
        </w:rPr>
        <w:t>申报内容与实际相符，申报目标合理可行。</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（三）项目自评步骤及方法</w:t>
      </w:r>
    </w:p>
    <w:p>
      <w:pPr>
        <w:adjustRightInd w:val="0"/>
        <w:snapToGrid w:val="0"/>
        <w:spacing w:line="576" w:lineRule="exact"/>
        <w:ind w:firstLine="720"/>
        <w:rPr>
          <w:rFonts w:ascii="黑体" w:hAnsi="宋体" w:eastAsia="黑体"/>
          <w:sz w:val="32"/>
          <w:szCs w:val="32"/>
        </w:rPr>
      </w:pPr>
      <w:r>
        <w:rPr>
          <w:rFonts w:hint="eastAsia" w:ascii="仿宋_GB2312" w:hAnsi="宋体" w:eastAsia="仿宋_GB2312"/>
          <w:sz w:val="32"/>
          <w:szCs w:val="32"/>
          <w:lang w:val="zh-CN"/>
        </w:rPr>
        <w:t>先由业务股室经办人员、财务人员共同草拟自评报告，分别报分管领导、主要领导审阅后再报送。最后进行自评。</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二、项目资金申报及使用情况</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（一）项目资金申报及批复情况</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根据财政安排，年初由本单位财务人员申报，经分管领导和负责人审核后交财政局审核，待财政审核后下发单位实施。</w:t>
      </w:r>
    </w:p>
    <w:p>
      <w:pPr>
        <w:adjustRightInd w:val="0"/>
        <w:snapToGrid w:val="0"/>
        <w:spacing w:line="576" w:lineRule="exact"/>
        <w:ind w:firstLine="720"/>
        <w:rPr>
          <w:rFonts w:ascii="仿宋_GB2312" w:hAnsi="宋体" w:eastAsia="仿宋_GB2312"/>
          <w:sz w:val="32"/>
          <w:szCs w:val="32"/>
          <w:lang w:val="zh-CN"/>
        </w:rPr>
      </w:pPr>
      <w:r>
        <w:rPr>
          <w:rFonts w:hint="eastAsia" w:ascii="楷体_GB2312" w:hAnsi="宋体" w:eastAsia="楷体_GB2312"/>
          <w:b/>
          <w:sz w:val="32"/>
          <w:szCs w:val="32"/>
          <w:lang w:val="zh-CN"/>
        </w:rPr>
        <w:t>（二）资金计划、到位及使用情况</w:t>
      </w:r>
    </w:p>
    <w:p>
      <w:pPr>
        <w:adjustRightInd w:val="0"/>
        <w:snapToGrid w:val="0"/>
        <w:spacing w:line="576" w:lineRule="exact"/>
        <w:ind w:firstLine="720"/>
        <w:rPr>
          <w:rFonts w:ascii="仿宋_GB2312" w:hAnsi="宋体" w:eastAsia="仿宋_GB2312"/>
          <w:sz w:val="32"/>
          <w:szCs w:val="32"/>
          <w:lang w:val="zh-CN"/>
        </w:rPr>
      </w:pPr>
      <w:r>
        <w:rPr>
          <w:rFonts w:ascii="楷体_GB2312" w:hAnsi="宋体" w:eastAsia="楷体_GB2312"/>
          <w:sz w:val="32"/>
          <w:szCs w:val="32"/>
          <w:lang w:val="zh-CN"/>
        </w:rPr>
        <w:t>1</w:t>
      </w:r>
      <w:r>
        <w:rPr>
          <w:rFonts w:hint="eastAsia" w:ascii="楷体_GB2312" w:hAnsi="宋体" w:eastAsia="楷体_GB2312"/>
          <w:sz w:val="32"/>
          <w:szCs w:val="32"/>
          <w:lang w:val="zh-CN"/>
        </w:rPr>
        <w:t>．资金计划</w:t>
      </w:r>
    </w:p>
    <w:p>
      <w:pPr>
        <w:adjustRightInd w:val="0"/>
        <w:snapToGrid w:val="0"/>
        <w:spacing w:line="576" w:lineRule="exact"/>
        <w:ind w:firstLine="720"/>
        <w:rPr>
          <w:rFonts w:ascii="楷体_GB2312" w:hAnsi="宋体" w:eastAsia="楷体_GB2312"/>
          <w:sz w:val="32"/>
          <w:szCs w:val="32"/>
          <w:lang w:val="zh-CN"/>
        </w:rPr>
      </w:pPr>
      <w:r>
        <w:rPr>
          <w:rFonts w:hint="eastAsia" w:ascii="仿宋_GB2312" w:hAnsi="宋体" w:eastAsia="仿宋_GB2312"/>
          <w:sz w:val="32"/>
          <w:szCs w:val="32"/>
          <w:lang w:val="zh-CN"/>
        </w:rPr>
        <w:t>项目资金年初计划为</w:t>
      </w:r>
      <w:r>
        <w:rPr>
          <w:rFonts w:hint="eastAsia" w:ascii="仿宋_GB2312" w:hAnsi="宋体" w:eastAsia="仿宋_GB2312"/>
          <w:sz w:val="32"/>
          <w:szCs w:val="32"/>
        </w:rPr>
        <w:t>162.72</w:t>
      </w:r>
      <w:r>
        <w:rPr>
          <w:rFonts w:hint="eastAsia" w:ascii="仿宋_GB2312" w:hAnsi="宋体" w:eastAsia="仿宋_GB2312"/>
          <w:sz w:val="32"/>
          <w:szCs w:val="32"/>
          <w:lang w:val="zh-CN"/>
        </w:rPr>
        <w:t>万元，</w:t>
      </w:r>
      <w:r>
        <w:rPr>
          <w:rFonts w:hint="eastAsia" w:ascii="仿宋_GB2312" w:hAnsi="宋体" w:eastAsia="仿宋_GB2312"/>
          <w:sz w:val="32"/>
          <w:szCs w:val="32"/>
        </w:rPr>
        <w:t>为财政拨款</w:t>
      </w:r>
      <w:r>
        <w:rPr>
          <w:rFonts w:hint="eastAsia" w:ascii="仿宋_GB2312" w:hAnsi="宋体" w:eastAsia="仿宋_GB2312"/>
          <w:sz w:val="32"/>
          <w:szCs w:val="32"/>
          <w:lang w:val="zh-CN"/>
        </w:rPr>
        <w:t>。</w:t>
      </w:r>
    </w:p>
    <w:p>
      <w:pPr>
        <w:adjustRightInd w:val="0"/>
        <w:snapToGrid w:val="0"/>
        <w:spacing w:line="576" w:lineRule="exact"/>
        <w:ind w:firstLine="640" w:firstLineChars="200"/>
        <w:rPr>
          <w:rFonts w:ascii="楷体_GB2312" w:hAnsi="宋体" w:eastAsia="楷体_GB2312"/>
          <w:sz w:val="32"/>
          <w:szCs w:val="32"/>
          <w:lang w:val="zh-CN"/>
        </w:rPr>
      </w:pPr>
      <w:r>
        <w:rPr>
          <w:rFonts w:hint="eastAsia" w:ascii="楷体_GB2312" w:hAnsi="宋体" w:eastAsia="楷体_GB2312"/>
          <w:sz w:val="32"/>
          <w:szCs w:val="32"/>
        </w:rPr>
        <w:t>2．</w:t>
      </w:r>
      <w:r>
        <w:rPr>
          <w:rFonts w:hint="eastAsia" w:ascii="楷体_GB2312" w:hAnsi="宋体" w:eastAsia="楷体_GB2312"/>
          <w:sz w:val="32"/>
          <w:szCs w:val="32"/>
          <w:lang w:val="zh-CN"/>
        </w:rPr>
        <w:t>资金到位</w:t>
      </w:r>
    </w:p>
    <w:p>
      <w:pPr>
        <w:adjustRightInd w:val="0"/>
        <w:snapToGrid w:val="0"/>
        <w:spacing w:line="576" w:lineRule="exact"/>
        <w:rPr>
          <w:rFonts w:ascii="仿宋_GB2312" w:hAnsi="宋体" w:eastAsia="仿宋_GB2312"/>
          <w:sz w:val="32"/>
          <w:szCs w:val="32"/>
        </w:rPr>
      </w:pPr>
      <w:r>
        <w:rPr>
          <w:rFonts w:hint="eastAsia" w:ascii="楷体_GB2312" w:hAnsi="宋体" w:eastAsia="楷体_GB2312"/>
          <w:sz w:val="32"/>
          <w:szCs w:val="32"/>
        </w:rPr>
        <w:t xml:space="preserve">   </w:t>
      </w:r>
      <w:r>
        <w:rPr>
          <w:rFonts w:hint="eastAsia" w:ascii="仿宋_GB2312" w:hAnsi="宋体" w:eastAsia="仿宋_GB2312"/>
          <w:sz w:val="32"/>
          <w:szCs w:val="32"/>
        </w:rPr>
        <w:t xml:space="preserve"> 资金均按时到位。</w:t>
      </w:r>
    </w:p>
    <w:p>
      <w:pPr>
        <w:adjustRightInd w:val="0"/>
        <w:snapToGrid w:val="0"/>
        <w:spacing w:line="576" w:lineRule="exact"/>
        <w:ind w:left="630"/>
        <w:rPr>
          <w:rFonts w:ascii="楷体_GB2312" w:hAnsi="宋体" w:eastAsia="楷体_GB2312"/>
          <w:b/>
          <w:sz w:val="32"/>
          <w:szCs w:val="32"/>
          <w:lang w:val="zh-CN"/>
        </w:rPr>
      </w:pPr>
      <w:r>
        <w:rPr>
          <w:rFonts w:hint="eastAsia" w:ascii="楷体_GB2312" w:hAnsi="宋体" w:eastAsia="楷体_GB2312"/>
          <w:sz w:val="32"/>
          <w:szCs w:val="32"/>
        </w:rPr>
        <w:t>3．</w:t>
      </w:r>
      <w:r>
        <w:rPr>
          <w:rFonts w:hint="eastAsia" w:ascii="楷体_GB2312" w:hAnsi="宋体" w:eastAsia="楷体_GB2312"/>
          <w:sz w:val="32"/>
          <w:szCs w:val="32"/>
          <w:lang w:val="zh-CN"/>
        </w:rPr>
        <w:t>资金使用</w:t>
      </w:r>
      <w:r>
        <w:rPr>
          <w:rFonts w:hint="eastAsia" w:ascii="楷体_GB2312" w:hAnsi="宋体" w:eastAsia="楷体_GB2312"/>
          <w:sz w:val="32"/>
          <w:szCs w:val="32"/>
        </w:rPr>
        <w:t xml:space="preserve"> </w:t>
      </w:r>
    </w:p>
    <w:p>
      <w:pPr>
        <w:adjustRightInd w:val="0"/>
        <w:snapToGrid w:val="0"/>
        <w:spacing w:line="576" w:lineRule="exact"/>
        <w:ind w:firstLine="640" w:firstLineChars="200"/>
        <w:rPr>
          <w:rFonts w:ascii="楷体_GB2312" w:hAnsi="宋体" w:eastAsia="楷体_GB2312"/>
          <w:b/>
          <w:sz w:val="32"/>
          <w:szCs w:val="32"/>
          <w:lang w:val="zh-CN"/>
        </w:rPr>
      </w:pPr>
      <w:r>
        <w:rPr>
          <w:rFonts w:hint="eastAsia" w:ascii="仿宋_GB2312" w:hAnsi="宋体" w:eastAsia="仿宋_GB2312"/>
          <w:sz w:val="32"/>
          <w:szCs w:val="32"/>
          <w:lang w:val="zh-CN"/>
        </w:rPr>
        <w:t>科学合理安排资金预算支出，结合有限的项目资金，实现资金落到实处。</w:t>
      </w:r>
    </w:p>
    <w:p>
      <w:pPr>
        <w:adjustRightInd w:val="0"/>
        <w:snapToGrid w:val="0"/>
        <w:spacing w:line="576" w:lineRule="exact"/>
        <w:ind w:firstLine="643" w:firstLineChars="200"/>
        <w:rPr>
          <w:rFonts w:ascii="楷体_GB2312" w:hAnsi="宋体" w:eastAsia="楷体_GB2312"/>
          <w:b/>
          <w:sz w:val="32"/>
          <w:szCs w:val="32"/>
          <w:lang w:val="zh-CN"/>
        </w:rPr>
      </w:pPr>
      <w:r>
        <w:rPr>
          <w:rFonts w:hint="eastAsia" w:ascii="楷体_GB2312" w:hAnsi="宋体" w:eastAsia="楷体_GB2312"/>
          <w:b/>
          <w:sz w:val="32"/>
          <w:szCs w:val="32"/>
          <w:lang w:val="zh-CN"/>
        </w:rPr>
        <w:t>（三）项目财务管理情况</w:t>
      </w:r>
    </w:p>
    <w:p>
      <w:pPr>
        <w:adjustRightInd w:val="0"/>
        <w:snapToGrid w:val="0"/>
        <w:spacing w:line="576" w:lineRule="exact"/>
        <w:ind w:firstLine="720"/>
        <w:rPr>
          <w:rFonts w:ascii="黑体" w:hAnsi="宋体" w:eastAsia="黑体"/>
          <w:sz w:val="32"/>
          <w:szCs w:val="32"/>
        </w:rPr>
      </w:pPr>
      <w:r>
        <w:rPr>
          <w:rFonts w:hint="eastAsia" w:ascii="仿宋_GB2312" w:hAnsi="宋体" w:eastAsia="仿宋_GB2312"/>
          <w:sz w:val="32"/>
          <w:szCs w:val="32"/>
        </w:rPr>
        <w:t>我局建立</w:t>
      </w:r>
      <w:r>
        <w:rPr>
          <w:rFonts w:hint="eastAsia" w:ascii="仿宋_GB2312" w:hAnsi="宋体" w:eastAsia="仿宋_GB2312"/>
          <w:sz w:val="32"/>
          <w:szCs w:val="32"/>
          <w:lang w:val="zh-CN"/>
        </w:rPr>
        <w:t>健全</w:t>
      </w:r>
      <w:r>
        <w:rPr>
          <w:rFonts w:hint="eastAsia" w:ascii="仿宋_GB2312" w:hAnsi="宋体" w:eastAsia="仿宋_GB2312"/>
          <w:sz w:val="32"/>
          <w:szCs w:val="32"/>
        </w:rPr>
        <w:t>了</w:t>
      </w:r>
      <w:r>
        <w:rPr>
          <w:rFonts w:hint="eastAsia" w:ascii="仿宋_GB2312" w:hAnsi="宋体" w:eastAsia="仿宋_GB2312"/>
          <w:sz w:val="32"/>
          <w:szCs w:val="32"/>
          <w:lang w:val="zh-CN"/>
        </w:rPr>
        <w:t>财务</w:t>
      </w:r>
      <w:r>
        <w:rPr>
          <w:rFonts w:hint="eastAsia" w:ascii="仿宋_GB2312" w:hAnsi="宋体" w:eastAsia="仿宋_GB2312"/>
          <w:sz w:val="32"/>
          <w:szCs w:val="32"/>
        </w:rPr>
        <w:t>管理</w:t>
      </w:r>
      <w:r>
        <w:rPr>
          <w:rFonts w:hint="eastAsia" w:ascii="仿宋_GB2312" w:hAnsi="宋体" w:eastAsia="仿宋_GB2312"/>
          <w:sz w:val="32"/>
          <w:szCs w:val="32"/>
          <w:lang w:val="zh-CN"/>
        </w:rPr>
        <w:t>制度，资金拨付严格按照财务管理制度进行管理，保证专款专用，资金发放复查由财务人员按照财务制度进行资金的审核、支付和核算，资金报销有发票、合同、验收清单等相关材料，手续完善，不存在虚假凭证的情况，会计严格执行财务管理制度，财务处理及时，核算规范。</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三、项目实施及管理情况</w:t>
      </w:r>
    </w:p>
    <w:p>
      <w:pPr>
        <w:adjustRightInd w:val="0"/>
        <w:snapToGrid w:val="0"/>
        <w:spacing w:line="576"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结合项目组织实施管理办法，重点围绕以下内容进行分析评价，并对自评中发现的问题分析说明。</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（一）项目组织架构及实施流程</w:t>
      </w:r>
    </w:p>
    <w:p>
      <w:pPr>
        <w:adjustRightInd w:val="0"/>
        <w:snapToGrid w:val="0"/>
        <w:spacing w:line="576" w:lineRule="exact"/>
        <w:ind w:firstLine="720"/>
        <w:rPr>
          <w:rFonts w:ascii="仿宋_GB2312" w:hAnsi="宋体" w:eastAsia="仿宋_GB2312"/>
          <w:sz w:val="32"/>
          <w:szCs w:val="32"/>
        </w:rPr>
      </w:pPr>
      <w:r>
        <w:rPr>
          <w:rFonts w:hint="eastAsia" w:ascii="仿宋_GB2312" w:hAnsi="宋体" w:eastAsia="仿宋_GB2312"/>
          <w:sz w:val="32"/>
          <w:szCs w:val="32"/>
        </w:rPr>
        <w:t>该项目在实施过程中，各股室和司法所根据工作需要进行申请。</w:t>
      </w:r>
    </w:p>
    <w:p>
      <w:pPr>
        <w:adjustRightInd w:val="0"/>
        <w:snapToGrid w:val="0"/>
        <w:spacing w:line="576" w:lineRule="exact"/>
        <w:ind w:firstLine="643" w:firstLineChars="200"/>
        <w:rPr>
          <w:rFonts w:ascii="楷体_GB2312" w:hAnsi="宋体" w:eastAsia="楷体_GB2312"/>
          <w:b/>
          <w:sz w:val="32"/>
          <w:szCs w:val="32"/>
          <w:lang w:val="zh-CN"/>
        </w:rPr>
      </w:pPr>
      <w:r>
        <w:rPr>
          <w:rFonts w:hint="eastAsia" w:ascii="楷体_GB2312" w:hAnsi="宋体" w:eastAsia="楷体_GB2312"/>
          <w:b/>
          <w:sz w:val="32"/>
          <w:szCs w:val="32"/>
          <w:lang w:val="zh-CN"/>
        </w:rPr>
        <w:t>（</w:t>
      </w:r>
      <w:r>
        <w:rPr>
          <w:rFonts w:hint="eastAsia" w:ascii="楷体_GB2312" w:hAnsi="宋体" w:eastAsia="楷体_GB2312"/>
          <w:b/>
          <w:sz w:val="32"/>
          <w:szCs w:val="32"/>
        </w:rPr>
        <w:t>二</w:t>
      </w:r>
      <w:r>
        <w:rPr>
          <w:rFonts w:hint="eastAsia" w:ascii="楷体_GB2312" w:hAnsi="宋体" w:eastAsia="楷体_GB2312"/>
          <w:b/>
          <w:sz w:val="32"/>
          <w:szCs w:val="32"/>
          <w:lang w:val="zh-CN"/>
        </w:rPr>
        <w:t>）项目管理情况</w:t>
      </w:r>
    </w:p>
    <w:p>
      <w:pPr>
        <w:adjustRightInd w:val="0"/>
        <w:snapToGrid w:val="0"/>
        <w:spacing w:line="576" w:lineRule="exact"/>
        <w:ind w:firstLine="720"/>
        <w:rPr>
          <w:rFonts w:ascii="仿宋_GB2312" w:hAnsi="宋体" w:eastAsia="仿宋_GB2312"/>
          <w:sz w:val="32"/>
          <w:szCs w:val="32"/>
          <w:lang w:val="zh-CN"/>
        </w:rPr>
      </w:pPr>
      <w:r>
        <w:rPr>
          <w:rFonts w:hint="eastAsia" w:ascii="仿宋_GB2312" w:hAnsi="宋体" w:eastAsia="仿宋_GB2312"/>
          <w:sz w:val="32"/>
          <w:szCs w:val="32"/>
          <w:lang w:val="zh-CN"/>
        </w:rPr>
        <w:t>主要</w:t>
      </w:r>
      <w:r>
        <w:rPr>
          <w:rFonts w:hint="eastAsia" w:ascii="仿宋_GB2312" w:hAnsi="宋体" w:eastAsia="仿宋_GB2312"/>
          <w:sz w:val="32"/>
          <w:szCs w:val="32"/>
        </w:rPr>
        <w:t>用于主要用于</w:t>
      </w:r>
      <w:r>
        <w:rPr>
          <w:rFonts w:hint="eastAsia" w:ascii="仿宋_GB2312" w:hAnsi="仿宋_GB2312" w:eastAsia="仿宋_GB2312" w:cs="仿宋_GB2312"/>
          <w:sz w:val="32"/>
          <w:szCs w:val="32"/>
        </w:rPr>
        <w:t>人民调解、法治政府、执法监督、扶贫帮扶、中央转移支付业务经费、中央转移支付装备经费。</w:t>
      </w:r>
    </w:p>
    <w:p>
      <w:pPr>
        <w:adjustRightInd w:val="0"/>
        <w:snapToGrid w:val="0"/>
        <w:spacing w:line="576" w:lineRule="exact"/>
        <w:ind w:firstLine="643" w:firstLineChars="200"/>
        <w:rPr>
          <w:rFonts w:ascii="仿宋_GB2312" w:hAnsi="宋体" w:eastAsia="仿宋_GB2312"/>
          <w:sz w:val="32"/>
          <w:szCs w:val="32"/>
          <w:lang w:val="zh-CN"/>
        </w:rPr>
      </w:pPr>
      <w:r>
        <w:rPr>
          <w:rFonts w:hint="eastAsia" w:ascii="楷体_GB2312" w:hAnsi="宋体" w:eastAsia="楷体_GB2312"/>
          <w:b/>
          <w:sz w:val="32"/>
          <w:szCs w:val="32"/>
          <w:lang w:val="zh-CN"/>
        </w:rPr>
        <w:t>（</w:t>
      </w:r>
      <w:r>
        <w:rPr>
          <w:rFonts w:hint="eastAsia" w:ascii="楷体_GB2312" w:hAnsi="宋体" w:eastAsia="楷体_GB2312"/>
          <w:b/>
          <w:sz w:val="32"/>
          <w:szCs w:val="32"/>
        </w:rPr>
        <w:t>三</w:t>
      </w:r>
      <w:r>
        <w:rPr>
          <w:rFonts w:hint="eastAsia" w:ascii="楷体_GB2312" w:hAnsi="宋体" w:eastAsia="楷体_GB2312"/>
          <w:b/>
          <w:sz w:val="32"/>
          <w:szCs w:val="32"/>
          <w:lang w:val="zh-CN"/>
        </w:rPr>
        <w:t>）项目监管情况。</w:t>
      </w:r>
    </w:p>
    <w:p>
      <w:pPr>
        <w:adjustRightInd w:val="0"/>
        <w:snapToGrid w:val="0"/>
        <w:spacing w:line="576" w:lineRule="exact"/>
        <w:rPr>
          <w:rFonts w:ascii="仿宋_GB2312" w:hAnsi="宋体" w:eastAsia="仿宋_GB2312"/>
          <w:sz w:val="32"/>
          <w:szCs w:val="32"/>
        </w:rPr>
      </w:pPr>
      <w:r>
        <w:rPr>
          <w:rFonts w:hint="eastAsia" w:ascii="仿宋_GB2312" w:hAnsi="宋体" w:eastAsia="仿宋_GB2312"/>
          <w:sz w:val="32"/>
          <w:szCs w:val="32"/>
        </w:rPr>
        <w:t xml:space="preserve">     项目的实施报账由经办人初审，分管领导复核，出纳和会计再次复核，交主要领导审批，最后由分管财务领导审定。</w:t>
      </w:r>
    </w:p>
    <w:p>
      <w:pPr>
        <w:adjustRightInd w:val="0"/>
        <w:snapToGrid w:val="0"/>
        <w:spacing w:line="576" w:lineRule="exact"/>
        <w:ind w:firstLine="720"/>
        <w:rPr>
          <w:rFonts w:ascii="仿宋_GB2312" w:hAnsi="宋体" w:eastAsia="仿宋_GB2312"/>
          <w:sz w:val="32"/>
          <w:szCs w:val="32"/>
          <w:lang w:val="zh-CN"/>
        </w:rPr>
      </w:pPr>
      <w:r>
        <w:rPr>
          <w:rFonts w:hint="eastAsia" w:ascii="黑体" w:hAnsi="宋体" w:eastAsia="黑体"/>
          <w:sz w:val="32"/>
          <w:szCs w:val="32"/>
        </w:rPr>
        <w:t>四、项目绩效情况</w:t>
      </w:r>
      <w:r>
        <w:rPr>
          <w:rFonts w:ascii="仿宋_GB2312" w:hAnsi="宋体" w:eastAsia="仿宋_GB2312"/>
          <w:sz w:val="32"/>
          <w:szCs w:val="32"/>
          <w:lang w:val="zh-CN"/>
        </w:rPr>
        <w:tab/>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（一）项目完成情况</w:t>
      </w:r>
    </w:p>
    <w:p>
      <w:pPr>
        <w:adjustRightInd w:val="0"/>
        <w:snapToGrid w:val="0"/>
        <w:spacing w:line="576" w:lineRule="exact"/>
        <w:ind w:firstLine="720"/>
        <w:rPr>
          <w:rFonts w:ascii="仿宋_GB2312" w:hAnsi="仿宋_GB2312" w:eastAsia="仿宋_GB2312" w:cs="仿宋_GB2312"/>
          <w:sz w:val="32"/>
          <w:szCs w:val="32"/>
        </w:rPr>
      </w:pPr>
      <w:r>
        <w:rPr>
          <w:rFonts w:hint="eastAsia" w:ascii="仿宋_GB2312" w:hAnsi="仿宋_GB2312" w:eastAsia="仿宋_GB2312" w:cs="仿宋_GB2312"/>
          <w:sz w:val="32"/>
          <w:szCs w:val="32"/>
        </w:rPr>
        <w:t>对全县行政执法证进行了年检。举办全县行政执法人员培训班四期，培训人次600余人。加大人民调解力量，全县调解矛盾纠纷调解成功率达99%。健全公共法律服务体系建设，重点健全完善县乡村三级公共法律服务体系。</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（二）项目效益情况</w:t>
      </w:r>
    </w:p>
    <w:p>
      <w:pPr>
        <w:adjustRightInd w:val="0"/>
        <w:snapToGrid w:val="0"/>
        <w:spacing w:line="576" w:lineRule="exact"/>
        <w:ind w:firstLine="720"/>
        <w:rPr>
          <w:rFonts w:ascii="仿宋_GB2312" w:hAnsi="仿宋_GB2312" w:eastAsia="仿宋_GB2312" w:cs="仿宋_GB2312"/>
          <w:sz w:val="32"/>
          <w:szCs w:val="32"/>
        </w:rPr>
      </w:pPr>
      <w:r>
        <w:rPr>
          <w:rFonts w:hint="eastAsia" w:ascii="仿宋_GB2312" w:hAnsi="仿宋_GB2312" w:eastAsia="仿宋_GB2312" w:cs="仿宋_GB2312"/>
          <w:sz w:val="32"/>
          <w:szCs w:val="32"/>
        </w:rPr>
        <w:t>一是认识人民调解工作的重要性；提高人民调解员的调处能力和政策法律水平，及时发现化解矛盾，切实把矛盾纠纷化解在最基层。二是确保管理对象不漏管、不失控，预防重新犯罪，促使刑满释放人员尽快融入社会；对刑释解矫人员中的困难对象实施慰问及救助。三是提升群众法律意识知晓率70%以上，普法乡镇覆盖率100%。</w:t>
      </w:r>
    </w:p>
    <w:p>
      <w:pPr>
        <w:adjustRightInd w:val="0"/>
        <w:snapToGrid w:val="0"/>
        <w:spacing w:line="576" w:lineRule="exact"/>
        <w:ind w:firstLine="720"/>
        <w:rPr>
          <w:rFonts w:ascii="黑体" w:hAnsi="宋体" w:eastAsia="黑体"/>
          <w:sz w:val="32"/>
          <w:szCs w:val="32"/>
        </w:rPr>
      </w:pPr>
      <w:r>
        <w:rPr>
          <w:rFonts w:hint="eastAsia" w:ascii="黑体" w:hAnsi="宋体" w:eastAsia="黑体"/>
          <w:sz w:val="32"/>
          <w:szCs w:val="32"/>
        </w:rPr>
        <w:t>五、评价结论及建议</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（一）评价结论</w:t>
      </w:r>
    </w:p>
    <w:tbl>
      <w:tblPr>
        <w:tblStyle w:val="14"/>
        <w:tblW w:w="9421" w:type="dxa"/>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15" w:type="dxa"/>
          <w:left w:w="15" w:type="dxa"/>
          <w:bottom w:w="15" w:type="dxa"/>
          <w:right w:w="15" w:type="dxa"/>
        </w:tblCellMar>
      </w:tblPr>
      <w:tblGrid>
        <w:gridCol w:w="1952"/>
        <w:gridCol w:w="607"/>
        <w:gridCol w:w="6114"/>
        <w:gridCol w:w="748"/>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绩效指标</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分值</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指标说明</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得分数</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一、项目资金管理情况</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17</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（一）资金到位落实情况</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trHeight w:val="342" w:hRule="atLeast"/>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1、资金到位率</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主要是考核项目承担单位实际到账的项目资金占应到账的项目资金之比。</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2、资金利用率</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主要是考核项目承担单位实际用于项目的支出金额占项目实际到位金额之比。</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（二）资金使用管理情况</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1、财务制度健全性</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主要是考核项目单位内部财务管理、会计核算制度合法完整性；是否有项目资金管理办法并符合有关制度规定。</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2、资金拨付合规性</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主要是考核资金的拨付是否有完整的审批程序和手续。</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3、资金使用规范性</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主要是考核项目支出是否存在截留、挤占、挪用、虚列支出等情况。</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二、项目绩效目标管理</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18</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1、是否设置绩效目标</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主要是考核申报项目时是否设置绩效目标。</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2、是否及时报送绩效目标</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6</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主要是考核是否在规定时间内报送项目绩效目标。</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6</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3、绩效目标是否细化</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7</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主要是考核项目绩效目标量化、细化的科学性、合理性</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三、项目绩效实施情况</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30</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w:t>
            </w: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1、制度建设</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主要是考核项目实施单位建立绩效运行监控制度的质量</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2、监控机制</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主要是考核采取措施对绩效进行监控的有效性</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3、项目产出数量完成情况</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主要是考核项目产出数量是否达到了预期的绩效目标，达到的程度情况。</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4、项目产出质量完成情况</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主要是考核项目产出质量是否达到了预期的绩效目标，达到的程度情况。</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5、项目实施经济效益</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主要是考核项目实施所取得的实际效果是否达到了预期的经济效益目标。</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6、项目实施社会效益</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5</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主要是考核项目实施所取得的实际效果是否达到了预期的社会效益目标。</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四、项目绩效评价管理</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20</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18</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（一）开展评价的范围</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主要是考核项目绩效评价覆盖率</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（二）开展评价的时效性</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主要是考核是否及时完成绩效评价工作并及时报送绩效报告</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（三）评价报告的质量</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12</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12</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1、评价报告的完整性</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主要是考核绩效报告和绩效评价报告是否符合格式要求，各项内容是否完整。</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2、评价报告的客观性</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主要是考核评价结论是否客观公正。</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3、评价报告的合理性</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主要是考核评价结论是否合理。</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4、评价报告的逻辑性</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主要是考核报告中文字及数据是否有逻辑性。</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五、结果应用</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jc w:val="center"/>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10</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1、落实整改</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主要是考核是否落实评价整改意见并报送整改情况。</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4</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2、绩效问责</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主要是考核是否建立绩效问责机制。</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3、结果公开</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主要是考核是否将绩效报告、绩效评价结果，按照相关要求，对外公开，接受社会监督。</w:t>
            </w: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3</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jc w:val="center"/>
        </w:trPr>
        <w:tc>
          <w:tcPr>
            <w:tcW w:w="1952"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合计</w:t>
            </w:r>
          </w:p>
        </w:tc>
        <w:tc>
          <w:tcPr>
            <w:tcW w:w="607"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rPr>
                <w:rFonts w:ascii="仿宋" w:hAnsi="仿宋" w:eastAsia="仿宋" w:cs="仿宋"/>
                <w:sz w:val="18"/>
                <w:szCs w:val="18"/>
              </w:rPr>
            </w:pPr>
            <w:r>
              <w:rPr>
                <w:rFonts w:hint="eastAsia" w:ascii="仿宋" w:hAnsi="仿宋" w:eastAsia="仿宋" w:cs="仿宋"/>
                <w:sz w:val="18"/>
                <w:szCs w:val="18"/>
              </w:rPr>
              <w:t>100</w:t>
            </w:r>
          </w:p>
        </w:tc>
        <w:tc>
          <w:tcPr>
            <w:tcW w:w="6114" w:type="dxa"/>
            <w:tcBorders>
              <w:top w:val="single" w:color="auto" w:sz="6" w:space="0"/>
              <w:left w:val="single" w:color="auto" w:sz="6" w:space="0"/>
              <w:bottom w:val="single" w:color="auto" w:sz="6" w:space="0"/>
              <w:right w:val="single" w:color="auto" w:sz="6" w:space="0"/>
            </w:tcBorders>
            <w:shd w:val="clear" w:color="auto" w:fill="FFFFFF"/>
            <w:vAlign w:val="center"/>
          </w:tcPr>
          <w:p>
            <w:pPr>
              <w:spacing w:line="576" w:lineRule="exact"/>
              <w:rPr>
                <w:rFonts w:ascii="仿宋" w:hAnsi="仿宋" w:eastAsia="仿宋" w:cs="仿宋"/>
                <w:sz w:val="18"/>
                <w:szCs w:val="18"/>
              </w:rPr>
            </w:pPr>
          </w:p>
        </w:tc>
        <w:tc>
          <w:tcPr>
            <w:tcW w:w="748" w:type="dxa"/>
            <w:tcBorders>
              <w:top w:val="single" w:color="auto" w:sz="6" w:space="0"/>
              <w:left w:val="single" w:color="auto" w:sz="6" w:space="0"/>
              <w:bottom w:val="single" w:color="auto" w:sz="6" w:space="0"/>
              <w:right w:val="single" w:color="auto" w:sz="6" w:space="0"/>
            </w:tcBorders>
            <w:shd w:val="clear" w:color="auto" w:fill="FFFFFF"/>
            <w:vAlign w:val="center"/>
          </w:tcPr>
          <w:p>
            <w:pPr>
              <w:pStyle w:val="13"/>
              <w:widowControl/>
              <w:spacing w:line="576" w:lineRule="exact"/>
              <w:jc w:val="center"/>
              <w:rPr>
                <w:rFonts w:ascii="仿宋" w:hAnsi="仿宋" w:eastAsia="仿宋" w:cs="仿宋"/>
                <w:sz w:val="18"/>
                <w:szCs w:val="18"/>
              </w:rPr>
            </w:pPr>
            <w:r>
              <w:rPr>
                <w:rFonts w:hint="eastAsia" w:ascii="仿宋" w:hAnsi="仿宋" w:eastAsia="仿宋" w:cs="仿宋"/>
                <w:sz w:val="18"/>
                <w:szCs w:val="18"/>
              </w:rPr>
              <w:t>87</w:t>
            </w:r>
          </w:p>
        </w:tc>
      </w:tr>
    </w:tbl>
    <w:p>
      <w:pPr>
        <w:adjustRightInd w:val="0"/>
        <w:snapToGrid w:val="0"/>
        <w:spacing w:line="576" w:lineRule="exact"/>
        <w:rPr>
          <w:rFonts w:ascii="仿宋_GB2312" w:hAnsi="宋体" w:eastAsia="仿宋_GB2312"/>
          <w:sz w:val="32"/>
          <w:szCs w:val="32"/>
          <w:bdr w:val="single" w:color="auto" w:sz="4" w:space="0"/>
          <w:lang w:val="zh-CN"/>
        </w:rPr>
      </w:pP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（二）存在的问题</w:t>
      </w:r>
    </w:p>
    <w:p>
      <w:pPr>
        <w:spacing w:line="576" w:lineRule="exact"/>
        <w:ind w:firstLine="640" w:firstLineChars="200"/>
        <w:jc w:val="left"/>
        <w:outlineLvl w:val="0"/>
        <w:rPr>
          <w:rFonts w:ascii="仿宋" w:hAnsi="仿宋" w:eastAsia="仿宋" w:cs="仿宋"/>
          <w:sz w:val="32"/>
          <w:szCs w:val="32"/>
          <w:lang w:val="zh-CN"/>
        </w:rPr>
      </w:pPr>
      <w:r>
        <w:rPr>
          <w:rFonts w:hint="eastAsia" w:ascii="仿宋" w:hAnsi="仿宋" w:eastAsia="仿宋" w:cs="仿宋"/>
          <w:sz w:val="32"/>
          <w:szCs w:val="32"/>
        </w:rPr>
        <w:t>一是调解队伍整体素质有待提高。当前多数调解员没有受过正规的法律教育，文化程度参差不齐，对相关政策法规了解不深、领悟不透，调解方式方法相对陈旧单一，多停留在说教和情感影响上，依法析理，定纷止息的能力较弱，不能适应新形势下人民调解工作的需要。二是调解队伍年龄“两极化”突出，老龄调解员经验丰富，但文化层次偏低，依法调解的意识不强；年轻调解员文化水平较高，但阅历较浅，经验不足，难以取得当事人信任，两个“极端”都影响了矛盾纠纷化解的水平。此外，街道、社区调委会专职人民调解员配备不到位，人员不稳定，调解员往往一人身兼数职，工作疲于应付现象仍然存在。三是资金利用率不高。主要是中央转移支付的装备经费。</w:t>
      </w:r>
    </w:p>
    <w:p>
      <w:pPr>
        <w:adjustRightInd w:val="0"/>
        <w:snapToGrid w:val="0"/>
        <w:spacing w:line="576" w:lineRule="exact"/>
        <w:ind w:firstLine="720"/>
        <w:rPr>
          <w:rFonts w:ascii="楷体_GB2312" w:hAnsi="宋体" w:eastAsia="楷体_GB2312"/>
          <w:b/>
          <w:sz w:val="32"/>
          <w:szCs w:val="32"/>
          <w:lang w:val="zh-CN"/>
        </w:rPr>
      </w:pPr>
      <w:r>
        <w:rPr>
          <w:rFonts w:hint="eastAsia" w:ascii="楷体_GB2312" w:hAnsi="宋体" w:eastAsia="楷体_GB2312"/>
          <w:b/>
          <w:sz w:val="32"/>
          <w:szCs w:val="32"/>
          <w:lang w:val="zh-CN"/>
        </w:rPr>
        <w:t>（三）相关建议</w:t>
      </w:r>
    </w:p>
    <w:p>
      <w:pPr>
        <w:spacing w:line="576" w:lineRule="exact"/>
        <w:ind w:firstLine="640" w:firstLineChars="200"/>
        <w:jc w:val="left"/>
        <w:outlineLvl w:val="0"/>
        <w:rPr>
          <w:rFonts w:ascii="仿宋" w:hAnsi="仿宋" w:eastAsia="仿宋" w:cs="仿宋"/>
          <w:sz w:val="32"/>
          <w:szCs w:val="32"/>
        </w:rPr>
      </w:pPr>
      <w:r>
        <w:rPr>
          <w:rFonts w:ascii="仿宋_GB2312" w:hAnsi="仿宋_GB2312" w:eastAsia="仿宋_GB2312" w:cs="仿宋_GB2312"/>
          <w:kern w:val="0"/>
          <w:sz w:val="32"/>
          <w:szCs w:val="32"/>
          <w:lang w:bidi="ar"/>
        </w:rPr>
        <w:t>一是要强化内部财务管理与监督，完善资金管理办法，建立健全财务管理机构，加强专项资金管理</w:t>
      </w:r>
      <w:r>
        <w:rPr>
          <w:rFonts w:hint="eastAsia" w:ascii="仿宋_GB2312" w:hAnsi="仿宋_GB2312" w:eastAsia="仿宋_GB2312" w:cs="仿宋_GB2312"/>
          <w:kern w:val="0"/>
          <w:sz w:val="32"/>
          <w:szCs w:val="32"/>
          <w:lang w:bidi="ar"/>
        </w:rPr>
        <w:t>和利用</w:t>
      </w:r>
      <w:r>
        <w:rPr>
          <w:rFonts w:ascii="仿宋_GB2312" w:hAnsi="仿宋_GB2312" w:eastAsia="仿宋_GB2312" w:cs="仿宋_GB2312"/>
          <w:kern w:val="0"/>
          <w:sz w:val="32"/>
          <w:szCs w:val="32"/>
          <w:lang w:bidi="ar"/>
        </w:rPr>
        <w:t>。</w:t>
      </w:r>
      <w:r>
        <w:rPr>
          <w:rFonts w:hint="eastAsia" w:ascii="仿宋" w:hAnsi="仿宋" w:eastAsia="仿宋" w:cs="仿宋"/>
          <w:sz w:val="32"/>
          <w:szCs w:val="32"/>
        </w:rPr>
        <w:t>二是整合资源，完善调解机制。针对当前社会转型发展时期，利益主体多元化，矛盾纠纷复杂化的特点，人民调解不能“单打独斗”，而应积极融入矛盾纠纷的多元化解机制中，加强与司法调解、行政调解主动对接配合。着力构建“党委领导、政府负责、社会协同、公众参与”的大调解工作格局。三是强化培训，提高队伍素质。加强对人民调解员队伍的选拔任用和培训管理，要制定中长期培训计划，把集中培训与其它多种培训方式相融合。结合基本法律知识辅导，组织人民调解员旁听法庭庭审，以案析法，增强培训的效果；坚持以会代训，定期召开调解案例点评分析会，及时交流矛盾纠纷调处工作经验，探讨新思路、新办法，不断提高调解矛盾纠纷的工作水平；强化政府购买服务理念，积极引入律师、法官、公证员等法律工作者参与重大矛盾纠纷的调解，发挥其法律专业知识优势，以弥补人民调解员在法理和法律知识方面的欠缺；加强人民调解志愿者队伍建设，引导一批热爱人民调解工作</w:t>
      </w:r>
      <w:r>
        <w:rPr>
          <w:rFonts w:hint="eastAsia" w:ascii="仿宋" w:hAnsi="仿宋" w:eastAsia="仿宋" w:cs="仿宋"/>
          <w:sz w:val="32"/>
          <w:szCs w:val="32"/>
          <w:lang w:eastAsia="zh-CN"/>
        </w:rPr>
        <w:t>、</w:t>
      </w:r>
      <w:r>
        <w:rPr>
          <w:rFonts w:hint="eastAsia" w:ascii="仿宋" w:hAnsi="仿宋" w:eastAsia="仿宋" w:cs="仿宋"/>
          <w:sz w:val="32"/>
          <w:szCs w:val="32"/>
        </w:rPr>
        <w:t>具有一定政策法规、社会经验的社会人士充实调解队伍，直接参与人民调解工作，从而提高人民调解工作的社会效果。</w:t>
      </w:r>
    </w:p>
    <w:p>
      <w:pPr>
        <w:widowControl/>
        <w:adjustRightInd w:val="0"/>
        <w:snapToGrid w:val="0"/>
        <w:spacing w:line="580" w:lineRule="exact"/>
        <w:contextualSpacing/>
        <w:jc w:val="left"/>
        <w:rPr>
          <w:rFonts w:ascii="仿宋_GB2312" w:hAnsi="宋体" w:eastAsia="仿宋_GB2312" w:cs="宋体"/>
          <w:kern w:val="0"/>
          <w:sz w:val="32"/>
          <w:szCs w:val="32"/>
          <w:shd w:val="clear" w:color="auto" w:fill="FFFFFF"/>
          <w:lang w:val="zh-CN"/>
        </w:rPr>
      </w:pPr>
    </w:p>
    <w:p>
      <w:pPr>
        <w:widowControl/>
        <w:adjustRightInd w:val="0"/>
        <w:snapToGrid w:val="0"/>
        <w:spacing w:line="580" w:lineRule="exact"/>
        <w:contextualSpacing/>
        <w:jc w:val="left"/>
        <w:rPr>
          <w:rFonts w:ascii="仿宋_GB2312" w:hAnsi="宋体" w:eastAsia="仿宋_GB2312" w:cs="宋体"/>
          <w:kern w:val="0"/>
          <w:sz w:val="32"/>
          <w:szCs w:val="32"/>
          <w:shd w:val="clear" w:color="auto" w:fill="FFFFFF"/>
          <w:lang w:val="zh-CN"/>
        </w:rPr>
      </w:pPr>
      <w:r>
        <w:rPr>
          <w:rFonts w:hint="eastAsia" w:ascii="仿宋_GB2312" w:hAnsi="宋体" w:eastAsia="仿宋_GB2312" w:cs="宋体"/>
          <w:kern w:val="0"/>
          <w:sz w:val="32"/>
          <w:szCs w:val="32"/>
          <w:shd w:val="clear" w:color="auto" w:fill="FFFFFF"/>
          <w:lang w:val="zh-CN"/>
        </w:rPr>
        <w:t>附表：</w:t>
      </w:r>
    </w:p>
    <w:tbl>
      <w:tblPr>
        <w:tblStyle w:val="14"/>
        <w:tblpPr w:leftFromText="180" w:rightFromText="180" w:vertAnchor="text" w:horzAnchor="page" w:tblpX="1269" w:tblpY="1205"/>
        <w:tblOverlap w:val="never"/>
        <w:tblW w:w="9811" w:type="dxa"/>
        <w:tblInd w:w="0" w:type="dxa"/>
        <w:tblLayout w:type="fixed"/>
        <w:tblCellMar>
          <w:top w:w="0" w:type="dxa"/>
          <w:left w:w="108" w:type="dxa"/>
          <w:bottom w:w="0" w:type="dxa"/>
          <w:right w:w="108" w:type="dxa"/>
        </w:tblCellMar>
      </w:tblPr>
      <w:tblGrid>
        <w:gridCol w:w="1976"/>
        <w:gridCol w:w="1142"/>
        <w:gridCol w:w="1635"/>
        <w:gridCol w:w="1189"/>
        <w:gridCol w:w="1422"/>
        <w:gridCol w:w="2211"/>
        <w:gridCol w:w="236"/>
      </w:tblGrid>
      <w:tr>
        <w:tblPrEx>
          <w:tblCellMar>
            <w:top w:w="0" w:type="dxa"/>
            <w:left w:w="108" w:type="dxa"/>
            <w:bottom w:w="0" w:type="dxa"/>
            <w:right w:w="108" w:type="dxa"/>
          </w:tblCellMar>
        </w:tblPrEx>
        <w:trPr>
          <w:trHeight w:val="675" w:hRule="atLeast"/>
        </w:trPr>
        <w:tc>
          <w:tcPr>
            <w:tcW w:w="9575" w:type="dxa"/>
            <w:gridSpan w:val="6"/>
            <w:tcBorders>
              <w:top w:val="nil"/>
              <w:left w:val="nil"/>
              <w:bottom w:val="nil"/>
              <w:right w:val="nil"/>
            </w:tcBorders>
            <w:shd w:val="clear" w:color="auto" w:fill="auto"/>
            <w:vAlign w:val="center"/>
          </w:tcPr>
          <w:p>
            <w:pPr>
              <w:widowControl/>
              <w:jc w:val="center"/>
              <w:textAlignment w:val="center"/>
              <w:rPr>
                <w:rFonts w:hint="eastAsia" w:ascii="宋体" w:hAnsi="宋体" w:eastAsia="宋体" w:cs="宋体"/>
                <w:b/>
                <w:bCs/>
                <w:sz w:val="32"/>
                <w:szCs w:val="32"/>
              </w:rPr>
            </w:pPr>
            <w:r>
              <w:rPr>
                <w:rFonts w:hint="eastAsia" w:ascii="宋体" w:hAnsi="宋体" w:eastAsia="宋体" w:cs="宋体"/>
                <w:b/>
                <w:bCs/>
                <w:sz w:val="32"/>
                <w:szCs w:val="32"/>
              </w:rPr>
              <w:t>2021年50万元以上（含）特定目标类部门预算项目绩效目标自评</w:t>
            </w:r>
          </w:p>
          <w:p>
            <w:pPr>
              <w:pStyle w:val="2"/>
              <w:jc w:val="center"/>
            </w:pPr>
            <w:r>
              <w:rPr>
                <w:rFonts w:hint="eastAsia" w:ascii="楷体" w:hAnsi="楷体" w:eastAsia="楷体" w:cs="楷体"/>
                <w:sz w:val="32"/>
                <w:szCs w:val="32"/>
              </w:rPr>
              <w:t>其他司法支出</w:t>
            </w:r>
          </w:p>
        </w:tc>
        <w:tc>
          <w:tcPr>
            <w:tcW w:w="236" w:type="dxa"/>
            <w:tcBorders>
              <w:top w:val="nil"/>
              <w:left w:val="nil"/>
              <w:bottom w:val="nil"/>
              <w:right w:val="nil"/>
            </w:tcBorders>
            <w:shd w:val="clear" w:color="auto" w:fill="auto"/>
            <w:vAlign w:val="center"/>
          </w:tcPr>
          <w:p>
            <w:pPr>
              <w:widowControl/>
              <w:jc w:val="center"/>
              <w:textAlignment w:val="center"/>
              <w:rPr>
                <w:rFonts w:ascii="宋体" w:hAnsi="宋体" w:cs="宋体"/>
                <w:b/>
                <w:kern w:val="0"/>
                <w:sz w:val="32"/>
                <w:szCs w:val="32"/>
                <w:lang w:bidi="ar"/>
              </w:rPr>
            </w:pPr>
          </w:p>
        </w:tc>
      </w:tr>
      <w:tr>
        <w:tblPrEx>
          <w:tblCellMar>
            <w:top w:w="0" w:type="dxa"/>
            <w:left w:w="108" w:type="dxa"/>
            <w:bottom w:w="0" w:type="dxa"/>
            <w:right w:w="108" w:type="dxa"/>
          </w:tblCellMar>
        </w:tblPrEx>
        <w:trPr>
          <w:gridAfter w:val="1"/>
          <w:wAfter w:w="236" w:type="dxa"/>
          <w:trHeight w:val="254" w:hRule="atLeast"/>
        </w:trPr>
        <w:tc>
          <w:tcPr>
            <w:tcW w:w="311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ascii="宋体" w:hAnsi="宋体" w:cs="宋体"/>
                <w:sz w:val="24"/>
              </w:rPr>
            </w:pP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实施单位</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苍溪县司法局</w:t>
            </w:r>
          </w:p>
        </w:tc>
      </w:tr>
      <w:tr>
        <w:tblPrEx>
          <w:tblCellMar>
            <w:top w:w="0" w:type="dxa"/>
            <w:left w:w="108" w:type="dxa"/>
            <w:bottom w:w="0" w:type="dxa"/>
            <w:right w:w="108" w:type="dxa"/>
          </w:tblCellMar>
        </w:tblPrEx>
        <w:trPr>
          <w:gridAfter w:val="1"/>
          <w:wAfter w:w="236" w:type="dxa"/>
          <w:trHeight w:val="341" w:hRule="atLeast"/>
        </w:trPr>
        <w:tc>
          <w:tcPr>
            <w:tcW w:w="311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宋体" w:hAnsi="宋体" w:eastAsia="宋体" w:cs="宋体"/>
                <w:kern w:val="0"/>
                <w:sz w:val="24"/>
                <w:lang w:eastAsia="zh-CN" w:bidi="ar"/>
              </w:rPr>
            </w:pPr>
            <w:r>
              <w:rPr>
                <w:rFonts w:hint="eastAsia" w:ascii="宋体" w:hAnsi="宋体" w:cs="宋体"/>
                <w:kern w:val="0"/>
                <w:sz w:val="24"/>
                <w:lang w:bidi="ar"/>
              </w:rPr>
              <w:t>项目预算</w:t>
            </w:r>
          </w:p>
          <w:p>
            <w:pPr>
              <w:widowControl/>
              <w:spacing w:line="320" w:lineRule="exact"/>
              <w:jc w:val="center"/>
              <w:textAlignment w:val="center"/>
              <w:rPr>
                <w:rFonts w:hint="eastAsia" w:ascii="宋体" w:hAnsi="宋体" w:eastAsia="宋体" w:cs="宋体"/>
                <w:kern w:val="0"/>
                <w:sz w:val="24"/>
                <w:lang w:eastAsia="zh-CN" w:bidi="ar"/>
              </w:rPr>
            </w:pPr>
            <w:r>
              <w:rPr>
                <w:rFonts w:hint="eastAsia" w:ascii="宋体" w:hAnsi="宋体" w:cs="宋体"/>
                <w:kern w:val="0"/>
                <w:sz w:val="24"/>
                <w:lang w:bidi="ar"/>
              </w:rPr>
              <w:t>执行情况</w:t>
            </w:r>
          </w:p>
          <w:p>
            <w:pPr>
              <w:widowControl/>
              <w:spacing w:line="320" w:lineRule="exact"/>
              <w:jc w:val="center"/>
              <w:textAlignment w:val="center"/>
              <w:rPr>
                <w:rFonts w:ascii="宋体" w:hAnsi="宋体" w:cs="宋体"/>
                <w:sz w:val="24"/>
              </w:rPr>
            </w:pPr>
            <w:r>
              <w:rPr>
                <w:rFonts w:hint="eastAsia" w:ascii="宋体" w:hAnsi="宋体" w:cs="宋体"/>
                <w:kern w:val="0"/>
                <w:sz w:val="24"/>
                <w:lang w:bidi="ar"/>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162.72</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 xml:space="preserve"> 执行数：</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162.72</w:t>
            </w:r>
          </w:p>
        </w:tc>
      </w:tr>
      <w:tr>
        <w:tblPrEx>
          <w:tblCellMar>
            <w:top w:w="0" w:type="dxa"/>
            <w:left w:w="108" w:type="dxa"/>
            <w:bottom w:w="0" w:type="dxa"/>
            <w:right w:w="108" w:type="dxa"/>
          </w:tblCellMar>
        </w:tblPrEx>
        <w:trPr>
          <w:gridAfter w:val="1"/>
          <w:wAfter w:w="236" w:type="dxa"/>
          <w:trHeight w:val="555" w:hRule="atLeast"/>
        </w:trPr>
        <w:tc>
          <w:tcPr>
            <w:tcW w:w="311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lang w:bidi="ar"/>
              </w:rPr>
            </w:pPr>
            <w:r>
              <w:rPr>
                <w:rFonts w:hint="eastAsia" w:ascii="宋体" w:hAnsi="宋体" w:cs="宋体"/>
                <w:kern w:val="0"/>
                <w:sz w:val="24"/>
                <w:lang w:bidi="ar"/>
              </w:rPr>
              <w:t>其中：</w:t>
            </w:r>
          </w:p>
          <w:p>
            <w:pPr>
              <w:widowControl/>
              <w:spacing w:line="320" w:lineRule="exact"/>
              <w:jc w:val="left"/>
              <w:textAlignment w:val="center"/>
              <w:rPr>
                <w:rFonts w:ascii="宋体" w:hAnsi="宋体" w:cs="宋体"/>
                <w:sz w:val="24"/>
              </w:rPr>
            </w:pPr>
            <w:r>
              <w:rPr>
                <w:rFonts w:hint="eastAsia" w:ascii="宋体" w:hAnsi="宋体" w:cs="宋体"/>
                <w:kern w:val="0"/>
                <w:sz w:val="24"/>
                <w:lang w:bidi="ar"/>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162.72</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kern w:val="0"/>
                <w:sz w:val="24"/>
                <w:lang w:bidi="ar"/>
              </w:rPr>
            </w:pPr>
            <w:r>
              <w:rPr>
                <w:rFonts w:hint="eastAsia" w:ascii="宋体" w:hAnsi="宋体" w:cs="宋体"/>
                <w:kern w:val="0"/>
                <w:sz w:val="24"/>
                <w:lang w:bidi="ar"/>
              </w:rPr>
              <w:t>其中：</w:t>
            </w:r>
          </w:p>
          <w:p>
            <w:pPr>
              <w:widowControl/>
              <w:spacing w:line="320" w:lineRule="exact"/>
              <w:jc w:val="left"/>
              <w:textAlignment w:val="center"/>
              <w:rPr>
                <w:rFonts w:ascii="宋体" w:hAnsi="宋体" w:cs="宋体"/>
                <w:sz w:val="24"/>
              </w:rPr>
            </w:pPr>
            <w:r>
              <w:rPr>
                <w:rFonts w:hint="eastAsia" w:ascii="宋体" w:hAnsi="宋体" w:cs="宋体"/>
                <w:kern w:val="0"/>
                <w:sz w:val="24"/>
                <w:lang w:bidi="ar"/>
              </w:rPr>
              <w:t>财政拨款</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sz w:val="24"/>
              </w:rPr>
              <w:t>162.72</w:t>
            </w:r>
          </w:p>
        </w:tc>
      </w:tr>
      <w:tr>
        <w:tblPrEx>
          <w:tblCellMar>
            <w:top w:w="0" w:type="dxa"/>
            <w:left w:w="108" w:type="dxa"/>
            <w:bottom w:w="0" w:type="dxa"/>
            <w:right w:w="108" w:type="dxa"/>
          </w:tblCellMar>
        </w:tblPrEx>
        <w:trPr>
          <w:gridAfter w:val="1"/>
          <w:wAfter w:w="236" w:type="dxa"/>
          <w:trHeight w:val="341" w:hRule="atLeast"/>
        </w:trPr>
        <w:tc>
          <w:tcPr>
            <w:tcW w:w="311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ascii="宋体" w:hAnsi="宋体" w:cs="宋体"/>
                <w:sz w:val="24"/>
              </w:rPr>
            </w:pPr>
            <w:r>
              <w:rPr>
                <w:rFonts w:hint="eastAsia" w:ascii="宋体" w:hAnsi="宋体" w:cs="宋体"/>
                <w:kern w:val="0"/>
                <w:sz w:val="24"/>
                <w:lang w:bidi="ar"/>
              </w:rPr>
              <w:t>其他资金</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p>
        </w:tc>
      </w:tr>
      <w:tr>
        <w:tblPrEx>
          <w:tblCellMar>
            <w:top w:w="0" w:type="dxa"/>
            <w:left w:w="108" w:type="dxa"/>
            <w:bottom w:w="0" w:type="dxa"/>
            <w:right w:w="108" w:type="dxa"/>
          </w:tblCellMar>
        </w:tblPrEx>
        <w:trPr>
          <w:gridAfter w:val="1"/>
          <w:wAfter w:w="236" w:type="dxa"/>
          <w:trHeight w:val="217" w:hRule="atLeast"/>
        </w:trPr>
        <w:tc>
          <w:tcPr>
            <w:tcW w:w="19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kern w:val="0"/>
                <w:sz w:val="24"/>
                <w:lang w:bidi="ar"/>
              </w:rPr>
            </w:pPr>
            <w:r>
              <w:rPr>
                <w:rFonts w:hint="eastAsia" w:ascii="宋体" w:hAnsi="宋体" w:cs="宋体"/>
                <w:kern w:val="0"/>
                <w:sz w:val="24"/>
                <w:lang w:bidi="ar"/>
              </w:rPr>
              <w:t>年度总体目标</w:t>
            </w:r>
          </w:p>
          <w:p>
            <w:pPr>
              <w:widowControl/>
              <w:spacing w:line="320" w:lineRule="exact"/>
              <w:jc w:val="center"/>
              <w:textAlignment w:val="center"/>
              <w:rPr>
                <w:rFonts w:ascii="宋体" w:hAnsi="宋体" w:cs="宋体"/>
                <w:sz w:val="24"/>
              </w:rPr>
            </w:pPr>
            <w:r>
              <w:rPr>
                <w:rFonts w:hint="eastAsia" w:ascii="宋体" w:hAnsi="宋体" w:cs="宋体"/>
                <w:kern w:val="0"/>
                <w:sz w:val="24"/>
                <w:lang w:bidi="ar"/>
              </w:rPr>
              <w:t>完成情况</w:t>
            </w: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预期目标</w:t>
            </w:r>
          </w:p>
        </w:tc>
        <w:tc>
          <w:tcPr>
            <w:tcW w:w="36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宋体" w:hAnsi="宋体" w:cs="宋体"/>
                <w:sz w:val="24"/>
              </w:rPr>
            </w:pPr>
            <w:r>
              <w:rPr>
                <w:rFonts w:hint="eastAsia" w:ascii="宋体" w:hAnsi="宋体" w:cs="宋体"/>
                <w:kern w:val="0"/>
                <w:sz w:val="24"/>
                <w:lang w:bidi="ar"/>
              </w:rPr>
              <w:t>目标实际完成情况</w:t>
            </w:r>
          </w:p>
        </w:tc>
      </w:tr>
      <w:tr>
        <w:tblPrEx>
          <w:tblCellMar>
            <w:top w:w="0" w:type="dxa"/>
            <w:left w:w="108" w:type="dxa"/>
            <w:bottom w:w="0" w:type="dxa"/>
            <w:right w:w="108" w:type="dxa"/>
          </w:tblCellMar>
        </w:tblPrEx>
        <w:trPr>
          <w:gridAfter w:val="1"/>
          <w:wAfter w:w="236" w:type="dxa"/>
          <w:trHeight w:val="797" w:hRule="atLeast"/>
        </w:trPr>
        <w:tc>
          <w:tcPr>
            <w:tcW w:w="19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宋体" w:hAnsi="宋体" w:cs="宋体"/>
                <w:sz w:val="24"/>
              </w:rPr>
            </w:pP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cs="宋体"/>
                <w:sz w:val="18"/>
                <w:szCs w:val="18"/>
              </w:rPr>
            </w:pPr>
            <w:r>
              <w:rPr>
                <w:rFonts w:hint="eastAsia" w:ascii="宋体" w:cs="宋体"/>
                <w:sz w:val="18"/>
                <w:szCs w:val="18"/>
              </w:rPr>
              <w:t>负责人民调解、法治政府、执法监督、扶贫帮扶、中央转移支付业务经费、中央转移支付装备经费等工作。</w:t>
            </w:r>
          </w:p>
          <w:p>
            <w:pPr>
              <w:widowControl/>
              <w:spacing w:line="320" w:lineRule="exact"/>
              <w:jc w:val="left"/>
              <w:textAlignment w:val="top"/>
              <w:rPr>
                <w:rFonts w:ascii="宋体" w:hAnsi="宋体" w:cs="宋体"/>
                <w:sz w:val="18"/>
                <w:szCs w:val="18"/>
              </w:rPr>
            </w:pPr>
          </w:p>
        </w:tc>
        <w:tc>
          <w:tcPr>
            <w:tcW w:w="3633" w:type="dxa"/>
            <w:gridSpan w:val="2"/>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ascii="宋体" w:cs="宋体"/>
                <w:sz w:val="18"/>
                <w:szCs w:val="18"/>
              </w:rPr>
            </w:pPr>
            <w:r>
              <w:rPr>
                <w:rFonts w:hint="eastAsia" w:ascii="宋体" w:cs="宋体"/>
                <w:sz w:val="18"/>
                <w:szCs w:val="18"/>
              </w:rPr>
              <w:t>负责人民调解、法治政府、执法监督、扶贫帮扶、中央转移支付业务经费、中央转移支付装备经费等工作。</w:t>
            </w:r>
          </w:p>
          <w:p>
            <w:pPr>
              <w:widowControl/>
              <w:spacing w:line="320" w:lineRule="exact"/>
              <w:jc w:val="left"/>
              <w:textAlignment w:val="top"/>
              <w:rPr>
                <w:rFonts w:ascii="宋体" w:hAnsi="宋体" w:cs="宋体"/>
                <w:sz w:val="18"/>
                <w:szCs w:val="18"/>
              </w:rPr>
            </w:pPr>
          </w:p>
        </w:tc>
      </w:tr>
      <w:tr>
        <w:tblPrEx>
          <w:tblCellMar>
            <w:top w:w="0" w:type="dxa"/>
            <w:left w:w="108" w:type="dxa"/>
            <w:bottom w:w="0" w:type="dxa"/>
            <w:right w:w="108" w:type="dxa"/>
          </w:tblCellMar>
        </w:tblPrEx>
        <w:trPr>
          <w:gridAfter w:val="1"/>
          <w:wAfter w:w="236" w:type="dxa"/>
          <w:trHeight w:val="693" w:hRule="atLeast"/>
        </w:trPr>
        <w:tc>
          <w:tcPr>
            <w:tcW w:w="1976" w:type="dxa"/>
            <w:vMerge w:val="restart"/>
            <w:tcBorders>
              <w:top w:val="single" w:color="000000" w:sz="4" w:space="0"/>
              <w:left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年度绩效指标完成情况</w:t>
            </w:r>
          </w:p>
        </w:tc>
        <w:tc>
          <w:tcPr>
            <w:tcW w:w="1142" w:type="dxa"/>
            <w:tcBorders>
              <w:top w:val="single" w:color="000000" w:sz="4" w:space="0"/>
              <w:left w:val="nil"/>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一级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二级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三级</w:t>
            </w:r>
          </w:p>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预期指标值</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实际完成指标值</w:t>
            </w:r>
          </w:p>
        </w:tc>
      </w:tr>
      <w:tr>
        <w:tblPrEx>
          <w:tblCellMar>
            <w:top w:w="0" w:type="dxa"/>
            <w:left w:w="108" w:type="dxa"/>
            <w:bottom w:w="0" w:type="dxa"/>
            <w:right w:w="108" w:type="dxa"/>
          </w:tblCellMar>
        </w:tblPrEx>
        <w:trPr>
          <w:gridAfter w:val="1"/>
          <w:wAfter w:w="236" w:type="dxa"/>
          <w:trHeight w:val="497"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完成</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vMerge w:val="restart"/>
            <w:tcBorders>
              <w:top w:val="single" w:color="000000" w:sz="4" w:space="0"/>
              <w:left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数量指标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人民调解（人次）</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每年≥50次</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每年≥50次</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left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lang w:bidi="ar"/>
              </w:rPr>
            </w:pPr>
          </w:p>
        </w:tc>
        <w:tc>
          <w:tcPr>
            <w:tcW w:w="1635" w:type="dxa"/>
            <w:vMerge w:val="continue"/>
            <w:tcBorders>
              <w:left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lang w:bidi="ar"/>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cs="宋体"/>
                <w:kern w:val="0"/>
                <w:sz w:val="22"/>
                <w:szCs w:val="22"/>
                <w:lang w:bidi="ar"/>
              </w:rPr>
            </w:pPr>
            <w:r>
              <w:rPr>
                <w:rFonts w:hint="eastAsia" w:ascii="宋体" w:hAnsi="宋体"/>
                <w:kern w:val="0"/>
                <w:sz w:val="18"/>
                <w:szCs w:val="18"/>
              </w:rPr>
              <w:t>刑释解矫人员“必接必管”</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cs="宋体"/>
                <w:kern w:val="0"/>
                <w:sz w:val="22"/>
                <w:szCs w:val="22"/>
                <w:lang w:bidi="ar"/>
              </w:rPr>
            </w:pPr>
            <w:r>
              <w:rPr>
                <w:rFonts w:hint="eastAsia" w:ascii="宋体" w:hAnsi="宋体"/>
                <w:kern w:val="0"/>
                <w:sz w:val="18"/>
                <w:szCs w:val="18"/>
              </w:rPr>
              <w:t>按在册人数100%接管</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cs="宋体"/>
                <w:sz w:val="22"/>
                <w:szCs w:val="22"/>
              </w:rPr>
            </w:pPr>
            <w:r>
              <w:rPr>
                <w:rFonts w:hint="eastAsia" w:ascii="宋体" w:hAnsi="宋体"/>
                <w:kern w:val="0"/>
                <w:sz w:val="18"/>
                <w:szCs w:val="18"/>
              </w:rPr>
              <w:t>刑释解矫人员“必接必管”</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left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lang w:bidi="ar"/>
              </w:rPr>
            </w:pPr>
          </w:p>
        </w:tc>
        <w:tc>
          <w:tcPr>
            <w:tcW w:w="1635" w:type="dxa"/>
            <w:vMerge w:val="continue"/>
            <w:tcBorders>
              <w:left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lang w:bidi="ar"/>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办理法律援助案件</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≥160件</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≥160件</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left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kern w:val="0"/>
                <w:sz w:val="28"/>
                <w:szCs w:val="28"/>
                <w:lang w:bidi="ar"/>
              </w:rPr>
            </w:pPr>
          </w:p>
        </w:tc>
        <w:tc>
          <w:tcPr>
            <w:tcW w:w="1635" w:type="dxa"/>
            <w:vMerge w:val="continue"/>
            <w:tcBorders>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lang w:bidi="ar"/>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法律顾问工作人员覆盖率(%)</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乡镇及县级部门覆盖率达100%</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乡镇及县级部门覆盖率达100%</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vMerge w:val="restart"/>
            <w:tcBorders>
              <w:top w:val="single" w:color="000000" w:sz="4" w:space="0"/>
              <w:left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质量指标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案件结案率</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≥95%</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≥95%</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vMerge w:val="continue"/>
            <w:tcBorders>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lang w:bidi="ar"/>
              </w:rPr>
            </w:pP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cs="宋体"/>
                <w:sz w:val="22"/>
                <w:szCs w:val="22"/>
              </w:rPr>
            </w:pPr>
            <w:r>
              <w:rPr>
                <w:rFonts w:hint="eastAsia" w:ascii="宋体" w:hAnsi="宋体"/>
                <w:kern w:val="0"/>
                <w:sz w:val="18"/>
                <w:szCs w:val="18"/>
              </w:rPr>
              <w:t>建立档案登记制度</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cs="宋体"/>
                <w:sz w:val="22"/>
                <w:szCs w:val="22"/>
              </w:rPr>
            </w:pPr>
            <w:r>
              <w:rPr>
                <w:rFonts w:hint="eastAsia" w:ascii="宋体" w:hAnsi="宋体"/>
                <w:kern w:val="0"/>
                <w:sz w:val="18"/>
                <w:szCs w:val="18"/>
              </w:rPr>
              <w:t>每人一档，建档率达到100%</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cs="宋体"/>
                <w:sz w:val="22"/>
                <w:szCs w:val="22"/>
              </w:rPr>
            </w:pPr>
            <w:r>
              <w:rPr>
                <w:rFonts w:hint="eastAsia" w:ascii="宋体" w:hAnsi="宋体"/>
                <w:kern w:val="0"/>
                <w:sz w:val="18"/>
                <w:szCs w:val="18"/>
              </w:rPr>
              <w:t>建立档案登记制度</w:t>
            </w:r>
          </w:p>
        </w:tc>
      </w:tr>
      <w:tr>
        <w:tblPrEx>
          <w:tblCellMar>
            <w:top w:w="0" w:type="dxa"/>
            <w:left w:w="108" w:type="dxa"/>
            <w:bottom w:w="0" w:type="dxa"/>
            <w:right w:w="108" w:type="dxa"/>
          </w:tblCellMar>
        </w:tblPrEx>
        <w:trPr>
          <w:gridAfter w:val="1"/>
          <w:wAfter w:w="236" w:type="dxa"/>
          <w:trHeight w:val="415"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时效指标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按时完成评估、人员接收、报到</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按法律规定时效</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按法律规定时效</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成本指标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项目专项经费控制数</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162.72万元</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kern w:val="0"/>
                <w:sz w:val="18"/>
                <w:szCs w:val="18"/>
              </w:rPr>
            </w:pPr>
            <w:r>
              <w:rPr>
                <w:rFonts w:hint="eastAsia" w:ascii="宋体" w:hAnsi="宋体" w:cs="宋体"/>
                <w:kern w:val="0"/>
                <w:sz w:val="18"/>
                <w:szCs w:val="18"/>
                <w:lang w:bidi="ar"/>
              </w:rPr>
              <w:t>162.72万元</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bottom"/>
              <w:rPr>
                <w:rFonts w:hint="eastAsia" w:ascii="仿宋_GB2312" w:hAnsi="仿宋_GB2312" w:eastAsia="仿宋_GB2312" w:cs="仿宋_GB2312"/>
                <w:kern w:val="0"/>
                <w:sz w:val="28"/>
                <w:szCs w:val="28"/>
                <w:lang w:eastAsia="zh-CN" w:bidi="ar"/>
              </w:rPr>
            </w:pPr>
            <w:r>
              <w:rPr>
                <w:rFonts w:hint="eastAsia" w:ascii="仿宋_GB2312" w:hAnsi="仿宋_GB2312" w:eastAsia="仿宋_GB2312" w:cs="仿宋_GB2312"/>
                <w:kern w:val="0"/>
                <w:sz w:val="28"/>
                <w:szCs w:val="28"/>
                <w:lang w:bidi="ar"/>
              </w:rPr>
              <w:t>效益</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提升政府法治建设能力</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有效化解矛盾纠纷，降低群体性事件的发生</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提升政府法治建设能力</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提升政府法治建设能力</w:t>
            </w:r>
          </w:p>
        </w:tc>
      </w:tr>
      <w:tr>
        <w:tblPrEx>
          <w:tblCellMar>
            <w:top w:w="0" w:type="dxa"/>
            <w:left w:w="108" w:type="dxa"/>
            <w:bottom w:w="0" w:type="dxa"/>
            <w:right w:w="108" w:type="dxa"/>
          </w:tblCellMar>
        </w:tblPrEx>
        <w:trPr>
          <w:gridAfter w:val="1"/>
          <w:wAfter w:w="236" w:type="dxa"/>
          <w:trHeight w:val="480"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ind w:left="463" w:leftChars="87" w:hanging="280" w:hangingChars="100"/>
              <w:jc w:val="left"/>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生态效益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cs="宋体"/>
                <w:kern w:val="0"/>
                <w:sz w:val="18"/>
                <w:szCs w:val="18"/>
                <w:lang w:bidi="ar"/>
              </w:rPr>
            </w:pPr>
            <w:r>
              <w:rPr>
                <w:rFonts w:hint="eastAsia" w:ascii="宋体" w:hAnsi="宋体"/>
                <w:kern w:val="0"/>
                <w:sz w:val="18"/>
                <w:szCs w:val="18"/>
              </w:rPr>
              <w:t>矛盾纠纷化解率</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cs="宋体"/>
                <w:sz w:val="18"/>
                <w:szCs w:val="18"/>
              </w:rPr>
            </w:pPr>
            <w:r>
              <w:rPr>
                <w:rFonts w:hint="eastAsia" w:ascii="宋体" w:hAnsi="宋体"/>
                <w:kern w:val="0"/>
                <w:sz w:val="18"/>
                <w:szCs w:val="18"/>
              </w:rPr>
              <w:t>≥95%</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cs="宋体"/>
                <w:sz w:val="18"/>
                <w:szCs w:val="18"/>
              </w:rPr>
            </w:pPr>
            <w:r>
              <w:rPr>
                <w:rFonts w:hint="eastAsia" w:ascii="宋体" w:hAnsi="宋体"/>
                <w:kern w:val="0"/>
                <w:sz w:val="18"/>
                <w:szCs w:val="18"/>
              </w:rPr>
              <w:t>矛盾纠纷化解率</w:t>
            </w:r>
          </w:p>
        </w:tc>
      </w:tr>
      <w:tr>
        <w:tblPrEx>
          <w:tblCellMar>
            <w:top w:w="0" w:type="dxa"/>
            <w:left w:w="108" w:type="dxa"/>
            <w:bottom w:w="0" w:type="dxa"/>
            <w:right w:w="108" w:type="dxa"/>
          </w:tblCellMar>
        </w:tblPrEx>
        <w:trPr>
          <w:gridAfter w:val="1"/>
          <w:wAfter w:w="236" w:type="dxa"/>
          <w:trHeight w:val="772" w:hRule="atLeast"/>
        </w:trPr>
        <w:tc>
          <w:tcPr>
            <w:tcW w:w="1976" w:type="dxa"/>
            <w:vMerge w:val="continue"/>
            <w:tcBorders>
              <w:left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spacing w:line="320" w:lineRule="exact"/>
              <w:jc w:val="center"/>
              <w:rPr>
                <w:rFonts w:ascii="仿宋_GB2312" w:hAnsi="仿宋_GB2312" w:eastAsia="仿宋_GB2312" w:cs="仿宋_GB2312"/>
                <w:sz w:val="28"/>
                <w:szCs w:val="28"/>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可持续影响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cs="宋体"/>
                <w:kern w:val="0"/>
                <w:sz w:val="18"/>
                <w:szCs w:val="18"/>
                <w:lang w:bidi="ar"/>
              </w:rPr>
            </w:pPr>
            <w:r>
              <w:rPr>
                <w:rFonts w:hint="eastAsia" w:ascii="宋体" w:hAnsi="宋体"/>
                <w:kern w:val="0"/>
                <w:sz w:val="18"/>
                <w:szCs w:val="18"/>
              </w:rPr>
              <w:t>控制重新犯罪率</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cs="宋体"/>
                <w:sz w:val="18"/>
                <w:szCs w:val="18"/>
              </w:rPr>
            </w:pPr>
            <w:r>
              <w:rPr>
                <w:rFonts w:hint="eastAsia" w:ascii="宋体" w:hAnsi="宋体"/>
                <w:kern w:val="0"/>
                <w:sz w:val="18"/>
                <w:szCs w:val="18"/>
              </w:rPr>
              <w:t>≦0.5%</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cs="宋体"/>
                <w:sz w:val="18"/>
                <w:szCs w:val="18"/>
              </w:rPr>
            </w:pPr>
            <w:r>
              <w:rPr>
                <w:rFonts w:hint="eastAsia" w:ascii="宋体" w:hAnsi="宋体"/>
                <w:kern w:val="0"/>
                <w:sz w:val="18"/>
                <w:szCs w:val="18"/>
              </w:rPr>
              <w:t>控制重新犯罪率</w:t>
            </w:r>
          </w:p>
        </w:tc>
      </w:tr>
      <w:tr>
        <w:tblPrEx>
          <w:tblCellMar>
            <w:top w:w="0" w:type="dxa"/>
            <w:left w:w="108" w:type="dxa"/>
            <w:bottom w:w="0" w:type="dxa"/>
            <w:right w:w="108" w:type="dxa"/>
          </w:tblCellMar>
        </w:tblPrEx>
        <w:trPr>
          <w:gridAfter w:val="1"/>
          <w:wAfter w:w="236" w:type="dxa"/>
          <w:trHeight w:val="772" w:hRule="atLeast"/>
        </w:trPr>
        <w:tc>
          <w:tcPr>
            <w:tcW w:w="1976" w:type="dxa"/>
            <w:vMerge w:val="continue"/>
            <w:tcBorders>
              <w:left w:val="single" w:color="000000" w:sz="4" w:space="0"/>
              <w:bottom w:val="single" w:color="000000" w:sz="4" w:space="0"/>
              <w:right w:val="single" w:color="000000" w:sz="4" w:space="0"/>
            </w:tcBorders>
            <w:shd w:val="clear" w:color="auto" w:fill="auto"/>
            <w:vAlign w:val="center"/>
          </w:tcPr>
          <w:p>
            <w:pPr>
              <w:spacing w:line="320" w:lineRule="exact"/>
              <w:jc w:val="center"/>
              <w:rPr>
                <w:rFonts w:ascii="仿宋_GB2312" w:hAnsi="仿宋_GB2312" w:eastAsia="仿宋_GB2312" w:cs="仿宋_GB2312"/>
                <w:sz w:val="28"/>
                <w:szCs w:val="28"/>
              </w:rPr>
            </w:pPr>
          </w:p>
        </w:tc>
        <w:tc>
          <w:tcPr>
            <w:tcW w:w="1142"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hint="eastAsia" w:ascii="仿宋_GB2312" w:hAnsi="仿宋_GB2312" w:eastAsia="仿宋_GB2312" w:cs="仿宋_GB2312"/>
                <w:kern w:val="0"/>
                <w:sz w:val="28"/>
                <w:szCs w:val="28"/>
                <w:lang w:eastAsia="zh-CN" w:bidi="ar"/>
              </w:rPr>
            </w:pPr>
            <w:r>
              <w:rPr>
                <w:rFonts w:hint="eastAsia" w:ascii="仿宋_GB2312" w:hAnsi="仿宋_GB2312" w:eastAsia="仿宋_GB2312" w:cs="仿宋_GB2312"/>
                <w:kern w:val="0"/>
                <w:sz w:val="28"/>
                <w:szCs w:val="28"/>
                <w:lang w:bidi="ar"/>
              </w:rPr>
              <w:t>满意</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度指标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spacing w:line="320" w:lineRule="exact"/>
              <w:jc w:val="center"/>
              <w:textAlignment w:val="bottom"/>
              <w:rPr>
                <w:rFonts w:ascii="仿宋_GB2312" w:hAnsi="仿宋_GB2312" w:eastAsia="仿宋_GB2312" w:cs="仿宋_GB2312"/>
                <w:kern w:val="0"/>
                <w:sz w:val="28"/>
                <w:szCs w:val="28"/>
                <w:lang w:bidi="ar"/>
              </w:rPr>
            </w:pPr>
            <w:r>
              <w:rPr>
                <w:rFonts w:hint="eastAsia" w:ascii="仿宋_GB2312" w:hAnsi="仿宋_GB2312" w:eastAsia="仿宋_GB2312" w:cs="仿宋_GB2312"/>
                <w:kern w:val="0"/>
                <w:sz w:val="28"/>
                <w:szCs w:val="28"/>
                <w:lang w:bidi="ar"/>
              </w:rPr>
              <w:t>满意度</w:t>
            </w:r>
          </w:p>
          <w:p>
            <w:pPr>
              <w:widowControl/>
              <w:spacing w:line="320" w:lineRule="exact"/>
              <w:jc w:val="center"/>
              <w:textAlignment w:val="bottom"/>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服务对象满意率</w:t>
            </w:r>
          </w:p>
        </w:tc>
        <w:tc>
          <w:tcPr>
            <w:tcW w:w="142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≥85%</w:t>
            </w:r>
          </w:p>
        </w:tc>
        <w:tc>
          <w:tcPr>
            <w:tcW w:w="221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napToGrid w:val="0"/>
              <w:spacing w:line="320" w:lineRule="atLeast"/>
              <w:jc w:val="center"/>
              <w:textAlignment w:val="center"/>
              <w:rPr>
                <w:rFonts w:ascii="宋体" w:hAnsi="宋体"/>
                <w:kern w:val="0"/>
                <w:sz w:val="18"/>
                <w:szCs w:val="18"/>
              </w:rPr>
            </w:pPr>
            <w:r>
              <w:rPr>
                <w:rFonts w:hint="eastAsia" w:ascii="宋体" w:hAnsi="宋体"/>
                <w:kern w:val="0"/>
                <w:sz w:val="18"/>
                <w:szCs w:val="18"/>
              </w:rPr>
              <w:t>≥85%</w:t>
            </w:r>
          </w:p>
        </w:tc>
      </w:tr>
    </w:tbl>
    <w:p>
      <w:pPr>
        <w:adjustRightInd w:val="0"/>
        <w:snapToGrid w:val="0"/>
        <w:spacing w:line="600" w:lineRule="exact"/>
        <w:ind w:firstLine="720"/>
        <w:rPr>
          <w:rFonts w:ascii="黑体" w:hAnsi="宋体" w:eastAsia="黑体"/>
          <w:sz w:val="32"/>
          <w:szCs w:val="32"/>
        </w:rPr>
      </w:pPr>
    </w:p>
    <w:p>
      <w:pPr>
        <w:spacing w:line="600" w:lineRule="exact"/>
        <w:jc w:val="center"/>
        <w:outlineLvl w:val="0"/>
        <w:rPr>
          <w:rFonts w:ascii="仿宋" w:hAnsi="仿宋" w:eastAsia="仿宋"/>
        </w:rPr>
      </w:pPr>
      <w:r>
        <w:rPr>
          <w:rFonts w:hint="eastAsia" w:ascii="黑体" w:hAnsi="黑体" w:eastAsia="黑体"/>
          <w:sz w:val="44"/>
          <w:szCs w:val="44"/>
        </w:rPr>
        <w:t>第</w:t>
      </w:r>
      <w:r>
        <w:rPr>
          <w:rStyle w:val="26"/>
          <w:rFonts w:hint="eastAsia" w:ascii="黑体" w:hAnsi="黑体" w:eastAsia="黑体"/>
          <w:b w:val="0"/>
        </w:rPr>
        <w:t>五部分 附表</w:t>
      </w:r>
      <w:bookmarkEnd w:id="58"/>
      <w:bookmarkEnd w:id="59"/>
      <w:bookmarkStart w:id="60" w:name="_Toc15396619"/>
    </w:p>
    <w:p>
      <w:pPr>
        <w:pStyle w:val="4"/>
        <w:rPr>
          <w:rFonts w:ascii="仿宋" w:hAnsi="仿宋" w:eastAsia="仿宋"/>
        </w:rPr>
      </w:pPr>
      <w:r>
        <w:rPr>
          <w:rFonts w:hint="eastAsia" w:ascii="仿宋" w:hAnsi="仿宋" w:eastAsia="仿宋"/>
          <w:b w:val="0"/>
        </w:rPr>
        <w:t>一、收</w:t>
      </w:r>
      <w:r>
        <w:rPr>
          <w:rStyle w:val="27"/>
          <w:rFonts w:hint="eastAsia" w:ascii="仿宋" w:hAnsi="仿宋" w:eastAsia="仿宋"/>
          <w:b w:val="0"/>
          <w:bCs w:val="0"/>
        </w:rPr>
        <w:t>入支出决算总表</w:t>
      </w:r>
      <w:bookmarkEnd w:id="60"/>
    </w:p>
    <w:p>
      <w:pPr>
        <w:pStyle w:val="4"/>
        <w:rPr>
          <w:rFonts w:ascii="仿宋" w:hAnsi="仿宋" w:eastAsia="仿宋"/>
        </w:rPr>
      </w:pPr>
      <w:bookmarkStart w:id="61" w:name="_Toc15396620"/>
      <w:r>
        <w:rPr>
          <w:rFonts w:hint="eastAsia" w:ascii="仿宋" w:hAnsi="仿宋" w:eastAsia="仿宋"/>
          <w:b w:val="0"/>
        </w:rPr>
        <w:t>二、收</w:t>
      </w:r>
      <w:r>
        <w:rPr>
          <w:rStyle w:val="27"/>
          <w:rFonts w:hint="eastAsia" w:ascii="仿宋" w:hAnsi="仿宋" w:eastAsia="仿宋"/>
          <w:b w:val="0"/>
          <w:bCs w:val="0"/>
        </w:rPr>
        <w:t>入决算表</w:t>
      </w:r>
      <w:bookmarkEnd w:id="61"/>
    </w:p>
    <w:p>
      <w:pPr>
        <w:pStyle w:val="4"/>
        <w:rPr>
          <w:rFonts w:ascii="仿宋" w:hAnsi="仿宋" w:eastAsia="仿宋"/>
        </w:rPr>
      </w:pPr>
      <w:bookmarkStart w:id="62" w:name="_Toc15396621"/>
      <w:r>
        <w:rPr>
          <w:rStyle w:val="27"/>
          <w:rFonts w:hint="eastAsia" w:ascii="仿宋" w:hAnsi="仿宋" w:eastAsia="仿宋"/>
          <w:b w:val="0"/>
          <w:bCs w:val="0"/>
        </w:rPr>
        <w:t>三、</w:t>
      </w:r>
      <w:r>
        <w:rPr>
          <w:rFonts w:hint="eastAsia" w:ascii="仿宋" w:hAnsi="仿宋" w:eastAsia="仿宋"/>
          <w:b w:val="0"/>
        </w:rPr>
        <w:t>支</w:t>
      </w:r>
      <w:r>
        <w:rPr>
          <w:rStyle w:val="27"/>
          <w:rFonts w:hint="eastAsia" w:ascii="仿宋" w:hAnsi="仿宋" w:eastAsia="仿宋"/>
          <w:b w:val="0"/>
          <w:bCs w:val="0"/>
        </w:rPr>
        <w:t>出决算表</w:t>
      </w:r>
      <w:bookmarkEnd w:id="62"/>
    </w:p>
    <w:p>
      <w:pPr>
        <w:pStyle w:val="4"/>
        <w:rPr>
          <w:rFonts w:ascii="仿宋" w:hAnsi="仿宋" w:eastAsia="仿宋"/>
          <w:b w:val="0"/>
        </w:rPr>
      </w:pPr>
      <w:bookmarkStart w:id="63" w:name="_Toc15396622"/>
      <w:r>
        <w:rPr>
          <w:rStyle w:val="27"/>
          <w:rFonts w:hint="eastAsia" w:ascii="仿宋" w:hAnsi="仿宋" w:eastAsia="仿宋"/>
          <w:b w:val="0"/>
          <w:bCs w:val="0"/>
        </w:rPr>
        <w:t>四、</w:t>
      </w:r>
      <w:r>
        <w:rPr>
          <w:rFonts w:hint="eastAsia" w:ascii="仿宋" w:hAnsi="仿宋" w:eastAsia="仿宋"/>
          <w:b w:val="0"/>
        </w:rPr>
        <w:t>财</w:t>
      </w:r>
      <w:r>
        <w:rPr>
          <w:rStyle w:val="27"/>
          <w:rFonts w:hint="eastAsia" w:ascii="仿宋" w:hAnsi="仿宋" w:eastAsia="仿宋"/>
          <w:b w:val="0"/>
          <w:bCs w:val="0"/>
        </w:rPr>
        <w:t>政拨款收入支出决算总表</w:t>
      </w:r>
      <w:bookmarkEnd w:id="63"/>
    </w:p>
    <w:p>
      <w:pPr>
        <w:pStyle w:val="4"/>
        <w:rPr>
          <w:rStyle w:val="27"/>
          <w:rFonts w:ascii="仿宋" w:hAnsi="仿宋" w:eastAsia="仿宋"/>
          <w:b w:val="0"/>
          <w:bCs w:val="0"/>
        </w:rPr>
      </w:pPr>
      <w:bookmarkStart w:id="64" w:name="_Toc15396623"/>
      <w:r>
        <w:rPr>
          <w:rStyle w:val="27"/>
          <w:rFonts w:hint="eastAsia" w:ascii="仿宋" w:hAnsi="仿宋" w:eastAsia="仿宋"/>
          <w:b w:val="0"/>
          <w:bCs w:val="0"/>
        </w:rPr>
        <w:t>五、</w:t>
      </w:r>
      <w:r>
        <w:rPr>
          <w:rFonts w:hint="eastAsia" w:ascii="仿宋" w:hAnsi="仿宋" w:eastAsia="仿宋"/>
          <w:b w:val="0"/>
        </w:rPr>
        <w:t>财</w:t>
      </w:r>
      <w:r>
        <w:rPr>
          <w:rStyle w:val="27"/>
          <w:rFonts w:hint="eastAsia" w:ascii="仿宋" w:hAnsi="仿宋" w:eastAsia="仿宋"/>
          <w:b w:val="0"/>
          <w:bCs w:val="0"/>
        </w:rPr>
        <w:t>政拨款支出决算明细表</w:t>
      </w:r>
      <w:bookmarkEnd w:id="64"/>
      <w:bookmarkStart w:id="65" w:name="_Toc15396624"/>
    </w:p>
    <w:p>
      <w:pPr>
        <w:pStyle w:val="4"/>
        <w:rPr>
          <w:rFonts w:ascii="仿宋" w:hAnsi="仿宋" w:eastAsia="仿宋"/>
        </w:rPr>
      </w:pPr>
      <w:r>
        <w:rPr>
          <w:rStyle w:val="27"/>
          <w:rFonts w:hint="eastAsia" w:ascii="仿宋" w:hAnsi="仿宋" w:eastAsia="仿宋"/>
          <w:b w:val="0"/>
          <w:bCs w:val="0"/>
        </w:rPr>
        <w:t>六、</w:t>
      </w:r>
      <w:r>
        <w:rPr>
          <w:rFonts w:hint="eastAsia" w:ascii="仿宋" w:hAnsi="仿宋" w:eastAsia="仿宋"/>
          <w:b w:val="0"/>
        </w:rPr>
        <w:t>一</w:t>
      </w:r>
      <w:r>
        <w:rPr>
          <w:rStyle w:val="27"/>
          <w:rFonts w:hint="eastAsia" w:ascii="仿宋" w:hAnsi="仿宋" w:eastAsia="仿宋"/>
          <w:b w:val="0"/>
          <w:bCs w:val="0"/>
        </w:rPr>
        <w:t>般公共预算财政拨款支出决算表</w:t>
      </w:r>
      <w:bookmarkEnd w:id="65"/>
    </w:p>
    <w:p>
      <w:pPr>
        <w:pStyle w:val="4"/>
        <w:rPr>
          <w:rFonts w:ascii="仿宋" w:hAnsi="仿宋" w:eastAsia="仿宋"/>
        </w:rPr>
      </w:pPr>
      <w:bookmarkStart w:id="66" w:name="_Toc15396625"/>
      <w:r>
        <w:rPr>
          <w:rStyle w:val="27"/>
          <w:rFonts w:hint="eastAsia" w:ascii="仿宋" w:hAnsi="仿宋" w:eastAsia="仿宋"/>
          <w:b w:val="0"/>
          <w:bCs w:val="0"/>
        </w:rPr>
        <w:t>七、</w:t>
      </w:r>
      <w:r>
        <w:rPr>
          <w:rFonts w:hint="eastAsia" w:ascii="仿宋" w:hAnsi="仿宋" w:eastAsia="仿宋"/>
          <w:b w:val="0"/>
        </w:rPr>
        <w:t>一</w:t>
      </w:r>
      <w:r>
        <w:rPr>
          <w:rStyle w:val="27"/>
          <w:rFonts w:hint="eastAsia" w:ascii="仿宋" w:hAnsi="仿宋" w:eastAsia="仿宋"/>
          <w:b w:val="0"/>
          <w:bCs w:val="0"/>
        </w:rPr>
        <w:t>般公共预算财政拨款支出决算明细表</w:t>
      </w:r>
      <w:bookmarkEnd w:id="66"/>
    </w:p>
    <w:p>
      <w:pPr>
        <w:pStyle w:val="4"/>
        <w:rPr>
          <w:rFonts w:ascii="仿宋" w:hAnsi="仿宋" w:eastAsia="仿宋"/>
        </w:rPr>
      </w:pPr>
      <w:bookmarkStart w:id="67" w:name="_Toc15396626"/>
      <w:r>
        <w:rPr>
          <w:rStyle w:val="27"/>
          <w:rFonts w:hint="eastAsia" w:ascii="仿宋" w:hAnsi="仿宋" w:eastAsia="仿宋"/>
          <w:b w:val="0"/>
          <w:bCs w:val="0"/>
        </w:rPr>
        <w:t>八、</w:t>
      </w:r>
      <w:r>
        <w:rPr>
          <w:rFonts w:hint="eastAsia" w:ascii="仿宋" w:hAnsi="仿宋" w:eastAsia="仿宋"/>
          <w:b w:val="0"/>
        </w:rPr>
        <w:t>一</w:t>
      </w:r>
      <w:r>
        <w:rPr>
          <w:rStyle w:val="27"/>
          <w:rFonts w:hint="eastAsia" w:ascii="仿宋" w:hAnsi="仿宋" w:eastAsia="仿宋"/>
          <w:b w:val="0"/>
          <w:bCs w:val="0"/>
        </w:rPr>
        <w:t>般公共预算财政拨款基本支出决算表</w:t>
      </w:r>
      <w:bookmarkEnd w:id="67"/>
    </w:p>
    <w:p>
      <w:pPr>
        <w:pStyle w:val="4"/>
        <w:rPr>
          <w:rFonts w:ascii="仿宋" w:hAnsi="仿宋" w:eastAsia="仿宋"/>
        </w:rPr>
      </w:pPr>
      <w:bookmarkStart w:id="68" w:name="_Toc15396627"/>
      <w:r>
        <w:rPr>
          <w:rStyle w:val="27"/>
          <w:rFonts w:hint="eastAsia" w:ascii="仿宋" w:hAnsi="仿宋" w:eastAsia="仿宋"/>
          <w:b w:val="0"/>
          <w:bCs w:val="0"/>
        </w:rPr>
        <w:t>九、</w:t>
      </w:r>
      <w:r>
        <w:rPr>
          <w:rFonts w:hint="eastAsia" w:ascii="仿宋" w:hAnsi="仿宋" w:eastAsia="仿宋"/>
          <w:b w:val="0"/>
        </w:rPr>
        <w:t>一</w:t>
      </w:r>
      <w:r>
        <w:rPr>
          <w:rStyle w:val="27"/>
          <w:rFonts w:hint="eastAsia" w:ascii="仿宋" w:hAnsi="仿宋" w:eastAsia="仿宋"/>
          <w:b w:val="0"/>
          <w:bCs w:val="0"/>
        </w:rPr>
        <w:t>般公共预算财政拨款项目支出决算表</w:t>
      </w:r>
      <w:bookmarkEnd w:id="68"/>
    </w:p>
    <w:p>
      <w:pPr>
        <w:pStyle w:val="4"/>
        <w:rPr>
          <w:rFonts w:ascii="仿宋" w:hAnsi="仿宋" w:eastAsia="仿宋"/>
        </w:rPr>
      </w:pPr>
      <w:bookmarkStart w:id="69" w:name="_Toc15396628"/>
      <w:r>
        <w:rPr>
          <w:rStyle w:val="27"/>
          <w:rFonts w:hint="eastAsia" w:ascii="仿宋" w:hAnsi="仿宋" w:eastAsia="仿宋"/>
          <w:b w:val="0"/>
          <w:bCs w:val="0"/>
        </w:rPr>
        <w:t>十、</w:t>
      </w:r>
      <w:r>
        <w:rPr>
          <w:rFonts w:hint="eastAsia" w:ascii="仿宋" w:hAnsi="仿宋" w:eastAsia="仿宋"/>
          <w:b w:val="0"/>
        </w:rPr>
        <w:t>一</w:t>
      </w:r>
      <w:r>
        <w:rPr>
          <w:rStyle w:val="27"/>
          <w:rFonts w:hint="eastAsia" w:ascii="仿宋" w:hAnsi="仿宋" w:eastAsia="仿宋"/>
          <w:b w:val="0"/>
          <w:bCs w:val="0"/>
        </w:rPr>
        <w:t>般公共预算财政拨款“三公”经费支出决算表</w:t>
      </w:r>
      <w:bookmarkEnd w:id="69"/>
    </w:p>
    <w:p>
      <w:pPr>
        <w:pStyle w:val="4"/>
        <w:rPr>
          <w:rFonts w:ascii="仿宋" w:hAnsi="仿宋" w:eastAsia="仿宋"/>
        </w:rPr>
      </w:pPr>
      <w:bookmarkStart w:id="70" w:name="_Toc15396629"/>
      <w:r>
        <w:rPr>
          <w:rStyle w:val="27"/>
          <w:rFonts w:hint="eastAsia" w:ascii="仿宋" w:hAnsi="仿宋" w:eastAsia="仿宋"/>
          <w:b w:val="0"/>
          <w:bCs w:val="0"/>
        </w:rPr>
        <w:t>十一、</w:t>
      </w:r>
      <w:r>
        <w:rPr>
          <w:rFonts w:hint="eastAsia" w:ascii="仿宋" w:hAnsi="仿宋" w:eastAsia="仿宋"/>
          <w:b w:val="0"/>
        </w:rPr>
        <w:t>政</w:t>
      </w:r>
      <w:r>
        <w:rPr>
          <w:rStyle w:val="27"/>
          <w:rFonts w:hint="eastAsia" w:ascii="仿宋" w:hAnsi="仿宋" w:eastAsia="仿宋"/>
          <w:b w:val="0"/>
          <w:bCs w:val="0"/>
        </w:rPr>
        <w:t>府性基金预算财政拨款收入支出决算表</w:t>
      </w:r>
      <w:bookmarkEnd w:id="70"/>
    </w:p>
    <w:p>
      <w:pPr>
        <w:pStyle w:val="4"/>
        <w:rPr>
          <w:rFonts w:ascii="仿宋" w:hAnsi="仿宋" w:eastAsia="仿宋"/>
        </w:rPr>
      </w:pPr>
      <w:bookmarkStart w:id="71" w:name="_Toc15396630"/>
      <w:r>
        <w:rPr>
          <w:rStyle w:val="27"/>
          <w:rFonts w:hint="eastAsia" w:ascii="仿宋" w:hAnsi="仿宋" w:eastAsia="仿宋"/>
          <w:b w:val="0"/>
          <w:bCs w:val="0"/>
        </w:rPr>
        <w:t>十二、</w:t>
      </w:r>
      <w:r>
        <w:rPr>
          <w:rFonts w:hint="eastAsia" w:ascii="仿宋" w:hAnsi="仿宋" w:eastAsia="仿宋"/>
          <w:b w:val="0"/>
        </w:rPr>
        <w:t>政</w:t>
      </w:r>
      <w:r>
        <w:rPr>
          <w:rStyle w:val="27"/>
          <w:rFonts w:hint="eastAsia" w:ascii="仿宋" w:hAnsi="仿宋" w:eastAsia="仿宋"/>
          <w:b w:val="0"/>
          <w:bCs w:val="0"/>
        </w:rPr>
        <w:t>府性基金预算财政拨款“三公”经费支出决算表</w:t>
      </w:r>
      <w:bookmarkEnd w:id="71"/>
    </w:p>
    <w:p>
      <w:pPr>
        <w:pStyle w:val="4"/>
        <w:rPr>
          <w:rStyle w:val="27"/>
          <w:rFonts w:ascii="仿宋" w:hAnsi="仿宋" w:eastAsia="仿宋"/>
          <w:b w:val="0"/>
          <w:bCs w:val="0"/>
        </w:rPr>
      </w:pPr>
      <w:bookmarkStart w:id="72" w:name="_Toc15396631"/>
      <w:r>
        <w:rPr>
          <w:rStyle w:val="27"/>
          <w:rFonts w:hint="eastAsia" w:ascii="仿宋" w:hAnsi="仿宋" w:eastAsia="仿宋"/>
          <w:b w:val="0"/>
          <w:bCs w:val="0"/>
        </w:rPr>
        <w:t>十三、</w:t>
      </w:r>
      <w:r>
        <w:rPr>
          <w:rFonts w:hint="eastAsia" w:ascii="仿宋" w:hAnsi="仿宋" w:eastAsia="仿宋"/>
          <w:b w:val="0"/>
        </w:rPr>
        <w:t>国</w:t>
      </w:r>
      <w:r>
        <w:rPr>
          <w:rStyle w:val="27"/>
          <w:rFonts w:hint="eastAsia" w:ascii="仿宋" w:hAnsi="仿宋" w:eastAsia="仿宋"/>
          <w:b w:val="0"/>
          <w:bCs w:val="0"/>
        </w:rPr>
        <w:t>有资本经营预算财政拨款收入支出决算表</w:t>
      </w:r>
      <w:bookmarkEnd w:id="72"/>
    </w:p>
    <w:p>
      <w:pPr>
        <w:rPr>
          <w:rFonts w:eastAsia="仿宋"/>
        </w:rPr>
      </w:pPr>
      <w:r>
        <w:rPr>
          <w:rStyle w:val="27"/>
          <w:rFonts w:hint="eastAsia" w:ascii="仿宋" w:hAnsi="仿宋" w:eastAsia="仿宋"/>
          <w:b w:val="0"/>
          <w:bCs w:val="0"/>
        </w:rPr>
        <w:t>十四、国有资本经营预算财政拨款支出决算表</w:t>
      </w: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25</w:t>
        </w:r>
        <w: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3E794925"/>
    <w:multiLevelType w:val="singleLevel"/>
    <w:tmpl w:val="3E794925"/>
    <w:lvl w:ilvl="0" w:tentative="0">
      <w:start w:val="3"/>
      <w:numFmt w:val="chineseCounting"/>
      <w:suff w:val="nothing"/>
      <w:lvlText w:val="（%1）"/>
      <w:lvlJc w:val="left"/>
      <w:rPr>
        <w:rFonts w:hint="eastAsia"/>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hlNDJjOGZhOGI2NzEzOTQ3MjM1ZjE0M2QyODgyOGMifQ=="/>
  </w:docVars>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52FA"/>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C7C26"/>
    <w:rsid w:val="002D0818"/>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2B75"/>
    <w:rsid w:val="005B5C64"/>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33CD"/>
    <w:rsid w:val="00C87FD8"/>
    <w:rsid w:val="00C91381"/>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9388D"/>
    <w:rsid w:val="00FA23E8"/>
    <w:rsid w:val="00FD3CC1"/>
    <w:rsid w:val="00FE1685"/>
    <w:rsid w:val="00FF1E02"/>
    <w:rsid w:val="00FF30B4"/>
    <w:rsid w:val="016B51BD"/>
    <w:rsid w:val="019D73AC"/>
    <w:rsid w:val="019F073D"/>
    <w:rsid w:val="039842CF"/>
    <w:rsid w:val="042825C0"/>
    <w:rsid w:val="048416D9"/>
    <w:rsid w:val="04E92629"/>
    <w:rsid w:val="05AC6E21"/>
    <w:rsid w:val="05B11678"/>
    <w:rsid w:val="064E7EBC"/>
    <w:rsid w:val="06602AC4"/>
    <w:rsid w:val="066E0107"/>
    <w:rsid w:val="06D05859"/>
    <w:rsid w:val="070D1E3C"/>
    <w:rsid w:val="073A7BCE"/>
    <w:rsid w:val="07996F6E"/>
    <w:rsid w:val="07D47C1A"/>
    <w:rsid w:val="083254B8"/>
    <w:rsid w:val="083E0B34"/>
    <w:rsid w:val="08762705"/>
    <w:rsid w:val="088337E8"/>
    <w:rsid w:val="089D5B82"/>
    <w:rsid w:val="08CB30B4"/>
    <w:rsid w:val="0A2032A3"/>
    <w:rsid w:val="0B785B6B"/>
    <w:rsid w:val="0BFD1732"/>
    <w:rsid w:val="0E062A5C"/>
    <w:rsid w:val="0F161345"/>
    <w:rsid w:val="10143BBB"/>
    <w:rsid w:val="101860EC"/>
    <w:rsid w:val="10C055FF"/>
    <w:rsid w:val="118107EC"/>
    <w:rsid w:val="11825457"/>
    <w:rsid w:val="129629BF"/>
    <w:rsid w:val="12C30F2B"/>
    <w:rsid w:val="13D50BC4"/>
    <w:rsid w:val="14AA66D3"/>
    <w:rsid w:val="150C3602"/>
    <w:rsid w:val="16BB723D"/>
    <w:rsid w:val="16DC28EE"/>
    <w:rsid w:val="183425CE"/>
    <w:rsid w:val="18647688"/>
    <w:rsid w:val="19252C97"/>
    <w:rsid w:val="1A983FEE"/>
    <w:rsid w:val="1ABF2EDD"/>
    <w:rsid w:val="1B0B4F2F"/>
    <w:rsid w:val="1BE8440E"/>
    <w:rsid w:val="1C4D7DB5"/>
    <w:rsid w:val="1C70172E"/>
    <w:rsid w:val="1CA959B2"/>
    <w:rsid w:val="1CBB1081"/>
    <w:rsid w:val="1D155CEE"/>
    <w:rsid w:val="1D3A1304"/>
    <w:rsid w:val="1DA20633"/>
    <w:rsid w:val="1E654A6C"/>
    <w:rsid w:val="1F852CF0"/>
    <w:rsid w:val="202B7B30"/>
    <w:rsid w:val="208C08C0"/>
    <w:rsid w:val="219A3C99"/>
    <w:rsid w:val="21CE54A8"/>
    <w:rsid w:val="221A20A3"/>
    <w:rsid w:val="22B60617"/>
    <w:rsid w:val="22FE2E3C"/>
    <w:rsid w:val="230E078D"/>
    <w:rsid w:val="232861A1"/>
    <w:rsid w:val="23341EA1"/>
    <w:rsid w:val="23860B96"/>
    <w:rsid w:val="240371BF"/>
    <w:rsid w:val="247022A7"/>
    <w:rsid w:val="24C45235"/>
    <w:rsid w:val="25951FC5"/>
    <w:rsid w:val="25C70EB9"/>
    <w:rsid w:val="267717C1"/>
    <w:rsid w:val="277733E0"/>
    <w:rsid w:val="28DC052C"/>
    <w:rsid w:val="29E10A47"/>
    <w:rsid w:val="29FD04D3"/>
    <w:rsid w:val="2BDB153F"/>
    <w:rsid w:val="2C286CBB"/>
    <w:rsid w:val="2C8A61B5"/>
    <w:rsid w:val="2D4B5025"/>
    <w:rsid w:val="2D72573F"/>
    <w:rsid w:val="2DF04E50"/>
    <w:rsid w:val="2F936D84"/>
    <w:rsid w:val="309F4538"/>
    <w:rsid w:val="31713D02"/>
    <w:rsid w:val="319F7F4E"/>
    <w:rsid w:val="342776D9"/>
    <w:rsid w:val="34346E4D"/>
    <w:rsid w:val="34705357"/>
    <w:rsid w:val="34A013BA"/>
    <w:rsid w:val="35367E70"/>
    <w:rsid w:val="357C4243"/>
    <w:rsid w:val="364F67D8"/>
    <w:rsid w:val="36AA5135"/>
    <w:rsid w:val="37E16F03"/>
    <w:rsid w:val="38417658"/>
    <w:rsid w:val="385E0992"/>
    <w:rsid w:val="39007113"/>
    <w:rsid w:val="395D0BCE"/>
    <w:rsid w:val="39F13028"/>
    <w:rsid w:val="3BC04DB4"/>
    <w:rsid w:val="3BC82016"/>
    <w:rsid w:val="3C177864"/>
    <w:rsid w:val="3C891102"/>
    <w:rsid w:val="3C9C213C"/>
    <w:rsid w:val="3D6D328F"/>
    <w:rsid w:val="3D98207C"/>
    <w:rsid w:val="3EC3599D"/>
    <w:rsid w:val="3EC5671A"/>
    <w:rsid w:val="3EED3167"/>
    <w:rsid w:val="3F523E62"/>
    <w:rsid w:val="416B332D"/>
    <w:rsid w:val="416B7C26"/>
    <w:rsid w:val="421568E9"/>
    <w:rsid w:val="426C7F0F"/>
    <w:rsid w:val="42FE1715"/>
    <w:rsid w:val="43032C86"/>
    <w:rsid w:val="4315087C"/>
    <w:rsid w:val="432A4F7F"/>
    <w:rsid w:val="43442555"/>
    <w:rsid w:val="44E268DA"/>
    <w:rsid w:val="45FA2938"/>
    <w:rsid w:val="475A5091"/>
    <w:rsid w:val="476A0BAF"/>
    <w:rsid w:val="48FE30B2"/>
    <w:rsid w:val="49711CF1"/>
    <w:rsid w:val="49F44C5D"/>
    <w:rsid w:val="4A627F82"/>
    <w:rsid w:val="4A674BED"/>
    <w:rsid w:val="4B4F25DA"/>
    <w:rsid w:val="4BE068DB"/>
    <w:rsid w:val="4BEC1878"/>
    <w:rsid w:val="4CF33CBA"/>
    <w:rsid w:val="4D577224"/>
    <w:rsid w:val="4E970511"/>
    <w:rsid w:val="4EAB630A"/>
    <w:rsid w:val="4EBB6865"/>
    <w:rsid w:val="4ECE2238"/>
    <w:rsid w:val="50245C76"/>
    <w:rsid w:val="51806E48"/>
    <w:rsid w:val="520D2A54"/>
    <w:rsid w:val="531B3926"/>
    <w:rsid w:val="53C300EE"/>
    <w:rsid w:val="54170D5F"/>
    <w:rsid w:val="54DA2470"/>
    <w:rsid w:val="556A6EF7"/>
    <w:rsid w:val="55CF34B2"/>
    <w:rsid w:val="571665E7"/>
    <w:rsid w:val="57C1754D"/>
    <w:rsid w:val="581126A8"/>
    <w:rsid w:val="582F498D"/>
    <w:rsid w:val="5A591600"/>
    <w:rsid w:val="5AF92295"/>
    <w:rsid w:val="5C1B3A10"/>
    <w:rsid w:val="5C9D4D8F"/>
    <w:rsid w:val="5CA0283D"/>
    <w:rsid w:val="5CD71FC4"/>
    <w:rsid w:val="5D317FE5"/>
    <w:rsid w:val="5D4C44FB"/>
    <w:rsid w:val="5DF24A68"/>
    <w:rsid w:val="5E0D0775"/>
    <w:rsid w:val="5E8720EC"/>
    <w:rsid w:val="5E983692"/>
    <w:rsid w:val="60D202F0"/>
    <w:rsid w:val="63976B8F"/>
    <w:rsid w:val="63A76997"/>
    <w:rsid w:val="63D438A3"/>
    <w:rsid w:val="65F63609"/>
    <w:rsid w:val="66900F8E"/>
    <w:rsid w:val="673B7920"/>
    <w:rsid w:val="69483F35"/>
    <w:rsid w:val="6A3B7B23"/>
    <w:rsid w:val="6AA933A7"/>
    <w:rsid w:val="6B126BAD"/>
    <w:rsid w:val="6BB34F40"/>
    <w:rsid w:val="6BD66471"/>
    <w:rsid w:val="6C4A05C8"/>
    <w:rsid w:val="6E5D3464"/>
    <w:rsid w:val="6E7E3605"/>
    <w:rsid w:val="6E8C5176"/>
    <w:rsid w:val="6EB64497"/>
    <w:rsid w:val="6EDC760B"/>
    <w:rsid w:val="6FF5CC65"/>
    <w:rsid w:val="70263E9E"/>
    <w:rsid w:val="715C0E4B"/>
    <w:rsid w:val="72734D90"/>
    <w:rsid w:val="73AD73D5"/>
    <w:rsid w:val="73B6EB34"/>
    <w:rsid w:val="745002A8"/>
    <w:rsid w:val="74EE1106"/>
    <w:rsid w:val="751605C1"/>
    <w:rsid w:val="75486B4A"/>
    <w:rsid w:val="75844E49"/>
    <w:rsid w:val="76062B3E"/>
    <w:rsid w:val="78B61440"/>
    <w:rsid w:val="79707F8B"/>
    <w:rsid w:val="79763A84"/>
    <w:rsid w:val="798D3DA2"/>
    <w:rsid w:val="79EE5BA4"/>
    <w:rsid w:val="7A894339"/>
    <w:rsid w:val="7B1F572E"/>
    <w:rsid w:val="7BC444C0"/>
    <w:rsid w:val="7C914409"/>
    <w:rsid w:val="7EEF11D3"/>
    <w:rsid w:val="7FA30C79"/>
    <w:rsid w:val="7FC96657"/>
    <w:rsid w:val="D8D6DB89"/>
    <w:rsid w:val="DB6F4CAB"/>
    <w:rsid w:val="DF6F978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2"/>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0"/>
    <w:unhideWhenUsed/>
    <w:qFormat/>
    <w:uiPriority w:val="9"/>
    <w:pPr>
      <w:keepNext/>
      <w:keepLines/>
      <w:spacing w:before="260" w:after="260" w:line="416" w:lineRule="auto"/>
      <w:outlineLvl w:val="2"/>
    </w:pPr>
    <w:rPr>
      <w:b/>
      <w:bCs/>
      <w:sz w:val="32"/>
      <w:szCs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3"/>
    <w:qFormat/>
    <w:uiPriority w:val="99"/>
    <w:pPr>
      <w:spacing w:beforeLines="30"/>
    </w:pPr>
    <w:rPr>
      <w:rFonts w:ascii="仿宋_GB2312" w:eastAsia="仿宋_GB2312"/>
      <w:kern w:val="0"/>
      <w:sz w:val="30"/>
    </w:rPr>
  </w:style>
  <w:style w:type="paragraph" w:styleId="6">
    <w:name w:val="Body Text Indent"/>
    <w:basedOn w:val="1"/>
    <w:qFormat/>
    <w:uiPriority w:val="0"/>
    <w:pPr>
      <w:spacing w:after="120"/>
      <w:ind w:left="420" w:leftChars="200"/>
    </w:pPr>
    <w:rPr>
      <w:rFonts w:eastAsia="仿宋_GB2312" w:asciiTheme="minorHAnsi" w:hAnsiTheme="minorHAnsi" w:cstheme="minorBidi"/>
      <w:sz w:val="32"/>
      <w:szCs w:val="32"/>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9"/>
    <w:semiHidden/>
    <w:unhideWhenUsed/>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9"/>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oc 2"/>
    <w:basedOn w:val="1"/>
    <w:next w:val="1"/>
    <w:unhideWhenUsed/>
    <w:qFormat/>
    <w:uiPriority w:val="39"/>
    <w:pPr>
      <w:tabs>
        <w:tab w:val="right" w:leader="dot" w:pos="8296"/>
      </w:tabs>
      <w:ind w:left="420" w:leftChars="200"/>
    </w:pPr>
  </w:style>
  <w:style w:type="paragraph" w:styleId="13">
    <w:name w:val="Normal (Web)"/>
    <w:basedOn w:val="1"/>
    <w:qFormat/>
    <w:uiPriority w:val="0"/>
    <w:pPr>
      <w:spacing w:before="100" w:beforeAutospacing="1" w:after="100" w:afterAutospacing="1"/>
      <w:jc w:val="left"/>
    </w:pPr>
    <w:rPr>
      <w:kern w:val="0"/>
      <w:sz w:val="24"/>
    </w:rPr>
  </w:style>
  <w:style w:type="character" w:styleId="16">
    <w:name w:val="Strong"/>
    <w:basedOn w:val="15"/>
    <w:qFormat/>
    <w:uiPriority w:val="99"/>
    <w:rPr>
      <w:b/>
    </w:rPr>
  </w:style>
  <w:style w:type="character" w:styleId="17">
    <w:name w:val="Hyperlink"/>
    <w:basedOn w:val="15"/>
    <w:unhideWhenUsed/>
    <w:qFormat/>
    <w:uiPriority w:val="99"/>
    <w:rPr>
      <w:color w:val="0000FF" w:themeColor="hyperlink"/>
      <w:u w:val="single"/>
      <w14:textFill>
        <w14:solidFill>
          <w14:schemeClr w14:val="hlink"/>
        </w14:solidFill>
      </w14:textFill>
    </w:rPr>
  </w:style>
  <w:style w:type="character" w:customStyle="1" w:styleId="18">
    <w:name w:val="Header Char"/>
    <w:basedOn w:val="15"/>
    <w:semiHidden/>
    <w:qFormat/>
    <w:uiPriority w:val="99"/>
    <w:rPr>
      <w:rFonts w:ascii="Times New Roman" w:hAnsi="Times New Roman"/>
      <w:sz w:val="18"/>
      <w:szCs w:val="18"/>
    </w:rPr>
  </w:style>
  <w:style w:type="character" w:customStyle="1" w:styleId="19">
    <w:name w:val="页眉 Char"/>
    <w:link w:val="10"/>
    <w:semiHidden/>
    <w:qFormat/>
    <w:locked/>
    <w:uiPriority w:val="99"/>
    <w:rPr>
      <w:sz w:val="18"/>
    </w:rPr>
  </w:style>
  <w:style w:type="character" w:customStyle="1" w:styleId="20">
    <w:name w:val="Footer Char"/>
    <w:basedOn w:val="15"/>
    <w:semiHidden/>
    <w:qFormat/>
    <w:uiPriority w:val="99"/>
    <w:rPr>
      <w:rFonts w:ascii="Times New Roman" w:hAnsi="Times New Roman"/>
      <w:sz w:val="18"/>
      <w:szCs w:val="18"/>
    </w:rPr>
  </w:style>
  <w:style w:type="character" w:customStyle="1" w:styleId="21">
    <w:name w:val="页脚 Char"/>
    <w:link w:val="9"/>
    <w:qFormat/>
    <w:locked/>
    <w:uiPriority w:val="99"/>
    <w:rPr>
      <w:sz w:val="18"/>
    </w:rPr>
  </w:style>
  <w:style w:type="character" w:customStyle="1" w:styleId="22">
    <w:name w:val="Body Text Char"/>
    <w:basedOn w:val="15"/>
    <w:semiHidden/>
    <w:qFormat/>
    <w:uiPriority w:val="99"/>
    <w:rPr>
      <w:rFonts w:ascii="Times New Roman" w:hAnsi="Times New Roman"/>
      <w:szCs w:val="24"/>
    </w:rPr>
  </w:style>
  <w:style w:type="character" w:customStyle="1" w:styleId="23">
    <w:name w:val="正文文本 Char"/>
    <w:link w:val="2"/>
    <w:qFormat/>
    <w:locked/>
    <w:uiPriority w:val="99"/>
    <w:rPr>
      <w:rFonts w:ascii="仿宋_GB2312" w:hAnsi="Times New Roman" w:eastAsia="仿宋_GB2312"/>
      <w:sz w:val="24"/>
    </w:rPr>
  </w:style>
  <w:style w:type="paragraph" w:customStyle="1" w:styleId="24">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5">
    <w:name w:val="List Paragraph"/>
    <w:basedOn w:val="1"/>
    <w:qFormat/>
    <w:uiPriority w:val="34"/>
    <w:pPr>
      <w:ind w:firstLine="420" w:firstLineChars="200"/>
    </w:pPr>
  </w:style>
  <w:style w:type="character" w:customStyle="1" w:styleId="26">
    <w:name w:val="标题 1 Char"/>
    <w:basedOn w:val="15"/>
    <w:qFormat/>
    <w:uiPriority w:val="9"/>
    <w:rPr>
      <w:rFonts w:ascii="Times New Roman" w:hAnsi="Times New Roman"/>
      <w:b/>
      <w:bCs/>
      <w:kern w:val="44"/>
      <w:sz w:val="44"/>
      <w:szCs w:val="44"/>
    </w:rPr>
  </w:style>
  <w:style w:type="character" w:customStyle="1" w:styleId="27">
    <w:name w:val="标题 2 Char"/>
    <w:basedOn w:val="15"/>
    <w:link w:val="4"/>
    <w:qFormat/>
    <w:uiPriority w:val="9"/>
    <w:rPr>
      <w:rFonts w:asciiTheme="majorHAnsi" w:hAnsiTheme="majorHAnsi" w:eastAsiaTheme="majorEastAsia" w:cstheme="majorBidi"/>
      <w:b/>
      <w:bCs/>
      <w:kern w:val="2"/>
      <w:sz w:val="32"/>
      <w:szCs w:val="32"/>
    </w:rPr>
  </w:style>
  <w:style w:type="paragraph" w:customStyle="1" w:styleId="28">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9">
    <w:name w:val="批注框文本 Char"/>
    <w:basedOn w:val="15"/>
    <w:link w:val="8"/>
    <w:semiHidden/>
    <w:qFormat/>
    <w:uiPriority w:val="99"/>
    <w:rPr>
      <w:rFonts w:ascii="Times New Roman" w:hAnsi="Times New Roman"/>
      <w:kern w:val="2"/>
      <w:sz w:val="18"/>
      <w:szCs w:val="18"/>
    </w:rPr>
  </w:style>
  <w:style w:type="character" w:customStyle="1" w:styleId="30">
    <w:name w:val="标题 3 Char"/>
    <w:basedOn w:val="15"/>
    <w:link w:val="5"/>
    <w:qFormat/>
    <w:uiPriority w:val="9"/>
    <w:rPr>
      <w:rFonts w:ascii="Times New Roman" w:hAnsi="Times New Roman"/>
      <w:b/>
      <w:bCs/>
      <w:kern w:val="2"/>
      <w:sz w:val="32"/>
      <w:szCs w:val="32"/>
    </w:rPr>
  </w:style>
  <w:style w:type="paragraph" w:customStyle="1" w:styleId="31">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2">
    <w:name w:val="标题 1 Char1"/>
    <w:basedOn w:val="15"/>
    <w:link w:val="3"/>
    <w:qFormat/>
    <w:locked/>
    <w:uiPriority w:val="9"/>
    <w:rPr>
      <w:rFonts w:ascii="Times New Roman" w:hAnsi="Times New Roman" w:cs="Times New Roman"/>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hart" Target="charts/chart7.xml"/><Relationship Id="rId11" Type="http://schemas.openxmlformats.org/officeDocument/2006/relationships/chart" Target="charts/chart6.xml"/><Relationship Id="rId10" Type="http://schemas.openxmlformats.org/officeDocument/2006/relationships/chart" Target="charts/chart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Lenovo\Desktop\&#22270;.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Lenovo\Desktop\&#39044;&#20915;&#31639;\&#22270;.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Lenovo\Desktop\&#39044;&#20915;&#31639;\&#22270;.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Lenovo\Desktop\&#22270;.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Lenovo\Desktop\&#22270;.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Lenovo\Desktop\&#39044;&#20915;&#31639;\&#22270;.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Lenovo\Desktop\&#39044;&#20915;&#31639;\&#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c:spPr>
          <c:invertIfNegative val="0"/>
          <c:dPt>
            <c:idx val="1"/>
            <c:invertIfNegative val="0"/>
            <c:bubble3D val="0"/>
            <c:spPr>
              <a:solidFill>
                <a:srgbClr val="FFC000"/>
              </a:solidFill>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[图.xlsx]图一!$A$1:$B$1</c:f>
              <c:strCache>
                <c:ptCount val="2"/>
                <c:pt idx="0">
                  <c:v>2020年</c:v>
                </c:pt>
                <c:pt idx="1">
                  <c:v>2021年</c:v>
                </c:pt>
              </c:strCache>
            </c:strRef>
          </c:cat>
          <c:val>
            <c:numRef>
              <c:f>[图.xlsx]图一!$A$2:$B$2</c:f>
              <c:numCache>
                <c:formatCode>General</c:formatCode>
                <c:ptCount val="2"/>
                <c:pt idx="0">
                  <c:v>1915.25</c:v>
                </c:pt>
                <c:pt idx="1">
                  <c:v>1818.21</c:v>
                </c:pt>
              </c:numCache>
            </c:numRef>
          </c:val>
        </c:ser>
        <c:dLbls>
          <c:showLegendKey val="0"/>
          <c:showVal val="1"/>
          <c:showCatName val="0"/>
          <c:showSerName val="0"/>
          <c:showPercent val="0"/>
          <c:showBubbleSize val="0"/>
        </c:dLbls>
        <c:gapWidth val="150"/>
        <c:axId val="414779264"/>
        <c:axId val="414782592"/>
      </c:barChart>
      <c:catAx>
        <c:axId val="414779264"/>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414782592"/>
        <c:crosses val="autoZero"/>
        <c:auto val="1"/>
        <c:lblAlgn val="ctr"/>
        <c:lblOffset val="100"/>
        <c:noMultiLvlLbl val="0"/>
      </c:catAx>
      <c:valAx>
        <c:axId val="414782592"/>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414779264"/>
        <c:crosses val="autoZero"/>
        <c:crossBetween val="between"/>
      </c:valAx>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42013888888889"/>
          <c:y val="0.176388888888889"/>
          <c:w val="0.324305555555556"/>
          <c:h val="0.540509259259259"/>
        </c:manualLayout>
      </c:layout>
      <c:pieChart>
        <c:varyColors val="1"/>
        <c:ser>
          <c:idx val="0"/>
          <c:order val="0"/>
          <c:spPr/>
          <c:explosion val="0"/>
          <c:dLbls>
            <c:delete val="1"/>
          </c:dLbls>
          <c:cat>
            <c:strRef>
              <c:f>[图.xlsx]图二!$A$1:$A$2</c:f>
              <c:strCache>
                <c:ptCount val="2"/>
                <c:pt idx="0">
                  <c:v>一、一般公共预算财政拨款收入</c:v>
                </c:pt>
                <c:pt idx="1">
                  <c:v>二、其他收入</c:v>
                </c:pt>
              </c:strCache>
            </c:strRef>
          </c:cat>
          <c:val>
            <c:numRef>
              <c:f>[图.xlsx]图二!$B$1:$B$2</c:f>
            </c:numRef>
          </c:val>
        </c:ser>
        <c:ser>
          <c:idx val="1"/>
          <c:order val="1"/>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dLbl>
              <c:idx val="1"/>
              <c:layout>
                <c:manualLayout>
                  <c:x val="0.0321654287916653"/>
                  <c:y val="-0.149790274585539"/>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[图.xlsx]图二!$A$1:$A$2</c:f>
              <c:strCache>
                <c:ptCount val="2"/>
                <c:pt idx="0">
                  <c:v>一、一般公共预算财政拨款收入</c:v>
                </c:pt>
                <c:pt idx="1">
                  <c:v>二、其他收入</c:v>
                </c:pt>
              </c:strCache>
            </c:strRef>
          </c:cat>
          <c:val>
            <c:numRef>
              <c:f>[图.xlsx]图二!$C$1:$C$2</c:f>
              <c:numCache>
                <c:formatCode>0.0%</c:formatCode>
                <c:ptCount val="2"/>
                <c:pt idx="0">
                  <c:v>0.879094767338433</c:v>
                </c:pt>
                <c:pt idx="1">
                  <c:v>0.120905232661567</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69224846894138"/>
          <c:y val="0.150462962962963"/>
          <c:w val="0.566371172353456"/>
          <c:h val="0.689814814814815"/>
        </c:manualLayout>
      </c:layout>
      <c:pieChart>
        <c:varyColors val="1"/>
        <c:ser>
          <c:idx val="0"/>
          <c:order val="0"/>
          <c:explosion val="0"/>
          <c:dPt>
            <c:idx val="0"/>
            <c:bubble3D val="0"/>
          </c:dPt>
          <c:dPt>
            <c:idx val="1"/>
            <c:bubble3D val="0"/>
          </c:dPt>
          <c:dLbls>
            <c:dLbl>
              <c:idx val="0"/>
              <c:layout>
                <c:manualLayout>
                  <c:x val="0.0848707349081365"/>
                  <c:y val="-0.171573344998542"/>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0286458880139982"/>
                  <c:y val="0.140147273257509"/>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[图.xlsx]图三!$A$2:$B$2</c:f>
              <c:strCache>
                <c:ptCount val="2"/>
                <c:pt idx="0" c:formatCode="0.0%">
                  <c:v>基本支出</c:v>
                </c:pt>
                <c:pt idx="1" c:formatCode="0.0%">
                  <c:v>项目支出</c:v>
                </c:pt>
              </c:strCache>
            </c:strRef>
          </c:cat>
          <c:val>
            <c:numRef>
              <c:f>[图.xlsx]图三!$A$3:$B$3</c:f>
              <c:numCache>
                <c:formatCode>0.0%</c:formatCode>
                <c:ptCount val="2"/>
                <c:pt idx="0">
                  <c:v>0.76</c:v>
                </c:pt>
                <c:pt idx="1">
                  <c:v>0.24</c:v>
                </c:pt>
              </c:numCache>
            </c:numRef>
          </c:val>
        </c:ser>
        <c:dLbls>
          <c:showLegendKey val="0"/>
          <c:showVal val="1"/>
          <c:showCatName val="0"/>
          <c:showSerName val="0"/>
          <c:showPercent val="0"/>
          <c:showBubbleSize val="0"/>
          <c:showLeaderLines val="1"/>
        </c:dLbls>
        <c:firstSliceAng val="15"/>
      </c:pieChart>
      <c:spPr>
        <a:noFill/>
        <a:ln>
          <a:noFill/>
        </a:ln>
        <a:effectLst/>
      </c:spPr>
    </c:plotArea>
    <c:legend>
      <c:legendPos val="r"/>
      <c:layout>
        <c:manualLayout>
          <c:xMode val="edge"/>
          <c:yMode val="edge"/>
          <c:x val="0.777043088363955"/>
          <c:y val="0.434801326917469"/>
          <c:w val="0.186845800524934"/>
          <c:h val="0.1674343832021"/>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668853893263"/>
          <c:y val="0.0514005540974045"/>
          <c:w val="0.587929790026247"/>
          <c:h val="0.824965368912219"/>
        </c:manualLayout>
      </c:layout>
      <c:barChart>
        <c:barDir val="col"/>
        <c:grouping val="clustered"/>
        <c:varyColors val="0"/>
        <c:ser>
          <c:idx val="0"/>
          <c:order val="0"/>
          <c:invertIfNegative val="0"/>
          <c:dPt>
            <c:idx val="1"/>
            <c:invertIfNegative val="0"/>
            <c:bubble3D val="0"/>
            <c:spPr>
              <a:solidFill>
                <a:srgbClr val="C00000"/>
              </a:solidFill>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'[图.xlsx]图4 '!$A$1:$B$1</c:f>
              <c:strCache>
                <c:ptCount val="2"/>
                <c:pt idx="0">
                  <c:v>2020年</c:v>
                </c:pt>
                <c:pt idx="1">
                  <c:v>2021年</c:v>
                </c:pt>
              </c:strCache>
            </c:strRef>
          </c:cat>
          <c:val>
            <c:numRef>
              <c:f>'[图.xlsx]图4 '!$A$2:$B$2</c:f>
              <c:numCache>
                <c:formatCode>General</c:formatCode>
                <c:ptCount val="2"/>
                <c:pt idx="0">
                  <c:v>1481.16</c:v>
                </c:pt>
                <c:pt idx="1">
                  <c:v>1437.93</c:v>
                </c:pt>
              </c:numCache>
            </c:numRef>
          </c:val>
        </c:ser>
        <c:dLbls>
          <c:showLegendKey val="0"/>
          <c:showVal val="1"/>
          <c:showCatName val="0"/>
          <c:showSerName val="0"/>
          <c:showPercent val="0"/>
          <c:showBubbleSize val="0"/>
        </c:dLbls>
        <c:gapWidth val="150"/>
        <c:axId val="471097728"/>
        <c:axId val="471100800"/>
      </c:barChart>
      <c:catAx>
        <c:axId val="471097728"/>
        <c:scaling>
          <c:orientation val="minMax"/>
        </c:scaling>
        <c:delete val="0"/>
        <c:axPos val="b"/>
        <c:majorTickMark val="out"/>
        <c:minorTickMark val="none"/>
        <c:tickLblPos val="nextTo"/>
        <c:txPr>
          <a:bodyPr rot="-60000000" spcFirstLastPara="0" vertOverflow="ellipsis" vert="horz" wrap="square" anchor="ctr" anchorCtr="1"/>
          <a:lstStyle/>
          <a:p>
            <a:pPr>
              <a:defRPr lang="zh-CN" sz="600" b="0" i="0" u="none" strike="noStrike" kern="1200" baseline="0">
                <a:solidFill>
                  <a:schemeClr val="tx1"/>
                </a:solidFill>
                <a:latin typeface="+mn-lt"/>
                <a:ea typeface="+mn-ea"/>
                <a:cs typeface="+mn-cs"/>
              </a:defRPr>
            </a:pPr>
          </a:p>
        </c:txPr>
        <c:crossAx val="471100800"/>
        <c:crosses val="autoZero"/>
        <c:auto val="1"/>
        <c:lblAlgn val="ctr"/>
        <c:lblOffset val="100"/>
        <c:noMultiLvlLbl val="0"/>
      </c:catAx>
      <c:valAx>
        <c:axId val="471100800"/>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471097728"/>
        <c:crosses val="autoZero"/>
        <c:crossBetween val="between"/>
      </c:valAx>
    </c:plotArea>
    <c:legend>
      <c:legendPos val="r"/>
      <c:layout>
        <c:manualLayout>
          <c:xMode val="edge"/>
          <c:yMode val="edge"/>
          <c:x val="0.763154199475066"/>
          <c:y val="0.360343394575678"/>
          <c:w val="0.220179133858268"/>
          <c:h val="0.279313210848644"/>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98571741032371"/>
          <c:y val="0.168676727909011"/>
          <c:w val="0.606249125109361"/>
          <c:h val="0.679911417322835"/>
        </c:manualLayout>
      </c:layout>
      <c:barChart>
        <c:barDir val="col"/>
        <c:grouping val="clustered"/>
        <c:varyColors val="0"/>
        <c:ser>
          <c:idx val="0"/>
          <c:order val="0"/>
          <c:invertIfNegative val="0"/>
          <c:dPt>
            <c:idx val="1"/>
            <c:invertIfNegative val="0"/>
            <c:bubble3D val="0"/>
            <c:spPr>
              <a:solidFill>
                <a:srgbClr val="FF0000"/>
              </a:solidFill>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[图.xlsx]图5!$A$1:$B$1</c:f>
              <c:strCache>
                <c:ptCount val="2"/>
                <c:pt idx="0">
                  <c:v>2020年</c:v>
                </c:pt>
                <c:pt idx="1">
                  <c:v>2021年</c:v>
                </c:pt>
              </c:strCache>
            </c:strRef>
          </c:cat>
          <c:val>
            <c:numRef>
              <c:f>[图.xlsx]图5!$A$2:$B$2</c:f>
              <c:numCache>
                <c:formatCode>General</c:formatCode>
                <c:ptCount val="2"/>
                <c:pt idx="0">
                  <c:v>1376.15</c:v>
                </c:pt>
                <c:pt idx="1">
                  <c:v>1437.93</c:v>
                </c:pt>
              </c:numCache>
            </c:numRef>
          </c:val>
        </c:ser>
        <c:dLbls>
          <c:showLegendKey val="0"/>
          <c:showVal val="1"/>
          <c:showCatName val="0"/>
          <c:showSerName val="0"/>
          <c:showPercent val="0"/>
          <c:showBubbleSize val="0"/>
        </c:dLbls>
        <c:gapWidth val="150"/>
        <c:axId val="414824704"/>
        <c:axId val="424850944"/>
      </c:barChart>
      <c:catAx>
        <c:axId val="414824704"/>
        <c:scaling>
          <c:orientation val="minMax"/>
        </c:scaling>
        <c:delete val="0"/>
        <c:axPos val="b"/>
        <c:majorTickMark val="out"/>
        <c:minorTickMark val="none"/>
        <c:tickLblPos val="nextTo"/>
        <c:txPr>
          <a:bodyPr rot="-60000000" spcFirstLastPara="0" vertOverflow="ellipsis" vert="horz" wrap="square" anchor="ctr" anchorCtr="1"/>
          <a:lstStyle/>
          <a:p>
            <a:pPr>
              <a:defRPr lang="zh-CN" sz="600" b="0" i="0" u="none" strike="noStrike" kern="1200" baseline="0">
                <a:solidFill>
                  <a:schemeClr val="tx1"/>
                </a:solidFill>
                <a:latin typeface="+mn-lt"/>
                <a:ea typeface="+mn-ea"/>
                <a:cs typeface="+mn-cs"/>
              </a:defRPr>
            </a:pPr>
          </a:p>
        </c:txPr>
        <c:crossAx val="424850944"/>
        <c:crosses val="autoZero"/>
        <c:auto val="1"/>
        <c:lblAlgn val="ctr"/>
        <c:lblOffset val="100"/>
        <c:noMultiLvlLbl val="0"/>
      </c:catAx>
      <c:valAx>
        <c:axId val="424850944"/>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414824704"/>
        <c:crosses val="autoZero"/>
        <c:crossBetween val="between"/>
      </c:valAx>
    </c:plotArea>
    <c:legend>
      <c:legendPos val="tr"/>
      <c:layout>
        <c:manualLayout>
          <c:xMode val="edge"/>
          <c:yMode val="edge"/>
          <c:x val="0.765931977252843"/>
          <c:y val="0.236111111111111"/>
          <c:w val="0.211845800524934"/>
          <c:h val="0.45523913677457"/>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explosion val="0"/>
          <c:dPt>
            <c:idx val="0"/>
            <c:bubble3D val="0"/>
            <c:spPr>
              <a:solidFill>
                <a:schemeClr val="tx2">
                  <a:lumMod val="40000"/>
                  <a:lumOff val="60000"/>
                </a:schemeClr>
              </a:solidFill>
            </c:spPr>
          </c:dPt>
          <c:dPt>
            <c:idx val="1"/>
            <c:bubble3D val="0"/>
          </c:dPt>
          <c:dPt>
            <c:idx val="2"/>
            <c:bubble3D val="0"/>
          </c:dPt>
          <c:dPt>
            <c:idx val="3"/>
            <c:bubble3D val="0"/>
          </c:dPt>
          <c:dLbls>
            <c:dLbl>
              <c:idx val="0"/>
              <c:layout>
                <c:manualLayout>
                  <c:x val="0.0483216316710411"/>
                  <c:y val="0.0977380431612715"/>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0546208442694663"/>
                  <c:y val="-0.0359631087780694"/>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0.0100951443569554"/>
                  <c:y val="-0.132278361038204"/>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0.166543197725284"/>
                  <c:y val="-0.108673447069116"/>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[图.xlsx]图6!$A$2:$A$5</c:f>
              <c:strCache>
                <c:ptCount val="4"/>
                <c:pt idx="0">
                  <c:v>公共安全（类）支出</c:v>
                </c:pt>
                <c:pt idx="1">
                  <c:v>社会保障和就业（类）支出</c:v>
                </c:pt>
                <c:pt idx="2">
                  <c:v>卫生健康支出</c:v>
                </c:pt>
                <c:pt idx="3">
                  <c:v>住房保障支出</c:v>
                </c:pt>
              </c:strCache>
            </c:strRef>
          </c:cat>
          <c:val>
            <c:numRef>
              <c:f>[图.xlsx]图6!$B$2:$B$5</c:f>
              <c:numCache>
                <c:formatCode>0.0%</c:formatCode>
                <c:ptCount val="4"/>
                <c:pt idx="0">
                  <c:v>0.857</c:v>
                </c:pt>
                <c:pt idx="1">
                  <c:v>0.051</c:v>
                </c:pt>
                <c:pt idx="2">
                  <c:v>0.031</c:v>
                </c:pt>
                <c:pt idx="3">
                  <c:v>0.061</c:v>
                </c:pt>
              </c:numCache>
            </c:numRef>
          </c:val>
        </c:ser>
        <c:dLbls>
          <c:showLegendKey val="0"/>
          <c:showVal val="1"/>
          <c:showCatName val="0"/>
          <c:showSerName val="0"/>
          <c:showPercent val="0"/>
          <c:showBubbleSize val="0"/>
          <c:showLeaderLines val="1"/>
        </c:dLbls>
        <c:firstSliceAng val="15"/>
      </c:pieChart>
      <c:spPr>
        <a:noFill/>
        <a:ln>
          <a:noFill/>
        </a:ln>
        <a:effectLst/>
      </c:spPr>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explosion val="0"/>
          <c:dPt>
            <c:idx val="0"/>
            <c:bubble3D val="0"/>
          </c:dPt>
          <c:dPt>
            <c:idx val="1"/>
            <c:bubble3D val="0"/>
          </c:dPt>
          <c:dLbls>
            <c:dLbl>
              <c:idx val="0"/>
              <c:layout>
                <c:manualLayout>
                  <c:x val="-0.0677309711286089"/>
                  <c:y val="-0.0625896762904637"/>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112130139982502"/>
                  <c:y val="-0.0498581948089822"/>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[图.xlsx]图7!$A$2:$A$3</c:f>
              <c:strCache>
                <c:ptCount val="2"/>
                <c:pt idx="0">
                  <c:v>公务用车购置及运行维护费支出</c:v>
                </c:pt>
                <c:pt idx="1">
                  <c:v>公务接待费支出</c:v>
                </c:pt>
              </c:strCache>
            </c:strRef>
          </c:cat>
          <c:val>
            <c:numRef>
              <c:f>[图.xlsx]图7!$B$2:$B$3</c:f>
              <c:numCache>
                <c:formatCode>0.0%</c:formatCode>
                <c:ptCount val="2"/>
                <c:pt idx="0">
                  <c:v>0.788</c:v>
                </c:pt>
                <c:pt idx="1">
                  <c:v>0.212</c:v>
                </c:pt>
              </c:numCache>
            </c:numRef>
          </c:val>
        </c:ser>
        <c:dLbls>
          <c:showLegendKey val="0"/>
          <c:showVal val="1"/>
          <c:showCatName val="0"/>
          <c:showSerName val="0"/>
          <c:showPercent val="0"/>
          <c:showBubbleSize val="0"/>
          <c:showLeaderLines val="1"/>
        </c:dLbls>
        <c:firstSliceAng val="15"/>
      </c:pieChart>
      <c:spPr>
        <a:noFill/>
        <a:ln>
          <a:noFill/>
        </a:ln>
        <a:effectLst/>
      </c:spPr>
    </c:plotArea>
    <c:legend>
      <c:legendPos val="r"/>
      <c:layout>
        <c:manualLayout>
          <c:xMode val="edge"/>
          <c:yMode val="edge"/>
          <c:x val="0.664920094314907"/>
          <c:y val="0.341517389739563"/>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四川省财政厅</Company>
  <Pages>50</Pages>
  <Words>21230</Words>
  <Characters>22032</Characters>
  <Lines>165</Lines>
  <Paragraphs>46</Paragraphs>
  <TotalTime>0</TotalTime>
  <ScaleCrop>false</ScaleCrop>
  <LinksUpToDate>false</LinksUpToDate>
  <CharactersWithSpaces>22137</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Lenovo</cp:lastModifiedBy>
  <cp:lastPrinted>2022-08-08T09:11:00Z</cp:lastPrinted>
  <dcterms:modified xsi:type="dcterms:W3CDTF">2022-09-23T07:26:25Z</dcterms:modified>
  <dc:title>四川省***</dc:title>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0D5ECAD0F27147628374D6DECB88C574</vt:lpwstr>
  </property>
</Properties>
</file>