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>苍溪县东河东溪镇防洪治理工程初步设计概算表</w:t>
      </w:r>
    </w:p>
    <w:tbl>
      <w:tblPr>
        <w:tblStyle w:val="3"/>
        <w:tblW w:w="85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127"/>
        <w:gridCol w:w="1279"/>
        <w:gridCol w:w="1042"/>
        <w:gridCol w:w="1092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6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127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工程或费用名称</w:t>
            </w:r>
          </w:p>
        </w:tc>
        <w:tc>
          <w:tcPr>
            <w:tcW w:w="1279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建安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工程费</w:t>
            </w:r>
          </w:p>
        </w:tc>
        <w:tc>
          <w:tcPr>
            <w:tcW w:w="104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设备</w:t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购置费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独立费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楷体" w:hAnsi="楷体" w:eastAsia="楷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bCs/>
                <w:color w:val="00000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Ⅰ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工程部分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第一部分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1754.30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1754.30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东河右岸堤防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1749.05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1749.05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其他建筑工程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5.25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第二部分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机电设备及安装工程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第三部分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金属结构设备及安装工程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第四部分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施工临时工程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104.97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104.97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导流工程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58.72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施工交通工程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5.34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施工场外供电工程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10.50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施工房屋建筑工程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其他施工临时工程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18.41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第五部分</w:t>
            </w: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独立费用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203.40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建设管理费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31.70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招标代理服务费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9.39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经济技术咨询费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14.87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工程建设监理费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34.49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34.49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联合试运转费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科研勘测设计费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95.28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95.28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17.67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一至五部分投资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1859.27</w:t>
            </w: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203.40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2062.67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基本预备费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静态总投资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2165.80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Ⅱ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建设征地移民补偿投资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Ⅲ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环境保护工程投资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Ⅳ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水土保持工程投资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Ⅴ</w:t>
            </w: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工程投资总计（Ⅰ～Ⅳ合计）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静态总投资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2251.80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3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总投资</w:t>
            </w:r>
          </w:p>
        </w:tc>
        <w:tc>
          <w:tcPr>
            <w:tcW w:w="1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2251.80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25DF2"/>
    <w:rsid w:val="5842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2021-07-28T02:21:00Z</dcterms:created>
  <dc:creator>swjxuh</dc:creator>
  <cp:lastModifiedBy>swjxuh</cp:lastModifiedBy>
  <dcterms:modified xsi:type="dcterms:W3CDTF">2021-07-28T02:23:20Z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D43FC15EE0374485BD7B386BBD78646B</vt:lpwstr>
  </property>
</Properties>
</file>