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699FA0">
      <w:pPr>
        <w:spacing w:line="576" w:lineRule="exact"/>
        <w:rPr>
          <w:rFonts w:hint="eastAsia" w:ascii="黑体" w:hAnsi="黑体" w:eastAsia="黑体" w:cs="宋体"/>
          <w:color w:val="000000"/>
          <w:kern w:val="0"/>
          <w:sz w:val="32"/>
          <w:szCs w:val="32"/>
          <w:lang w:val="en-US" w:eastAsia="zh-CN"/>
        </w:rPr>
      </w:pPr>
      <w:bookmarkStart w:id="0" w:name="_GoBack"/>
      <w:bookmarkEnd w:id="0"/>
      <w:r>
        <w:rPr>
          <w:rFonts w:hint="eastAsia" w:ascii="黑体" w:hAnsi="黑体" w:eastAsia="黑体" w:cs="宋体"/>
          <w:color w:val="000000"/>
          <w:kern w:val="0"/>
          <w:sz w:val="32"/>
          <w:szCs w:val="32"/>
        </w:rPr>
        <w:t>附件</w:t>
      </w:r>
      <w:r>
        <w:rPr>
          <w:rFonts w:hint="eastAsia" w:ascii="黑体" w:hAnsi="黑体" w:eastAsia="黑体" w:cs="宋体"/>
          <w:color w:val="000000"/>
          <w:kern w:val="0"/>
          <w:sz w:val="32"/>
          <w:szCs w:val="32"/>
          <w:lang w:val="en-US" w:eastAsia="zh-CN"/>
        </w:rPr>
        <w:t>2</w:t>
      </w:r>
    </w:p>
    <w:p w14:paraId="1A01CA4E">
      <w:pPr>
        <w:spacing w:line="576" w:lineRule="exact"/>
        <w:jc w:val="center"/>
        <w:rPr>
          <w:rFonts w:hint="eastAsia" w:ascii="方正小标宋简体" w:hAnsi="宋体" w:eastAsia="方正小标宋简体" w:cs="宋体"/>
          <w:color w:val="000000"/>
          <w:kern w:val="0"/>
          <w:sz w:val="40"/>
          <w:szCs w:val="40"/>
        </w:rPr>
      </w:pPr>
      <w:r>
        <w:rPr>
          <w:rFonts w:hint="eastAsia" w:ascii="方正小标宋简体" w:hAnsi="宋体" w:eastAsia="方正小标宋简体" w:cs="宋体"/>
          <w:color w:val="000000"/>
          <w:kern w:val="0"/>
          <w:sz w:val="40"/>
          <w:szCs w:val="40"/>
          <w:lang w:eastAsia="zh-CN"/>
        </w:rPr>
        <w:t>苍溪县文化广播电视体育和旅游局</w:t>
      </w:r>
      <w:r>
        <w:rPr>
          <w:rFonts w:hint="eastAsia" w:ascii="方正小标宋简体" w:hAnsi="宋体" w:eastAsia="方正小标宋简体" w:cs="宋体"/>
          <w:color w:val="000000"/>
          <w:kern w:val="0"/>
          <w:sz w:val="40"/>
          <w:szCs w:val="40"/>
          <w:lang w:val="en-US" w:eastAsia="zh-CN"/>
        </w:rPr>
        <w:t>2025年</w:t>
      </w:r>
      <w:r>
        <w:rPr>
          <w:rFonts w:hint="eastAsia" w:ascii="方正小标宋简体" w:hAnsi="宋体" w:eastAsia="方正小标宋简体" w:cs="宋体"/>
          <w:color w:val="000000"/>
          <w:kern w:val="0"/>
          <w:sz w:val="40"/>
          <w:szCs w:val="40"/>
        </w:rPr>
        <w:t>涉企行政检查事项清单</w:t>
      </w:r>
    </w:p>
    <w:p w14:paraId="34604F5F">
      <w:pPr>
        <w:spacing w:line="320" w:lineRule="exact"/>
        <w:rPr>
          <w:rFonts w:hint="eastAsia" w:ascii="仿宋_GB2312" w:hAnsi="仿宋_GB2312" w:eastAsia="仿宋_GB2312" w:cs="仿宋_GB2312"/>
          <w:sz w:val="32"/>
          <w:szCs w:val="32"/>
          <w:lang w:val="en-US" w:eastAsia="zh-CN"/>
        </w:rPr>
      </w:pPr>
      <w:r>
        <w:rPr>
          <w:rFonts w:hint="eastAsia" w:ascii="仿宋_GB2312" w:hAnsi="宋体" w:eastAsia="仿宋_GB2312" w:cs="宋体"/>
          <w:color w:val="000000"/>
          <w:kern w:val="0"/>
          <w:sz w:val="24"/>
        </w:rPr>
        <w:t>填报单位：</w:t>
      </w:r>
      <w:r>
        <w:rPr>
          <w:rFonts w:hint="eastAsia" w:ascii="仿宋_GB2312" w:hAnsi="宋体" w:eastAsia="仿宋_GB2312" w:cs="宋体"/>
          <w:color w:val="000000"/>
          <w:kern w:val="0"/>
          <w:sz w:val="24"/>
          <w:lang w:val="en-US" w:eastAsia="zh-CN"/>
        </w:rPr>
        <w:t>苍溪县文化广播电视体育和旅游局</w:t>
      </w:r>
    </w:p>
    <w:tbl>
      <w:tblPr>
        <w:tblStyle w:val="8"/>
        <w:tblW w:w="0" w:type="auto"/>
        <w:jc w:val="center"/>
        <w:tblLayout w:type="fixed"/>
        <w:tblCellMar>
          <w:top w:w="0" w:type="dxa"/>
          <w:left w:w="108" w:type="dxa"/>
          <w:bottom w:w="0" w:type="dxa"/>
          <w:right w:w="108" w:type="dxa"/>
        </w:tblCellMar>
      </w:tblPr>
      <w:tblGrid>
        <w:gridCol w:w="426"/>
        <w:gridCol w:w="1116"/>
        <w:gridCol w:w="824"/>
        <w:gridCol w:w="945"/>
        <w:gridCol w:w="3292"/>
        <w:gridCol w:w="1672"/>
        <w:gridCol w:w="724"/>
        <w:gridCol w:w="645"/>
        <w:gridCol w:w="707"/>
        <w:gridCol w:w="889"/>
        <w:gridCol w:w="683"/>
        <w:gridCol w:w="426"/>
        <w:gridCol w:w="426"/>
        <w:gridCol w:w="426"/>
        <w:gridCol w:w="427"/>
        <w:gridCol w:w="426"/>
        <w:gridCol w:w="426"/>
        <w:gridCol w:w="428"/>
        <w:gridCol w:w="428"/>
      </w:tblGrid>
      <w:tr w14:paraId="2583F83B">
        <w:tblPrEx>
          <w:tblCellMar>
            <w:top w:w="0" w:type="dxa"/>
            <w:left w:w="108" w:type="dxa"/>
            <w:bottom w:w="0" w:type="dxa"/>
            <w:right w:w="108" w:type="dxa"/>
          </w:tblCellMar>
        </w:tblPrEx>
        <w:trPr>
          <w:trHeight w:val="378" w:hRule="atLeast"/>
          <w:jc w:val="center"/>
        </w:trPr>
        <w:tc>
          <w:tcPr>
            <w:tcW w:w="426" w:type="dxa"/>
            <w:vMerge w:val="restart"/>
            <w:tcBorders>
              <w:top w:val="single" w:color="000000" w:sz="4" w:space="0"/>
              <w:left w:val="single" w:color="000000" w:sz="4" w:space="0"/>
              <w:bottom w:val="single" w:color="000000" w:sz="4" w:space="0"/>
              <w:right w:val="single" w:color="000000" w:sz="4" w:space="0"/>
            </w:tcBorders>
            <w:noWrap w:val="0"/>
            <w:vAlign w:val="center"/>
          </w:tcPr>
          <w:p w14:paraId="7B0890F6">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序号</w:t>
            </w:r>
          </w:p>
        </w:tc>
        <w:tc>
          <w:tcPr>
            <w:tcW w:w="1116" w:type="dxa"/>
            <w:vMerge w:val="restart"/>
            <w:tcBorders>
              <w:top w:val="single" w:color="000000" w:sz="4" w:space="0"/>
              <w:left w:val="single" w:color="000000" w:sz="4" w:space="0"/>
              <w:bottom w:val="single" w:color="000000" w:sz="4" w:space="0"/>
              <w:right w:val="single" w:color="000000" w:sz="4" w:space="0"/>
            </w:tcBorders>
            <w:noWrap w:val="0"/>
            <w:vAlign w:val="center"/>
          </w:tcPr>
          <w:p w14:paraId="7A607AB9">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行政检查事项名称</w:t>
            </w:r>
          </w:p>
        </w:tc>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2B375A2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检查对象</w:t>
            </w:r>
          </w:p>
        </w:tc>
        <w:tc>
          <w:tcPr>
            <w:tcW w:w="4237" w:type="dxa"/>
            <w:gridSpan w:val="2"/>
            <w:tcBorders>
              <w:top w:val="single" w:color="000000" w:sz="4" w:space="0"/>
              <w:left w:val="single" w:color="000000" w:sz="4" w:space="0"/>
              <w:bottom w:val="single" w:color="000000" w:sz="4" w:space="0"/>
              <w:right w:val="single" w:color="000000" w:sz="4" w:space="0"/>
            </w:tcBorders>
            <w:noWrap w:val="0"/>
            <w:vAlign w:val="center"/>
          </w:tcPr>
          <w:p w14:paraId="0A913E64">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实施依据</w:t>
            </w:r>
          </w:p>
        </w:tc>
        <w:tc>
          <w:tcPr>
            <w:tcW w:w="1672" w:type="dxa"/>
            <w:vMerge w:val="restart"/>
            <w:tcBorders>
              <w:top w:val="single" w:color="000000" w:sz="4" w:space="0"/>
              <w:left w:val="single" w:color="000000" w:sz="4" w:space="0"/>
              <w:bottom w:val="single" w:color="000000" w:sz="4" w:space="0"/>
              <w:right w:val="single" w:color="000000" w:sz="4" w:space="0"/>
            </w:tcBorders>
            <w:noWrap w:val="0"/>
            <w:vAlign w:val="center"/>
          </w:tcPr>
          <w:p w14:paraId="0974CFF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检查内容及检查要求</w:t>
            </w:r>
          </w:p>
        </w:tc>
        <w:tc>
          <w:tcPr>
            <w:tcW w:w="724" w:type="dxa"/>
            <w:vMerge w:val="restart"/>
            <w:tcBorders>
              <w:top w:val="single" w:color="000000" w:sz="4" w:space="0"/>
              <w:left w:val="single" w:color="000000" w:sz="4" w:space="0"/>
              <w:bottom w:val="single" w:color="000000" w:sz="4" w:space="0"/>
              <w:right w:val="single" w:color="000000" w:sz="4" w:space="0"/>
            </w:tcBorders>
            <w:noWrap w:val="0"/>
            <w:vAlign w:val="center"/>
          </w:tcPr>
          <w:p w14:paraId="215F5300">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检查方式（检查类型）</w:t>
            </w: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14:paraId="683C2B9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检查</w:t>
            </w:r>
            <w:r>
              <w:rPr>
                <w:rFonts w:hint="eastAsia" w:ascii="黑体" w:hAnsi="黑体" w:eastAsia="黑体" w:cs="黑体"/>
                <w:bCs/>
                <w:color w:val="000000"/>
                <w:kern w:val="0"/>
                <w:sz w:val="21"/>
                <w:szCs w:val="21"/>
              </w:rPr>
              <w:br w:type="textWrapping"/>
            </w:r>
            <w:r>
              <w:rPr>
                <w:rFonts w:hint="eastAsia" w:ascii="黑体" w:hAnsi="黑体" w:eastAsia="黑体" w:cs="黑体"/>
                <w:bCs/>
                <w:color w:val="000000"/>
                <w:kern w:val="0"/>
                <w:sz w:val="21"/>
                <w:szCs w:val="21"/>
              </w:rPr>
              <w:t>主体</w:t>
            </w:r>
          </w:p>
        </w:tc>
        <w:tc>
          <w:tcPr>
            <w:tcW w:w="707" w:type="dxa"/>
            <w:vMerge w:val="restart"/>
            <w:tcBorders>
              <w:top w:val="single" w:color="000000" w:sz="4" w:space="0"/>
              <w:left w:val="single" w:color="000000" w:sz="4" w:space="0"/>
              <w:bottom w:val="single" w:color="000000" w:sz="4" w:space="0"/>
              <w:right w:val="single" w:color="000000" w:sz="4" w:space="0"/>
            </w:tcBorders>
            <w:noWrap w:val="0"/>
            <w:vAlign w:val="center"/>
          </w:tcPr>
          <w:p w14:paraId="1855B2EC">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承办机构</w:t>
            </w:r>
          </w:p>
        </w:tc>
        <w:tc>
          <w:tcPr>
            <w:tcW w:w="889" w:type="dxa"/>
            <w:vMerge w:val="restart"/>
            <w:tcBorders>
              <w:top w:val="single" w:color="000000" w:sz="4" w:space="0"/>
              <w:left w:val="single" w:color="000000" w:sz="4" w:space="0"/>
              <w:bottom w:val="single" w:color="000000" w:sz="4" w:space="0"/>
              <w:right w:val="single" w:color="000000" w:sz="4" w:space="0"/>
            </w:tcBorders>
            <w:noWrap w:val="0"/>
            <w:vAlign w:val="center"/>
          </w:tcPr>
          <w:p w14:paraId="1B6556EF">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联合部门</w:t>
            </w:r>
          </w:p>
        </w:tc>
        <w:tc>
          <w:tcPr>
            <w:tcW w:w="683" w:type="dxa"/>
            <w:vMerge w:val="restart"/>
            <w:tcBorders>
              <w:top w:val="single" w:color="000000" w:sz="4" w:space="0"/>
              <w:left w:val="single" w:color="000000" w:sz="4" w:space="0"/>
              <w:bottom w:val="single" w:color="000000" w:sz="4" w:space="0"/>
              <w:right w:val="single" w:color="000000" w:sz="4" w:space="0"/>
            </w:tcBorders>
            <w:noWrap w:val="0"/>
            <w:vAlign w:val="center"/>
          </w:tcPr>
          <w:p w14:paraId="6E08002C">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时间</w:t>
            </w:r>
            <w:r>
              <w:rPr>
                <w:rFonts w:hint="eastAsia" w:ascii="黑体" w:hAnsi="黑体" w:eastAsia="黑体" w:cs="黑体"/>
                <w:bCs/>
                <w:color w:val="000000"/>
                <w:kern w:val="0"/>
                <w:sz w:val="21"/>
                <w:szCs w:val="21"/>
              </w:rPr>
              <w:br w:type="textWrapping"/>
            </w:r>
            <w:r>
              <w:rPr>
                <w:rFonts w:hint="eastAsia" w:ascii="黑体" w:hAnsi="黑体" w:eastAsia="黑体" w:cs="黑体"/>
                <w:bCs/>
                <w:color w:val="000000"/>
                <w:kern w:val="0"/>
                <w:sz w:val="21"/>
                <w:szCs w:val="21"/>
              </w:rPr>
              <w:t>安排</w:t>
            </w:r>
            <w:r>
              <w:rPr>
                <w:rFonts w:hint="eastAsia" w:ascii="黑体" w:hAnsi="黑体" w:eastAsia="黑体" w:cs="黑体"/>
                <w:bCs/>
                <w:color w:val="000000"/>
                <w:kern w:val="0"/>
                <w:sz w:val="21"/>
                <w:szCs w:val="21"/>
              </w:rPr>
              <w:br w:type="textWrapping"/>
            </w:r>
            <w:r>
              <w:rPr>
                <w:rFonts w:hint="eastAsia" w:ascii="黑体" w:hAnsi="黑体" w:eastAsia="黑体" w:cs="黑体"/>
                <w:bCs/>
                <w:color w:val="000000"/>
                <w:kern w:val="0"/>
                <w:sz w:val="21"/>
                <w:szCs w:val="21"/>
              </w:rPr>
              <w:t>（检查频次）</w:t>
            </w:r>
          </w:p>
        </w:tc>
        <w:tc>
          <w:tcPr>
            <w:tcW w:w="1278" w:type="dxa"/>
            <w:gridSpan w:val="3"/>
            <w:tcBorders>
              <w:top w:val="single" w:color="000000" w:sz="4" w:space="0"/>
              <w:left w:val="single" w:color="000000" w:sz="4" w:space="0"/>
              <w:bottom w:val="single" w:color="000000" w:sz="4" w:space="0"/>
              <w:right w:val="single" w:color="000000" w:sz="4" w:space="0"/>
            </w:tcBorders>
            <w:noWrap w:val="0"/>
            <w:vAlign w:val="center"/>
          </w:tcPr>
          <w:p w14:paraId="08287FF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实施层级</w:t>
            </w:r>
          </w:p>
        </w:tc>
        <w:tc>
          <w:tcPr>
            <w:tcW w:w="1279" w:type="dxa"/>
            <w:gridSpan w:val="3"/>
            <w:tcBorders>
              <w:top w:val="single" w:color="000000" w:sz="4" w:space="0"/>
              <w:left w:val="single" w:color="000000" w:sz="4" w:space="0"/>
              <w:bottom w:val="single" w:color="000000" w:sz="4" w:space="0"/>
              <w:right w:val="single" w:color="000000" w:sz="4" w:space="0"/>
            </w:tcBorders>
            <w:noWrap w:val="0"/>
            <w:vAlign w:val="center"/>
          </w:tcPr>
          <w:p w14:paraId="3B6159B6">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第一责任</w:t>
            </w:r>
            <w:r>
              <w:rPr>
                <w:rFonts w:hint="eastAsia" w:ascii="黑体" w:hAnsi="黑体" w:eastAsia="黑体" w:cs="黑体"/>
                <w:bCs/>
                <w:color w:val="000000"/>
                <w:kern w:val="0"/>
                <w:sz w:val="21"/>
                <w:szCs w:val="21"/>
              </w:rPr>
              <w:br w:type="textWrapping"/>
            </w:r>
            <w:r>
              <w:rPr>
                <w:rFonts w:hint="eastAsia" w:ascii="黑体" w:hAnsi="黑体" w:eastAsia="黑体" w:cs="黑体"/>
                <w:bCs/>
                <w:color w:val="000000"/>
                <w:kern w:val="0"/>
                <w:sz w:val="21"/>
                <w:szCs w:val="21"/>
              </w:rPr>
              <w:t>层级（建议）</w:t>
            </w:r>
          </w:p>
        </w:tc>
        <w:tc>
          <w:tcPr>
            <w:tcW w:w="428" w:type="dxa"/>
            <w:vMerge w:val="restart"/>
            <w:tcBorders>
              <w:top w:val="single" w:color="000000" w:sz="4" w:space="0"/>
              <w:left w:val="single" w:color="000000" w:sz="4" w:space="0"/>
              <w:bottom w:val="single" w:color="000000" w:sz="4" w:space="0"/>
              <w:right w:val="single" w:color="000000" w:sz="4" w:space="0"/>
            </w:tcBorders>
            <w:noWrap w:val="0"/>
            <w:vAlign w:val="center"/>
          </w:tcPr>
          <w:p w14:paraId="6614CCFF">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能否预约</w:t>
            </w:r>
          </w:p>
        </w:tc>
        <w:tc>
          <w:tcPr>
            <w:tcW w:w="428" w:type="dxa"/>
            <w:vMerge w:val="restart"/>
            <w:tcBorders>
              <w:top w:val="single" w:color="000000" w:sz="4" w:space="0"/>
              <w:left w:val="single" w:color="000000" w:sz="4" w:space="0"/>
              <w:bottom w:val="single" w:color="000000" w:sz="4" w:space="0"/>
              <w:right w:val="single" w:color="000000" w:sz="4" w:space="0"/>
            </w:tcBorders>
            <w:noWrap w:val="0"/>
            <w:vAlign w:val="center"/>
          </w:tcPr>
          <w:p w14:paraId="4E3D736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备注</w:t>
            </w:r>
          </w:p>
        </w:tc>
      </w:tr>
      <w:tr w14:paraId="5697632E">
        <w:tblPrEx>
          <w:tblCellMar>
            <w:top w:w="0" w:type="dxa"/>
            <w:left w:w="108" w:type="dxa"/>
            <w:bottom w:w="0" w:type="dxa"/>
            <w:right w:w="108" w:type="dxa"/>
          </w:tblCellMar>
        </w:tblPrEx>
        <w:trPr>
          <w:trHeight w:val="90" w:hRule="atLeast"/>
          <w:jc w:val="center"/>
        </w:trPr>
        <w:tc>
          <w:tcPr>
            <w:tcW w:w="426"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5C3897">
            <w:pPr>
              <w:widowControl/>
              <w:spacing w:line="280" w:lineRule="exact"/>
              <w:jc w:val="left"/>
              <w:rPr>
                <w:rFonts w:hint="eastAsia" w:ascii="宋体" w:hAnsi="宋体" w:eastAsia="宋体" w:cs="宋体"/>
                <w:bCs/>
                <w:color w:val="000000"/>
                <w:kern w:val="0"/>
                <w:sz w:val="21"/>
                <w:szCs w:val="21"/>
              </w:rPr>
            </w:pPr>
          </w:p>
        </w:tc>
        <w:tc>
          <w:tcPr>
            <w:tcW w:w="11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8C188B">
            <w:pPr>
              <w:widowControl/>
              <w:spacing w:line="280" w:lineRule="exact"/>
              <w:jc w:val="left"/>
              <w:rPr>
                <w:rFonts w:hint="eastAsia" w:ascii="宋体" w:hAnsi="宋体" w:eastAsia="宋体" w:cs="宋体"/>
                <w:bCs/>
                <w:color w:val="000000"/>
                <w:kern w:val="0"/>
                <w:sz w:val="21"/>
                <w:szCs w:val="21"/>
              </w:rPr>
            </w:pPr>
          </w:p>
        </w:tc>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ACF2C1">
            <w:pPr>
              <w:widowControl/>
              <w:spacing w:line="280" w:lineRule="exact"/>
              <w:jc w:val="left"/>
              <w:rPr>
                <w:rFonts w:hint="eastAsia" w:ascii="宋体" w:hAnsi="宋体" w:eastAsia="宋体" w:cs="宋体"/>
                <w:bCs/>
                <w:color w:val="000000"/>
                <w:kern w:val="0"/>
                <w:sz w:val="21"/>
                <w:szCs w:val="21"/>
              </w:rPr>
            </w:pPr>
          </w:p>
        </w:tc>
        <w:tc>
          <w:tcPr>
            <w:tcW w:w="945" w:type="dxa"/>
            <w:tcBorders>
              <w:top w:val="single" w:color="000000" w:sz="4" w:space="0"/>
              <w:left w:val="single" w:color="000000" w:sz="4" w:space="0"/>
              <w:bottom w:val="single" w:color="000000" w:sz="4" w:space="0"/>
              <w:right w:val="single" w:color="000000" w:sz="4" w:space="0"/>
            </w:tcBorders>
            <w:noWrap w:val="0"/>
            <w:vAlign w:val="center"/>
          </w:tcPr>
          <w:p w14:paraId="69B27B3C">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法律效力位阶</w:t>
            </w:r>
          </w:p>
        </w:tc>
        <w:tc>
          <w:tcPr>
            <w:tcW w:w="3292" w:type="dxa"/>
            <w:tcBorders>
              <w:top w:val="single" w:color="000000" w:sz="4" w:space="0"/>
              <w:left w:val="single" w:color="000000" w:sz="4" w:space="0"/>
              <w:bottom w:val="single" w:color="000000" w:sz="4" w:space="0"/>
              <w:right w:val="single" w:color="000000" w:sz="4" w:space="0"/>
            </w:tcBorders>
            <w:noWrap w:val="0"/>
            <w:vAlign w:val="center"/>
          </w:tcPr>
          <w:p w14:paraId="50D9B90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依据内容</w:t>
            </w:r>
            <w:r>
              <w:rPr>
                <w:rFonts w:hint="eastAsia" w:ascii="黑体" w:hAnsi="黑体" w:eastAsia="黑体" w:cs="黑体"/>
                <w:bCs/>
                <w:color w:val="000000"/>
                <w:kern w:val="0"/>
                <w:sz w:val="21"/>
                <w:szCs w:val="21"/>
              </w:rPr>
              <w:br w:type="textWrapping"/>
            </w:r>
            <w:r>
              <w:rPr>
                <w:rFonts w:hint="eastAsia" w:ascii="黑体" w:hAnsi="黑体" w:eastAsia="黑体" w:cs="黑体"/>
                <w:bCs/>
                <w:color w:val="000000"/>
                <w:kern w:val="0"/>
                <w:sz w:val="21"/>
                <w:szCs w:val="21"/>
              </w:rPr>
              <w:t>（具体到条款项目的内容）</w:t>
            </w:r>
          </w:p>
        </w:tc>
        <w:tc>
          <w:tcPr>
            <w:tcW w:w="167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61E0E8">
            <w:pPr>
              <w:widowControl/>
              <w:spacing w:line="280" w:lineRule="exact"/>
              <w:jc w:val="left"/>
              <w:rPr>
                <w:rFonts w:hint="eastAsia" w:ascii="黑体" w:hAnsi="黑体" w:eastAsia="黑体" w:cs="黑体"/>
                <w:bCs/>
                <w:color w:val="000000"/>
                <w:kern w:val="0"/>
                <w:sz w:val="21"/>
                <w:szCs w:val="21"/>
              </w:rPr>
            </w:pPr>
          </w:p>
        </w:tc>
        <w:tc>
          <w:tcPr>
            <w:tcW w:w="7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22CBDA">
            <w:pPr>
              <w:widowControl/>
              <w:spacing w:line="280" w:lineRule="exact"/>
              <w:jc w:val="left"/>
              <w:rPr>
                <w:rFonts w:hint="eastAsia" w:ascii="黑体" w:hAnsi="黑体" w:eastAsia="黑体" w:cs="黑体"/>
                <w:bCs/>
                <w:color w:val="000000"/>
                <w:kern w:val="0"/>
                <w:sz w:val="21"/>
                <w:szCs w:val="21"/>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1C01D8">
            <w:pPr>
              <w:widowControl/>
              <w:spacing w:line="280" w:lineRule="exact"/>
              <w:jc w:val="left"/>
              <w:rPr>
                <w:rFonts w:hint="eastAsia" w:ascii="黑体" w:hAnsi="黑体" w:eastAsia="黑体" w:cs="黑体"/>
                <w:bCs/>
                <w:color w:val="000000"/>
                <w:kern w:val="0"/>
                <w:sz w:val="21"/>
                <w:szCs w:val="21"/>
              </w:rPr>
            </w:pPr>
          </w:p>
        </w:tc>
        <w:tc>
          <w:tcPr>
            <w:tcW w:w="70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838201">
            <w:pPr>
              <w:widowControl/>
              <w:spacing w:line="280" w:lineRule="exact"/>
              <w:jc w:val="left"/>
              <w:rPr>
                <w:rFonts w:hint="eastAsia" w:ascii="黑体" w:hAnsi="黑体" w:eastAsia="黑体" w:cs="黑体"/>
                <w:bCs/>
                <w:color w:val="000000"/>
                <w:kern w:val="0"/>
                <w:sz w:val="21"/>
                <w:szCs w:val="21"/>
              </w:rPr>
            </w:pPr>
          </w:p>
        </w:tc>
        <w:tc>
          <w:tcPr>
            <w:tcW w:w="889"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A8F12C">
            <w:pPr>
              <w:widowControl/>
              <w:spacing w:line="280" w:lineRule="exact"/>
              <w:jc w:val="left"/>
              <w:rPr>
                <w:rFonts w:hint="eastAsia" w:ascii="黑体" w:hAnsi="黑体" w:eastAsia="黑体" w:cs="黑体"/>
                <w:bCs/>
                <w:color w:val="000000"/>
                <w:kern w:val="0"/>
                <w:sz w:val="21"/>
                <w:szCs w:val="21"/>
              </w:rPr>
            </w:pPr>
          </w:p>
        </w:tc>
        <w:tc>
          <w:tcPr>
            <w:tcW w:w="68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9F807E">
            <w:pPr>
              <w:widowControl/>
              <w:spacing w:line="280" w:lineRule="exact"/>
              <w:jc w:val="left"/>
              <w:rPr>
                <w:rFonts w:hint="eastAsia" w:ascii="黑体" w:hAnsi="黑体" w:eastAsia="黑体" w:cs="黑体"/>
                <w:bCs/>
                <w:color w:val="000000"/>
                <w:kern w:val="0"/>
                <w:sz w:val="21"/>
                <w:szCs w:val="21"/>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4572DC50">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市</w:t>
            </w: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2147CF9E">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县</w:t>
            </w: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0EA65261">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乡</w:t>
            </w:r>
          </w:p>
        </w:tc>
        <w:tc>
          <w:tcPr>
            <w:tcW w:w="427" w:type="dxa"/>
            <w:tcBorders>
              <w:top w:val="single" w:color="000000" w:sz="4" w:space="0"/>
              <w:left w:val="single" w:color="000000" w:sz="4" w:space="0"/>
              <w:bottom w:val="single" w:color="000000" w:sz="4" w:space="0"/>
              <w:right w:val="single" w:color="000000" w:sz="4" w:space="0"/>
            </w:tcBorders>
            <w:noWrap w:val="0"/>
            <w:vAlign w:val="center"/>
          </w:tcPr>
          <w:p w14:paraId="2C8A4580">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市</w:t>
            </w: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775DC1F9">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县</w:t>
            </w: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4FA6478E">
            <w:pPr>
              <w:widowControl/>
              <w:spacing w:line="280" w:lineRule="exact"/>
              <w:jc w:val="center"/>
              <w:rPr>
                <w:rFonts w:hint="eastAsia" w:ascii="黑体" w:hAnsi="黑体" w:eastAsia="黑体" w:cs="黑体"/>
                <w:bCs/>
                <w:color w:val="000000"/>
                <w:kern w:val="0"/>
                <w:sz w:val="21"/>
                <w:szCs w:val="21"/>
              </w:rPr>
            </w:pPr>
            <w:r>
              <w:rPr>
                <w:rFonts w:hint="eastAsia" w:ascii="黑体" w:hAnsi="黑体" w:eastAsia="黑体" w:cs="黑体"/>
                <w:bCs/>
                <w:color w:val="000000"/>
                <w:kern w:val="0"/>
                <w:sz w:val="21"/>
                <w:szCs w:val="21"/>
              </w:rPr>
              <w:t>乡</w:t>
            </w:r>
          </w:p>
        </w:tc>
        <w:tc>
          <w:tcPr>
            <w:tcW w:w="4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07C9AE">
            <w:pPr>
              <w:widowControl/>
              <w:spacing w:line="280" w:lineRule="exact"/>
              <w:jc w:val="left"/>
              <w:rPr>
                <w:rFonts w:hint="eastAsia" w:ascii="宋体" w:hAnsi="宋体" w:eastAsia="宋体" w:cs="宋体"/>
                <w:bCs/>
                <w:color w:val="000000"/>
                <w:kern w:val="0"/>
                <w:sz w:val="21"/>
                <w:szCs w:val="21"/>
              </w:rPr>
            </w:pPr>
          </w:p>
        </w:tc>
        <w:tc>
          <w:tcPr>
            <w:tcW w:w="4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7D3CDB">
            <w:pPr>
              <w:widowControl/>
              <w:spacing w:line="280" w:lineRule="exact"/>
              <w:jc w:val="left"/>
              <w:rPr>
                <w:rFonts w:hint="eastAsia" w:ascii="宋体" w:hAnsi="宋体" w:eastAsia="宋体" w:cs="宋体"/>
                <w:bCs/>
                <w:color w:val="000000"/>
                <w:kern w:val="0"/>
                <w:sz w:val="21"/>
                <w:szCs w:val="21"/>
              </w:rPr>
            </w:pPr>
          </w:p>
        </w:tc>
      </w:tr>
      <w:tr w14:paraId="7C40841F">
        <w:tblPrEx>
          <w:tblCellMar>
            <w:top w:w="0" w:type="dxa"/>
            <w:left w:w="108" w:type="dxa"/>
            <w:bottom w:w="0" w:type="dxa"/>
            <w:right w:w="108" w:type="dxa"/>
          </w:tblCellMar>
        </w:tblPrEx>
        <w:trPr>
          <w:trHeight w:val="485" w:hRule="atLeast"/>
          <w:jc w:val="center"/>
        </w:trPr>
        <w:tc>
          <w:tcPr>
            <w:tcW w:w="426" w:type="dxa"/>
            <w:tcBorders>
              <w:top w:val="single" w:color="000000" w:sz="4" w:space="0"/>
              <w:left w:val="single" w:color="000000" w:sz="4" w:space="0"/>
              <w:bottom w:val="single" w:color="auto" w:sz="4" w:space="0"/>
              <w:right w:val="single" w:color="000000" w:sz="4" w:space="0"/>
            </w:tcBorders>
            <w:noWrap/>
            <w:vAlign w:val="center"/>
          </w:tcPr>
          <w:p w14:paraId="52B0741B">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116" w:type="dxa"/>
            <w:tcBorders>
              <w:top w:val="single" w:color="000000" w:sz="4" w:space="0"/>
              <w:left w:val="single" w:color="000000" w:sz="4" w:space="0"/>
              <w:bottom w:val="single" w:color="auto" w:sz="4" w:space="0"/>
              <w:right w:val="single" w:color="000000" w:sz="4" w:space="0"/>
            </w:tcBorders>
            <w:noWrap w:val="0"/>
            <w:vAlign w:val="center"/>
          </w:tcPr>
          <w:p w14:paraId="7C690967">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对在线旅游经营服务的监督检查</w:t>
            </w:r>
          </w:p>
        </w:tc>
        <w:tc>
          <w:tcPr>
            <w:tcW w:w="824" w:type="dxa"/>
            <w:tcBorders>
              <w:top w:val="single" w:color="000000" w:sz="4" w:space="0"/>
              <w:left w:val="single" w:color="000000" w:sz="4" w:space="0"/>
              <w:bottom w:val="single" w:color="auto" w:sz="4" w:space="0"/>
              <w:right w:val="single" w:color="000000" w:sz="4" w:space="0"/>
            </w:tcBorders>
            <w:noWrap w:val="0"/>
            <w:vAlign w:val="center"/>
          </w:tcPr>
          <w:p w14:paraId="428C7332">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在线旅游平台、旅行社等经营者的合法合规性进行检查</w:t>
            </w:r>
          </w:p>
        </w:tc>
        <w:tc>
          <w:tcPr>
            <w:tcW w:w="945" w:type="dxa"/>
            <w:tcBorders>
              <w:top w:val="single" w:color="000000" w:sz="4" w:space="0"/>
              <w:left w:val="single" w:color="000000" w:sz="4" w:space="0"/>
              <w:bottom w:val="single" w:color="auto" w:sz="4" w:space="0"/>
              <w:right w:val="single" w:color="000000" w:sz="4" w:space="0"/>
            </w:tcBorders>
            <w:noWrap w:val="0"/>
            <w:vAlign w:val="center"/>
          </w:tcPr>
          <w:p w14:paraId="173C0B78">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000000" w:sz="4" w:space="0"/>
              <w:left w:val="single" w:color="000000" w:sz="4" w:space="0"/>
              <w:bottom w:val="single" w:color="auto" w:sz="4" w:space="0"/>
              <w:right w:val="single" w:color="000000" w:sz="4" w:space="0"/>
            </w:tcBorders>
            <w:noWrap w:val="0"/>
            <w:vAlign w:val="center"/>
          </w:tcPr>
          <w:p w14:paraId="63D7DBE1">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《在线旅游经营服务管理暂行规定》第二十三条。各级文化和旅游主管部门应当建立日常检查、定期检查以及与相关部门联合检查的监督管理制度，依法对在线旅游经营服务实施监督检查，查处违法违规行为。</w:t>
            </w:r>
          </w:p>
        </w:tc>
        <w:tc>
          <w:tcPr>
            <w:tcW w:w="1672" w:type="dxa"/>
            <w:tcBorders>
              <w:top w:val="single" w:color="000000" w:sz="4" w:space="0"/>
              <w:left w:val="single" w:color="000000" w:sz="4" w:space="0"/>
              <w:bottom w:val="single" w:color="auto" w:sz="4" w:space="0"/>
              <w:right w:val="single" w:color="000000" w:sz="4" w:space="0"/>
            </w:tcBorders>
            <w:noWrap w:val="0"/>
            <w:vAlign w:val="center"/>
          </w:tcPr>
          <w:p w14:paraId="7D7B41CE">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检查内容：平台资质、合同规范性、价格透明度、消费者权益保护、数据安全等。</w:t>
            </w:r>
          </w:p>
          <w:p w14:paraId="34F15BD7">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检查要求确保平台合法经营，保护消费者权益，防止虚假宣传和价格欺诈。</w:t>
            </w:r>
          </w:p>
        </w:tc>
        <w:tc>
          <w:tcPr>
            <w:tcW w:w="724" w:type="dxa"/>
            <w:tcBorders>
              <w:top w:val="single" w:color="000000" w:sz="4" w:space="0"/>
              <w:left w:val="single" w:color="000000" w:sz="4" w:space="0"/>
              <w:bottom w:val="single" w:color="auto" w:sz="4" w:space="0"/>
              <w:right w:val="single" w:color="000000" w:sz="4" w:space="0"/>
            </w:tcBorders>
            <w:noWrap w:val="0"/>
            <w:vAlign w:val="center"/>
          </w:tcPr>
          <w:p w14:paraId="4389E71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000000" w:sz="4" w:space="0"/>
              <w:left w:val="single" w:color="000000" w:sz="4" w:space="0"/>
              <w:bottom w:val="single" w:color="auto" w:sz="4" w:space="0"/>
              <w:right w:val="single" w:color="000000" w:sz="4" w:space="0"/>
            </w:tcBorders>
            <w:noWrap w:val="0"/>
            <w:vAlign w:val="center"/>
          </w:tcPr>
          <w:p w14:paraId="17FA82EF">
            <w:pPr>
              <w:widowControl/>
              <w:spacing w:line="280" w:lineRule="exact"/>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000000" w:sz="4" w:space="0"/>
              <w:left w:val="single" w:color="000000" w:sz="4" w:space="0"/>
              <w:bottom w:val="single" w:color="auto" w:sz="4" w:space="0"/>
              <w:right w:val="single" w:color="000000" w:sz="4" w:space="0"/>
            </w:tcBorders>
            <w:noWrap w:val="0"/>
            <w:vAlign w:val="center"/>
          </w:tcPr>
          <w:p w14:paraId="68567B07">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000000" w:sz="4" w:space="0"/>
              <w:left w:val="single" w:color="000000" w:sz="4" w:space="0"/>
              <w:bottom w:val="single" w:color="auto" w:sz="4" w:space="0"/>
              <w:right w:val="single" w:color="000000" w:sz="4" w:space="0"/>
            </w:tcBorders>
            <w:noWrap w:val="0"/>
            <w:vAlign w:val="center"/>
          </w:tcPr>
          <w:p w14:paraId="7302CC66">
            <w:pPr>
              <w:widowControl/>
              <w:spacing w:line="280" w:lineRule="exact"/>
              <w:jc w:val="center"/>
              <w:rPr>
                <w:rFonts w:hint="eastAsia" w:ascii="宋体" w:hAnsi="宋体" w:eastAsia="宋体" w:cs="宋体"/>
                <w:color w:val="000000"/>
                <w:kern w:val="0"/>
                <w:sz w:val="21"/>
                <w:szCs w:val="21"/>
                <w:lang w:val="en-US" w:eastAsia="zh-CN"/>
              </w:rPr>
            </w:pPr>
            <w:r>
              <w:rPr>
                <w:rFonts w:hint="eastAsia" w:ascii="宋体" w:hAnsi="宋体" w:eastAsia="宋体" w:cs="宋体"/>
                <w:kern w:val="0"/>
                <w:sz w:val="21"/>
                <w:szCs w:val="21"/>
                <w:lang w:bidi="ar"/>
              </w:rPr>
              <w:t>公安部门</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bidi="ar"/>
              </w:rPr>
              <w:t>应急管理部门</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bidi="ar"/>
              </w:rPr>
              <w:t>市场监管部门</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消防部门</w:t>
            </w:r>
          </w:p>
        </w:tc>
        <w:tc>
          <w:tcPr>
            <w:tcW w:w="683" w:type="dxa"/>
            <w:tcBorders>
              <w:top w:val="single" w:color="000000" w:sz="4" w:space="0"/>
              <w:left w:val="single" w:color="000000" w:sz="4" w:space="0"/>
              <w:bottom w:val="single" w:color="auto" w:sz="4" w:space="0"/>
              <w:right w:val="single" w:color="000000" w:sz="4" w:space="0"/>
            </w:tcBorders>
            <w:noWrap w:val="0"/>
            <w:vAlign w:val="center"/>
          </w:tcPr>
          <w:p w14:paraId="54FA420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000000" w:sz="4" w:space="0"/>
              <w:left w:val="single" w:color="000000" w:sz="4" w:space="0"/>
              <w:bottom w:val="single" w:color="auto" w:sz="4" w:space="0"/>
              <w:right w:val="single" w:color="000000" w:sz="4" w:space="0"/>
            </w:tcBorders>
            <w:noWrap w:val="0"/>
            <w:vAlign w:val="center"/>
          </w:tcPr>
          <w:p w14:paraId="68DE854B">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000000" w:sz="4" w:space="0"/>
              <w:left w:val="single" w:color="000000" w:sz="4" w:space="0"/>
              <w:bottom w:val="single" w:color="auto" w:sz="4" w:space="0"/>
              <w:right w:val="single" w:color="000000" w:sz="4" w:space="0"/>
            </w:tcBorders>
            <w:noWrap w:val="0"/>
            <w:vAlign w:val="center"/>
          </w:tcPr>
          <w:p w14:paraId="51DA9CB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000000" w:sz="4" w:space="0"/>
              <w:left w:val="single" w:color="000000" w:sz="4" w:space="0"/>
              <w:bottom w:val="single" w:color="auto" w:sz="4" w:space="0"/>
              <w:right w:val="single" w:color="000000" w:sz="4" w:space="0"/>
            </w:tcBorders>
            <w:noWrap w:val="0"/>
            <w:vAlign w:val="center"/>
          </w:tcPr>
          <w:p w14:paraId="0CF2217D">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000000" w:sz="4" w:space="0"/>
              <w:left w:val="single" w:color="000000" w:sz="4" w:space="0"/>
              <w:bottom w:val="single" w:color="auto" w:sz="4" w:space="0"/>
              <w:right w:val="single" w:color="000000" w:sz="4" w:space="0"/>
            </w:tcBorders>
            <w:noWrap w:val="0"/>
            <w:vAlign w:val="center"/>
          </w:tcPr>
          <w:p w14:paraId="223E1868">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000000" w:sz="4" w:space="0"/>
              <w:left w:val="single" w:color="000000" w:sz="4" w:space="0"/>
              <w:bottom w:val="single" w:color="auto" w:sz="4" w:space="0"/>
              <w:right w:val="single" w:color="000000" w:sz="4" w:space="0"/>
            </w:tcBorders>
            <w:noWrap w:val="0"/>
            <w:vAlign w:val="center"/>
          </w:tcPr>
          <w:p w14:paraId="0B87AE57">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000000" w:sz="4" w:space="0"/>
              <w:left w:val="single" w:color="000000" w:sz="4" w:space="0"/>
              <w:bottom w:val="single" w:color="auto" w:sz="4" w:space="0"/>
              <w:right w:val="single" w:color="000000" w:sz="4" w:space="0"/>
            </w:tcBorders>
            <w:noWrap w:val="0"/>
            <w:vAlign w:val="center"/>
          </w:tcPr>
          <w:p w14:paraId="30711685">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000000" w:sz="4" w:space="0"/>
              <w:left w:val="single" w:color="000000" w:sz="4" w:space="0"/>
              <w:bottom w:val="single" w:color="auto" w:sz="4" w:space="0"/>
              <w:right w:val="single" w:color="000000" w:sz="4" w:space="0"/>
            </w:tcBorders>
            <w:noWrap w:val="0"/>
            <w:vAlign w:val="center"/>
          </w:tcPr>
          <w:p w14:paraId="5CEA40EB">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000000" w:sz="4" w:space="0"/>
              <w:left w:val="single" w:color="000000" w:sz="4" w:space="0"/>
              <w:bottom w:val="single" w:color="auto" w:sz="4" w:space="0"/>
              <w:right w:val="single" w:color="000000" w:sz="4" w:space="0"/>
            </w:tcBorders>
            <w:noWrap w:val="0"/>
            <w:vAlign w:val="center"/>
          </w:tcPr>
          <w:p w14:paraId="5A13FC8A">
            <w:pPr>
              <w:widowControl/>
              <w:spacing w:line="280" w:lineRule="exact"/>
              <w:jc w:val="center"/>
              <w:rPr>
                <w:rFonts w:hint="eastAsia" w:ascii="宋体" w:hAnsi="宋体" w:eastAsia="宋体" w:cs="宋体"/>
                <w:color w:val="000000"/>
                <w:kern w:val="0"/>
                <w:sz w:val="21"/>
                <w:szCs w:val="21"/>
              </w:rPr>
            </w:pPr>
          </w:p>
        </w:tc>
      </w:tr>
      <w:tr w14:paraId="2F22D296">
        <w:tblPrEx>
          <w:tblCellMar>
            <w:top w:w="0" w:type="dxa"/>
            <w:left w:w="108" w:type="dxa"/>
            <w:bottom w:w="0" w:type="dxa"/>
            <w:right w:w="108" w:type="dxa"/>
          </w:tblCellMar>
        </w:tblPrEx>
        <w:trPr>
          <w:trHeight w:val="31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64EF4788">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4703AF8D">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对非物质文化遗产代表性项目保护规划的实施情况开展行政检查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3563EAB4">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非遗项目</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2A7749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6065A432">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《中华人民共和国非物质文化遗产法》第二十七条 国务院文化主管部门和省、自治区、直辖市人民政府文化主管部门应当对非物质文化遗产代表性项目保护规划的实施情况进行监督检查；发现保护规划未能有效实施的，应当及时纠正、处理。</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766A9BBF">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检查内容：保护规划的执行情况、资金使用、传承人保护、项目宣传等。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检查要求：确保保护规划有效实施，资金使用合规，传承人得到合理保护。</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43BA2B4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4BBA7F6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2711BFD3">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3BF9879C">
            <w:pPr>
              <w:widowControl/>
              <w:spacing w:line="280" w:lineRule="exact"/>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19FE8EA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D117EDE">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BF5C098">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6966620">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056639C1">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0B284CA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B201FB5">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35A40571">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0597DFF9">
            <w:pPr>
              <w:widowControl/>
              <w:spacing w:line="280" w:lineRule="exact"/>
              <w:jc w:val="center"/>
              <w:rPr>
                <w:rFonts w:hint="eastAsia" w:ascii="宋体" w:hAnsi="宋体" w:eastAsia="宋体" w:cs="宋体"/>
                <w:color w:val="000000"/>
                <w:kern w:val="0"/>
                <w:sz w:val="21"/>
                <w:szCs w:val="21"/>
              </w:rPr>
            </w:pPr>
          </w:p>
        </w:tc>
      </w:tr>
      <w:tr w14:paraId="26EB3B86">
        <w:tblPrEx>
          <w:tblCellMar>
            <w:top w:w="0" w:type="dxa"/>
            <w:left w:w="108" w:type="dxa"/>
            <w:bottom w:w="0" w:type="dxa"/>
            <w:right w:w="108" w:type="dxa"/>
          </w:tblCellMar>
        </w:tblPrEx>
        <w:trPr>
          <w:trHeight w:val="453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3310D46F">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3</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61166D3F">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对营业性演出的行政检查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026DE6D1">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演出单位</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6BC425C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7333DB7B">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《营业性演出管理条例》 第五条 国务院文化主管部门主管全国营业性演出的监督管理工作。国务院公安部门、工商行政管理部门在各自职责范围内，主管营业性演出的监督管理工作。县级以上地方人民政府文化主管部门负责本行政区域内营业性演出的监督管理工作。县级以上地方人民政府公安部门、工商行政管理部门在各自职责范围内，负责本行政区域内营业性演出的监督管理工作。第三十三条 文化主管部门应当加强对营业性演出的监督管理。演出所在地县级人民政府文化主管部门对外国的或者香港特别行政区、澳门特别行政区、台湾地区的文艺表演团体、个人参加的营业性演出和临时搭建舞台、看台的营业性演出，应当进行实地检查；对其他营业性演出，应当进行实地抽样检查。</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12C15063">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检查内容：演出资质、内容合法性、票务管理、安全保障等。</w:t>
            </w:r>
            <w:r>
              <w:rPr>
                <w:rFonts w:hint="eastAsia" w:ascii="宋体" w:hAnsi="宋体" w:eastAsia="宋体" w:cs="宋体"/>
                <w:color w:val="000000"/>
                <w:kern w:val="0"/>
                <w:sz w:val="21"/>
                <w:szCs w:val="21"/>
              </w:rPr>
              <w:br w:type="textWrapping"/>
            </w:r>
          </w:p>
          <w:p w14:paraId="4AB8ECDA">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检查要求：确保演出内容合法合规，保障观众安全，防止黄牛票等违法行为。</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168173F7">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5B0B4F63">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47AD62AF">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5CA6ABE8">
            <w:pPr>
              <w:widowControl/>
              <w:spacing w:line="280" w:lineRule="exact"/>
              <w:jc w:val="center"/>
              <w:rPr>
                <w:rFonts w:hint="eastAsia" w:ascii="宋体" w:hAnsi="宋体" w:eastAsia="宋体" w:cs="宋体"/>
                <w:color w:val="000000"/>
                <w:kern w:val="0"/>
                <w:sz w:val="21"/>
                <w:szCs w:val="21"/>
                <w:lang w:eastAsia="zh-CN"/>
              </w:rPr>
            </w:pPr>
            <w:r>
              <w:rPr>
                <w:rFonts w:hint="eastAsia" w:ascii="宋体" w:hAnsi="宋体" w:eastAsia="宋体" w:cs="宋体"/>
                <w:kern w:val="0"/>
                <w:sz w:val="21"/>
                <w:szCs w:val="21"/>
                <w:lang w:bidi="ar"/>
              </w:rPr>
              <w:t>公安部门</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消防部门、市场监管局</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55674AA3">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3A3B9011">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01436F3B">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629F5B89">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687DBC62">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00B2046E">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98EEC97">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71B45EC0">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17C56310">
            <w:pPr>
              <w:widowControl/>
              <w:spacing w:line="280" w:lineRule="exact"/>
              <w:jc w:val="center"/>
              <w:rPr>
                <w:rFonts w:hint="eastAsia" w:ascii="宋体" w:hAnsi="宋体" w:eastAsia="宋体" w:cs="宋体"/>
                <w:color w:val="000000"/>
                <w:kern w:val="0"/>
                <w:sz w:val="21"/>
                <w:szCs w:val="21"/>
              </w:rPr>
            </w:pPr>
          </w:p>
        </w:tc>
      </w:tr>
      <w:tr w14:paraId="7E1F2D0E">
        <w:tblPrEx>
          <w:tblCellMar>
            <w:top w:w="0" w:type="dxa"/>
            <w:left w:w="108" w:type="dxa"/>
            <w:bottom w:w="0" w:type="dxa"/>
            <w:right w:w="108" w:type="dxa"/>
          </w:tblCellMar>
        </w:tblPrEx>
        <w:trPr>
          <w:trHeight w:val="268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2B4D548C">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3CDA539C">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对艺术考级活动的行政检查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05E7C929">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艺术考级</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5371EE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429F3622">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《社会艺术水平考级管理办法》（《文化部关于废止和修改部分部门规章的决定》2017年11月24日文化部令第57号修订）第五条 县级以上地方人民政府文化行政部门负责在本行政区域内贯彻执行国家关于艺术考级的政策、法规，监督检查艺术考级活动。</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1E39236">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检查内容：考级机构资质、考级标准、考官资格、考试公平性等。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检查要求：确保考级活动公平公正，考官具备相应资质，防止舞弊行为。</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5A7FC744">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2F02EFD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60D8089B">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64334629">
            <w:pPr>
              <w:widowControl/>
              <w:spacing w:line="280" w:lineRule="exact"/>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3A171CE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35A79A6">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651A164C">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7F4951EA">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363238CC">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758C0F0">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35D2E2D2">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4C13D7BD">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61F0D4AC">
            <w:pPr>
              <w:widowControl/>
              <w:spacing w:line="280" w:lineRule="exact"/>
              <w:jc w:val="center"/>
              <w:rPr>
                <w:rFonts w:hint="eastAsia" w:ascii="宋体" w:hAnsi="宋体" w:eastAsia="宋体" w:cs="宋体"/>
                <w:color w:val="000000"/>
                <w:kern w:val="0"/>
                <w:sz w:val="21"/>
                <w:szCs w:val="21"/>
              </w:rPr>
            </w:pPr>
          </w:p>
        </w:tc>
      </w:tr>
      <w:tr w14:paraId="66F8A2BE">
        <w:tblPrEx>
          <w:tblCellMar>
            <w:top w:w="0" w:type="dxa"/>
            <w:left w:w="108" w:type="dxa"/>
            <w:bottom w:w="0" w:type="dxa"/>
            <w:right w:w="108" w:type="dxa"/>
          </w:tblCellMar>
        </w:tblPrEx>
        <w:trPr>
          <w:trHeight w:val="3254"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065623EA">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5</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75F40712">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对资源保护和旅游利用状况的监督检查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1E70BA64">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旅游资源</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52951F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1450794E">
            <w:pPr>
              <w:keepNext w:val="0"/>
              <w:keepLines w:val="0"/>
              <w:pageBreakBefore w:val="0"/>
              <w:widowControl/>
              <w:kinsoku/>
              <w:wordWrap/>
              <w:overflowPunct/>
              <w:topLinePunct w:val="0"/>
              <w:autoSpaceDE/>
              <w:autoSpaceDN/>
              <w:bidi w:val="0"/>
              <w:adjustRightInd/>
              <w:snapToGrid/>
              <w:spacing w:line="30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《中华人民共和国旅游法》第二十一条 对自然资源和文物等人文资源进行旅游利用，必须严格遵守有关法律法规的规定，符合资源、生态保护和文物安全的要求，尊重和维护当地传统文化和习俗，维护资源的区域整体性、文化代表性和地域特殊性，并考虑军事设施保护的需要。有关主管部门应当加强对资源保护和旅游利用状况的监督检查。</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60B62BCB">
            <w:pPr>
              <w:keepNext w:val="0"/>
              <w:keepLines w:val="0"/>
              <w:pageBreakBefore w:val="0"/>
              <w:widowControl/>
              <w:kinsoku/>
              <w:wordWrap/>
              <w:overflowPunct/>
              <w:topLinePunct w:val="0"/>
              <w:autoSpaceDE/>
              <w:autoSpaceDN/>
              <w:bidi w:val="0"/>
              <w:adjustRightInd/>
              <w:snapToGrid/>
              <w:spacing w:line="30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检查内容：资源保护措施、旅游开发合规性、环境影响评估等。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检查要求：确保旅游资源合理利用，保护生态环境，防止过度开发。</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036D865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3746731C">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2004631F">
            <w:pPr>
              <w:keepNext w:val="0"/>
              <w:keepLines w:val="0"/>
              <w:pageBreakBefore w:val="0"/>
              <w:widowControl/>
              <w:kinsoku/>
              <w:wordWrap/>
              <w:overflowPunct/>
              <w:topLinePunct w:val="0"/>
              <w:autoSpaceDE/>
              <w:autoSpaceDN/>
              <w:bidi w:val="0"/>
              <w:adjustRightInd/>
              <w:snapToGrid/>
              <w:spacing w:line="30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2960C0E0">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kern w:val="0"/>
                <w:sz w:val="21"/>
                <w:szCs w:val="21"/>
                <w:lang w:val="en-US" w:eastAsia="zh-CN" w:bidi="ar"/>
              </w:rPr>
              <w:t>环保部门、国土资源局</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65CEC9EE">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483E6D9A">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2740FBC0">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35605BBA">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779F0872">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BAA10CE">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6B82076F">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530ABCA9">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5A09F65B">
            <w:pPr>
              <w:widowControl/>
              <w:spacing w:line="280" w:lineRule="exact"/>
              <w:jc w:val="center"/>
              <w:rPr>
                <w:rFonts w:hint="eastAsia" w:ascii="宋体" w:hAnsi="宋体" w:eastAsia="宋体" w:cs="宋体"/>
                <w:color w:val="000000"/>
                <w:kern w:val="0"/>
                <w:sz w:val="21"/>
                <w:szCs w:val="21"/>
              </w:rPr>
            </w:pPr>
          </w:p>
        </w:tc>
      </w:tr>
      <w:tr w14:paraId="45E2F9C7">
        <w:tblPrEx>
          <w:tblCellMar>
            <w:top w:w="0" w:type="dxa"/>
            <w:left w:w="108" w:type="dxa"/>
            <w:bottom w:w="0" w:type="dxa"/>
            <w:right w:w="108" w:type="dxa"/>
          </w:tblCellMar>
        </w:tblPrEx>
        <w:trPr>
          <w:trHeight w:val="453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0EA74407">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6</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5EE9E8C3">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对经营旅行社业务以及从事导游、领队服务是否取得经营、执业许可；旅行社的经营行为；导游和领队等旅游从业人员的服务行为；法律法规规定的其他事项的监督检查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390C57D8">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旅行社、导游、领队</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41123BE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4A7E6150">
            <w:pPr>
              <w:keepNext w:val="0"/>
              <w:keepLines w:val="0"/>
              <w:pageBreakBefore w:val="0"/>
              <w:widowControl/>
              <w:kinsoku/>
              <w:wordWrap/>
              <w:overflowPunct/>
              <w:topLinePunct w:val="0"/>
              <w:autoSpaceDE/>
              <w:autoSpaceDN/>
              <w:bidi w:val="0"/>
              <w:adjustRightInd/>
              <w:snapToGrid/>
              <w:spacing w:line="30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《中华人民共和国旅游法》第八十三条 县级以上人民政府旅游主管部门和有关部门依照本法和有关法律法规的规定，在各自职责范围内对旅游市场实施监督管理。 县级以上人民政府应当组织旅游主管部门、有关主管部门和市场监督管理、交通等执法部门对相关旅游经营行为实施监督检查；第八十五条县级以上人民政府旅游主管部门有权对下列事项实施监督检查：（一）经营旅行社业务以及从事导游、领队服务是否取得经营、执业许可；（二）旅行社的经营行为；（三）导游和领队等旅游从业人员的服务行为；（四）法律法规规定的其他事项。</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93AC219">
            <w:pPr>
              <w:keepNext w:val="0"/>
              <w:keepLines w:val="0"/>
              <w:pageBreakBefore w:val="0"/>
              <w:widowControl/>
              <w:kinsoku/>
              <w:wordWrap/>
              <w:overflowPunct/>
              <w:topLinePunct w:val="0"/>
              <w:autoSpaceDE/>
              <w:autoSpaceDN/>
              <w:bidi w:val="0"/>
              <w:adjustRightInd/>
              <w:snapToGrid/>
              <w:spacing w:line="30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检查内容：旅行社资质、导游和领队执业资格、合同规范性、服务质量等。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检查要求：确保旅行社和从业人员合法经营，服务质量符合标准，保护消费者权益。</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53808D2B">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2F58FFF1">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512CA0F6">
            <w:pPr>
              <w:keepNext w:val="0"/>
              <w:keepLines w:val="0"/>
              <w:pageBreakBefore w:val="0"/>
              <w:widowControl/>
              <w:kinsoku/>
              <w:wordWrap/>
              <w:overflowPunct/>
              <w:topLinePunct w:val="0"/>
              <w:autoSpaceDE/>
              <w:autoSpaceDN/>
              <w:bidi w:val="0"/>
              <w:adjustRightInd/>
              <w:snapToGrid/>
              <w:spacing w:line="30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659F958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市场监督管理、交通部门</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300E5D5C">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1D6DB2B">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67A2E9EE">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CE442A4">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6110B3DF">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D068707">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2B62D6C4">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538B1740">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149218AE">
            <w:pPr>
              <w:widowControl/>
              <w:spacing w:line="280" w:lineRule="exact"/>
              <w:jc w:val="center"/>
              <w:rPr>
                <w:rFonts w:hint="eastAsia" w:ascii="宋体" w:hAnsi="宋体" w:eastAsia="宋体" w:cs="宋体"/>
                <w:color w:val="000000"/>
                <w:kern w:val="0"/>
                <w:sz w:val="21"/>
                <w:szCs w:val="21"/>
              </w:rPr>
            </w:pPr>
          </w:p>
        </w:tc>
      </w:tr>
      <w:tr w14:paraId="6032DA27">
        <w:tblPrEx>
          <w:tblCellMar>
            <w:top w:w="0" w:type="dxa"/>
            <w:left w:w="108" w:type="dxa"/>
            <w:bottom w:w="0" w:type="dxa"/>
            <w:right w:w="108" w:type="dxa"/>
          </w:tblCellMar>
        </w:tblPrEx>
        <w:trPr>
          <w:trHeight w:val="262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6039AC50">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575B57C4">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对旅游服务质量的监督检查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48EFAA40">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旅游服务提供者</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6A73A20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0AC8DE0E">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《四川省旅游条例》第七十四条 旅游行政主管部门应当会同有关行政主管部门建立旅游市场综合治理机制，加强对旅游市场的管理和旅游服务质量的监督检查，依法查处旅游开发、经营、服务中的违法行为，维护旅游市场秩序。</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4BF6B234">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检查内容：服务标准、客户满意度、投诉处理、安全保障等。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检查要求：确保旅游服务质量符合国家标准，及时处理客户投诉，保障游客安全。</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66E60E6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15D36F5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3AFCB386">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47C5A07C">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kern w:val="0"/>
                <w:sz w:val="21"/>
                <w:szCs w:val="21"/>
                <w:lang w:bidi="ar"/>
              </w:rPr>
              <w:t>市场监管部门</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1998154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782D1C4E">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1525D2F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1F33D366">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307ADFB1">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2ECBE5EB">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CB8CA93">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049B5091">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0D6DD6C0">
            <w:pPr>
              <w:widowControl/>
              <w:spacing w:line="280" w:lineRule="exact"/>
              <w:jc w:val="center"/>
              <w:rPr>
                <w:rFonts w:hint="eastAsia" w:ascii="宋体" w:hAnsi="宋体" w:eastAsia="宋体" w:cs="宋体"/>
                <w:color w:val="000000"/>
                <w:kern w:val="0"/>
                <w:sz w:val="21"/>
                <w:szCs w:val="21"/>
              </w:rPr>
            </w:pPr>
          </w:p>
        </w:tc>
      </w:tr>
      <w:tr w14:paraId="6F249665">
        <w:tblPrEx>
          <w:tblCellMar>
            <w:top w:w="0" w:type="dxa"/>
            <w:left w:w="108" w:type="dxa"/>
            <w:bottom w:w="0" w:type="dxa"/>
            <w:right w:w="108" w:type="dxa"/>
          </w:tblCellMar>
        </w:tblPrEx>
        <w:trPr>
          <w:trHeight w:val="332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7FE780A3">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5604D070">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对广播影视统计的监督检查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381D00ED">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广播影视机构</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AB639A8">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035DCA6B">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《广播电影电视行业统计管理办法》（国家广播电影电视总局令第47号）第九条 地方广播影视行政管理部门负责管理本地区的广播影视行业统计工作，同时接受地方政府统计机构的业务指导，履行下列职责：（一）组织、协调本地区的广播影视统计工作，监督检查统计法律法规、规章在本地区广播影视单位的实施情况；</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7F760F8D">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检查内容：统计数据准确性、报送及时性、数据保密性等。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检查要求：确保统计数据真实可靠，按时报送，防止数据泄露。</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7E4CF766">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4980FDFB">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2C1505D6">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56FCC987">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33C4FF6C">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9454D0B">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1E66FC8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7558C682">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40F7B2BB">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60A8FA2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1B441A85">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1D61053A">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11DD1A0F">
            <w:pPr>
              <w:widowControl/>
              <w:spacing w:line="280" w:lineRule="exact"/>
              <w:jc w:val="center"/>
              <w:rPr>
                <w:rFonts w:hint="eastAsia" w:ascii="宋体" w:hAnsi="宋体" w:eastAsia="宋体" w:cs="宋体"/>
                <w:color w:val="000000"/>
                <w:kern w:val="0"/>
                <w:sz w:val="21"/>
                <w:szCs w:val="21"/>
              </w:rPr>
            </w:pPr>
          </w:p>
        </w:tc>
      </w:tr>
      <w:tr w14:paraId="293FDE48">
        <w:tblPrEx>
          <w:tblCellMar>
            <w:top w:w="0" w:type="dxa"/>
            <w:left w:w="108" w:type="dxa"/>
            <w:bottom w:w="0" w:type="dxa"/>
            <w:right w:w="108" w:type="dxa"/>
          </w:tblCellMar>
        </w:tblPrEx>
        <w:trPr>
          <w:trHeight w:val="2794"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501E48C0">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9</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280CFEE2">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对有线电视设施和有线电视播映活动的监督检查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6E361E55">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有线电视设施</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832F4EB">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70301AC1">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《有线电视管理暂行办法》 （2018年9月18日《国务院关于修改部分行政法规的决定》中华人民共和国国务院令第703号修订）第十五条。县级以上地方各级广播电视行政管理部门负责对当地有线电视设施和有线电视播映活动进行监督检查，对违反本办法的行为，视情节轻重，给予相应的行政处罚。</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BBB2C42">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检查内容：设施安全性、播映内容合法性、信号质量等。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检查要求：确保设施安全运行，播映内容合法合规，信号传输稳定。</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605268D3">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4EBF97B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7AB9204E">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499596F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410F96C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3AD9521">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5DDDBC3E">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72D00AB2">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0C8CCFB9">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13D9612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60FD8B1">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5578D416">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66DF3C04">
            <w:pPr>
              <w:widowControl/>
              <w:spacing w:line="280" w:lineRule="exact"/>
              <w:jc w:val="center"/>
              <w:rPr>
                <w:rFonts w:hint="eastAsia" w:ascii="宋体" w:hAnsi="宋体" w:eastAsia="宋体" w:cs="宋体"/>
                <w:color w:val="000000"/>
                <w:kern w:val="0"/>
                <w:sz w:val="21"/>
                <w:szCs w:val="21"/>
              </w:rPr>
            </w:pPr>
          </w:p>
        </w:tc>
      </w:tr>
      <w:tr w14:paraId="5A8544FD">
        <w:tblPrEx>
          <w:tblCellMar>
            <w:top w:w="0" w:type="dxa"/>
            <w:left w:w="108" w:type="dxa"/>
            <w:bottom w:w="0" w:type="dxa"/>
            <w:right w:w="108" w:type="dxa"/>
          </w:tblCellMar>
        </w:tblPrEx>
        <w:trPr>
          <w:trHeight w:val="2654"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60F8E93B">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10</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7B803504">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对互联网视听节目服务单位的监督检查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5261E62D">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互联网视听节目服务单位</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6D813266">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04ED8F45">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互联网视听节目服务管理规定》（国家广播电视总局、信息产业部第56号）第二十二条。广播电影电视主管部门依法对互联网视听节目服务单位进行实地检查，有关单位和个人应当予以配合。广播电影电视主管部门工作人员依法进行实地检查时应当主动出示有关证件。</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25DE230C">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检查内容：内容合法性、版权保护、用户隐私保护、广告合规性等。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检查要求：确保视听节目内容合法，保护用户隐私，防止侵权和虚假广告。</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09380DC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3411C8B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24EA3814">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548B969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31ED276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1E96620D">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9395441">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22523522">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1E3C8D00">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F4214FD">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13FE0598">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4EE531E7">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00BB0688">
            <w:pPr>
              <w:widowControl/>
              <w:spacing w:line="280" w:lineRule="exact"/>
              <w:jc w:val="center"/>
              <w:rPr>
                <w:rFonts w:hint="eastAsia" w:ascii="宋体" w:hAnsi="宋体" w:eastAsia="宋体" w:cs="宋体"/>
                <w:color w:val="000000"/>
                <w:kern w:val="0"/>
                <w:sz w:val="21"/>
                <w:szCs w:val="21"/>
              </w:rPr>
            </w:pPr>
          </w:p>
        </w:tc>
      </w:tr>
      <w:tr w14:paraId="01AF1B52">
        <w:tblPrEx>
          <w:tblCellMar>
            <w:top w:w="0" w:type="dxa"/>
            <w:left w:w="108" w:type="dxa"/>
            <w:bottom w:w="0" w:type="dxa"/>
            <w:right w:w="108" w:type="dxa"/>
          </w:tblCellMar>
        </w:tblPrEx>
        <w:trPr>
          <w:trHeight w:val="214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4FBD5BA0">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11</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06749516">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对广播电视安全播出的监督检查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32943282">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广播电视播出机构</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03B0C46D">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5AE89BD0">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《广播电视安全播出管理规定》（国家广播电影电视总局） 第三十五条第二款  （二）对本行政区域内安全播出情况进行监督、检查，对发现的安全播出事故隐患，督促安全播出责任单位予以消除；</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C5ACDC2">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检查内容：播出内容合法性、信号安全性、应急处理机制等。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检查要求：确保播出内容合法合规，信号传输安全，具备应急处理能力。</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4CE5DE0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0E81145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3B799BD6">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3E72BB72">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5F05592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B9DE690">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3ADBD821">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3B0991C">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389A8E3B">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67647B5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063E28B">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352DBEDE">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454AA5D7">
            <w:pPr>
              <w:widowControl/>
              <w:spacing w:line="280" w:lineRule="exact"/>
              <w:jc w:val="center"/>
              <w:rPr>
                <w:rFonts w:hint="eastAsia" w:ascii="宋体" w:hAnsi="宋体" w:eastAsia="宋体" w:cs="宋体"/>
                <w:color w:val="000000"/>
                <w:kern w:val="0"/>
                <w:sz w:val="21"/>
                <w:szCs w:val="21"/>
              </w:rPr>
            </w:pPr>
          </w:p>
        </w:tc>
      </w:tr>
      <w:tr w14:paraId="7CF87609">
        <w:tblPrEx>
          <w:tblCellMar>
            <w:top w:w="0" w:type="dxa"/>
            <w:left w:w="108" w:type="dxa"/>
            <w:bottom w:w="0" w:type="dxa"/>
            <w:right w:w="108" w:type="dxa"/>
          </w:tblCellMar>
        </w:tblPrEx>
        <w:trPr>
          <w:trHeight w:val="2339"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504B7301">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12</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5FD1950D">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对文物商店和经营文物拍卖的拍卖企业的行政检查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70F5A7F2">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文物商店和拍卖企业</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236D2D9">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63B03D1C">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《中华人民共和国文物保护法实施条例》（国务院令第377号）第四十三条第二款：文物行政主管部门应当加强对文物商店和经营文物拍卖的拍卖企业的监督检查。</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EB63568">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检查内容：文物来源合法性、拍卖程序合规性、文物鉴定真实性等。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检查要求：确保文物来源合法，拍卖程序公开透明，防止文物走私和造假。</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56B3F424">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37FCAE44">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7263B80A">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691C4F7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1371A767">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4D27E8B3">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08C72AFA">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F59DCD3">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576F0154">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7B9C6586">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4D26C672">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4BC19E33">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7E1CF8C5">
            <w:pPr>
              <w:widowControl/>
              <w:spacing w:line="280" w:lineRule="exact"/>
              <w:jc w:val="center"/>
              <w:rPr>
                <w:rFonts w:hint="eastAsia" w:ascii="宋体" w:hAnsi="宋体" w:eastAsia="宋体" w:cs="宋体"/>
                <w:color w:val="000000"/>
                <w:kern w:val="0"/>
                <w:sz w:val="21"/>
                <w:szCs w:val="21"/>
              </w:rPr>
            </w:pPr>
          </w:p>
        </w:tc>
      </w:tr>
      <w:tr w14:paraId="1676BD73">
        <w:tblPrEx>
          <w:tblCellMar>
            <w:top w:w="0" w:type="dxa"/>
            <w:left w:w="108" w:type="dxa"/>
            <w:bottom w:w="0" w:type="dxa"/>
            <w:right w:w="108" w:type="dxa"/>
          </w:tblCellMar>
        </w:tblPrEx>
        <w:trPr>
          <w:trHeight w:val="2514"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19C6C587">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13</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1435715F">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对宗教活动场所内的文物保护单位的行政检查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1B5D94A7">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宗教活动场所内的文物保护单位</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1E05C43">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0C78963C">
            <w:pPr>
              <w:widowControl/>
              <w:spacing w:line="280" w:lineRule="exact"/>
              <w:jc w:val="both"/>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《四川省〈中华人民共和国文物保护法〉实施办法》第二十条：宗教活动场所内的文物保护单位，由管理使用该场所的宗教组织负责依法对其进行修缮、保养和安全管理，并接受文物行政主管部门的监督检查。</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1FFC777E">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检查内容：文物保护措施、修缮合规性、使用合法性等。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检查要求：确保文物保护措施到位，修缮符合规范，防止文物损坏和非法使用。</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6F9D98F0">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1E22CE74">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338FA8B7">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4EF7DA7B">
            <w:pPr>
              <w:widowControl/>
              <w:spacing w:line="280" w:lineRule="exact"/>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510AEE64">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2B7614BA">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6E99906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45011843">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7369D122">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0850E323">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7706CD68">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5FCAEAC0">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621507DB">
            <w:pPr>
              <w:widowControl/>
              <w:spacing w:line="280" w:lineRule="exact"/>
              <w:jc w:val="center"/>
              <w:rPr>
                <w:rFonts w:hint="eastAsia" w:ascii="宋体" w:hAnsi="宋体" w:eastAsia="宋体" w:cs="宋体"/>
                <w:color w:val="000000"/>
                <w:kern w:val="0"/>
                <w:sz w:val="21"/>
                <w:szCs w:val="21"/>
              </w:rPr>
            </w:pPr>
          </w:p>
        </w:tc>
      </w:tr>
      <w:tr w14:paraId="5048EDA2">
        <w:tblPrEx>
          <w:tblCellMar>
            <w:top w:w="0" w:type="dxa"/>
            <w:left w:w="108" w:type="dxa"/>
            <w:bottom w:w="0" w:type="dxa"/>
            <w:right w:w="108" w:type="dxa"/>
          </w:tblCellMar>
        </w:tblPrEx>
        <w:trPr>
          <w:trHeight w:val="2394"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14:paraId="1FD5AA13">
            <w:pP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14</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28EF7F52">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val="en-US" w:eastAsia="zh-CN" w:bidi="ar"/>
              </w:rPr>
              <w:t>对新闻出版统计的监督检查</w:t>
            </w:r>
          </w:p>
        </w:tc>
        <w:tc>
          <w:tcPr>
            <w:tcW w:w="824" w:type="dxa"/>
            <w:tcBorders>
              <w:top w:val="single" w:color="auto" w:sz="4" w:space="0"/>
              <w:left w:val="single" w:color="auto" w:sz="4" w:space="0"/>
              <w:bottom w:val="single" w:color="auto" w:sz="4" w:space="0"/>
              <w:right w:val="single" w:color="auto" w:sz="4" w:space="0"/>
            </w:tcBorders>
            <w:noWrap w:val="0"/>
            <w:vAlign w:val="center"/>
          </w:tcPr>
          <w:p w14:paraId="7E518D04">
            <w:pPr>
              <w:spacing w:line="260" w:lineRule="exact"/>
              <w:jc w:val="center"/>
              <w:textAlignment w:val="center"/>
              <w:rPr>
                <w:rFonts w:hint="eastAsia" w:ascii="宋体" w:hAnsi="宋体" w:eastAsia="宋体" w:cs="宋体"/>
                <w:kern w:val="0"/>
                <w:sz w:val="21"/>
                <w:szCs w:val="21"/>
                <w:lang w:val="en-US" w:eastAsia="zh-CN" w:bidi="ar"/>
              </w:rPr>
            </w:pPr>
            <w:r>
              <w:rPr>
                <w:rFonts w:hint="eastAsia" w:ascii="宋体" w:hAnsi="宋体" w:eastAsia="宋体" w:cs="宋体"/>
                <w:kern w:val="0"/>
                <w:sz w:val="21"/>
                <w:szCs w:val="21"/>
                <w:lang w:bidi="ar"/>
              </w:rPr>
              <w:t>新闻出版机构</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48DA46E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行政</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法规</w:t>
            </w:r>
          </w:p>
        </w:tc>
        <w:tc>
          <w:tcPr>
            <w:tcW w:w="3292" w:type="dxa"/>
            <w:tcBorders>
              <w:top w:val="single" w:color="auto" w:sz="4" w:space="0"/>
              <w:left w:val="single" w:color="auto" w:sz="4" w:space="0"/>
              <w:bottom w:val="single" w:color="auto" w:sz="4" w:space="0"/>
              <w:right w:val="single" w:color="auto" w:sz="4" w:space="0"/>
            </w:tcBorders>
            <w:noWrap w:val="0"/>
            <w:vAlign w:val="center"/>
          </w:tcPr>
          <w:p w14:paraId="55BED8B1">
            <w:pPr>
              <w:rPr>
                <w:rFonts w:hint="eastAsia"/>
                <w:lang w:val="en-US" w:eastAsia="zh-CN"/>
              </w:rPr>
            </w:pPr>
            <w:r>
              <w:rPr>
                <w:rFonts w:hint="eastAsia"/>
                <w:lang w:val="en-US" w:eastAsia="zh-CN"/>
              </w:rPr>
              <w:t>《新闻出版统计管理办法》第三十条 各级新闻出版行政主管部门统计机构依法对下级新闻出版行政主管部门、统计调查对象的统计工作进行监督、检查和考核。</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3C961CFA">
            <w:pPr>
              <w:widowControl/>
              <w:spacing w:line="280" w:lineRule="exact"/>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检查内容：统计数据准确性、报送及时性、数据保密性等。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检查要求：确保统计数据真实可靠，按时报送，防止数据泄露。</w:t>
            </w:r>
          </w:p>
        </w:tc>
        <w:tc>
          <w:tcPr>
            <w:tcW w:w="724" w:type="dxa"/>
            <w:tcBorders>
              <w:top w:val="single" w:color="auto" w:sz="4" w:space="0"/>
              <w:left w:val="single" w:color="auto" w:sz="4" w:space="0"/>
              <w:bottom w:val="single" w:color="auto" w:sz="4" w:space="0"/>
              <w:right w:val="single" w:color="auto" w:sz="4" w:space="0"/>
            </w:tcBorders>
            <w:noWrap w:val="0"/>
            <w:vAlign w:val="center"/>
          </w:tcPr>
          <w:p w14:paraId="22FD6DFD">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现场检查或者非现场检查</w:t>
            </w:r>
          </w:p>
        </w:tc>
        <w:tc>
          <w:tcPr>
            <w:tcW w:w="645" w:type="dxa"/>
            <w:tcBorders>
              <w:top w:val="single" w:color="auto" w:sz="4" w:space="0"/>
              <w:left w:val="single" w:color="auto" w:sz="4" w:space="0"/>
              <w:bottom w:val="single" w:color="auto" w:sz="4" w:space="0"/>
              <w:right w:val="single" w:color="auto" w:sz="4" w:space="0"/>
            </w:tcBorders>
            <w:noWrap w:val="0"/>
            <w:vAlign w:val="center"/>
          </w:tcPr>
          <w:p w14:paraId="585FE895">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苍溪县文化广播电视体育和旅游局</w:t>
            </w:r>
          </w:p>
        </w:tc>
        <w:tc>
          <w:tcPr>
            <w:tcW w:w="707" w:type="dxa"/>
            <w:tcBorders>
              <w:top w:val="single" w:color="auto" w:sz="4" w:space="0"/>
              <w:left w:val="single" w:color="auto" w:sz="4" w:space="0"/>
              <w:bottom w:val="single" w:color="auto" w:sz="4" w:space="0"/>
              <w:right w:val="single" w:color="auto" w:sz="4" w:space="0"/>
            </w:tcBorders>
            <w:noWrap w:val="0"/>
            <w:vAlign w:val="center"/>
          </w:tcPr>
          <w:p w14:paraId="07DBB42A">
            <w:pPr>
              <w:widowControl/>
              <w:spacing w:line="28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苍溪县文化市场综合行政执法大队</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1F00E540">
            <w:pPr>
              <w:widowControl/>
              <w:spacing w:line="280" w:lineRule="exact"/>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无</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50659E1E">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动态检查</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53F16D84">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2ECED3AF">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1C9FB7E">
            <w:pPr>
              <w:widowControl/>
              <w:spacing w:line="280" w:lineRule="exact"/>
              <w:jc w:val="center"/>
              <w:rPr>
                <w:rFonts w:hint="eastAsia" w:ascii="宋体" w:hAnsi="宋体" w:eastAsia="宋体" w:cs="宋体"/>
                <w:color w:val="000000"/>
                <w:kern w:val="0"/>
                <w:sz w:val="21"/>
                <w:szCs w:val="21"/>
              </w:rPr>
            </w:pPr>
          </w:p>
        </w:tc>
        <w:tc>
          <w:tcPr>
            <w:tcW w:w="427" w:type="dxa"/>
            <w:tcBorders>
              <w:top w:val="single" w:color="auto" w:sz="4" w:space="0"/>
              <w:left w:val="single" w:color="auto" w:sz="4" w:space="0"/>
              <w:bottom w:val="single" w:color="auto" w:sz="4" w:space="0"/>
              <w:right w:val="single" w:color="auto" w:sz="4" w:space="0"/>
            </w:tcBorders>
            <w:noWrap w:val="0"/>
            <w:vAlign w:val="center"/>
          </w:tcPr>
          <w:p w14:paraId="194A4040">
            <w:pPr>
              <w:widowControl/>
              <w:spacing w:line="280" w:lineRule="exact"/>
              <w:jc w:val="center"/>
              <w:rPr>
                <w:rFonts w:hint="eastAsia" w:ascii="宋体" w:hAnsi="宋体" w:eastAsia="宋体" w:cs="宋体"/>
                <w:color w:val="000000"/>
                <w:kern w:val="0"/>
                <w:sz w:val="21"/>
                <w:szCs w:val="21"/>
              </w:rPr>
            </w:pPr>
          </w:p>
        </w:tc>
        <w:tc>
          <w:tcPr>
            <w:tcW w:w="426" w:type="dxa"/>
            <w:tcBorders>
              <w:top w:val="single" w:color="auto" w:sz="4" w:space="0"/>
              <w:left w:val="single" w:color="auto" w:sz="4" w:space="0"/>
              <w:bottom w:val="single" w:color="auto" w:sz="4" w:space="0"/>
              <w:right w:val="single" w:color="auto" w:sz="4" w:space="0"/>
            </w:tcBorders>
            <w:noWrap w:val="0"/>
            <w:vAlign w:val="center"/>
          </w:tcPr>
          <w:p w14:paraId="74F26B0C">
            <w:pPr>
              <w:widowControl/>
              <w:spacing w:line="28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w:t>
            </w:r>
          </w:p>
        </w:tc>
        <w:tc>
          <w:tcPr>
            <w:tcW w:w="426" w:type="dxa"/>
            <w:tcBorders>
              <w:top w:val="single" w:color="auto" w:sz="4" w:space="0"/>
              <w:left w:val="single" w:color="auto" w:sz="4" w:space="0"/>
              <w:bottom w:val="single" w:color="auto" w:sz="4" w:space="0"/>
              <w:right w:val="single" w:color="auto" w:sz="4" w:space="0"/>
            </w:tcBorders>
            <w:noWrap w:val="0"/>
            <w:vAlign w:val="center"/>
          </w:tcPr>
          <w:p w14:paraId="095DF469">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328F49E8">
            <w:pPr>
              <w:widowControl/>
              <w:spacing w:line="280" w:lineRule="exact"/>
              <w:jc w:val="center"/>
              <w:rPr>
                <w:rFonts w:hint="eastAsia" w:ascii="宋体" w:hAnsi="宋体" w:eastAsia="宋体" w:cs="宋体"/>
                <w:color w:val="000000"/>
                <w:kern w:val="0"/>
                <w:sz w:val="21"/>
                <w:szCs w:val="21"/>
              </w:rPr>
            </w:pPr>
          </w:p>
        </w:tc>
        <w:tc>
          <w:tcPr>
            <w:tcW w:w="428" w:type="dxa"/>
            <w:tcBorders>
              <w:top w:val="single" w:color="auto" w:sz="4" w:space="0"/>
              <w:left w:val="single" w:color="auto" w:sz="4" w:space="0"/>
              <w:bottom w:val="single" w:color="auto" w:sz="4" w:space="0"/>
              <w:right w:val="single" w:color="auto" w:sz="4" w:space="0"/>
            </w:tcBorders>
            <w:noWrap w:val="0"/>
            <w:vAlign w:val="center"/>
          </w:tcPr>
          <w:p w14:paraId="793E3859">
            <w:pPr>
              <w:widowControl/>
              <w:spacing w:line="280" w:lineRule="exact"/>
              <w:jc w:val="center"/>
              <w:rPr>
                <w:rFonts w:hint="eastAsia" w:ascii="宋体" w:hAnsi="宋体" w:eastAsia="宋体" w:cs="宋体"/>
                <w:color w:val="000000"/>
                <w:kern w:val="0"/>
                <w:sz w:val="21"/>
                <w:szCs w:val="21"/>
              </w:rPr>
            </w:pPr>
          </w:p>
        </w:tc>
      </w:tr>
    </w:tbl>
    <w:p w14:paraId="2993889D"/>
    <w:p w14:paraId="0C9802A7">
      <w:pPr>
        <w:pStyle w:val="11"/>
        <w:spacing w:line="576" w:lineRule="exact"/>
        <w:jc w:val="left"/>
        <w:rPr>
          <w:rFonts w:ascii="方正小标宋简体" w:eastAsia="方正小标宋简体"/>
          <w:b w:val="0"/>
          <w:color w:val="auto"/>
          <w:sz w:val="44"/>
          <w:szCs w:val="44"/>
        </w:rPr>
      </w:pPr>
    </w:p>
    <w:p w14:paraId="0B0A6170">
      <w:pPr>
        <w:pStyle w:val="11"/>
        <w:spacing w:line="576" w:lineRule="exact"/>
        <w:jc w:val="left"/>
        <w:rPr>
          <w:rFonts w:ascii="方正小标宋简体" w:eastAsia="方正小标宋简体"/>
          <w:b w:val="0"/>
          <w:color w:val="auto"/>
          <w:sz w:val="44"/>
          <w:szCs w:val="44"/>
        </w:rPr>
      </w:pPr>
    </w:p>
    <w:p w14:paraId="67A3021F">
      <w:pPr>
        <w:pStyle w:val="11"/>
        <w:spacing w:line="576" w:lineRule="exact"/>
        <w:jc w:val="left"/>
        <w:rPr>
          <w:rFonts w:ascii="方正小标宋简体" w:eastAsia="方正小标宋简体"/>
          <w:b w:val="0"/>
          <w:color w:val="auto"/>
          <w:sz w:val="44"/>
          <w:szCs w:val="44"/>
        </w:rPr>
      </w:pPr>
    </w:p>
    <w:p w14:paraId="3DB8B0BA">
      <w:pPr>
        <w:pStyle w:val="11"/>
        <w:spacing w:line="576" w:lineRule="exact"/>
        <w:jc w:val="left"/>
        <w:rPr>
          <w:rFonts w:ascii="方正小标宋简体" w:eastAsia="方正小标宋简体"/>
          <w:b w:val="0"/>
          <w:color w:val="auto"/>
          <w:sz w:val="44"/>
          <w:szCs w:val="44"/>
        </w:rPr>
      </w:pPr>
    </w:p>
    <w:p w14:paraId="25FF7571">
      <w:pPr>
        <w:bidi w:val="0"/>
        <w:jc w:val="both"/>
      </w:pPr>
    </w:p>
    <w:sectPr>
      <w:footerReference r:id="rId3" w:type="default"/>
      <w:pgSz w:w="16838" w:h="11906" w:orient="landscape"/>
      <w:pgMar w:top="1587" w:right="1701" w:bottom="1474" w:left="1134" w:header="851" w:footer="737" w:gutter="0"/>
      <w:pgNumType w:fmt="decimal"/>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C1F29">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8"/>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7D2D72"/>
    <w:rsid w:val="21EA0762"/>
    <w:rsid w:val="29F86E21"/>
    <w:rsid w:val="32897899"/>
    <w:rsid w:val="4BA0780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autoSpaceDN/>
      <w:snapToGrid/>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4">
    <w:name w:val="heading 2"/>
    <w:basedOn w:val="1"/>
    <w:next w:val="1"/>
    <w:unhideWhenUsed/>
    <w:qFormat/>
    <w:uiPriority w:val="0"/>
    <w:pPr>
      <w:spacing w:before="100" w:beforeAutospacing="1" w:after="100" w:afterAutospacing="1"/>
      <w:jc w:val="left"/>
      <w:outlineLvl w:val="1"/>
    </w:pPr>
    <w:rPr>
      <w:rFonts w:hint="eastAsia" w:ascii="宋体" w:hAnsi="宋体" w:eastAsia="宋体" w:cs="宋体"/>
      <w:b/>
      <w:bCs/>
      <w:kern w:val="0"/>
      <w:sz w:val="36"/>
      <w:szCs w:val="36"/>
      <w:lang w:val="en-US" w:eastAsia="zh-CN" w:bidi="ar"/>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标题 5（有编号）（绿盟科技）"/>
    <w:next w:val="1"/>
    <w:qFormat/>
    <w:uiPriority w:val="99"/>
    <w:pPr>
      <w:keepNext/>
      <w:keepLines/>
      <w:widowControl w:val="0"/>
      <w:autoSpaceDE/>
      <w:autoSpaceDN/>
      <w:snapToGrid/>
      <w:spacing w:before="280" w:after="156" w:line="377" w:lineRule="auto"/>
      <w:jc w:val="left"/>
      <w:outlineLvl w:val="4"/>
    </w:pPr>
    <w:rPr>
      <w:rFonts w:ascii="Arial" w:hAnsi="Arial" w:eastAsia="黑体" w:cs="Times New Roman"/>
      <w:b/>
      <w:kern w:val="2"/>
      <w:sz w:val="24"/>
      <w:szCs w:val="28"/>
      <w:lang w:val="en-US" w:eastAsia="zh-CN" w:bidi="ar-SA"/>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uiPriority w:val="0"/>
    <w:pPr>
      <w:spacing w:before="0" w:beforeAutospacing="1" w:after="0" w:afterAutospacing="1"/>
      <w:ind w:left="0" w:right="0"/>
      <w:jc w:val="left"/>
    </w:pPr>
    <w:rPr>
      <w:kern w:val="0"/>
      <w:sz w:val="24"/>
      <w:lang w:val="en-US" w:eastAsia="zh-CN" w:bidi="ar"/>
    </w:rPr>
  </w:style>
  <w:style w:type="character" w:styleId="10">
    <w:name w:val="Hyperlink"/>
    <w:basedOn w:val="9"/>
    <w:uiPriority w:val="0"/>
    <w:rPr>
      <w:color w:val="0000FF"/>
      <w:u w:val="single"/>
    </w:rPr>
  </w:style>
  <w:style w:type="paragraph" w:customStyle="1" w:styleId="11">
    <w:name w:val="样式1"/>
    <w:qFormat/>
    <w:uiPriority w:val="0"/>
    <w:pPr>
      <w:widowControl w:val="0"/>
      <w:autoSpaceDE/>
      <w:autoSpaceDN/>
      <w:snapToGrid/>
      <w:jc w:val="both"/>
    </w:pPr>
    <w:rPr>
      <w:rFonts w:ascii="Times New Roman" w:hAnsi="Times New Roman" w:eastAsia="宋体" w:cs="Times New Roman"/>
      <w:b/>
      <w:color w:val="538135"/>
      <w:kern w:val="2"/>
      <w:sz w:val="28"/>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7</Pages>
  <Words>6393</Words>
  <Characters>6475</Characters>
  <TotalTime>0</TotalTime>
  <ScaleCrop>false</ScaleCrop>
  <LinksUpToDate>false</LinksUpToDate>
  <CharactersWithSpaces>6496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2025-04-09T17:32:00Z</dcterms:created>
  <dc:creator>qwkj.cc</dc:creator>
  <cp:lastModifiedBy>梦呓少年</cp:lastModifiedBy>
  <dcterms:modified xsi:type="dcterms:W3CDTF">2025-04-09T09:34:53Z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eyJoZGlkIjoiMjY3NTU0MTE5OGFkMmRkNjYxYjYyZDRjZGY2ZWUxMTYiLCJ1c2VySWQiOiI1MzQyNjc0NDcifQ==</vt:lpwstr>
  </property>
  <property fmtid="{D5CDD505-2E9C-101B-9397-08002B2CF9AE}" pid="3" name="KSOProductBuildVer">
    <vt:lpwstr>2052-12.1.0.20784</vt:lpwstr>
  </property>
  <property fmtid="{D5CDD505-2E9C-101B-9397-08002B2CF9AE}" pid="4" name="ICV">
    <vt:lpwstr>0CE9267B329B49929C50EAA9F2F10677_12</vt:lpwstr>
  </property>
</Properties>
</file>