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7FB7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1EE9DA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503BDA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086D9EC9">
      <w:pPr>
        <w:pStyle w:val="11"/>
        <w:spacing w:line="576" w:lineRule="exact"/>
        <w:rPr>
          <w:rFonts w:hint="eastAsia" w:ascii="黑体" w:hAnsi="黑体" w:eastAsia="黑体"/>
          <w:b w:val="0"/>
          <w:color w:val="auto"/>
          <w:sz w:val="32"/>
          <w:szCs w:val="32"/>
        </w:rPr>
      </w:pPr>
      <w:r>
        <w:rPr>
          <w:rFonts w:hint="eastAsia" w:ascii="黑体" w:hAnsi="黑体" w:eastAsia="黑体"/>
          <w:b w:val="0"/>
          <w:color w:val="auto"/>
          <w:sz w:val="32"/>
          <w:szCs w:val="32"/>
        </w:rPr>
        <w:t>附件1</w:t>
      </w:r>
    </w:p>
    <w:p w14:paraId="2F67E356">
      <w:pPr>
        <w:pStyle w:val="11"/>
        <w:spacing w:line="576" w:lineRule="exact"/>
        <w:rPr>
          <w:rFonts w:ascii="黑体" w:hAnsi="黑体" w:eastAsia="黑体"/>
          <w:b w:val="0"/>
          <w:color w:val="auto"/>
          <w:sz w:val="32"/>
          <w:szCs w:val="32"/>
        </w:rPr>
      </w:pPr>
    </w:p>
    <w:p w14:paraId="5020E7F9">
      <w:pPr>
        <w:pStyle w:val="11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  <w:r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  <w:t>苍溪县文化广播电视体育和旅游局</w:t>
      </w:r>
      <w:r>
        <w:rPr>
          <w:rFonts w:hint="eastAsia" w:ascii="方正小标宋简体" w:eastAsia="方正小标宋简体"/>
          <w:b w:val="0"/>
          <w:color w:val="auto"/>
          <w:sz w:val="44"/>
          <w:szCs w:val="44"/>
        </w:rPr>
        <w:t>2025年涉企行政检查事项分类目录</w:t>
      </w:r>
    </w:p>
    <w:p w14:paraId="0BF1DEE6">
      <w:pPr>
        <w:pStyle w:val="11"/>
        <w:spacing w:line="200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9"/>
        <w:gridCol w:w="2192"/>
        <w:gridCol w:w="1157"/>
        <w:gridCol w:w="844"/>
        <w:gridCol w:w="1138"/>
        <w:gridCol w:w="674"/>
        <w:gridCol w:w="1697"/>
        <w:gridCol w:w="2200"/>
        <w:gridCol w:w="1318"/>
        <w:gridCol w:w="3096"/>
      </w:tblGrid>
      <w:tr w14:paraId="6554A5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  <w:tblHeader/>
          <w:jc w:val="center"/>
        </w:trPr>
        <w:tc>
          <w:tcPr>
            <w:tcW w:w="579" w:type="dxa"/>
            <w:noWrap w:val="0"/>
            <w:vAlign w:val="center"/>
          </w:tcPr>
          <w:p w14:paraId="2DDD5D85">
            <w:pPr>
              <w:spacing w:line="260" w:lineRule="exact"/>
              <w:jc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序号</w:t>
            </w:r>
          </w:p>
        </w:tc>
        <w:tc>
          <w:tcPr>
            <w:tcW w:w="2192" w:type="dxa"/>
            <w:noWrap w:val="0"/>
            <w:vAlign w:val="center"/>
          </w:tcPr>
          <w:p w14:paraId="712DBE04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sz w:val="21"/>
                <w:szCs w:val="21"/>
              </w:rPr>
              <w:t>检查事项</w:t>
            </w:r>
          </w:p>
        </w:tc>
        <w:tc>
          <w:tcPr>
            <w:tcW w:w="1157" w:type="dxa"/>
            <w:noWrap w:val="0"/>
            <w:vAlign w:val="center"/>
          </w:tcPr>
          <w:p w14:paraId="715211D7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检查对象及等级</w:t>
            </w:r>
          </w:p>
        </w:tc>
        <w:tc>
          <w:tcPr>
            <w:tcW w:w="844" w:type="dxa"/>
            <w:noWrap w:val="0"/>
            <w:vAlign w:val="center"/>
          </w:tcPr>
          <w:p w14:paraId="3AD9F9E9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sz w:val="21"/>
                <w:szCs w:val="21"/>
              </w:rPr>
              <w:t>检查事项等级</w:t>
            </w:r>
          </w:p>
        </w:tc>
        <w:tc>
          <w:tcPr>
            <w:tcW w:w="1138" w:type="dxa"/>
            <w:noWrap w:val="0"/>
            <w:vAlign w:val="center"/>
          </w:tcPr>
          <w:p w14:paraId="4413749E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检查方式</w:t>
            </w:r>
          </w:p>
        </w:tc>
        <w:tc>
          <w:tcPr>
            <w:tcW w:w="674" w:type="dxa"/>
            <w:noWrap w:val="0"/>
            <w:vAlign w:val="center"/>
          </w:tcPr>
          <w:p w14:paraId="7A07590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sz w:val="21"/>
                <w:szCs w:val="21"/>
              </w:rPr>
              <w:t>计划</w:t>
            </w:r>
          </w:p>
          <w:p w14:paraId="1A49FE71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sz w:val="21"/>
                <w:szCs w:val="21"/>
              </w:rPr>
              <w:t>类型</w:t>
            </w:r>
          </w:p>
        </w:tc>
        <w:tc>
          <w:tcPr>
            <w:tcW w:w="1697" w:type="dxa"/>
            <w:noWrap w:val="0"/>
            <w:vAlign w:val="center"/>
          </w:tcPr>
          <w:p w14:paraId="487BAAAD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牵头实施部门</w:t>
            </w:r>
          </w:p>
        </w:tc>
        <w:tc>
          <w:tcPr>
            <w:tcW w:w="2200" w:type="dxa"/>
            <w:noWrap w:val="0"/>
            <w:vAlign w:val="center"/>
          </w:tcPr>
          <w:p w14:paraId="5DBA589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检查事项内容</w:t>
            </w:r>
          </w:p>
        </w:tc>
        <w:tc>
          <w:tcPr>
            <w:tcW w:w="1318" w:type="dxa"/>
            <w:noWrap w:val="0"/>
            <w:vAlign w:val="center"/>
          </w:tcPr>
          <w:p w14:paraId="27CB29BC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参与部门</w:t>
            </w:r>
          </w:p>
        </w:tc>
        <w:tc>
          <w:tcPr>
            <w:tcW w:w="3096" w:type="dxa"/>
            <w:noWrap w:val="0"/>
            <w:vAlign w:val="center"/>
          </w:tcPr>
          <w:p w14:paraId="37C4F98B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1"/>
                <w:szCs w:val="21"/>
              </w:rPr>
            </w:pPr>
            <w:r>
              <w:rPr>
                <w:rFonts w:hint="eastAsia" w:ascii="黑体" w:eastAsia="黑体" w:cs="黑体"/>
                <w:kern w:val="0"/>
                <w:sz w:val="21"/>
                <w:szCs w:val="21"/>
                <w:lang w:bidi="ar"/>
              </w:rPr>
              <w:t>综合参与部门事项</w:t>
            </w:r>
          </w:p>
        </w:tc>
      </w:tr>
      <w:tr w14:paraId="482E1F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" w:hRule="atLeast"/>
          <w:jc w:val="center"/>
        </w:trPr>
        <w:tc>
          <w:tcPr>
            <w:tcW w:w="579" w:type="dxa"/>
            <w:vMerge w:val="restart"/>
            <w:noWrap w:val="0"/>
            <w:vAlign w:val="center"/>
          </w:tcPr>
          <w:p w14:paraId="00CE09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2192" w:type="dxa"/>
            <w:vMerge w:val="restart"/>
            <w:noWrap w:val="0"/>
            <w:vAlign w:val="center"/>
          </w:tcPr>
          <w:p w14:paraId="474F9B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对在线旅游经营服务的监督检查</w:t>
            </w:r>
          </w:p>
        </w:tc>
        <w:tc>
          <w:tcPr>
            <w:tcW w:w="1157" w:type="dxa"/>
            <w:vMerge w:val="restart"/>
            <w:noWrap w:val="0"/>
            <w:vAlign w:val="center"/>
          </w:tcPr>
          <w:p w14:paraId="78EC0A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在线旅游平台、旅行社等经营者</w:t>
            </w:r>
          </w:p>
        </w:tc>
        <w:tc>
          <w:tcPr>
            <w:tcW w:w="844" w:type="dxa"/>
            <w:vMerge w:val="restart"/>
            <w:noWrap w:val="0"/>
            <w:vAlign w:val="center"/>
          </w:tcPr>
          <w:p w14:paraId="369E0F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vMerge w:val="restart"/>
            <w:noWrap w:val="0"/>
            <w:vAlign w:val="center"/>
          </w:tcPr>
          <w:p w14:paraId="39BDF2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vMerge w:val="restart"/>
            <w:noWrap w:val="0"/>
            <w:vAlign w:val="center"/>
          </w:tcPr>
          <w:p w14:paraId="1B7399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vMerge w:val="restart"/>
            <w:noWrap w:val="0"/>
            <w:vAlign w:val="center"/>
          </w:tcPr>
          <w:p w14:paraId="3CBD2F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vMerge w:val="restart"/>
            <w:noWrap w:val="0"/>
            <w:vAlign w:val="center"/>
          </w:tcPr>
          <w:p w14:paraId="0D260F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平台资质、合同规范性、价格透明度、消费者权益保护、数据安全等。</w:t>
            </w:r>
          </w:p>
        </w:tc>
        <w:tc>
          <w:tcPr>
            <w:tcW w:w="1318" w:type="dxa"/>
            <w:noWrap w:val="0"/>
            <w:vAlign w:val="center"/>
          </w:tcPr>
          <w:p w14:paraId="4EEB2F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公安部门</w:t>
            </w:r>
          </w:p>
        </w:tc>
        <w:tc>
          <w:tcPr>
            <w:tcW w:w="3096" w:type="dxa"/>
            <w:noWrap w:val="0"/>
            <w:vAlign w:val="center"/>
          </w:tcPr>
          <w:p w14:paraId="62C5A9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对治安管理和刑事案件的查处</w:t>
            </w:r>
          </w:p>
        </w:tc>
      </w:tr>
      <w:tr w14:paraId="34F07A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695F15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331427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5CBBA0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197AAD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3C0641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6A93E7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40D641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332CFF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4C4789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应急管理部门</w:t>
            </w:r>
          </w:p>
        </w:tc>
        <w:tc>
          <w:tcPr>
            <w:tcW w:w="3096" w:type="dxa"/>
            <w:noWrap w:val="0"/>
            <w:vAlign w:val="center"/>
          </w:tcPr>
          <w:p w14:paraId="5B89A0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对安全生产隐患检查</w:t>
            </w:r>
          </w:p>
        </w:tc>
      </w:tr>
      <w:tr w14:paraId="060F37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345D61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012EFD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1950FD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34F9B3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41B1CE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5F4758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4DE07A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54441C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14B176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市场监管部门</w:t>
            </w:r>
          </w:p>
        </w:tc>
        <w:tc>
          <w:tcPr>
            <w:tcW w:w="3096" w:type="dxa"/>
            <w:noWrap w:val="0"/>
            <w:vAlign w:val="center"/>
          </w:tcPr>
          <w:p w14:paraId="0766D7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对市场秩序和经营行为的检查</w:t>
            </w:r>
          </w:p>
        </w:tc>
      </w:tr>
      <w:tr w14:paraId="672F3B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7ED547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6A25C8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754A8E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3DBA66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4FEDC3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0BF6EA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7D7194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583B2C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4A98A8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消防部门</w:t>
            </w:r>
          </w:p>
        </w:tc>
        <w:tc>
          <w:tcPr>
            <w:tcW w:w="3096" w:type="dxa"/>
            <w:noWrap w:val="0"/>
            <w:vAlign w:val="center"/>
          </w:tcPr>
          <w:p w14:paraId="363F16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对消防安全的检查</w:t>
            </w:r>
          </w:p>
        </w:tc>
      </w:tr>
      <w:tr w14:paraId="53C33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  <w:jc w:val="center"/>
        </w:trPr>
        <w:tc>
          <w:tcPr>
            <w:tcW w:w="579" w:type="dxa"/>
            <w:noWrap w:val="0"/>
            <w:vAlign w:val="center"/>
          </w:tcPr>
          <w:p w14:paraId="62CD95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192" w:type="dxa"/>
            <w:noWrap w:val="0"/>
            <w:vAlign w:val="center"/>
          </w:tcPr>
          <w:p w14:paraId="59C3F7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对非物质文化遗产代表性项目保护规划的实施情况开展行政检查</w:t>
            </w:r>
          </w:p>
        </w:tc>
        <w:tc>
          <w:tcPr>
            <w:tcW w:w="1157" w:type="dxa"/>
            <w:noWrap w:val="0"/>
            <w:vAlign w:val="center"/>
          </w:tcPr>
          <w:p w14:paraId="39D71A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非遗项目</w:t>
            </w:r>
          </w:p>
        </w:tc>
        <w:tc>
          <w:tcPr>
            <w:tcW w:w="844" w:type="dxa"/>
            <w:noWrap w:val="0"/>
            <w:vAlign w:val="center"/>
          </w:tcPr>
          <w:p w14:paraId="77C49A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3A574F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63734C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280F4A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2BAB7A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保护规划的执行情况、资金使用、传承人保护、项目宣传等。</w:t>
            </w:r>
          </w:p>
        </w:tc>
        <w:tc>
          <w:tcPr>
            <w:tcW w:w="1318" w:type="dxa"/>
            <w:noWrap w:val="0"/>
            <w:vAlign w:val="center"/>
          </w:tcPr>
          <w:p w14:paraId="61F551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3F4B57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12EE3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" w:hRule="atLeast"/>
          <w:jc w:val="center"/>
        </w:trPr>
        <w:tc>
          <w:tcPr>
            <w:tcW w:w="579" w:type="dxa"/>
            <w:vMerge w:val="restart"/>
            <w:noWrap w:val="0"/>
            <w:vAlign w:val="center"/>
          </w:tcPr>
          <w:p w14:paraId="6D9127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2192" w:type="dxa"/>
            <w:vMerge w:val="restart"/>
            <w:noWrap w:val="0"/>
            <w:vAlign w:val="center"/>
          </w:tcPr>
          <w:p w14:paraId="25CA1E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</w:t>
            </w:r>
            <w:r>
              <w:rPr>
                <w:rFonts w:hint="eastAsia" w:ascii="宋体" w:hAnsi="宋体" w:eastAsia="宋体" w:cs="宋体"/>
                <w:spacing w:val="-11"/>
                <w:kern w:val="0"/>
                <w:sz w:val="21"/>
                <w:szCs w:val="21"/>
                <w:lang w:val="en-US" w:eastAsia="zh-CN" w:bidi="ar"/>
              </w:rPr>
              <w:t>营业性演出的行政检查</w:t>
            </w:r>
          </w:p>
        </w:tc>
        <w:tc>
          <w:tcPr>
            <w:tcW w:w="1157" w:type="dxa"/>
            <w:vMerge w:val="restart"/>
            <w:noWrap w:val="0"/>
            <w:vAlign w:val="center"/>
          </w:tcPr>
          <w:p w14:paraId="632960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演出单位</w:t>
            </w:r>
          </w:p>
        </w:tc>
        <w:tc>
          <w:tcPr>
            <w:tcW w:w="844" w:type="dxa"/>
            <w:vMerge w:val="restart"/>
            <w:noWrap w:val="0"/>
            <w:vAlign w:val="center"/>
          </w:tcPr>
          <w:p w14:paraId="10F893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重点</w:t>
            </w:r>
          </w:p>
        </w:tc>
        <w:tc>
          <w:tcPr>
            <w:tcW w:w="1138" w:type="dxa"/>
            <w:vMerge w:val="restart"/>
            <w:noWrap w:val="0"/>
            <w:vAlign w:val="center"/>
          </w:tcPr>
          <w:p w14:paraId="5A6F25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vMerge w:val="restart"/>
            <w:noWrap w:val="0"/>
            <w:vAlign w:val="center"/>
          </w:tcPr>
          <w:p w14:paraId="5016EB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vMerge w:val="restart"/>
            <w:noWrap w:val="0"/>
            <w:vAlign w:val="center"/>
          </w:tcPr>
          <w:p w14:paraId="6CB95C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vMerge w:val="restart"/>
            <w:noWrap w:val="0"/>
            <w:vAlign w:val="center"/>
          </w:tcPr>
          <w:p w14:paraId="535B1E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演出资质、内容合法性、票务管理、安全保障等。</w:t>
            </w:r>
          </w:p>
        </w:tc>
        <w:tc>
          <w:tcPr>
            <w:tcW w:w="1318" w:type="dxa"/>
            <w:noWrap w:val="0"/>
            <w:vAlign w:val="center"/>
          </w:tcPr>
          <w:p w14:paraId="75AEFF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公安部门</w:t>
            </w:r>
          </w:p>
        </w:tc>
        <w:tc>
          <w:tcPr>
            <w:tcW w:w="3096" w:type="dxa"/>
            <w:noWrap w:val="0"/>
            <w:vAlign w:val="center"/>
          </w:tcPr>
          <w:p w14:paraId="538B0A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对治安管理和刑事案件的查处</w:t>
            </w:r>
          </w:p>
        </w:tc>
      </w:tr>
      <w:tr w14:paraId="2EA9E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70BB3D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79ABDD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4FC2BE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35FB33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3D1782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08DF9A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170F2D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26C258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7B97A4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消防部门</w:t>
            </w:r>
          </w:p>
        </w:tc>
        <w:tc>
          <w:tcPr>
            <w:tcW w:w="3096" w:type="dxa"/>
            <w:noWrap w:val="0"/>
            <w:vAlign w:val="center"/>
          </w:tcPr>
          <w:p w14:paraId="407288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对消防安全的检查</w:t>
            </w:r>
          </w:p>
        </w:tc>
      </w:tr>
      <w:tr w14:paraId="1372F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392229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15CBBC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712029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31D1E1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2E17B4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3B568F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46A278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77EE37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65CE82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市场监管部门</w:t>
            </w:r>
          </w:p>
        </w:tc>
        <w:tc>
          <w:tcPr>
            <w:tcW w:w="3096" w:type="dxa"/>
            <w:noWrap w:val="0"/>
            <w:vAlign w:val="center"/>
          </w:tcPr>
          <w:p w14:paraId="453C22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对市场秩序和经营行为的检查</w:t>
            </w:r>
          </w:p>
        </w:tc>
      </w:tr>
      <w:tr w14:paraId="40E66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  <w:jc w:val="center"/>
        </w:trPr>
        <w:tc>
          <w:tcPr>
            <w:tcW w:w="579" w:type="dxa"/>
            <w:noWrap w:val="0"/>
            <w:vAlign w:val="center"/>
          </w:tcPr>
          <w:p w14:paraId="199FCC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192" w:type="dxa"/>
            <w:noWrap w:val="0"/>
            <w:vAlign w:val="center"/>
          </w:tcPr>
          <w:p w14:paraId="67966D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对艺术考级活动的行政检查</w:t>
            </w:r>
          </w:p>
        </w:tc>
        <w:tc>
          <w:tcPr>
            <w:tcW w:w="1157" w:type="dxa"/>
            <w:noWrap w:val="0"/>
            <w:vAlign w:val="center"/>
          </w:tcPr>
          <w:p w14:paraId="2C4A14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艺术考级</w:t>
            </w:r>
          </w:p>
        </w:tc>
        <w:tc>
          <w:tcPr>
            <w:tcW w:w="844" w:type="dxa"/>
            <w:noWrap w:val="0"/>
            <w:vAlign w:val="center"/>
          </w:tcPr>
          <w:p w14:paraId="1C6A02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5ACB31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31B462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610DBD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0F3B1B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考级机构资质、考级标准、考官资格、考试公平性等。</w:t>
            </w:r>
          </w:p>
        </w:tc>
        <w:tc>
          <w:tcPr>
            <w:tcW w:w="1318" w:type="dxa"/>
            <w:noWrap w:val="0"/>
            <w:vAlign w:val="center"/>
          </w:tcPr>
          <w:p w14:paraId="4F3104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0D71CC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5288DD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  <w:jc w:val="center"/>
        </w:trPr>
        <w:tc>
          <w:tcPr>
            <w:tcW w:w="579" w:type="dxa"/>
            <w:vMerge w:val="restart"/>
            <w:noWrap w:val="0"/>
            <w:vAlign w:val="center"/>
          </w:tcPr>
          <w:p w14:paraId="1DC5F7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192" w:type="dxa"/>
            <w:vMerge w:val="restart"/>
            <w:noWrap w:val="0"/>
            <w:vAlign w:val="center"/>
          </w:tcPr>
          <w:p w14:paraId="12DFD9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对资源保护和旅游利用状况的监督检查</w:t>
            </w:r>
          </w:p>
        </w:tc>
        <w:tc>
          <w:tcPr>
            <w:tcW w:w="1157" w:type="dxa"/>
            <w:vMerge w:val="restart"/>
            <w:noWrap w:val="0"/>
            <w:vAlign w:val="center"/>
          </w:tcPr>
          <w:p w14:paraId="51F270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旅游资源</w:t>
            </w:r>
          </w:p>
        </w:tc>
        <w:tc>
          <w:tcPr>
            <w:tcW w:w="844" w:type="dxa"/>
            <w:vMerge w:val="restart"/>
            <w:noWrap w:val="0"/>
            <w:vAlign w:val="center"/>
          </w:tcPr>
          <w:p w14:paraId="3EACF3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vMerge w:val="restart"/>
            <w:noWrap w:val="0"/>
            <w:vAlign w:val="center"/>
          </w:tcPr>
          <w:p w14:paraId="2B1E02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vMerge w:val="restart"/>
            <w:noWrap w:val="0"/>
            <w:vAlign w:val="center"/>
          </w:tcPr>
          <w:p w14:paraId="211B49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vMerge w:val="restart"/>
            <w:noWrap w:val="0"/>
            <w:vAlign w:val="center"/>
          </w:tcPr>
          <w:p w14:paraId="5D9226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vMerge w:val="restart"/>
            <w:noWrap w:val="0"/>
            <w:vAlign w:val="center"/>
          </w:tcPr>
          <w:p w14:paraId="5A9D4B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资源保护措施、旅游开发合规性、环境影响评估等。</w:t>
            </w:r>
          </w:p>
        </w:tc>
        <w:tc>
          <w:tcPr>
            <w:tcW w:w="1318" w:type="dxa"/>
            <w:noWrap w:val="0"/>
            <w:vAlign w:val="center"/>
          </w:tcPr>
          <w:p w14:paraId="347556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环保部门</w:t>
            </w:r>
          </w:p>
        </w:tc>
        <w:tc>
          <w:tcPr>
            <w:tcW w:w="3096" w:type="dxa"/>
            <w:noWrap w:val="0"/>
            <w:vAlign w:val="center"/>
          </w:tcPr>
          <w:p w14:paraId="71A521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对环境保护进行检查监测和评估</w:t>
            </w:r>
          </w:p>
        </w:tc>
      </w:tr>
      <w:tr w14:paraId="35420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6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2DB064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2F6C4B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4304C1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33D470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35A681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6640D1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39CCD0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3A7F33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1F77AF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国土资源局</w:t>
            </w:r>
          </w:p>
        </w:tc>
        <w:tc>
          <w:tcPr>
            <w:tcW w:w="3096" w:type="dxa"/>
            <w:noWrap w:val="0"/>
            <w:vAlign w:val="center"/>
          </w:tcPr>
          <w:p w14:paraId="3C27FBB7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检查旅游用地是否符合土地利用总体规划。</w:t>
            </w:r>
          </w:p>
          <w:p w14:paraId="402874D6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是否存在违规占用耕地、林地、草地等行为。</w:t>
            </w:r>
          </w:p>
          <w:p w14:paraId="218191E3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Chars="0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3、旅游设施建设是否依法办理用地手续。</w:t>
            </w:r>
          </w:p>
        </w:tc>
      </w:tr>
      <w:tr w14:paraId="14C626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  <w:jc w:val="center"/>
        </w:trPr>
        <w:tc>
          <w:tcPr>
            <w:tcW w:w="579" w:type="dxa"/>
            <w:vMerge w:val="restart"/>
            <w:noWrap w:val="0"/>
            <w:vAlign w:val="center"/>
          </w:tcPr>
          <w:p w14:paraId="59AEA04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192" w:type="dxa"/>
            <w:vMerge w:val="restart"/>
            <w:noWrap w:val="0"/>
            <w:vAlign w:val="center"/>
          </w:tcPr>
          <w:p w14:paraId="7ACFCB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对经营旅行社业务以及从事导游、领队服务是否取得经营、执业许可；旅行社的经营行为；导游和领队等旅游从业人员的服务行为；法律法规规定的其他事项的监督检查</w:t>
            </w:r>
          </w:p>
        </w:tc>
        <w:tc>
          <w:tcPr>
            <w:tcW w:w="1157" w:type="dxa"/>
            <w:vMerge w:val="restart"/>
            <w:noWrap w:val="0"/>
            <w:vAlign w:val="center"/>
          </w:tcPr>
          <w:p w14:paraId="1220F6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旅行社、导游、领队</w:t>
            </w:r>
          </w:p>
        </w:tc>
        <w:tc>
          <w:tcPr>
            <w:tcW w:w="844" w:type="dxa"/>
            <w:vMerge w:val="restart"/>
            <w:noWrap w:val="0"/>
            <w:vAlign w:val="center"/>
          </w:tcPr>
          <w:p w14:paraId="2E967E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重点</w:t>
            </w:r>
          </w:p>
        </w:tc>
        <w:tc>
          <w:tcPr>
            <w:tcW w:w="1138" w:type="dxa"/>
            <w:vMerge w:val="restart"/>
            <w:noWrap w:val="0"/>
            <w:vAlign w:val="center"/>
          </w:tcPr>
          <w:p w14:paraId="3509AE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vMerge w:val="restart"/>
            <w:noWrap w:val="0"/>
            <w:vAlign w:val="center"/>
          </w:tcPr>
          <w:p w14:paraId="031926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vMerge w:val="restart"/>
            <w:noWrap w:val="0"/>
            <w:vAlign w:val="center"/>
          </w:tcPr>
          <w:p w14:paraId="0BCF3D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vMerge w:val="restart"/>
            <w:noWrap w:val="0"/>
            <w:vAlign w:val="center"/>
          </w:tcPr>
          <w:p w14:paraId="341FF7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旅行社资质、导游和领队执业资格、合同规范性、服务质量等。</w:t>
            </w:r>
          </w:p>
        </w:tc>
        <w:tc>
          <w:tcPr>
            <w:tcW w:w="1318" w:type="dxa"/>
            <w:noWrap w:val="0"/>
            <w:vAlign w:val="center"/>
          </w:tcPr>
          <w:p w14:paraId="0D0249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市场监督管理</w:t>
            </w:r>
          </w:p>
        </w:tc>
        <w:tc>
          <w:tcPr>
            <w:tcW w:w="3096" w:type="dxa"/>
            <w:noWrap w:val="0"/>
            <w:vAlign w:val="center"/>
          </w:tcPr>
          <w:p w14:paraId="6ECA4A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对市场秩序和经营行为的检查</w:t>
            </w:r>
          </w:p>
        </w:tc>
      </w:tr>
      <w:tr w14:paraId="5078D8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  <w:jc w:val="center"/>
        </w:trPr>
        <w:tc>
          <w:tcPr>
            <w:tcW w:w="579" w:type="dxa"/>
            <w:vMerge w:val="continue"/>
            <w:noWrap w:val="0"/>
            <w:vAlign w:val="center"/>
          </w:tcPr>
          <w:p w14:paraId="4E5807F7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192" w:type="dxa"/>
            <w:vMerge w:val="continue"/>
            <w:noWrap w:val="0"/>
            <w:vAlign w:val="center"/>
          </w:tcPr>
          <w:p w14:paraId="7443D9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57" w:type="dxa"/>
            <w:vMerge w:val="continue"/>
            <w:noWrap w:val="0"/>
            <w:vAlign w:val="center"/>
          </w:tcPr>
          <w:p w14:paraId="7A9134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44" w:type="dxa"/>
            <w:vMerge w:val="continue"/>
            <w:noWrap w:val="0"/>
            <w:vAlign w:val="center"/>
          </w:tcPr>
          <w:p w14:paraId="031A73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38" w:type="dxa"/>
            <w:vMerge w:val="continue"/>
            <w:noWrap w:val="0"/>
            <w:vAlign w:val="center"/>
          </w:tcPr>
          <w:p w14:paraId="1FC2F6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74" w:type="dxa"/>
            <w:vMerge w:val="continue"/>
            <w:noWrap w:val="0"/>
            <w:vAlign w:val="center"/>
          </w:tcPr>
          <w:p w14:paraId="24ECCC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 w14:paraId="1F43E3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vMerge w:val="continue"/>
            <w:noWrap w:val="0"/>
            <w:vAlign w:val="center"/>
          </w:tcPr>
          <w:p w14:paraId="77587E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18" w:type="dxa"/>
            <w:noWrap w:val="0"/>
            <w:vAlign w:val="center"/>
          </w:tcPr>
          <w:p w14:paraId="481899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交通部门</w:t>
            </w:r>
          </w:p>
        </w:tc>
        <w:tc>
          <w:tcPr>
            <w:tcW w:w="3096" w:type="dxa"/>
            <w:noWrap w:val="0"/>
            <w:vAlign w:val="center"/>
          </w:tcPr>
          <w:p w14:paraId="7D0CCA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对旅游交通安全的检查</w:t>
            </w:r>
          </w:p>
        </w:tc>
      </w:tr>
      <w:tr w14:paraId="528835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  <w:jc w:val="center"/>
        </w:trPr>
        <w:tc>
          <w:tcPr>
            <w:tcW w:w="579" w:type="dxa"/>
            <w:noWrap w:val="0"/>
            <w:vAlign w:val="center"/>
          </w:tcPr>
          <w:p w14:paraId="102DEBA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2192" w:type="dxa"/>
            <w:noWrap w:val="0"/>
            <w:vAlign w:val="center"/>
          </w:tcPr>
          <w:p w14:paraId="5B4F86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对旅游服务质量的监督检查</w:t>
            </w:r>
          </w:p>
        </w:tc>
        <w:tc>
          <w:tcPr>
            <w:tcW w:w="1157" w:type="dxa"/>
            <w:noWrap w:val="0"/>
            <w:vAlign w:val="center"/>
          </w:tcPr>
          <w:p w14:paraId="6FBCEA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旅游服务提供者</w:t>
            </w:r>
          </w:p>
        </w:tc>
        <w:tc>
          <w:tcPr>
            <w:tcW w:w="844" w:type="dxa"/>
            <w:noWrap w:val="0"/>
            <w:vAlign w:val="center"/>
          </w:tcPr>
          <w:p w14:paraId="3305B0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2620E6E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67755B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376852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6920BA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服务标准、客户满意度、投诉处理、安全保障等。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br w:type="textWrapping"/>
            </w:r>
          </w:p>
        </w:tc>
        <w:tc>
          <w:tcPr>
            <w:tcW w:w="1318" w:type="dxa"/>
            <w:noWrap w:val="0"/>
            <w:vAlign w:val="center"/>
          </w:tcPr>
          <w:p w14:paraId="4DB529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市场监管部门</w:t>
            </w:r>
          </w:p>
        </w:tc>
        <w:tc>
          <w:tcPr>
            <w:tcW w:w="3096" w:type="dxa"/>
            <w:noWrap w:val="0"/>
            <w:vAlign w:val="center"/>
          </w:tcPr>
          <w:p w14:paraId="4B181C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对虚假宣传、价格欺诈等行为进行检查</w:t>
            </w:r>
          </w:p>
        </w:tc>
      </w:tr>
      <w:tr w14:paraId="2DA7E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579" w:type="dxa"/>
            <w:noWrap w:val="0"/>
            <w:vAlign w:val="center"/>
          </w:tcPr>
          <w:p w14:paraId="0A43439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2192" w:type="dxa"/>
            <w:noWrap w:val="0"/>
            <w:vAlign w:val="center"/>
          </w:tcPr>
          <w:p w14:paraId="0FC47D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对广播影视统计的监督检查</w:t>
            </w:r>
          </w:p>
        </w:tc>
        <w:tc>
          <w:tcPr>
            <w:tcW w:w="1157" w:type="dxa"/>
            <w:noWrap w:val="0"/>
            <w:vAlign w:val="center"/>
          </w:tcPr>
          <w:p w14:paraId="573A82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广播影视机构</w:t>
            </w:r>
          </w:p>
        </w:tc>
        <w:tc>
          <w:tcPr>
            <w:tcW w:w="844" w:type="dxa"/>
            <w:noWrap w:val="0"/>
            <w:vAlign w:val="center"/>
          </w:tcPr>
          <w:p w14:paraId="1EF005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1C1588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21B90E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0C6D11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6D6B96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统计数据准确性、报送及时性、数据保密性等。</w:t>
            </w:r>
          </w:p>
        </w:tc>
        <w:tc>
          <w:tcPr>
            <w:tcW w:w="1318" w:type="dxa"/>
            <w:noWrap w:val="0"/>
            <w:vAlign w:val="center"/>
          </w:tcPr>
          <w:p w14:paraId="15EBEA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11CDE5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60E88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  <w:jc w:val="center"/>
        </w:trPr>
        <w:tc>
          <w:tcPr>
            <w:tcW w:w="579" w:type="dxa"/>
            <w:noWrap w:val="0"/>
            <w:vAlign w:val="center"/>
          </w:tcPr>
          <w:p w14:paraId="346F893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2192" w:type="dxa"/>
            <w:noWrap w:val="0"/>
            <w:vAlign w:val="center"/>
          </w:tcPr>
          <w:p w14:paraId="179843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对有线电视设施和有线</w:t>
            </w:r>
            <w:r>
              <w:rPr>
                <w:rFonts w:hint="eastAsia" w:ascii="宋体" w:hAnsi="宋体" w:eastAsia="宋体" w:cs="宋体"/>
                <w:spacing w:val="-11"/>
                <w:kern w:val="0"/>
                <w:sz w:val="21"/>
                <w:szCs w:val="21"/>
                <w:lang w:val="en-US" w:eastAsia="zh-CN" w:bidi="ar"/>
              </w:rPr>
              <w:t>电视播映活动的监督检查</w:t>
            </w:r>
          </w:p>
        </w:tc>
        <w:tc>
          <w:tcPr>
            <w:tcW w:w="1157" w:type="dxa"/>
            <w:noWrap w:val="0"/>
            <w:vAlign w:val="center"/>
          </w:tcPr>
          <w:p w14:paraId="334256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有线电视设施</w:t>
            </w:r>
          </w:p>
        </w:tc>
        <w:tc>
          <w:tcPr>
            <w:tcW w:w="844" w:type="dxa"/>
            <w:noWrap w:val="0"/>
            <w:vAlign w:val="center"/>
          </w:tcPr>
          <w:p w14:paraId="72BDD5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6D4D58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63E18C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76D551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737EF9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设施安全性、播映内容合法性、信号质量等。</w:t>
            </w:r>
          </w:p>
        </w:tc>
        <w:tc>
          <w:tcPr>
            <w:tcW w:w="1318" w:type="dxa"/>
            <w:noWrap w:val="0"/>
            <w:vAlign w:val="center"/>
          </w:tcPr>
          <w:p w14:paraId="40F112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686525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1B4943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579" w:type="dxa"/>
            <w:noWrap w:val="0"/>
            <w:vAlign w:val="center"/>
          </w:tcPr>
          <w:p w14:paraId="74F8CEA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2192" w:type="dxa"/>
            <w:noWrap w:val="0"/>
            <w:vAlign w:val="center"/>
          </w:tcPr>
          <w:p w14:paraId="3A49A4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对互联网视听节目服务单位的监督检查</w:t>
            </w:r>
          </w:p>
        </w:tc>
        <w:tc>
          <w:tcPr>
            <w:tcW w:w="1157" w:type="dxa"/>
            <w:noWrap w:val="0"/>
            <w:vAlign w:val="center"/>
          </w:tcPr>
          <w:p w14:paraId="02D28D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互联网视听节目服务单位</w:t>
            </w:r>
          </w:p>
        </w:tc>
        <w:tc>
          <w:tcPr>
            <w:tcW w:w="844" w:type="dxa"/>
            <w:noWrap w:val="0"/>
            <w:vAlign w:val="center"/>
          </w:tcPr>
          <w:p w14:paraId="2DDD777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593A04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5DE482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43F8D1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120B29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内容合法性、版权保护、用户隐私保护、广告合规性等。</w:t>
            </w:r>
          </w:p>
        </w:tc>
        <w:tc>
          <w:tcPr>
            <w:tcW w:w="1318" w:type="dxa"/>
            <w:noWrap w:val="0"/>
            <w:vAlign w:val="center"/>
          </w:tcPr>
          <w:p w14:paraId="7C1B69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314674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50CC1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  <w:jc w:val="center"/>
        </w:trPr>
        <w:tc>
          <w:tcPr>
            <w:tcW w:w="579" w:type="dxa"/>
            <w:noWrap w:val="0"/>
            <w:vAlign w:val="center"/>
          </w:tcPr>
          <w:p w14:paraId="686857E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2192" w:type="dxa"/>
            <w:noWrap w:val="0"/>
            <w:vAlign w:val="center"/>
          </w:tcPr>
          <w:p w14:paraId="7D7F28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对广播电视安全播出的监督检查</w:t>
            </w:r>
          </w:p>
        </w:tc>
        <w:tc>
          <w:tcPr>
            <w:tcW w:w="1157" w:type="dxa"/>
            <w:noWrap w:val="0"/>
            <w:vAlign w:val="center"/>
          </w:tcPr>
          <w:p w14:paraId="720C0C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广播电视播出机构</w:t>
            </w:r>
          </w:p>
        </w:tc>
        <w:tc>
          <w:tcPr>
            <w:tcW w:w="844" w:type="dxa"/>
            <w:noWrap w:val="0"/>
            <w:vAlign w:val="center"/>
          </w:tcPr>
          <w:p w14:paraId="420FCE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重点</w:t>
            </w:r>
          </w:p>
        </w:tc>
        <w:tc>
          <w:tcPr>
            <w:tcW w:w="1138" w:type="dxa"/>
            <w:noWrap w:val="0"/>
            <w:vAlign w:val="center"/>
          </w:tcPr>
          <w:p w14:paraId="016B4C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4ED628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292E61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611CFC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播出内容合法性、信号</w:t>
            </w:r>
            <w:r>
              <w:rPr>
                <w:rFonts w:hint="eastAsia" w:ascii="宋体" w:hAnsi="宋体" w:eastAsia="宋体" w:cs="宋体"/>
                <w:spacing w:val="-11"/>
                <w:kern w:val="0"/>
                <w:sz w:val="21"/>
                <w:szCs w:val="21"/>
                <w:lang w:val="en-US" w:eastAsia="zh-CN" w:bidi="ar"/>
              </w:rPr>
              <w:t>安全性、应急处理机制等。</w:t>
            </w:r>
          </w:p>
        </w:tc>
        <w:tc>
          <w:tcPr>
            <w:tcW w:w="1318" w:type="dxa"/>
            <w:noWrap w:val="0"/>
            <w:vAlign w:val="center"/>
          </w:tcPr>
          <w:p w14:paraId="44BE78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119000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610202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  <w:jc w:val="center"/>
        </w:trPr>
        <w:tc>
          <w:tcPr>
            <w:tcW w:w="579" w:type="dxa"/>
            <w:noWrap w:val="0"/>
            <w:vAlign w:val="center"/>
          </w:tcPr>
          <w:p w14:paraId="447A4C8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2192" w:type="dxa"/>
            <w:noWrap w:val="0"/>
            <w:vAlign w:val="center"/>
          </w:tcPr>
          <w:p w14:paraId="394DE8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对文物商店和经营文物拍卖的拍卖企业的行政检查</w:t>
            </w:r>
          </w:p>
        </w:tc>
        <w:tc>
          <w:tcPr>
            <w:tcW w:w="1157" w:type="dxa"/>
            <w:noWrap w:val="0"/>
            <w:vAlign w:val="center"/>
          </w:tcPr>
          <w:p w14:paraId="3770C2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文物商店和拍卖企业</w:t>
            </w:r>
          </w:p>
        </w:tc>
        <w:tc>
          <w:tcPr>
            <w:tcW w:w="844" w:type="dxa"/>
            <w:noWrap w:val="0"/>
            <w:vAlign w:val="center"/>
          </w:tcPr>
          <w:p w14:paraId="676539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23DE29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01C29E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24C1F2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62FD8B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文物来源合法性、拍卖程序合规性、文物鉴定真实性等。</w:t>
            </w:r>
          </w:p>
        </w:tc>
        <w:tc>
          <w:tcPr>
            <w:tcW w:w="1318" w:type="dxa"/>
            <w:noWrap w:val="0"/>
            <w:vAlign w:val="center"/>
          </w:tcPr>
          <w:p w14:paraId="031F2D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4D04E1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2A7A9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579" w:type="dxa"/>
            <w:noWrap w:val="0"/>
            <w:vAlign w:val="center"/>
          </w:tcPr>
          <w:p w14:paraId="784B497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2192" w:type="dxa"/>
            <w:noWrap w:val="0"/>
            <w:vAlign w:val="center"/>
          </w:tcPr>
          <w:p w14:paraId="44E1E6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对宗教活动场所内的文物保护单位的行政检查</w:t>
            </w:r>
          </w:p>
        </w:tc>
        <w:tc>
          <w:tcPr>
            <w:tcW w:w="1157" w:type="dxa"/>
            <w:noWrap w:val="0"/>
            <w:vAlign w:val="center"/>
          </w:tcPr>
          <w:p w14:paraId="593A73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宗教活动场所内的文物保护单位</w:t>
            </w:r>
          </w:p>
        </w:tc>
        <w:tc>
          <w:tcPr>
            <w:tcW w:w="844" w:type="dxa"/>
            <w:noWrap w:val="0"/>
            <w:vAlign w:val="center"/>
          </w:tcPr>
          <w:p w14:paraId="6EC3EC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重点</w:t>
            </w:r>
          </w:p>
        </w:tc>
        <w:tc>
          <w:tcPr>
            <w:tcW w:w="1138" w:type="dxa"/>
            <w:noWrap w:val="0"/>
            <w:vAlign w:val="center"/>
          </w:tcPr>
          <w:p w14:paraId="1773AD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3021DE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20C0B1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5B5608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文物保护措施、修缮合规性、使用合法性等。</w:t>
            </w:r>
          </w:p>
        </w:tc>
        <w:tc>
          <w:tcPr>
            <w:tcW w:w="1318" w:type="dxa"/>
            <w:noWrap w:val="0"/>
            <w:vAlign w:val="center"/>
          </w:tcPr>
          <w:p w14:paraId="66C791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2DA011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 w14:paraId="42BC5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" w:hRule="atLeast"/>
          <w:jc w:val="center"/>
        </w:trPr>
        <w:tc>
          <w:tcPr>
            <w:tcW w:w="579" w:type="dxa"/>
            <w:noWrap w:val="0"/>
            <w:vAlign w:val="center"/>
          </w:tcPr>
          <w:p w14:paraId="5E10DE5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2192" w:type="dxa"/>
            <w:noWrap w:val="0"/>
            <w:vAlign w:val="center"/>
          </w:tcPr>
          <w:p w14:paraId="66E343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对新闻出版统计的监督检查</w:t>
            </w:r>
          </w:p>
        </w:tc>
        <w:tc>
          <w:tcPr>
            <w:tcW w:w="1157" w:type="dxa"/>
            <w:noWrap w:val="0"/>
            <w:vAlign w:val="center"/>
          </w:tcPr>
          <w:p w14:paraId="749414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新闻出版机构</w:t>
            </w:r>
          </w:p>
        </w:tc>
        <w:tc>
          <w:tcPr>
            <w:tcW w:w="844" w:type="dxa"/>
            <w:noWrap w:val="0"/>
            <w:vAlign w:val="center"/>
          </w:tcPr>
          <w:p w14:paraId="7EEB84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一般</w:t>
            </w:r>
          </w:p>
        </w:tc>
        <w:tc>
          <w:tcPr>
            <w:tcW w:w="1138" w:type="dxa"/>
            <w:noWrap w:val="0"/>
            <w:vAlign w:val="center"/>
          </w:tcPr>
          <w:p w14:paraId="2F7CB5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"/>
              </w:rPr>
              <w:t>现场检查或非现场检查</w:t>
            </w:r>
          </w:p>
        </w:tc>
        <w:tc>
          <w:tcPr>
            <w:tcW w:w="674" w:type="dxa"/>
            <w:noWrap w:val="0"/>
            <w:vAlign w:val="center"/>
          </w:tcPr>
          <w:p w14:paraId="2586B5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日常或专项</w:t>
            </w:r>
          </w:p>
        </w:tc>
        <w:tc>
          <w:tcPr>
            <w:tcW w:w="1697" w:type="dxa"/>
            <w:noWrap w:val="0"/>
            <w:vAlign w:val="center"/>
          </w:tcPr>
          <w:p w14:paraId="15B50A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苍溪县文化广播电视体育和旅游局</w:t>
            </w:r>
          </w:p>
        </w:tc>
        <w:tc>
          <w:tcPr>
            <w:tcW w:w="2200" w:type="dxa"/>
            <w:noWrap w:val="0"/>
            <w:vAlign w:val="center"/>
          </w:tcPr>
          <w:p w14:paraId="2BEC69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统计数据准确性、报送及时性、数据保密性等。</w:t>
            </w:r>
          </w:p>
        </w:tc>
        <w:tc>
          <w:tcPr>
            <w:tcW w:w="1318" w:type="dxa"/>
            <w:noWrap w:val="0"/>
            <w:vAlign w:val="center"/>
          </w:tcPr>
          <w:p w14:paraId="051033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无</w:t>
            </w:r>
          </w:p>
        </w:tc>
        <w:tc>
          <w:tcPr>
            <w:tcW w:w="3096" w:type="dxa"/>
            <w:noWrap w:val="0"/>
            <w:vAlign w:val="center"/>
          </w:tcPr>
          <w:p w14:paraId="411635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</w:tr>
    </w:tbl>
    <w:p w14:paraId="2067E44D">
      <w:pPr>
        <w:pStyle w:val="11"/>
        <w:rPr>
          <w:rFonts w:hint="eastAsia" w:ascii="方正小标宋简体" w:eastAsia="方正小标宋简体"/>
          <w:b w:val="0"/>
          <w:vanish/>
          <w:color w:val="auto"/>
          <w:sz w:val="44"/>
          <w:szCs w:val="44"/>
        </w:rPr>
      </w:pPr>
    </w:p>
    <w:p w14:paraId="788B27B8">
      <w:pPr>
        <w:pStyle w:val="11"/>
        <w:rPr>
          <w:rFonts w:hint="eastAsia" w:ascii="方正小标宋简体" w:eastAsia="方正小标宋简体"/>
          <w:b w:val="0"/>
          <w:vanish/>
          <w:color w:val="auto"/>
          <w:sz w:val="44"/>
          <w:szCs w:val="44"/>
        </w:rPr>
      </w:pPr>
    </w:p>
    <w:p w14:paraId="14976136">
      <w:pPr>
        <w:pStyle w:val="11"/>
        <w:spacing w:line="576" w:lineRule="exact"/>
        <w:jc w:val="left"/>
      </w:pPr>
      <w:bookmarkStart w:id="0" w:name="_GoBack"/>
      <w:bookmarkEnd w:id="0"/>
    </w:p>
    <w:sectPr>
      <w:footerReference r:id="rId3" w:type="default"/>
      <w:pgSz w:w="16838" w:h="11906" w:orient="landscape"/>
      <w:pgMar w:top="1587" w:right="1701" w:bottom="1474" w:left="1134" w:header="851" w:footer="737" w:gutter="0"/>
      <w:pgNumType w:fmt="decimal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C892E7"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44B870A"/>
    <w:multiLevelType w:val="singleLevel"/>
    <w:tmpl w:val="444B870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D1267F"/>
    <w:rsid w:val="21EA0762"/>
    <w:rsid w:val="29F86E21"/>
    <w:rsid w:val="32897899"/>
    <w:rsid w:val="4BA0780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/>
      <w:autoSpaceDN/>
      <w:snapToGrid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4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 5（有编号）（绿盟科技）"/>
    <w:next w:val="1"/>
    <w:qFormat/>
    <w:uiPriority w:val="99"/>
    <w:pPr>
      <w:keepNext/>
      <w:keepLines/>
      <w:widowControl w:val="0"/>
      <w:autoSpaceDE/>
      <w:autoSpaceDN/>
      <w:snapToGrid/>
      <w:spacing w:before="280" w:after="156" w:line="377" w:lineRule="auto"/>
      <w:jc w:val="left"/>
      <w:outlineLvl w:val="4"/>
    </w:pPr>
    <w:rPr>
      <w:rFonts w:ascii="Arial" w:hAnsi="Arial" w:eastAsia="黑体" w:cs="Times New Roman"/>
      <w:b/>
      <w:kern w:val="2"/>
      <w:sz w:val="24"/>
      <w:szCs w:val="28"/>
      <w:lang w:val="en-US" w:eastAsia="zh-CN" w:bidi="ar-SA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Hyperlink"/>
    <w:basedOn w:val="9"/>
    <w:uiPriority w:val="0"/>
    <w:rPr>
      <w:color w:val="0000FF"/>
      <w:u w:val="single"/>
    </w:rPr>
  </w:style>
  <w:style w:type="paragraph" w:customStyle="1" w:styleId="11">
    <w:name w:val="样式1"/>
    <w:qFormat/>
    <w:uiPriority w:val="0"/>
    <w:pPr>
      <w:widowControl w:val="0"/>
      <w:autoSpaceDE/>
      <w:autoSpaceDN/>
      <w:snapToGrid/>
      <w:jc w:val="both"/>
    </w:pPr>
    <w:rPr>
      <w:rFonts w:ascii="Times New Roman" w:hAnsi="Times New Roman" w:eastAsia="宋体" w:cs="Times New Roman"/>
      <w:b/>
      <w:color w:val="538135"/>
      <w:kern w:val="2"/>
      <w:sz w:val="28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6393</Words>
  <Characters>6475</Characters>
  <TotalTime>0</TotalTime>
  <ScaleCrop>false</ScaleCrop>
  <LinksUpToDate>false</LinksUpToDate>
  <CharactersWithSpaces>6496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2025-04-09T17:32:00Z</dcterms:created>
  <dc:creator>qwkj.cc</dc:creator>
  <cp:lastModifiedBy>梦呓少年</cp:lastModifiedBy>
  <dcterms:modified xsi:type="dcterms:W3CDTF">2025-04-09T09:33:38Z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eyJoZGlkIjoiMjY3NTU0MTE5OGFkMmRkNjYxYjYyZDRjZGY2ZWUxMTYiLCJ1c2VySWQiOiI1MzQyNjc0NDcifQ==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827BA212C8234379B1E84D627D966E19_12</vt:lpwstr>
  </property>
</Properties>
</file>