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22CB7CC">
      <w:pPr>
        <w:pStyle w:val="11"/>
        <w:spacing w:line="576" w:lineRule="exact"/>
        <w:jc w:val="left"/>
        <w:rPr>
          <w:rFonts w:hint="eastAsia" w:ascii="黑体" w:hAnsi="黑体" w:eastAsia="黑体"/>
          <w:b w:val="0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/>
          <w:b w:val="0"/>
          <w:color w:val="auto"/>
          <w:sz w:val="32"/>
          <w:szCs w:val="32"/>
        </w:rPr>
        <w:t>附件</w:t>
      </w:r>
      <w:r>
        <w:rPr>
          <w:rFonts w:hint="eastAsia" w:ascii="黑体" w:hAnsi="黑体" w:eastAsia="黑体"/>
          <w:b w:val="0"/>
          <w:color w:val="auto"/>
          <w:sz w:val="32"/>
          <w:szCs w:val="32"/>
          <w:lang w:val="en-US" w:eastAsia="zh-CN"/>
        </w:rPr>
        <w:t>3</w:t>
      </w:r>
    </w:p>
    <w:p w14:paraId="53069D5F">
      <w:pPr>
        <w:pStyle w:val="11"/>
        <w:spacing w:line="576" w:lineRule="exact"/>
        <w:jc w:val="center"/>
        <w:rPr>
          <w:rFonts w:hint="eastAsia" w:ascii="方正小标宋简体" w:eastAsia="方正小标宋简体"/>
          <w:b w:val="0"/>
          <w:color w:val="auto"/>
          <w:sz w:val="44"/>
          <w:szCs w:val="44"/>
        </w:rPr>
      </w:pPr>
    </w:p>
    <w:p w14:paraId="53265672">
      <w:pPr>
        <w:pStyle w:val="11"/>
        <w:spacing w:line="576" w:lineRule="exact"/>
        <w:jc w:val="center"/>
        <w:rPr>
          <w:rFonts w:hint="eastAsia" w:ascii="方正小标宋简体" w:eastAsia="方正小标宋简体"/>
          <w:b w:val="0"/>
          <w:color w:val="auto"/>
          <w:sz w:val="44"/>
          <w:szCs w:val="44"/>
        </w:rPr>
      </w:pPr>
      <w:r>
        <w:rPr>
          <w:rFonts w:hint="eastAsia" w:ascii="方正小标宋简体" w:eastAsia="方正小标宋简体"/>
          <w:b w:val="0"/>
          <w:color w:val="auto"/>
          <w:sz w:val="44"/>
          <w:szCs w:val="44"/>
          <w:lang w:eastAsia="zh-CN"/>
        </w:rPr>
        <w:t>苍溪县文化广播电视体育和旅游局</w:t>
      </w:r>
      <w:r>
        <w:rPr>
          <w:rFonts w:hint="eastAsia" w:ascii="方正小标宋简体" w:eastAsia="方正小标宋简体"/>
          <w:b w:val="0"/>
          <w:color w:val="auto"/>
          <w:sz w:val="44"/>
          <w:szCs w:val="44"/>
        </w:rPr>
        <w:t>2025年涉企行政执法检查计划</w:t>
      </w:r>
    </w:p>
    <w:p w14:paraId="5A61EED2">
      <w:pPr>
        <w:pStyle w:val="11"/>
        <w:spacing w:line="200" w:lineRule="exact"/>
        <w:jc w:val="center"/>
        <w:rPr>
          <w:rFonts w:hint="eastAsia" w:ascii="方正小标宋简体" w:eastAsia="方正小标宋简体"/>
          <w:b w:val="0"/>
          <w:color w:val="auto"/>
          <w:sz w:val="44"/>
          <w:szCs w:val="44"/>
        </w:rPr>
      </w:pPr>
    </w:p>
    <w:tbl>
      <w:tblPr>
        <w:tblStyle w:val="8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55"/>
        <w:gridCol w:w="804"/>
        <w:gridCol w:w="1013"/>
        <w:gridCol w:w="514"/>
        <w:gridCol w:w="575"/>
        <w:gridCol w:w="633"/>
        <w:gridCol w:w="589"/>
        <w:gridCol w:w="763"/>
        <w:gridCol w:w="926"/>
        <w:gridCol w:w="1539"/>
        <w:gridCol w:w="1426"/>
        <w:gridCol w:w="4710"/>
      </w:tblGrid>
      <w:tr w14:paraId="07076E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tblHeader/>
          <w:jc w:val="center"/>
        </w:trPr>
        <w:tc>
          <w:tcPr>
            <w:tcW w:w="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6C7BF7C1">
            <w:pPr>
              <w:spacing w:line="260" w:lineRule="exact"/>
              <w:jc w:val="center"/>
              <w:rPr>
                <w:rFonts w:hint="eastAsia" w:ascii="黑体" w:eastAsia="黑体" w:cs="黑体"/>
                <w:sz w:val="22"/>
                <w:szCs w:val="22"/>
                <w:lang w:bidi="ar-SA"/>
              </w:rPr>
            </w:pPr>
            <w:r>
              <w:rPr>
                <w:rFonts w:hint="eastAsia" w:ascii="黑体" w:eastAsia="黑体" w:cs="黑体"/>
                <w:kern w:val="0"/>
                <w:sz w:val="22"/>
                <w:szCs w:val="22"/>
                <w:lang w:bidi="ar-SA"/>
              </w:rPr>
              <w:t>序号</w:t>
            </w:r>
          </w:p>
        </w:tc>
        <w:tc>
          <w:tcPr>
            <w:tcW w:w="8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6D25AECA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2"/>
                <w:szCs w:val="22"/>
                <w:lang w:eastAsia="zh-CN" w:bidi="ar-SA"/>
              </w:rPr>
            </w:pPr>
            <w:r>
              <w:rPr>
                <w:rFonts w:hint="eastAsia" w:ascii="黑体" w:eastAsia="黑体" w:cs="黑体"/>
                <w:sz w:val="22"/>
                <w:szCs w:val="22"/>
                <w:lang w:eastAsia="zh-CN" w:bidi="ar-SA"/>
              </w:rPr>
              <w:t>检查事项</w:t>
            </w:r>
          </w:p>
        </w:tc>
        <w:tc>
          <w:tcPr>
            <w:tcW w:w="10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546537A9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kern w:val="0"/>
                <w:sz w:val="22"/>
                <w:szCs w:val="22"/>
                <w:lang w:bidi="ar-SA"/>
              </w:rPr>
            </w:pPr>
            <w:r>
              <w:rPr>
                <w:rFonts w:hint="eastAsia" w:ascii="黑体" w:eastAsia="黑体" w:cs="黑体"/>
                <w:kern w:val="0"/>
                <w:sz w:val="22"/>
                <w:szCs w:val="22"/>
                <w:lang w:bidi="ar-SA"/>
              </w:rPr>
              <w:t>检查</w:t>
            </w:r>
          </w:p>
          <w:p w14:paraId="697D3E70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2"/>
                <w:szCs w:val="22"/>
                <w:lang w:bidi="ar-SA"/>
              </w:rPr>
            </w:pPr>
            <w:r>
              <w:rPr>
                <w:rFonts w:hint="eastAsia" w:ascii="黑体" w:eastAsia="黑体" w:cs="黑体"/>
                <w:kern w:val="0"/>
                <w:sz w:val="22"/>
                <w:szCs w:val="22"/>
                <w:lang w:bidi="ar-SA"/>
              </w:rPr>
              <w:t>对象</w:t>
            </w:r>
          </w:p>
        </w:tc>
        <w:tc>
          <w:tcPr>
            <w:tcW w:w="5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7D79F600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2"/>
                <w:szCs w:val="22"/>
                <w:lang w:eastAsia="zh-CN" w:bidi="ar-SA"/>
              </w:rPr>
            </w:pPr>
            <w:r>
              <w:rPr>
                <w:rFonts w:hint="eastAsia" w:ascii="黑体" w:eastAsia="黑体" w:cs="黑体"/>
                <w:sz w:val="22"/>
                <w:szCs w:val="22"/>
                <w:lang w:eastAsia="zh-CN" w:bidi="ar-SA"/>
              </w:rPr>
              <w:t>检查频次</w:t>
            </w:r>
          </w:p>
        </w:tc>
        <w:tc>
          <w:tcPr>
            <w:tcW w:w="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718C6CCF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kern w:val="0"/>
                <w:sz w:val="22"/>
                <w:szCs w:val="22"/>
                <w:lang w:bidi="ar-SA"/>
              </w:rPr>
            </w:pPr>
            <w:r>
              <w:rPr>
                <w:rFonts w:hint="eastAsia" w:ascii="黑体" w:eastAsia="黑体" w:cs="黑体"/>
                <w:kern w:val="0"/>
                <w:sz w:val="22"/>
                <w:szCs w:val="22"/>
                <w:lang w:eastAsia="zh-CN" w:bidi="ar-SA"/>
              </w:rPr>
              <w:t>检</w:t>
            </w:r>
            <w:r>
              <w:rPr>
                <w:rFonts w:hint="eastAsia" w:ascii="黑体" w:eastAsia="黑体" w:cs="黑体"/>
                <w:kern w:val="0"/>
                <w:sz w:val="22"/>
                <w:szCs w:val="22"/>
                <w:lang w:bidi="ar-SA"/>
              </w:rPr>
              <w:t>查</w:t>
            </w:r>
          </w:p>
          <w:p w14:paraId="53C6FFF7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2"/>
                <w:szCs w:val="22"/>
                <w:lang w:bidi="ar-SA"/>
              </w:rPr>
            </w:pPr>
            <w:r>
              <w:rPr>
                <w:rFonts w:hint="eastAsia" w:ascii="黑体" w:eastAsia="黑体" w:cs="黑体"/>
                <w:kern w:val="0"/>
                <w:sz w:val="22"/>
                <w:szCs w:val="22"/>
                <w:lang w:bidi="ar-SA"/>
              </w:rPr>
              <w:t>比例</w:t>
            </w:r>
          </w:p>
        </w:tc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5E6601FB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2"/>
                <w:szCs w:val="22"/>
                <w:lang w:bidi="ar-SA"/>
              </w:rPr>
            </w:pPr>
            <w:r>
              <w:rPr>
                <w:rFonts w:hint="eastAsia" w:ascii="黑体" w:eastAsia="黑体" w:cs="黑体"/>
                <w:kern w:val="0"/>
                <w:sz w:val="22"/>
                <w:szCs w:val="22"/>
                <w:lang w:bidi="ar-SA"/>
              </w:rPr>
              <w:t>检查方式</w:t>
            </w:r>
          </w:p>
        </w:tc>
        <w:tc>
          <w:tcPr>
            <w:tcW w:w="5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29D1AB23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2"/>
                <w:szCs w:val="22"/>
                <w:lang w:eastAsia="zh-CN" w:bidi="ar-SA"/>
              </w:rPr>
            </w:pPr>
            <w:r>
              <w:rPr>
                <w:rFonts w:hint="eastAsia" w:ascii="黑体" w:eastAsia="黑体" w:cs="黑体"/>
                <w:sz w:val="22"/>
                <w:szCs w:val="22"/>
                <w:lang w:eastAsia="zh-CN" w:bidi="ar-SA"/>
              </w:rPr>
              <w:t>计划类型</w:t>
            </w:r>
          </w:p>
        </w:tc>
        <w:tc>
          <w:tcPr>
            <w:tcW w:w="7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5CED414F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2"/>
                <w:szCs w:val="22"/>
                <w:lang w:bidi="ar-SA"/>
              </w:rPr>
            </w:pPr>
            <w:r>
              <w:rPr>
                <w:rFonts w:hint="eastAsia" w:ascii="黑体" w:eastAsia="黑体" w:cs="黑体"/>
                <w:kern w:val="0"/>
                <w:sz w:val="22"/>
                <w:szCs w:val="22"/>
                <w:lang w:eastAsia="zh-CN" w:bidi="ar-SA"/>
              </w:rPr>
              <w:t>检</w:t>
            </w:r>
            <w:r>
              <w:rPr>
                <w:rFonts w:hint="eastAsia" w:ascii="黑体" w:eastAsia="黑体" w:cs="黑体"/>
                <w:kern w:val="0"/>
                <w:sz w:val="22"/>
                <w:szCs w:val="22"/>
                <w:lang w:bidi="ar-SA"/>
              </w:rPr>
              <w:t>查完成时限</w:t>
            </w:r>
          </w:p>
        </w:tc>
        <w:tc>
          <w:tcPr>
            <w:tcW w:w="9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5BBD3A4E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2"/>
                <w:szCs w:val="22"/>
                <w:lang w:bidi="ar-SA"/>
              </w:rPr>
            </w:pPr>
            <w:r>
              <w:rPr>
                <w:rFonts w:hint="eastAsia" w:ascii="黑体" w:eastAsia="黑体" w:cs="黑体"/>
                <w:kern w:val="0"/>
                <w:sz w:val="22"/>
                <w:szCs w:val="22"/>
                <w:lang w:bidi="ar-SA"/>
              </w:rPr>
              <w:t>牵头</w:t>
            </w:r>
            <w:r>
              <w:rPr>
                <w:rFonts w:hint="eastAsia" w:ascii="黑体" w:eastAsia="黑体" w:cs="黑体"/>
                <w:kern w:val="0"/>
                <w:sz w:val="22"/>
                <w:szCs w:val="22"/>
                <w:lang w:eastAsia="zh-CN" w:bidi="ar-SA"/>
              </w:rPr>
              <w:t>实施</w:t>
            </w:r>
            <w:r>
              <w:rPr>
                <w:rFonts w:hint="eastAsia" w:ascii="黑体" w:eastAsia="黑体" w:cs="黑体"/>
                <w:kern w:val="0"/>
                <w:sz w:val="22"/>
                <w:szCs w:val="22"/>
                <w:lang w:bidi="ar-SA"/>
              </w:rPr>
              <w:t>部门</w:t>
            </w:r>
          </w:p>
        </w:tc>
        <w:tc>
          <w:tcPr>
            <w:tcW w:w="1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41D90E4B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2"/>
                <w:szCs w:val="22"/>
                <w:lang w:eastAsia="zh-CN" w:bidi="ar-SA"/>
              </w:rPr>
            </w:pPr>
            <w:r>
              <w:rPr>
                <w:rFonts w:hint="eastAsia" w:ascii="黑体" w:eastAsia="黑体" w:cs="黑体"/>
                <w:kern w:val="0"/>
                <w:sz w:val="22"/>
                <w:szCs w:val="22"/>
                <w:lang w:eastAsia="zh-CN" w:bidi="ar-SA"/>
              </w:rPr>
              <w:t>检查</w:t>
            </w:r>
            <w:r>
              <w:rPr>
                <w:rFonts w:hint="eastAsia" w:ascii="黑体" w:eastAsia="黑体" w:cs="黑体"/>
                <w:kern w:val="0"/>
                <w:sz w:val="22"/>
                <w:szCs w:val="22"/>
                <w:lang w:bidi="ar-SA"/>
              </w:rPr>
              <w:t>事项</w:t>
            </w:r>
            <w:r>
              <w:rPr>
                <w:rFonts w:hint="eastAsia" w:ascii="黑体" w:eastAsia="黑体" w:cs="黑体"/>
                <w:kern w:val="0"/>
                <w:sz w:val="22"/>
                <w:szCs w:val="22"/>
                <w:lang w:eastAsia="zh-CN" w:bidi="ar-SA"/>
              </w:rPr>
              <w:t>内容</w:t>
            </w:r>
          </w:p>
        </w:tc>
        <w:tc>
          <w:tcPr>
            <w:tcW w:w="1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2CDE7406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2"/>
                <w:szCs w:val="22"/>
                <w:lang w:bidi="ar-SA"/>
              </w:rPr>
            </w:pPr>
            <w:r>
              <w:rPr>
                <w:rFonts w:hint="eastAsia" w:ascii="黑体" w:eastAsia="黑体" w:cs="黑体"/>
                <w:kern w:val="0"/>
                <w:sz w:val="22"/>
                <w:szCs w:val="22"/>
                <w:lang w:bidi="ar-SA"/>
              </w:rPr>
              <w:t>参与部门</w:t>
            </w:r>
          </w:p>
        </w:tc>
        <w:tc>
          <w:tcPr>
            <w:tcW w:w="4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1D9DAA80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2"/>
                <w:szCs w:val="22"/>
                <w:lang w:bidi="ar-SA"/>
              </w:rPr>
            </w:pPr>
            <w:r>
              <w:rPr>
                <w:rFonts w:hint="eastAsia" w:ascii="黑体" w:eastAsia="黑体" w:cs="黑体"/>
                <w:kern w:val="0"/>
                <w:sz w:val="22"/>
                <w:szCs w:val="22"/>
                <w:lang w:bidi="ar-SA"/>
              </w:rPr>
              <w:t>参与部门事项</w:t>
            </w:r>
          </w:p>
        </w:tc>
      </w:tr>
      <w:tr w14:paraId="5A0FB0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35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326A1CC7">
            <w:pPr>
              <w:spacing w:line="260" w:lineRule="exact"/>
              <w:ind w:left="105" w:leftChars="50"/>
              <w:jc w:val="both"/>
              <w:rPr>
                <w:rFonts w:hint="eastAsia" w:ascii="宋体" w:hAnsi="宋体" w:eastAsia="宋体" w:cs="宋体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80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229DEEEF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-SA"/>
              </w:rPr>
              <w:t>娱乐场所检查</w:t>
            </w:r>
          </w:p>
        </w:tc>
        <w:tc>
          <w:tcPr>
            <w:tcW w:w="101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24428AA9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-SA"/>
              </w:rPr>
              <w:t>歌舞及游艺娱乐场所</w:t>
            </w:r>
          </w:p>
        </w:tc>
        <w:tc>
          <w:tcPr>
            <w:tcW w:w="51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46D04DF3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eastAsia="zh-CN" w:bidi="ar-SA"/>
              </w:rPr>
              <w:t>全年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 w:bidi="ar-SA"/>
              </w:rPr>
              <w:t>2次</w:t>
            </w:r>
          </w:p>
        </w:tc>
        <w:tc>
          <w:tcPr>
            <w:tcW w:w="57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37943296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  <w:t>50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-SA"/>
              </w:rPr>
              <w:t>%</w:t>
            </w:r>
          </w:p>
        </w:tc>
        <w:tc>
          <w:tcPr>
            <w:tcW w:w="63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49E6DF13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-SA"/>
              </w:rPr>
              <w:t>现场检查</w:t>
            </w:r>
          </w:p>
        </w:tc>
        <w:tc>
          <w:tcPr>
            <w:tcW w:w="58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7F4AA9A3">
            <w:pPr>
              <w:spacing w:line="260" w:lineRule="exac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eastAsia="zh-CN" w:bidi="ar-SA"/>
              </w:rPr>
              <w:t>日常检查</w:t>
            </w:r>
          </w:p>
        </w:tc>
        <w:tc>
          <w:tcPr>
            <w:tcW w:w="76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21A1955A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pacing w:val="-20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pacing w:val="-20"/>
                <w:kern w:val="0"/>
                <w:sz w:val="21"/>
                <w:szCs w:val="21"/>
                <w:lang w:bidi="ar-SA"/>
              </w:rPr>
              <w:t>2025年12月31日前</w:t>
            </w:r>
          </w:p>
        </w:tc>
        <w:tc>
          <w:tcPr>
            <w:tcW w:w="92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464C846D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-SA"/>
              </w:rPr>
              <w:t>苍溪县文化广播电视体育和旅游局</w:t>
            </w:r>
          </w:p>
        </w:tc>
        <w:tc>
          <w:tcPr>
            <w:tcW w:w="153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51A197DB">
            <w:pPr>
              <w:spacing w:line="260" w:lineRule="exac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-SA"/>
              </w:rPr>
              <w:t>对娱乐场所经营活动情况进行检查</w:t>
            </w:r>
          </w:p>
        </w:tc>
        <w:tc>
          <w:tcPr>
            <w:tcW w:w="1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5759CA99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-SA"/>
              </w:rPr>
              <w:t>县人社局</w:t>
            </w:r>
          </w:p>
        </w:tc>
        <w:tc>
          <w:tcPr>
            <w:tcW w:w="4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476EC621">
            <w:pPr>
              <w:spacing w:line="260" w:lineRule="exac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对娱乐场所招用未成年人情况的检查</w:t>
            </w:r>
          </w:p>
        </w:tc>
      </w:tr>
      <w:tr w14:paraId="0E7583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35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4B5B4AC1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80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1F080D82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01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162BB8E3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5EBE8075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7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51780AF3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6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75C4973A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72E9B58F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76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7CFE0191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9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069C0C72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53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39CDA471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2718C0E5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县公安局</w:t>
            </w:r>
          </w:p>
        </w:tc>
        <w:tc>
          <w:tcPr>
            <w:tcW w:w="4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02DC7744">
            <w:pPr>
              <w:spacing w:line="260" w:lineRule="exact"/>
              <w:textAlignment w:val="center"/>
              <w:rPr>
                <w:rFonts w:hint="eastAsia" w:ascii="宋体" w:hAnsi="宋体" w:eastAsia="宋体" w:cs="宋体"/>
                <w:spacing w:val="-8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对娱乐场所治安的检查</w:t>
            </w:r>
          </w:p>
        </w:tc>
      </w:tr>
      <w:tr w14:paraId="5E67F4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35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3C28210D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80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50A7DE82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01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10582CBB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33A830B1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7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54F14EAD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6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538331F7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5ACF955B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76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0B0638E8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9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7D300879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53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01E7CCB5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17F334BB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县市场监管局</w:t>
            </w:r>
          </w:p>
        </w:tc>
        <w:tc>
          <w:tcPr>
            <w:tcW w:w="4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7521765C">
            <w:pPr>
              <w:spacing w:line="260" w:lineRule="exac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对经营主体登记事项、涉及食品、特种设备等相关情况检查</w:t>
            </w:r>
          </w:p>
        </w:tc>
      </w:tr>
      <w:tr w14:paraId="004D5F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35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6E9EDEB2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80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33A68278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01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0195E7BF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4FD12F27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7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1BDDE827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6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532E9DDC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616AA3EA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76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154BFC91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9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526426D7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53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156271EF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2966E793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县消防救援大队</w:t>
            </w:r>
          </w:p>
        </w:tc>
        <w:tc>
          <w:tcPr>
            <w:tcW w:w="4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65BDC60E">
            <w:pPr>
              <w:spacing w:line="260" w:lineRule="exac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对娱乐场所在投入使用、营业前消防安全情况的检查</w:t>
            </w:r>
          </w:p>
        </w:tc>
      </w:tr>
      <w:tr w14:paraId="530634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35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0D4E872F">
            <w:pPr>
              <w:spacing w:line="260" w:lineRule="exact"/>
              <w:ind w:left="105" w:leftChars="50"/>
              <w:jc w:val="both"/>
              <w:rPr>
                <w:rFonts w:hint="eastAsia" w:ascii="宋体" w:hAnsi="宋体" w:eastAsia="宋体" w:cs="宋体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80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37DB2D73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互联网上网服务营业场所检查</w:t>
            </w:r>
          </w:p>
        </w:tc>
        <w:tc>
          <w:tcPr>
            <w:tcW w:w="101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3B4CCE49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互联网上网服 务营业场所</w:t>
            </w:r>
          </w:p>
        </w:tc>
        <w:tc>
          <w:tcPr>
            <w:tcW w:w="51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2B6B3DEB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eastAsia="zh-CN" w:bidi="ar-SA"/>
              </w:rPr>
              <w:t>全年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 w:bidi="ar-SA"/>
              </w:rPr>
              <w:t>2次</w:t>
            </w:r>
          </w:p>
        </w:tc>
        <w:tc>
          <w:tcPr>
            <w:tcW w:w="57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7A2F020A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  <w:t>30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-SA"/>
              </w:rPr>
              <w:t>%</w:t>
            </w:r>
          </w:p>
        </w:tc>
        <w:tc>
          <w:tcPr>
            <w:tcW w:w="63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6D9857B1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-SA"/>
              </w:rPr>
              <w:t>现场检查</w:t>
            </w:r>
          </w:p>
        </w:tc>
        <w:tc>
          <w:tcPr>
            <w:tcW w:w="58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6B012CE3">
            <w:pPr>
              <w:spacing w:line="260" w:lineRule="exac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eastAsia="zh-CN" w:bidi="ar-SA"/>
              </w:rPr>
              <w:t>日常检查</w:t>
            </w:r>
          </w:p>
        </w:tc>
        <w:tc>
          <w:tcPr>
            <w:tcW w:w="76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071D99FF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pacing w:val="-20"/>
                <w:kern w:val="0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pacing w:val="-20"/>
                <w:kern w:val="0"/>
                <w:sz w:val="21"/>
                <w:szCs w:val="21"/>
                <w:lang w:bidi="ar-SA"/>
              </w:rPr>
              <w:t>2025年12月31日前</w:t>
            </w:r>
          </w:p>
        </w:tc>
        <w:tc>
          <w:tcPr>
            <w:tcW w:w="92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3945B81A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-SA"/>
              </w:rPr>
              <w:t>苍溪县文化广播电视体育和旅游局</w:t>
            </w:r>
          </w:p>
        </w:tc>
        <w:tc>
          <w:tcPr>
            <w:tcW w:w="153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04C4449C">
            <w:pPr>
              <w:spacing w:line="260" w:lineRule="exac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对互联网上网服务营业场所经营情况的检查</w:t>
            </w:r>
          </w:p>
        </w:tc>
        <w:tc>
          <w:tcPr>
            <w:tcW w:w="1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1A1673B8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县公安局</w:t>
            </w:r>
          </w:p>
        </w:tc>
        <w:tc>
          <w:tcPr>
            <w:tcW w:w="4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5CCD8B00">
            <w:pPr>
              <w:spacing w:line="260" w:lineRule="exac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对上网实名制落实和消防安全情况的检查</w:t>
            </w:r>
          </w:p>
        </w:tc>
      </w:tr>
      <w:tr w14:paraId="72ED46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35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3D4F2EDF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80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04847E5C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01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50266412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0277BFC0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7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1DA1050C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6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3FFBF422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6FE37744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76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712B1BD7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9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0A8EC994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53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39268FDC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123FBF59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县市场监管局</w:t>
            </w:r>
          </w:p>
        </w:tc>
        <w:tc>
          <w:tcPr>
            <w:tcW w:w="4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60F20B6E">
            <w:pPr>
              <w:spacing w:line="260" w:lineRule="exact"/>
              <w:textAlignment w:val="center"/>
              <w:rPr>
                <w:rFonts w:hint="eastAsia" w:ascii="宋体" w:hAnsi="宋体" w:eastAsia="宋体" w:cs="宋体"/>
                <w:spacing w:val="-8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对经营主体登记事项、公示信息和涉及食品相关情况检查</w:t>
            </w:r>
          </w:p>
        </w:tc>
      </w:tr>
      <w:tr w14:paraId="62C1E2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35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12B7C18D">
            <w:pPr>
              <w:spacing w:line="260" w:lineRule="exact"/>
              <w:ind w:left="105" w:leftChars="50"/>
              <w:jc w:val="both"/>
              <w:rPr>
                <w:rFonts w:hint="eastAsia" w:ascii="宋体" w:hAnsi="宋体" w:eastAsia="宋体" w:cs="宋体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 w:bidi="ar-SA"/>
              </w:rPr>
              <w:t>3</w:t>
            </w:r>
          </w:p>
        </w:tc>
        <w:tc>
          <w:tcPr>
            <w:tcW w:w="80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73B22F99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-SA"/>
              </w:rPr>
              <w:t>高危体育项目经营单位检查</w:t>
            </w:r>
          </w:p>
        </w:tc>
        <w:tc>
          <w:tcPr>
            <w:tcW w:w="101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4584C843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-SA"/>
              </w:rPr>
              <w:t>高危体育项目经营单位</w:t>
            </w:r>
          </w:p>
        </w:tc>
        <w:tc>
          <w:tcPr>
            <w:tcW w:w="51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177B208E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eastAsia="zh-CN" w:bidi="ar-SA"/>
              </w:rPr>
              <w:t>全年1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 w:bidi="ar-SA"/>
              </w:rPr>
              <w:t>次</w:t>
            </w:r>
          </w:p>
        </w:tc>
        <w:tc>
          <w:tcPr>
            <w:tcW w:w="57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4C7305F5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-SA"/>
              </w:rPr>
              <w:t>100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-SA"/>
              </w:rPr>
              <w:t>%</w:t>
            </w:r>
          </w:p>
        </w:tc>
        <w:tc>
          <w:tcPr>
            <w:tcW w:w="63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00C68E5B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-SA"/>
              </w:rPr>
              <w:t>现场检查</w:t>
            </w:r>
          </w:p>
        </w:tc>
        <w:tc>
          <w:tcPr>
            <w:tcW w:w="58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65FB5D33">
            <w:pPr>
              <w:spacing w:line="260" w:lineRule="exac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eastAsia="zh-CN" w:bidi="ar-SA"/>
              </w:rPr>
              <w:t>日常检查</w:t>
            </w:r>
          </w:p>
        </w:tc>
        <w:tc>
          <w:tcPr>
            <w:tcW w:w="76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5DE431BA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pacing w:val="-20"/>
                <w:kern w:val="0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pacing w:val="-20"/>
                <w:kern w:val="0"/>
                <w:sz w:val="21"/>
                <w:szCs w:val="21"/>
                <w:lang w:bidi="ar-SA"/>
              </w:rPr>
              <w:t>2025年12月31日前</w:t>
            </w:r>
          </w:p>
        </w:tc>
        <w:tc>
          <w:tcPr>
            <w:tcW w:w="92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2590FB15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-SA"/>
              </w:rPr>
              <w:t>苍溪县文化广播电视体育和旅游局</w:t>
            </w:r>
          </w:p>
        </w:tc>
        <w:tc>
          <w:tcPr>
            <w:tcW w:w="153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22D736DF">
            <w:pPr>
              <w:spacing w:line="260" w:lineRule="exac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-SA"/>
              </w:rPr>
              <w:t>对高危体育项目经营单位经营活动情况的检查</w:t>
            </w:r>
          </w:p>
        </w:tc>
        <w:tc>
          <w:tcPr>
            <w:tcW w:w="1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65F71774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-SA"/>
              </w:rPr>
              <w:t>县卫健局</w:t>
            </w:r>
          </w:p>
        </w:tc>
        <w:tc>
          <w:tcPr>
            <w:tcW w:w="4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01CDCC98">
            <w:pPr>
              <w:spacing w:line="260" w:lineRule="exac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-SA"/>
              </w:rPr>
              <w:t>对场所卫生和水质安全的检查</w:t>
            </w:r>
          </w:p>
        </w:tc>
      </w:tr>
      <w:tr w14:paraId="330A63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35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7FF61BDE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80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619F8C09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01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33A503F9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32B10C7F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7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305F5DAB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6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17C0BF1D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34B3B16A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76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1A824A27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9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2D7790CA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53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1D13D9B0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7DE0B7A0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县市场监管局</w:t>
            </w:r>
          </w:p>
        </w:tc>
        <w:tc>
          <w:tcPr>
            <w:tcW w:w="4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24651DA3">
            <w:pPr>
              <w:spacing w:line="260" w:lineRule="exact"/>
              <w:textAlignment w:val="center"/>
              <w:rPr>
                <w:rFonts w:hint="eastAsia" w:ascii="宋体" w:hAnsi="宋体" w:eastAsia="宋体" w:cs="宋体"/>
                <w:spacing w:val="-8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对经营主体登记事项、公示信息和涉及食品相关情况检查</w:t>
            </w:r>
          </w:p>
        </w:tc>
      </w:tr>
      <w:tr w14:paraId="4BCB3E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35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45AB1AD9">
            <w:pPr>
              <w:spacing w:line="260" w:lineRule="exact"/>
              <w:ind w:left="105" w:leftChars="50"/>
              <w:jc w:val="both"/>
              <w:rPr>
                <w:rFonts w:hint="eastAsia" w:ascii="宋体" w:hAnsi="宋体" w:eastAsia="宋体" w:cs="宋体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 w:bidi="ar-SA"/>
              </w:rPr>
              <w:t>4</w:t>
            </w:r>
          </w:p>
        </w:tc>
        <w:tc>
          <w:tcPr>
            <w:tcW w:w="80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2FCDAF17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旅行社行业与通过网络经营 旅行社业务检查</w:t>
            </w:r>
          </w:p>
        </w:tc>
        <w:tc>
          <w:tcPr>
            <w:tcW w:w="101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5D18A5DB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旅行社、通过网络经营旅行社业务的企业及平台</w:t>
            </w:r>
          </w:p>
        </w:tc>
        <w:tc>
          <w:tcPr>
            <w:tcW w:w="51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01FE68A8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eastAsia="zh-CN" w:bidi="ar-SA"/>
              </w:rPr>
              <w:t>全年1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 w:bidi="ar-SA"/>
              </w:rPr>
              <w:t>次</w:t>
            </w:r>
          </w:p>
        </w:tc>
        <w:tc>
          <w:tcPr>
            <w:tcW w:w="57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0A354BFB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-SA"/>
              </w:rPr>
              <w:t>30%</w:t>
            </w:r>
          </w:p>
        </w:tc>
        <w:tc>
          <w:tcPr>
            <w:tcW w:w="63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327B39D0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-SA"/>
              </w:rPr>
              <w:t>现场检查</w:t>
            </w:r>
          </w:p>
        </w:tc>
        <w:tc>
          <w:tcPr>
            <w:tcW w:w="58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38583781">
            <w:pPr>
              <w:spacing w:line="260" w:lineRule="exac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eastAsia="zh-CN" w:bidi="ar-SA"/>
              </w:rPr>
              <w:t>日常检查</w:t>
            </w:r>
          </w:p>
        </w:tc>
        <w:tc>
          <w:tcPr>
            <w:tcW w:w="76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462B694A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pacing w:val="-20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pacing w:val="-20"/>
                <w:kern w:val="0"/>
                <w:sz w:val="21"/>
                <w:szCs w:val="21"/>
                <w:lang w:bidi="ar-SA"/>
              </w:rPr>
              <w:t>2025年12月31日前</w:t>
            </w:r>
          </w:p>
        </w:tc>
        <w:tc>
          <w:tcPr>
            <w:tcW w:w="92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090D703A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bidi="ar-SA"/>
              </w:rPr>
              <w:t>苍溪县文化广播电视体育和旅游局</w:t>
            </w:r>
          </w:p>
        </w:tc>
        <w:tc>
          <w:tcPr>
            <w:tcW w:w="153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4A24CFF5">
            <w:pPr>
              <w:spacing w:line="260" w:lineRule="exac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对旅行社取得许可证情况和经营情况的检查、通过网络经营旅 行社业务抽查和发布旅游经营信息网站的检查</w:t>
            </w:r>
          </w:p>
        </w:tc>
        <w:tc>
          <w:tcPr>
            <w:tcW w:w="1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3267F914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县人社局</w:t>
            </w:r>
          </w:p>
        </w:tc>
        <w:tc>
          <w:tcPr>
            <w:tcW w:w="4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217E7A30">
            <w:pPr>
              <w:spacing w:line="260" w:lineRule="exac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对企业遵守劳动保障法律法规的监督检查</w:t>
            </w:r>
          </w:p>
        </w:tc>
      </w:tr>
      <w:tr w14:paraId="2D1C96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35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4533EEC8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80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6C7F0CBB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01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184B02AB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11053602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7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17C4D87D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6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0F874547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76B0B013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76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43347A67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9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04E16124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53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284EB201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18B66215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县交运局</w:t>
            </w:r>
          </w:p>
        </w:tc>
        <w:tc>
          <w:tcPr>
            <w:tcW w:w="4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11644AB8">
            <w:pPr>
              <w:spacing w:line="260" w:lineRule="exact"/>
              <w:textAlignment w:val="center"/>
              <w:rPr>
                <w:rFonts w:hint="eastAsia" w:ascii="宋体" w:hAnsi="宋体" w:eastAsia="宋体" w:cs="宋体"/>
                <w:spacing w:val="-8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对旅行社用车行为的检查</w:t>
            </w:r>
          </w:p>
        </w:tc>
      </w:tr>
      <w:tr w14:paraId="560520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35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7065FF50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80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37AB620D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01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6D3CCB16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4A966AC5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7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3B9F59D1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6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7D7E64A1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5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655286B9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76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5FD167DA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9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15332BF3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53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12054EBB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2DE380EC">
            <w:pPr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县市场监管局</w:t>
            </w:r>
          </w:p>
        </w:tc>
        <w:tc>
          <w:tcPr>
            <w:tcW w:w="4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 w14:paraId="2C00F0D8">
            <w:pPr>
              <w:spacing w:line="260" w:lineRule="exac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对公示信息的检查、旅游互联网企业及平台履行电子商务经营者主体责任的检查</w:t>
            </w:r>
          </w:p>
        </w:tc>
      </w:tr>
    </w:tbl>
    <w:p w14:paraId="11553003">
      <w:pPr>
        <w:sectPr>
          <w:footerReference r:id="rId3" w:type="default"/>
          <w:pgSz w:w="16838" w:h="11906" w:orient="landscape"/>
          <w:pgMar w:top="1417" w:right="1474" w:bottom="1134" w:left="1587" w:header="851" w:footer="850" w:gutter="0"/>
          <w:pgNumType w:fmt="decimal"/>
          <w:cols w:space="0" w:num="1"/>
          <w:rtlGutter w:val="0"/>
          <w:docGrid w:type="lines" w:linePitch="315" w:charSpace="0"/>
        </w:sectPr>
      </w:pPr>
      <w:bookmarkStart w:id="0" w:name="_GoBack"/>
      <w:bookmarkEnd w:id="0"/>
    </w:p>
    <w:p w14:paraId="1BC7819D">
      <w:pPr>
        <w:bidi w:val="0"/>
        <w:jc w:val="both"/>
      </w:pPr>
    </w:p>
    <w:sectPr>
      <w:footerReference r:id="rId4" w:type="default"/>
      <w:pgSz w:w="16838" w:h="11906" w:orient="landscape"/>
      <w:pgMar w:top="1587" w:right="1701" w:bottom="1474" w:left="1134" w:header="851" w:footer="737" w:gutter="0"/>
      <w:pgNumType w:fmt="decimal"/>
      <w:cols w:space="0" w:num="1"/>
      <w:rtlGutter w:val="0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E93CD1"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C1E2558">
                          <w:pPr>
                            <w:pStyle w:val="5"/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bidi w:val="0"/>
                            <w:adjustRightInd/>
                            <w:snapToGrid w:val="0"/>
                            <w:ind w:left="420" w:leftChars="200" w:right="420" w:rightChars="200"/>
                            <w:textAlignment w:val="auto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2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ba+YMw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AAAAAGRycy9QSwECFAAUAAAACACH&#10;TuJAs0lY7tAAAAAFAQAADwAAAAAAAAABACAAAAAiAAAAZHJzL2Rvd25yZXYueG1sUEsBAhQAFAAA&#10;AAgAh07iQAba+YMwAgAAYQQAAA4AAAAAAAAAAQAgAAAAHw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C1E2558">
                    <w:pPr>
                      <w:pStyle w:val="5"/>
                      <w:keepNext w:val="0"/>
                      <w:keepLines w:val="0"/>
                      <w:pageBreakBefore w:val="0"/>
                      <w:widowControl w:val="0"/>
                      <w:kinsoku/>
                      <w:wordWrap/>
                      <w:overflowPunct/>
                      <w:topLinePunct w:val="0"/>
                      <w:bidi w:val="0"/>
                      <w:adjustRightInd/>
                      <w:snapToGrid w:val="0"/>
                      <w:ind w:left="420" w:leftChars="200" w:right="420" w:rightChars="200"/>
                      <w:textAlignment w:val="auto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96C9B97"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8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1EA0762"/>
    <w:rsid w:val="29F86E21"/>
    <w:rsid w:val="32897899"/>
    <w:rsid w:val="47BD4E20"/>
    <w:rsid w:val="4BA0780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autoSpaceDE/>
      <w:autoSpaceDN/>
      <w:snapToGrid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4">
    <w:name w:val="heading 2"/>
    <w:basedOn w:val="1"/>
    <w:next w:val="1"/>
    <w:unhideWhenUsed/>
    <w:qFormat/>
    <w:uiPriority w:val="0"/>
    <w:pPr>
      <w:spacing w:before="100" w:beforeAutospacing="1" w:after="100" w:afterAutospacing="1"/>
      <w:jc w:val="left"/>
      <w:outlineLvl w:val="1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9">
    <w:name w:val="Default Paragraph Font"/>
    <w:semiHidden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标题 5（有编号）（绿盟科技）"/>
    <w:next w:val="1"/>
    <w:qFormat/>
    <w:uiPriority w:val="99"/>
    <w:pPr>
      <w:keepNext/>
      <w:keepLines/>
      <w:widowControl w:val="0"/>
      <w:autoSpaceDE/>
      <w:autoSpaceDN/>
      <w:snapToGrid/>
      <w:spacing w:before="280" w:after="156" w:line="377" w:lineRule="auto"/>
      <w:jc w:val="left"/>
      <w:outlineLvl w:val="4"/>
    </w:pPr>
    <w:rPr>
      <w:rFonts w:ascii="Arial" w:hAnsi="Arial" w:eastAsia="黑体" w:cs="Times New Roman"/>
      <w:b/>
      <w:kern w:val="2"/>
      <w:sz w:val="24"/>
      <w:szCs w:val="28"/>
      <w:lang w:val="en-US" w:eastAsia="zh-CN" w:bidi="ar-SA"/>
    </w:rPr>
  </w:style>
  <w:style w:type="paragraph" w:styleId="5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0">
    <w:name w:val="Hyperlink"/>
    <w:basedOn w:val="9"/>
    <w:qFormat/>
    <w:uiPriority w:val="0"/>
    <w:rPr>
      <w:color w:val="0000FF"/>
      <w:u w:val="single"/>
    </w:rPr>
  </w:style>
  <w:style w:type="paragraph" w:customStyle="1" w:styleId="11">
    <w:name w:val="样式1"/>
    <w:qFormat/>
    <w:uiPriority w:val="0"/>
    <w:pPr>
      <w:widowControl w:val="0"/>
      <w:autoSpaceDE/>
      <w:autoSpaceDN/>
      <w:snapToGrid/>
      <w:jc w:val="both"/>
    </w:pPr>
    <w:rPr>
      <w:rFonts w:ascii="Times New Roman" w:hAnsi="Times New Roman" w:eastAsia="宋体" w:cs="Times New Roman"/>
      <w:b/>
      <w:color w:val="538135"/>
      <w:kern w:val="2"/>
      <w:sz w:val="28"/>
      <w:szCs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6393</Words>
  <Characters>6475</Characters>
  <TotalTime>0</TotalTime>
  <ScaleCrop>false</ScaleCrop>
  <LinksUpToDate>false</LinksUpToDate>
  <CharactersWithSpaces>6496</CharactersWithSpaces>
  <Application>WPS Office_12.1.0.20784_F1E327BC-269C-435d-A152-05C5408002CA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2025-04-09T17:32:00Z</dcterms:created>
  <dc:creator>qwkj.cc</dc:creator>
  <cp:lastModifiedBy>梦呓少年</cp:lastModifiedBy>
  <dcterms:modified xsi:type="dcterms:W3CDTF">2025-04-09T09:35:52Z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eyJoZGlkIjoiMjY3NTU0MTE5OGFkMmRkNjYxYjYyZDRjZGY2ZWUxMTYiLCJ1c2VySWQiOiI1MzQyNjc0NDcifQ==</vt:lpwstr>
  </property>
  <property fmtid="{D5CDD505-2E9C-101B-9397-08002B2CF9AE}" pid="3" name="KSOProductBuildVer">
    <vt:lpwstr>2052-12.1.0.20784</vt:lpwstr>
  </property>
  <property fmtid="{D5CDD505-2E9C-101B-9397-08002B2CF9AE}" pid="4" name="ICV">
    <vt:lpwstr>4AA1F80E0E6047EE9A207B1E82163814_12</vt:lpwstr>
  </property>
</Properties>
</file>