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outlineLvl w:val="0"/>
        <w:rPr>
          <w:rFonts w:ascii="方正小标宋_GBK" w:eastAsia="方正小标宋_GBK"/>
          <w:bCs/>
          <w:color w:val="auto"/>
          <w:sz w:val="72"/>
          <w:szCs w:val="72"/>
        </w:rPr>
      </w:pPr>
      <w:r>
        <w:rPr>
          <w:rFonts w:hint="eastAsia" w:ascii="方正小标宋_GBK" w:eastAsia="方正小标宋_GBK"/>
          <w:bCs/>
          <w:color w:val="auto"/>
          <w:sz w:val="72"/>
          <w:szCs w:val="72"/>
        </w:rPr>
        <w:t>建设项目环境影响报告表</w:t>
      </w:r>
    </w:p>
    <w:p>
      <w:pPr>
        <w:adjustRightInd w:val="0"/>
        <w:snapToGrid w:val="0"/>
        <w:spacing w:beforeLines="80"/>
        <w:jc w:val="center"/>
        <w:rPr>
          <w:rFonts w:ascii="楷体_GB2312" w:eastAsia="楷体_GB2312"/>
          <w:bCs/>
          <w:color w:val="auto"/>
          <w:sz w:val="48"/>
          <w:szCs w:val="48"/>
        </w:rPr>
      </w:pPr>
      <w:r>
        <w:rPr>
          <w:rFonts w:hint="eastAsia" w:ascii="楷体_GB2312" w:eastAsia="楷体_GB2312"/>
          <w:bCs/>
          <w:color w:val="auto"/>
          <w:sz w:val="48"/>
          <w:szCs w:val="48"/>
        </w:rPr>
        <w:t>（污染影响类）</w:t>
      </w:r>
    </w:p>
    <w:p>
      <w:pPr>
        <w:adjustRightInd w:val="0"/>
        <w:snapToGrid w:val="0"/>
        <w:spacing w:beforeLines="80"/>
        <w:rPr>
          <w:rFonts w:ascii="楷体_GB2312" w:eastAsia="楷体_GB2312"/>
          <w:bCs/>
          <w:color w:val="auto"/>
          <w:sz w:val="48"/>
          <w:szCs w:val="48"/>
        </w:rPr>
      </w:pPr>
      <w:r>
        <w:rPr>
          <w:rFonts w:hint="eastAsia" w:ascii="楷体_GB2312" w:eastAsia="楷体_GB2312"/>
          <w:bCs/>
          <w:color w:val="auto"/>
          <w:sz w:val="48"/>
          <w:szCs w:val="48"/>
        </w:rPr>
        <w:t xml:space="preserve">             （</w:t>
      </w:r>
      <w:r>
        <w:rPr>
          <w:rFonts w:hint="eastAsia" w:ascii="楷体_GB2312" w:eastAsia="楷体_GB2312"/>
          <w:bCs/>
          <w:color w:val="auto"/>
          <w:sz w:val="48"/>
          <w:szCs w:val="48"/>
          <w:lang w:eastAsia="zh-CN"/>
        </w:rPr>
        <w:t>公示</w:t>
      </w:r>
      <w:r>
        <w:rPr>
          <w:rFonts w:hint="eastAsia" w:ascii="楷体_GB2312" w:eastAsia="楷体_GB2312"/>
          <w:bCs/>
          <w:color w:val="auto"/>
          <w:sz w:val="48"/>
          <w:szCs w:val="48"/>
        </w:rPr>
        <w:t xml:space="preserve">本） </w:t>
      </w:r>
    </w:p>
    <w:p>
      <w:pPr>
        <w:adjustRightInd w:val="0"/>
        <w:snapToGrid w:val="0"/>
        <w:spacing w:line="288" w:lineRule="auto"/>
        <w:jc w:val="center"/>
        <w:outlineLvl w:val="0"/>
        <w:rPr>
          <w:rFonts w:ascii="华文仿宋" w:hAnsi="华文仿宋" w:eastAsia="华文仿宋" w:cs="华文仿宋"/>
          <w:color w:val="auto"/>
          <w:kern w:val="44"/>
          <w:sz w:val="44"/>
          <w:szCs w:val="44"/>
        </w:rPr>
      </w:pPr>
    </w:p>
    <w:p>
      <w:pPr>
        <w:jc w:val="center"/>
        <w:rPr>
          <w:rFonts w:eastAsia="仿宋"/>
          <w:color w:val="auto"/>
          <w:sz w:val="52"/>
          <w:szCs w:val="52"/>
        </w:rPr>
      </w:pPr>
    </w:p>
    <w:p>
      <w:pPr>
        <w:rPr>
          <w:rFonts w:eastAsia="仿宋"/>
          <w:color w:val="auto"/>
          <w:sz w:val="44"/>
          <w:szCs w:val="44"/>
        </w:rPr>
      </w:pPr>
    </w:p>
    <w:p>
      <w:pPr>
        <w:ind w:firstLine="1040"/>
        <w:rPr>
          <w:rFonts w:eastAsia="仿宋"/>
          <w:color w:val="auto"/>
          <w:sz w:val="44"/>
          <w:szCs w:val="44"/>
        </w:rPr>
      </w:pPr>
    </w:p>
    <w:p>
      <w:pPr>
        <w:adjustRightInd w:val="0"/>
        <w:snapToGrid w:val="0"/>
        <w:spacing w:line="288" w:lineRule="auto"/>
        <w:ind w:firstLine="1040"/>
        <w:rPr>
          <w:rFonts w:eastAsia="仿宋_GB2312"/>
          <w:color w:val="auto"/>
          <w:sz w:val="36"/>
          <w:szCs w:val="36"/>
          <w:u w:val="single"/>
        </w:rPr>
      </w:pPr>
      <w:r>
        <w:rPr>
          <w:rFonts w:eastAsia="仿宋_GB2312"/>
          <w:color w:val="auto"/>
          <w:sz w:val="36"/>
          <w:szCs w:val="36"/>
        </w:rPr>
        <w:t>项目名称：</w:t>
      </w:r>
      <w:r>
        <w:rPr>
          <w:rFonts w:hint="eastAsia" w:eastAsia="仿宋_GB2312"/>
          <w:color w:val="auto"/>
          <w:sz w:val="36"/>
          <w:szCs w:val="36"/>
          <w:u w:val="single"/>
        </w:rPr>
        <w:t>宠物医院建设项目</w:t>
      </w:r>
    </w:p>
    <w:p>
      <w:pPr>
        <w:adjustRightInd w:val="0"/>
        <w:snapToGrid w:val="0"/>
        <w:spacing w:line="288" w:lineRule="auto"/>
        <w:ind w:left="4317" w:leftChars="513" w:hanging="3240" w:hangingChars="900"/>
        <w:rPr>
          <w:rFonts w:eastAsia="仿宋_GB2312"/>
          <w:color w:val="auto"/>
          <w:sz w:val="36"/>
          <w:szCs w:val="36"/>
          <w:u w:val="single"/>
        </w:rPr>
      </w:pPr>
      <w:r>
        <w:rPr>
          <w:rFonts w:eastAsia="仿宋_GB2312"/>
          <w:color w:val="auto"/>
          <w:sz w:val="36"/>
          <w:szCs w:val="36"/>
        </w:rPr>
        <w:t>建设单位（盖章）：</w:t>
      </w:r>
      <w:r>
        <w:rPr>
          <w:rFonts w:hint="eastAsia" w:eastAsia="仿宋_GB2312"/>
          <w:color w:val="auto"/>
          <w:sz w:val="36"/>
          <w:szCs w:val="36"/>
          <w:u w:val="single"/>
          <w:lang w:eastAsia="zh-CN"/>
        </w:rPr>
        <w:t>广元市恒爱宠宝宠逸堂宠物医院有限责任公司</w:t>
      </w:r>
    </w:p>
    <w:p>
      <w:pPr>
        <w:adjustRightInd w:val="0"/>
        <w:snapToGrid w:val="0"/>
        <w:spacing w:line="288" w:lineRule="auto"/>
        <w:ind w:firstLine="1040"/>
        <w:rPr>
          <w:rFonts w:eastAsia="仿宋_GB2312"/>
          <w:color w:val="auto"/>
          <w:sz w:val="36"/>
          <w:szCs w:val="36"/>
          <w:u w:val="single"/>
        </w:rPr>
      </w:pPr>
      <w:r>
        <w:rPr>
          <w:rFonts w:eastAsia="仿宋_GB2312"/>
          <w:color w:val="auto"/>
          <w:sz w:val="36"/>
          <w:szCs w:val="36"/>
        </w:rPr>
        <w:t>编制日期：</w:t>
      </w:r>
      <w:r>
        <w:rPr>
          <w:rFonts w:eastAsia="仿宋_GB2312"/>
          <w:color w:val="auto"/>
          <w:sz w:val="36"/>
          <w:szCs w:val="36"/>
          <w:u w:val="single"/>
        </w:rPr>
        <w:t xml:space="preserve"> 二〇二</w:t>
      </w:r>
      <w:r>
        <w:rPr>
          <w:rFonts w:hint="eastAsia" w:eastAsia="仿宋_GB2312"/>
          <w:color w:val="auto"/>
          <w:sz w:val="36"/>
          <w:szCs w:val="36"/>
          <w:u w:val="single"/>
          <w:lang w:eastAsia="zh-CN"/>
        </w:rPr>
        <w:t>三</w:t>
      </w:r>
      <w:r>
        <w:rPr>
          <w:rFonts w:eastAsia="仿宋_GB2312"/>
          <w:color w:val="auto"/>
          <w:sz w:val="36"/>
          <w:szCs w:val="36"/>
          <w:u w:val="single"/>
        </w:rPr>
        <w:t>年</w:t>
      </w:r>
      <w:r>
        <w:rPr>
          <w:rFonts w:hint="eastAsia" w:eastAsia="仿宋_GB2312"/>
          <w:color w:val="auto"/>
          <w:sz w:val="36"/>
          <w:szCs w:val="36"/>
          <w:u w:val="single"/>
          <w:lang w:eastAsia="zh-CN"/>
        </w:rPr>
        <w:t>七</w:t>
      </w:r>
      <w:r>
        <w:rPr>
          <w:rFonts w:eastAsia="仿宋_GB2312"/>
          <w:color w:val="auto"/>
          <w:sz w:val="36"/>
          <w:szCs w:val="36"/>
          <w:u w:val="single"/>
        </w:rPr>
        <w:t xml:space="preserve">月 </w:t>
      </w:r>
    </w:p>
    <w:p>
      <w:pPr>
        <w:adjustRightInd w:val="0"/>
        <w:snapToGrid w:val="0"/>
        <w:spacing w:line="288" w:lineRule="auto"/>
        <w:ind w:firstLine="1040"/>
        <w:rPr>
          <w:rFonts w:eastAsia="仿宋_GB2312"/>
          <w:color w:val="auto"/>
          <w:sz w:val="36"/>
          <w:szCs w:val="36"/>
          <w:u w:val="single"/>
        </w:rPr>
      </w:pPr>
      <w:bookmarkStart w:id="0" w:name="_Hlk57884087"/>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bookmarkEnd w:id="0"/>
    <w:p>
      <w:pPr>
        <w:adjustRightInd w:val="0"/>
        <w:snapToGrid w:val="0"/>
        <w:spacing w:line="288" w:lineRule="auto"/>
        <w:jc w:val="center"/>
        <w:rPr>
          <w:rFonts w:eastAsia="楷体_GB2312"/>
          <w:color w:val="auto"/>
          <w:sz w:val="36"/>
          <w:szCs w:val="36"/>
        </w:rPr>
      </w:pPr>
      <w:r>
        <w:rPr>
          <w:rFonts w:eastAsia="楷体_GB2312"/>
          <w:color w:val="auto"/>
          <w:sz w:val="36"/>
          <w:szCs w:val="36"/>
        </w:rPr>
        <w:t>中华人民共和国生态环境部制</w:t>
      </w:r>
    </w:p>
    <w:p>
      <w:pPr>
        <w:adjustRightInd w:val="0"/>
        <w:snapToGrid w:val="0"/>
        <w:spacing w:line="288" w:lineRule="auto"/>
        <w:ind w:firstLine="1040"/>
        <w:rPr>
          <w:rFonts w:eastAsia="仿宋_GB2312"/>
          <w:color w:val="auto"/>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pStyle w:val="19"/>
        <w:spacing w:line="240" w:lineRule="auto"/>
        <w:ind w:firstLine="2700" w:firstLineChars="900"/>
        <w:jc w:val="both"/>
        <w:outlineLvl w:val="0"/>
        <w:rPr>
          <w:rFonts w:ascii="Times New Roman" w:hAnsi="Times New Roman" w:eastAsia="黑体"/>
          <w:snapToGrid w:val="0"/>
          <w:color w:val="auto"/>
          <w:sz w:val="30"/>
          <w:szCs w:val="30"/>
        </w:rPr>
      </w:pPr>
      <w:r>
        <w:rPr>
          <w:rFonts w:ascii="Times New Roman" w:hAnsi="Times New Roman" w:eastAsia="黑体"/>
          <w:snapToGrid w:val="0"/>
          <w:color w:val="auto"/>
          <w:sz w:val="30"/>
          <w:szCs w:val="30"/>
        </w:rPr>
        <w:t>一、建设项目基本情况</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668"/>
        <w:gridCol w:w="2700"/>
        <w:gridCol w:w="1863"/>
        <w:gridCol w:w="262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建设项目名称</w:t>
            </w:r>
          </w:p>
        </w:tc>
        <w:tc>
          <w:tcPr>
            <w:tcW w:w="7191" w:type="dxa"/>
            <w:gridSpan w:val="3"/>
            <w:noWrap/>
            <w:vAlign w:val="center"/>
          </w:tcPr>
          <w:p>
            <w:pPr>
              <w:adjustRightInd w:val="0"/>
              <w:snapToGrid w:val="0"/>
              <w:jc w:val="center"/>
              <w:rPr>
                <w:color w:val="auto"/>
                <w:szCs w:val="21"/>
              </w:rPr>
            </w:pPr>
            <w:r>
              <w:rPr>
                <w:rFonts w:hint="eastAsia"/>
                <w:color w:val="auto"/>
                <w:szCs w:val="21"/>
              </w:rPr>
              <w:t>宠物医院建设项目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项目代码</w:t>
            </w:r>
          </w:p>
        </w:tc>
        <w:tc>
          <w:tcPr>
            <w:tcW w:w="7191" w:type="dxa"/>
            <w:gridSpan w:val="3"/>
            <w:noWrap/>
            <w:vAlign w:val="center"/>
          </w:tcPr>
          <w:p>
            <w:pPr>
              <w:adjustRightInd w:val="0"/>
              <w:snapToGrid w:val="0"/>
              <w:jc w:val="center"/>
              <w:rPr>
                <w:rFonts w:hint="default" w:eastAsia="宋体"/>
                <w:color w:val="auto"/>
                <w:szCs w:val="21"/>
                <w:lang w:val="en-US" w:eastAsia="zh-CN"/>
              </w:rPr>
            </w:pPr>
            <w:r>
              <w:rPr>
                <w:rFonts w:hint="eastAsia"/>
                <w:color w:val="auto"/>
                <w:szCs w:val="21"/>
                <w:lang w:val="en-US" w:eastAsia="zh-CN"/>
              </w:rPr>
              <w:t>川投资备【2307-510824-04-01-241246】FGQB-0217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建设单位联系人</w:t>
            </w:r>
          </w:p>
        </w:tc>
        <w:tc>
          <w:tcPr>
            <w:tcW w:w="2700" w:type="dxa"/>
            <w:noWrap/>
            <w:vAlign w:val="center"/>
          </w:tcPr>
          <w:p>
            <w:pPr>
              <w:adjustRightInd w:val="0"/>
              <w:snapToGrid w:val="0"/>
              <w:jc w:val="center"/>
              <w:rPr>
                <w:color w:val="auto"/>
                <w:szCs w:val="21"/>
              </w:rPr>
            </w:pPr>
            <w:r>
              <w:rPr>
                <w:rFonts w:hint="eastAsia"/>
                <w:color w:val="auto"/>
                <w:szCs w:val="21"/>
              </w:rPr>
              <w:t>杜昊</w:t>
            </w:r>
          </w:p>
        </w:tc>
        <w:tc>
          <w:tcPr>
            <w:tcW w:w="1863" w:type="dxa"/>
            <w:noWrap/>
            <w:vAlign w:val="center"/>
          </w:tcPr>
          <w:p>
            <w:pPr>
              <w:adjustRightInd w:val="0"/>
              <w:snapToGrid w:val="0"/>
              <w:jc w:val="center"/>
              <w:rPr>
                <w:color w:val="auto"/>
                <w:szCs w:val="21"/>
              </w:rPr>
            </w:pPr>
            <w:r>
              <w:rPr>
                <w:color w:val="auto"/>
                <w:szCs w:val="21"/>
              </w:rPr>
              <w:t>联系方式</w:t>
            </w:r>
          </w:p>
        </w:tc>
        <w:tc>
          <w:tcPr>
            <w:tcW w:w="2628" w:type="dxa"/>
            <w:noWrap/>
            <w:vAlign w:val="center"/>
          </w:tcPr>
          <w:p>
            <w:pPr>
              <w:adjustRightInd w:val="0"/>
              <w:snapToGrid w:val="0"/>
              <w:rPr>
                <w:rFonts w:hint="default" w:eastAsia="宋体"/>
                <w:color w:val="auto"/>
                <w:szCs w:val="21"/>
                <w:lang w:val="en-US" w:eastAsia="zh-CN"/>
              </w:rPr>
            </w:pPr>
            <w:r>
              <w:rPr>
                <w:rFonts w:hint="eastAsia"/>
                <w:color w:val="auto"/>
                <w:szCs w:val="21"/>
              </w:rPr>
              <w:t xml:space="preserve">     </w:t>
            </w:r>
            <w:r>
              <w:rPr>
                <w:rFonts w:hint="eastAsia"/>
                <w:color w:val="auto"/>
                <w:szCs w:val="21"/>
                <w:lang w:val="en-US" w:eastAsia="zh-CN"/>
              </w:rPr>
              <w:t>0839（3366331</w:t>
            </w:r>
            <w:bookmarkStart w:id="16" w:name="_GoBack"/>
            <w:bookmarkEnd w:id="16"/>
            <w:r>
              <w:rPr>
                <w:rFonts w:hint="eastAsia"/>
                <w:color w:val="auto"/>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建设地点</w:t>
            </w:r>
          </w:p>
        </w:tc>
        <w:tc>
          <w:tcPr>
            <w:tcW w:w="7191" w:type="dxa"/>
            <w:gridSpan w:val="3"/>
            <w:noWrap/>
            <w:vAlign w:val="center"/>
          </w:tcPr>
          <w:p>
            <w:pPr>
              <w:adjustRightInd w:val="0"/>
              <w:snapToGrid w:val="0"/>
              <w:jc w:val="center"/>
              <w:rPr>
                <w:color w:val="auto"/>
                <w:szCs w:val="21"/>
              </w:rPr>
            </w:pPr>
            <w:r>
              <w:rPr>
                <w:color w:val="auto"/>
                <w:szCs w:val="21"/>
                <w:u w:val="single"/>
              </w:rPr>
              <w:t>四川</w:t>
            </w:r>
            <w:r>
              <w:rPr>
                <w:color w:val="auto"/>
                <w:szCs w:val="21"/>
              </w:rPr>
              <w:t>省</w:t>
            </w:r>
            <w:r>
              <w:rPr>
                <w:color w:val="auto"/>
                <w:szCs w:val="21"/>
                <w:u w:val="single"/>
              </w:rPr>
              <w:t>广元</w:t>
            </w:r>
            <w:r>
              <w:rPr>
                <w:color w:val="auto"/>
                <w:szCs w:val="21"/>
              </w:rPr>
              <w:t>市</w:t>
            </w:r>
            <w:r>
              <w:rPr>
                <w:rFonts w:hint="eastAsia"/>
                <w:color w:val="auto"/>
                <w:szCs w:val="21"/>
                <w:u w:val="single"/>
                <w:lang w:eastAsia="zh-CN"/>
              </w:rPr>
              <w:t>苍溪</w:t>
            </w:r>
            <w:r>
              <w:rPr>
                <w:rFonts w:hint="eastAsia"/>
                <w:color w:val="auto"/>
                <w:szCs w:val="21"/>
                <w:lang w:eastAsia="zh-CN"/>
              </w:rPr>
              <w:t>县</w:t>
            </w:r>
            <w:r>
              <w:rPr>
                <w:rFonts w:hint="eastAsia"/>
                <w:color w:val="auto"/>
                <w:szCs w:val="21"/>
                <w:u w:val="single"/>
                <w:lang w:eastAsia="zh-CN"/>
              </w:rPr>
              <w:t>陵江</w:t>
            </w:r>
            <w:r>
              <w:rPr>
                <w:rFonts w:hint="eastAsia"/>
                <w:color w:val="auto"/>
                <w:szCs w:val="21"/>
                <w:lang w:eastAsia="zh-CN"/>
              </w:rPr>
              <w:t>镇</w:t>
            </w:r>
            <w:r>
              <w:rPr>
                <w:rFonts w:hint="eastAsia"/>
                <w:color w:val="auto"/>
                <w:szCs w:val="21"/>
                <w:u w:val="single"/>
                <w:lang w:eastAsia="zh-CN"/>
              </w:rPr>
              <w:t>江南二环路</w:t>
            </w:r>
            <w:r>
              <w:rPr>
                <w:rFonts w:hint="eastAsia"/>
                <w:color w:val="auto"/>
                <w:szCs w:val="21"/>
                <w:u w:val="single"/>
                <w:lang w:val="en-US" w:eastAsia="zh-CN"/>
              </w:rPr>
              <w:t>1栋1单元1-3号</w:t>
            </w:r>
            <w:r>
              <w:rPr>
                <w:color w:val="auto"/>
                <w:szCs w:val="21"/>
              </w:rPr>
              <w:t>（具体地址）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地理坐标</w:t>
            </w:r>
          </w:p>
        </w:tc>
        <w:tc>
          <w:tcPr>
            <w:tcW w:w="7191" w:type="dxa"/>
            <w:gridSpan w:val="3"/>
            <w:noWrap/>
            <w:vAlign w:val="center"/>
          </w:tcPr>
          <w:p>
            <w:pPr>
              <w:jc w:val="center"/>
              <w:rPr>
                <w:color w:val="auto"/>
                <w:szCs w:val="21"/>
              </w:rPr>
            </w:pPr>
            <w:r>
              <w:rPr>
                <w:color w:val="auto"/>
                <w:szCs w:val="21"/>
              </w:rPr>
              <w:t>（</w:t>
            </w:r>
            <w:r>
              <w:rPr>
                <w:color w:val="auto"/>
                <w:szCs w:val="21"/>
                <w:u w:val="single"/>
              </w:rPr>
              <w:t>10</w:t>
            </w:r>
            <w:r>
              <w:rPr>
                <w:rFonts w:hint="eastAsia"/>
                <w:color w:val="auto"/>
                <w:szCs w:val="21"/>
                <w:u w:val="single"/>
              </w:rPr>
              <w:t>5</w:t>
            </w:r>
            <w:r>
              <w:rPr>
                <w:color w:val="auto"/>
                <w:szCs w:val="21"/>
              </w:rPr>
              <w:t>度</w:t>
            </w:r>
            <w:r>
              <w:rPr>
                <w:rFonts w:hint="eastAsia"/>
                <w:color w:val="auto"/>
                <w:szCs w:val="21"/>
                <w:u w:val="single"/>
              </w:rPr>
              <w:t>5</w:t>
            </w:r>
            <w:r>
              <w:rPr>
                <w:rFonts w:hint="eastAsia"/>
                <w:color w:val="auto"/>
                <w:szCs w:val="21"/>
                <w:u w:val="single"/>
                <w:lang w:val="en-US" w:eastAsia="zh-CN"/>
              </w:rPr>
              <w:t>6</w:t>
            </w:r>
            <w:r>
              <w:rPr>
                <w:color w:val="auto"/>
                <w:szCs w:val="21"/>
              </w:rPr>
              <w:t>分</w:t>
            </w:r>
            <w:r>
              <w:rPr>
                <w:rFonts w:hint="eastAsia"/>
                <w:color w:val="auto"/>
                <w:szCs w:val="21"/>
                <w:u w:val="single"/>
                <w:lang w:val="en-US" w:eastAsia="zh-CN"/>
              </w:rPr>
              <w:t>39</w:t>
            </w:r>
            <w:r>
              <w:rPr>
                <w:color w:val="auto"/>
                <w:szCs w:val="21"/>
              </w:rPr>
              <w:t>秒，</w:t>
            </w:r>
            <w:r>
              <w:rPr>
                <w:color w:val="auto"/>
                <w:szCs w:val="21"/>
                <w:u w:val="single"/>
              </w:rPr>
              <w:t>3</w:t>
            </w:r>
            <w:r>
              <w:rPr>
                <w:rFonts w:hint="eastAsia"/>
                <w:color w:val="auto"/>
                <w:szCs w:val="21"/>
                <w:u w:val="single"/>
                <w:lang w:val="en-US" w:eastAsia="zh-CN"/>
              </w:rPr>
              <w:t>1</w:t>
            </w:r>
            <w:r>
              <w:rPr>
                <w:color w:val="auto"/>
                <w:szCs w:val="21"/>
              </w:rPr>
              <w:t>度</w:t>
            </w:r>
            <w:r>
              <w:rPr>
                <w:rFonts w:hint="eastAsia"/>
                <w:color w:val="auto"/>
                <w:szCs w:val="21"/>
                <w:u w:val="single"/>
                <w:lang w:val="en-US" w:eastAsia="zh-CN"/>
              </w:rPr>
              <w:t>43</w:t>
            </w:r>
            <w:r>
              <w:rPr>
                <w:color w:val="auto"/>
                <w:szCs w:val="21"/>
              </w:rPr>
              <w:t>分</w:t>
            </w:r>
            <w:r>
              <w:rPr>
                <w:rFonts w:hint="eastAsia"/>
                <w:color w:val="auto"/>
                <w:szCs w:val="21"/>
                <w:u w:val="single"/>
                <w:lang w:val="en-US" w:eastAsia="zh-CN"/>
              </w:rPr>
              <w:t>47</w:t>
            </w:r>
            <w:r>
              <w:rPr>
                <w:color w:val="auto"/>
                <w:szCs w:val="21"/>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国民经济</w:t>
            </w:r>
          </w:p>
          <w:p>
            <w:pPr>
              <w:adjustRightInd w:val="0"/>
              <w:snapToGrid w:val="0"/>
              <w:jc w:val="center"/>
              <w:rPr>
                <w:color w:val="auto"/>
                <w:szCs w:val="21"/>
              </w:rPr>
            </w:pPr>
            <w:r>
              <w:rPr>
                <w:color w:val="auto"/>
                <w:szCs w:val="21"/>
              </w:rPr>
              <w:t>行业类别</w:t>
            </w:r>
          </w:p>
        </w:tc>
        <w:tc>
          <w:tcPr>
            <w:tcW w:w="2700" w:type="dxa"/>
            <w:noWrap/>
            <w:vAlign w:val="center"/>
          </w:tcPr>
          <w:p>
            <w:pPr>
              <w:adjustRightInd w:val="0"/>
              <w:snapToGrid w:val="0"/>
              <w:jc w:val="center"/>
              <w:rPr>
                <w:color w:val="auto"/>
                <w:szCs w:val="21"/>
              </w:rPr>
            </w:pPr>
            <w:r>
              <w:rPr>
                <w:rFonts w:hint="eastAsia"/>
                <w:color w:val="auto"/>
                <w:szCs w:val="21"/>
              </w:rPr>
              <w:t>O8222宠物医院服务</w:t>
            </w:r>
          </w:p>
        </w:tc>
        <w:tc>
          <w:tcPr>
            <w:tcW w:w="1863" w:type="dxa"/>
            <w:noWrap/>
            <w:vAlign w:val="center"/>
          </w:tcPr>
          <w:p>
            <w:pPr>
              <w:adjustRightInd w:val="0"/>
              <w:snapToGrid w:val="0"/>
              <w:jc w:val="center"/>
              <w:rPr>
                <w:color w:val="auto"/>
                <w:szCs w:val="21"/>
              </w:rPr>
            </w:pPr>
            <w:bookmarkStart w:id="1" w:name="_Hlk49843745"/>
            <w:r>
              <w:rPr>
                <w:color w:val="auto"/>
                <w:szCs w:val="21"/>
              </w:rPr>
              <w:t>建设项目</w:t>
            </w:r>
          </w:p>
          <w:p>
            <w:pPr>
              <w:adjustRightInd w:val="0"/>
              <w:snapToGrid w:val="0"/>
              <w:jc w:val="center"/>
              <w:rPr>
                <w:color w:val="auto"/>
                <w:szCs w:val="21"/>
              </w:rPr>
            </w:pPr>
            <w:r>
              <w:rPr>
                <w:color w:val="auto"/>
                <w:szCs w:val="21"/>
              </w:rPr>
              <w:t>行业类别</w:t>
            </w:r>
            <w:bookmarkEnd w:id="1"/>
          </w:p>
        </w:tc>
        <w:tc>
          <w:tcPr>
            <w:tcW w:w="2628" w:type="dxa"/>
            <w:noWrap/>
            <w:vAlign w:val="center"/>
          </w:tcPr>
          <w:p>
            <w:pPr>
              <w:adjustRightInd w:val="0"/>
              <w:snapToGrid w:val="0"/>
              <w:rPr>
                <w:color w:val="auto"/>
                <w:szCs w:val="21"/>
              </w:rPr>
            </w:pPr>
            <w:r>
              <w:rPr>
                <w:rFonts w:hint="eastAsia"/>
                <w:color w:val="auto"/>
                <w:szCs w:val="21"/>
              </w:rPr>
              <w:t>“五十</w:t>
            </w:r>
            <w:r>
              <w:rPr>
                <w:color w:val="auto"/>
                <w:szCs w:val="21"/>
              </w:rPr>
              <w:t>、</w:t>
            </w:r>
            <w:r>
              <w:rPr>
                <w:rFonts w:hint="eastAsia"/>
                <w:color w:val="auto"/>
                <w:szCs w:val="21"/>
              </w:rPr>
              <w:t>社会事业与服务业”</w:t>
            </w:r>
            <w:r>
              <w:rPr>
                <w:color w:val="auto"/>
                <w:szCs w:val="21"/>
              </w:rPr>
              <w:t>其中的</w:t>
            </w:r>
            <w:r>
              <w:rPr>
                <w:rFonts w:hint="eastAsia"/>
                <w:color w:val="auto"/>
                <w:szCs w:val="21"/>
              </w:rPr>
              <w:t>“</w:t>
            </w:r>
            <w:r>
              <w:rPr>
                <w:color w:val="auto"/>
                <w:szCs w:val="21"/>
              </w:rPr>
              <w:t>1</w:t>
            </w:r>
            <w:r>
              <w:rPr>
                <w:rFonts w:hint="eastAsia"/>
                <w:color w:val="auto"/>
                <w:szCs w:val="21"/>
              </w:rPr>
              <w:t>23 动物医院”</w:t>
            </w:r>
            <w:r>
              <w:rPr>
                <w:color w:val="auto"/>
                <w:szCs w:val="21"/>
              </w:rPr>
              <w:t>的</w:t>
            </w:r>
            <w:r>
              <w:rPr>
                <w:rFonts w:hint="eastAsia"/>
                <w:color w:val="auto"/>
                <w:szCs w:val="21"/>
              </w:rPr>
              <w:t>“设有动物颅腔、胸腔或腹腔手术设施的”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建设性质</w:t>
            </w:r>
          </w:p>
        </w:tc>
        <w:tc>
          <w:tcPr>
            <w:tcW w:w="2700" w:type="dxa"/>
            <w:noWrap/>
            <w:vAlign w:val="center"/>
          </w:tcPr>
          <w:p>
            <w:pPr>
              <w:jc w:val="left"/>
              <w:rPr>
                <w:color w:val="auto"/>
                <w:szCs w:val="21"/>
              </w:rPr>
            </w:pPr>
            <w:r>
              <w:rPr>
                <w:rFonts w:hint="eastAsia"/>
                <w:color w:val="auto"/>
                <w:szCs w:val="21"/>
              </w:rPr>
              <w:t>☑</w:t>
            </w:r>
            <w:r>
              <w:rPr>
                <w:color w:val="auto"/>
                <w:szCs w:val="21"/>
              </w:rPr>
              <w:t>新建（迁建）</w:t>
            </w:r>
          </w:p>
          <w:p>
            <w:pPr>
              <w:jc w:val="left"/>
              <w:rPr>
                <w:color w:val="auto"/>
                <w:szCs w:val="21"/>
              </w:rPr>
            </w:pPr>
            <w:r>
              <w:rPr>
                <w:rFonts w:hint="eastAsia"/>
                <w:color w:val="auto"/>
                <w:szCs w:val="21"/>
              </w:rPr>
              <w:t>□</w:t>
            </w:r>
            <w:r>
              <w:rPr>
                <w:color w:val="auto"/>
                <w:szCs w:val="21"/>
              </w:rPr>
              <w:t>改建</w:t>
            </w:r>
          </w:p>
          <w:p>
            <w:pPr>
              <w:jc w:val="left"/>
              <w:rPr>
                <w:color w:val="auto"/>
                <w:szCs w:val="21"/>
              </w:rPr>
            </w:pPr>
            <w:r>
              <w:rPr>
                <w:rFonts w:hint="eastAsia"/>
                <w:color w:val="auto"/>
                <w:szCs w:val="21"/>
              </w:rPr>
              <w:t>□</w:t>
            </w:r>
            <w:r>
              <w:rPr>
                <w:color w:val="auto"/>
                <w:szCs w:val="21"/>
              </w:rPr>
              <w:t>扩建</w:t>
            </w:r>
          </w:p>
          <w:p>
            <w:pPr>
              <w:jc w:val="left"/>
              <w:rPr>
                <w:color w:val="auto"/>
                <w:szCs w:val="21"/>
              </w:rPr>
            </w:pPr>
            <w:r>
              <w:rPr>
                <w:rFonts w:hint="eastAsia"/>
                <w:color w:val="auto"/>
                <w:szCs w:val="21"/>
              </w:rPr>
              <w:t>□</w:t>
            </w:r>
            <w:r>
              <w:rPr>
                <w:color w:val="auto"/>
                <w:szCs w:val="21"/>
              </w:rPr>
              <w:t>技术改造</w:t>
            </w:r>
          </w:p>
        </w:tc>
        <w:tc>
          <w:tcPr>
            <w:tcW w:w="1863" w:type="dxa"/>
            <w:noWrap/>
            <w:vAlign w:val="center"/>
          </w:tcPr>
          <w:p>
            <w:pPr>
              <w:adjustRightInd w:val="0"/>
              <w:snapToGrid w:val="0"/>
              <w:jc w:val="center"/>
              <w:rPr>
                <w:color w:val="auto"/>
                <w:szCs w:val="21"/>
              </w:rPr>
            </w:pPr>
            <w:r>
              <w:rPr>
                <w:color w:val="auto"/>
                <w:szCs w:val="21"/>
              </w:rPr>
              <w:t>建设项目</w:t>
            </w:r>
          </w:p>
          <w:p>
            <w:pPr>
              <w:adjustRightInd w:val="0"/>
              <w:snapToGrid w:val="0"/>
              <w:jc w:val="center"/>
              <w:rPr>
                <w:color w:val="auto"/>
                <w:szCs w:val="21"/>
              </w:rPr>
            </w:pPr>
            <w:r>
              <w:rPr>
                <w:color w:val="auto"/>
                <w:szCs w:val="21"/>
              </w:rPr>
              <w:t>申报情形</w:t>
            </w:r>
          </w:p>
        </w:tc>
        <w:tc>
          <w:tcPr>
            <w:tcW w:w="2628" w:type="dxa"/>
            <w:noWrap/>
            <w:vAlign w:val="center"/>
          </w:tcPr>
          <w:p>
            <w:pPr>
              <w:jc w:val="left"/>
              <w:rPr>
                <w:color w:val="auto"/>
                <w:szCs w:val="21"/>
              </w:rPr>
            </w:pPr>
            <w:r>
              <w:rPr>
                <w:color w:val="auto"/>
                <w:szCs w:val="21"/>
              </w:rPr>
              <w:t xml:space="preserve">☑首次申报项目             </w:t>
            </w:r>
          </w:p>
          <w:p>
            <w:pPr>
              <w:jc w:val="left"/>
              <w:rPr>
                <w:color w:val="auto"/>
                <w:szCs w:val="21"/>
              </w:rPr>
            </w:pPr>
            <w:r>
              <w:rPr>
                <w:color w:val="auto"/>
                <w:szCs w:val="21"/>
              </w:rPr>
              <w:t>□不予批准后再次申报项目</w:t>
            </w:r>
          </w:p>
          <w:p>
            <w:pPr>
              <w:jc w:val="left"/>
              <w:rPr>
                <w:color w:val="auto"/>
                <w:szCs w:val="21"/>
              </w:rPr>
            </w:pPr>
            <w:r>
              <w:rPr>
                <w:color w:val="auto"/>
                <w:szCs w:val="21"/>
              </w:rPr>
              <w:t xml:space="preserve">□超五年重新审核项目     </w:t>
            </w:r>
          </w:p>
          <w:p>
            <w:pPr>
              <w:jc w:val="left"/>
              <w:rPr>
                <w:color w:val="auto"/>
                <w:szCs w:val="21"/>
              </w:rPr>
            </w:pPr>
            <w:r>
              <w:rPr>
                <w:color w:val="auto"/>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项目审批（核准/</w:t>
            </w:r>
          </w:p>
          <w:p>
            <w:pPr>
              <w:adjustRightInd w:val="0"/>
              <w:snapToGrid w:val="0"/>
              <w:jc w:val="center"/>
              <w:rPr>
                <w:color w:val="auto"/>
                <w:szCs w:val="21"/>
              </w:rPr>
            </w:pPr>
            <w:r>
              <w:rPr>
                <w:color w:val="auto"/>
                <w:szCs w:val="21"/>
              </w:rPr>
              <w:t>备案）部门（选填）</w:t>
            </w:r>
          </w:p>
        </w:tc>
        <w:tc>
          <w:tcPr>
            <w:tcW w:w="2700" w:type="dxa"/>
            <w:noWrap/>
            <w:vAlign w:val="center"/>
          </w:tcPr>
          <w:p>
            <w:pPr>
              <w:adjustRightInd w:val="0"/>
              <w:snapToGrid w:val="0"/>
              <w:jc w:val="center"/>
              <w:rPr>
                <w:rFonts w:hint="eastAsia" w:eastAsia="宋体"/>
                <w:color w:val="auto"/>
                <w:szCs w:val="21"/>
                <w:lang w:eastAsia="zh-CN"/>
              </w:rPr>
            </w:pPr>
            <w:r>
              <w:rPr>
                <w:rFonts w:hint="eastAsia"/>
                <w:color w:val="auto"/>
                <w:szCs w:val="21"/>
                <w:lang w:eastAsia="zh-CN"/>
              </w:rPr>
              <w:t>苍溪县发展和改革局</w:t>
            </w:r>
          </w:p>
        </w:tc>
        <w:tc>
          <w:tcPr>
            <w:tcW w:w="1863" w:type="dxa"/>
            <w:noWrap/>
            <w:vAlign w:val="center"/>
          </w:tcPr>
          <w:p>
            <w:pPr>
              <w:adjustRightInd w:val="0"/>
              <w:snapToGrid w:val="0"/>
              <w:jc w:val="center"/>
              <w:rPr>
                <w:color w:val="auto"/>
                <w:szCs w:val="21"/>
              </w:rPr>
            </w:pPr>
            <w:r>
              <w:rPr>
                <w:color w:val="auto"/>
                <w:szCs w:val="21"/>
              </w:rPr>
              <w:t>项目审批（核准/</w:t>
            </w:r>
          </w:p>
          <w:p>
            <w:pPr>
              <w:adjustRightInd w:val="0"/>
              <w:snapToGrid w:val="0"/>
              <w:jc w:val="center"/>
              <w:rPr>
                <w:color w:val="auto"/>
                <w:szCs w:val="21"/>
              </w:rPr>
            </w:pPr>
            <w:r>
              <w:rPr>
                <w:color w:val="auto"/>
                <w:szCs w:val="21"/>
              </w:rPr>
              <w:t>备案）文号（选填）</w:t>
            </w:r>
          </w:p>
        </w:tc>
        <w:tc>
          <w:tcPr>
            <w:tcW w:w="2628" w:type="dxa"/>
            <w:noWrap/>
            <w:vAlign w:val="center"/>
          </w:tcPr>
          <w:p>
            <w:pPr>
              <w:adjustRightInd w:val="0"/>
              <w:snapToGrid w:val="0"/>
              <w:jc w:val="center"/>
              <w:rPr>
                <w:color w:val="auto"/>
                <w:szCs w:val="21"/>
              </w:rPr>
            </w:pPr>
            <w:r>
              <w:rPr>
                <w:rFonts w:hint="eastAsia"/>
                <w:color w:val="auto"/>
                <w:szCs w:val="21"/>
                <w:lang w:val="en-US" w:eastAsia="zh-CN"/>
              </w:rPr>
              <w:t>川投资备【2307-510824-04-01-241246】FGQB-0217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总投资（万元）</w:t>
            </w:r>
          </w:p>
        </w:tc>
        <w:tc>
          <w:tcPr>
            <w:tcW w:w="2700" w:type="dxa"/>
            <w:noWrap/>
            <w:vAlign w:val="center"/>
          </w:tcPr>
          <w:p>
            <w:pPr>
              <w:adjustRightInd w:val="0"/>
              <w:snapToGrid w:val="0"/>
              <w:jc w:val="center"/>
              <w:rPr>
                <w:color w:val="auto"/>
                <w:szCs w:val="21"/>
              </w:rPr>
            </w:pPr>
            <w:r>
              <w:rPr>
                <w:rFonts w:hint="eastAsia"/>
                <w:color w:val="auto"/>
                <w:szCs w:val="21"/>
              </w:rPr>
              <w:t>60</w:t>
            </w:r>
          </w:p>
        </w:tc>
        <w:tc>
          <w:tcPr>
            <w:tcW w:w="1863" w:type="dxa"/>
            <w:noWrap/>
            <w:tcMar>
              <w:top w:w="16" w:type="dxa"/>
              <w:left w:w="16" w:type="dxa"/>
              <w:right w:w="16" w:type="dxa"/>
            </w:tcMar>
            <w:vAlign w:val="center"/>
          </w:tcPr>
          <w:p>
            <w:pPr>
              <w:adjustRightInd w:val="0"/>
              <w:snapToGrid w:val="0"/>
              <w:jc w:val="center"/>
              <w:rPr>
                <w:color w:val="auto"/>
                <w:szCs w:val="21"/>
              </w:rPr>
            </w:pPr>
            <w:r>
              <w:rPr>
                <w:color w:val="auto"/>
                <w:szCs w:val="21"/>
              </w:rPr>
              <w:t>环保投资（万元）</w:t>
            </w:r>
          </w:p>
        </w:tc>
        <w:tc>
          <w:tcPr>
            <w:tcW w:w="2628" w:type="dxa"/>
            <w:noWrap/>
            <w:vAlign w:val="center"/>
          </w:tcPr>
          <w:p>
            <w:pPr>
              <w:adjustRightInd w:val="0"/>
              <w:snapToGrid w:val="0"/>
              <w:jc w:val="center"/>
              <w:rPr>
                <w:color w:val="auto"/>
                <w:szCs w:val="21"/>
              </w:rPr>
            </w:pPr>
            <w:r>
              <w:rPr>
                <w:rFonts w:hint="eastAsia"/>
                <w:color w:val="auto"/>
                <w:szCs w:val="21"/>
              </w:rPr>
              <w:t>21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环保投资占比（%）</w:t>
            </w:r>
          </w:p>
        </w:tc>
        <w:tc>
          <w:tcPr>
            <w:tcW w:w="2700" w:type="dxa"/>
            <w:noWrap/>
            <w:vAlign w:val="center"/>
          </w:tcPr>
          <w:p>
            <w:pPr>
              <w:adjustRightInd w:val="0"/>
              <w:snapToGrid w:val="0"/>
              <w:jc w:val="center"/>
              <w:rPr>
                <w:color w:val="auto"/>
                <w:szCs w:val="21"/>
              </w:rPr>
            </w:pPr>
            <w:r>
              <w:rPr>
                <w:rFonts w:hint="eastAsia"/>
                <w:color w:val="auto"/>
                <w:szCs w:val="21"/>
              </w:rPr>
              <w:t>35</w:t>
            </w:r>
          </w:p>
        </w:tc>
        <w:tc>
          <w:tcPr>
            <w:tcW w:w="1863" w:type="dxa"/>
            <w:noWrap/>
            <w:tcMar>
              <w:top w:w="16" w:type="dxa"/>
              <w:left w:w="16" w:type="dxa"/>
              <w:right w:w="16" w:type="dxa"/>
            </w:tcMar>
            <w:vAlign w:val="center"/>
          </w:tcPr>
          <w:p>
            <w:pPr>
              <w:adjustRightInd w:val="0"/>
              <w:snapToGrid w:val="0"/>
              <w:jc w:val="center"/>
              <w:rPr>
                <w:color w:val="auto"/>
                <w:szCs w:val="21"/>
              </w:rPr>
            </w:pPr>
            <w:r>
              <w:rPr>
                <w:color w:val="auto"/>
                <w:szCs w:val="21"/>
              </w:rPr>
              <w:t>施工工期</w:t>
            </w:r>
          </w:p>
        </w:tc>
        <w:tc>
          <w:tcPr>
            <w:tcW w:w="2628" w:type="dxa"/>
            <w:noWrap/>
            <w:vAlign w:val="center"/>
          </w:tcPr>
          <w:p>
            <w:pPr>
              <w:adjustRightInd w:val="0"/>
              <w:snapToGrid w:val="0"/>
              <w:jc w:val="center"/>
              <w:rPr>
                <w:color w:val="auto"/>
                <w:szCs w:val="21"/>
              </w:rPr>
            </w:pPr>
            <w:r>
              <w:rPr>
                <w:rFonts w:hint="eastAsia"/>
                <w:color w:val="auto"/>
                <w:szCs w:val="21"/>
              </w:rPr>
              <w:t>202</w:t>
            </w:r>
            <w:r>
              <w:rPr>
                <w:rFonts w:hint="eastAsia"/>
                <w:color w:val="auto"/>
                <w:szCs w:val="21"/>
                <w:lang w:val="en-US" w:eastAsia="zh-CN"/>
              </w:rPr>
              <w:t>3</w:t>
            </w:r>
            <w:r>
              <w:rPr>
                <w:rFonts w:hint="eastAsia"/>
                <w:color w:val="auto"/>
                <w:szCs w:val="21"/>
              </w:rPr>
              <w:t>.0</w:t>
            </w:r>
            <w:r>
              <w:rPr>
                <w:rFonts w:hint="eastAsia"/>
                <w:color w:val="auto"/>
                <w:szCs w:val="21"/>
                <w:lang w:val="en-US" w:eastAsia="zh-CN"/>
              </w:rPr>
              <w:t>8</w:t>
            </w:r>
            <w:r>
              <w:rPr>
                <w:rFonts w:hint="eastAsia"/>
                <w:color w:val="auto"/>
                <w:szCs w:val="21"/>
              </w:rPr>
              <w:t>~202</w:t>
            </w:r>
            <w:r>
              <w:rPr>
                <w:rFonts w:hint="eastAsia"/>
                <w:color w:val="auto"/>
                <w:szCs w:val="21"/>
                <w:lang w:val="en-US" w:eastAsia="zh-CN"/>
              </w:rPr>
              <w:t>3</w:t>
            </w:r>
            <w:r>
              <w:rPr>
                <w:rFonts w:hint="eastAsia"/>
                <w:color w:val="auto"/>
                <w:szCs w:val="21"/>
              </w:rPr>
              <w:t>.0</w:t>
            </w:r>
            <w:r>
              <w:rPr>
                <w:rFonts w:hint="eastAsia"/>
                <w:color w:val="auto"/>
                <w:szCs w:val="21"/>
                <w:lang w:val="en-US" w:eastAsia="zh-CN"/>
              </w:rPr>
              <w:t>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668" w:type="dxa"/>
            <w:noWrap/>
            <w:tcMar>
              <w:top w:w="16" w:type="dxa"/>
              <w:left w:w="16" w:type="dxa"/>
              <w:right w:w="16" w:type="dxa"/>
            </w:tcMar>
            <w:vAlign w:val="center"/>
          </w:tcPr>
          <w:p>
            <w:pPr>
              <w:adjustRightInd w:val="0"/>
              <w:snapToGrid w:val="0"/>
              <w:jc w:val="center"/>
              <w:rPr>
                <w:color w:val="auto"/>
                <w:szCs w:val="21"/>
              </w:rPr>
            </w:pPr>
            <w:r>
              <w:rPr>
                <w:color w:val="auto"/>
                <w:szCs w:val="21"/>
              </w:rPr>
              <w:t>是否开工建设</w:t>
            </w:r>
          </w:p>
        </w:tc>
        <w:tc>
          <w:tcPr>
            <w:tcW w:w="2700" w:type="dxa"/>
            <w:noWrap/>
            <w:vAlign w:val="center"/>
          </w:tcPr>
          <w:p>
            <w:pPr>
              <w:adjustRightInd w:val="0"/>
              <w:snapToGrid w:val="0"/>
              <w:rPr>
                <w:color w:val="auto"/>
              </w:rPr>
            </w:pPr>
            <w:r>
              <w:rPr>
                <w:rFonts w:hint="eastAsia"/>
                <w:color w:val="auto"/>
                <w:lang w:eastAsia="zh-CN"/>
              </w:rPr>
              <w:t>☑</w:t>
            </w:r>
            <w:r>
              <w:rPr>
                <w:color w:val="auto"/>
              </w:rPr>
              <w:t>否</w:t>
            </w:r>
          </w:p>
          <w:p>
            <w:pPr>
              <w:adjustRightInd w:val="0"/>
              <w:snapToGrid w:val="0"/>
              <w:rPr>
                <w:color w:val="auto"/>
                <w:szCs w:val="21"/>
              </w:rPr>
            </w:pPr>
            <w:r>
              <w:rPr>
                <w:rFonts w:hint="eastAsia" w:ascii="MS Mincho" w:hAnsi="MS Mincho" w:eastAsia="宋体" w:cs="MS Mincho"/>
                <w:color w:val="auto"/>
                <w:lang w:eastAsia="zh-CN"/>
              </w:rPr>
              <w:t>□</w:t>
            </w:r>
            <w:r>
              <w:rPr>
                <w:color w:val="auto"/>
              </w:rPr>
              <w:t>是：</w:t>
            </w:r>
          </w:p>
        </w:tc>
        <w:tc>
          <w:tcPr>
            <w:tcW w:w="1863" w:type="dxa"/>
            <w:noWrap/>
            <w:tcMar>
              <w:top w:w="16" w:type="dxa"/>
              <w:left w:w="16" w:type="dxa"/>
              <w:right w:w="16" w:type="dxa"/>
            </w:tcMar>
            <w:vAlign w:val="center"/>
          </w:tcPr>
          <w:p>
            <w:pPr>
              <w:adjustRightInd w:val="0"/>
              <w:snapToGrid w:val="0"/>
              <w:jc w:val="center"/>
              <w:rPr>
                <w:color w:val="auto"/>
                <w:spacing w:val="-6"/>
                <w:szCs w:val="21"/>
              </w:rPr>
            </w:pPr>
            <w:r>
              <w:rPr>
                <w:color w:val="auto"/>
                <w:spacing w:val="-6"/>
                <w:szCs w:val="21"/>
              </w:rPr>
              <w:t>用地（用海）</w:t>
            </w:r>
          </w:p>
          <w:p>
            <w:pPr>
              <w:adjustRightInd w:val="0"/>
              <w:snapToGrid w:val="0"/>
              <w:jc w:val="center"/>
              <w:rPr>
                <w:color w:val="auto"/>
                <w:szCs w:val="21"/>
              </w:rPr>
            </w:pPr>
            <w:r>
              <w:rPr>
                <w:color w:val="auto"/>
                <w:spacing w:val="-6"/>
                <w:szCs w:val="21"/>
              </w:rPr>
              <w:t>面积（m</w:t>
            </w:r>
            <w:r>
              <w:rPr>
                <w:color w:val="auto"/>
                <w:spacing w:val="-6"/>
                <w:szCs w:val="21"/>
                <w:vertAlign w:val="superscript"/>
              </w:rPr>
              <w:t>2</w:t>
            </w:r>
            <w:r>
              <w:rPr>
                <w:color w:val="auto"/>
                <w:spacing w:val="-6"/>
                <w:szCs w:val="21"/>
              </w:rPr>
              <w:t>）</w:t>
            </w:r>
          </w:p>
        </w:tc>
        <w:tc>
          <w:tcPr>
            <w:tcW w:w="2628" w:type="dxa"/>
            <w:noWrap/>
            <w:vAlign w:val="center"/>
          </w:tcPr>
          <w:p>
            <w:pPr>
              <w:adjustRightInd w:val="0"/>
              <w:snapToGrid w:val="0"/>
              <w:jc w:val="left"/>
              <w:rPr>
                <w:rFonts w:hint="default" w:eastAsia="宋体"/>
                <w:color w:val="auto"/>
                <w:szCs w:val="21"/>
                <w:lang w:val="en-US" w:eastAsia="zh-CN"/>
              </w:rPr>
            </w:pPr>
            <w:r>
              <w:rPr>
                <w:rFonts w:hint="eastAsia"/>
                <w:color w:val="auto"/>
                <w:szCs w:val="21"/>
              </w:rPr>
              <w:t xml:space="preserve">  </w:t>
            </w:r>
            <w:r>
              <w:rPr>
                <w:rFonts w:hint="eastAsia"/>
                <w:color w:val="auto"/>
                <w:szCs w:val="21"/>
                <w:lang w:val="en-US" w:eastAsia="zh-CN"/>
              </w:rPr>
              <w:t xml:space="preserve">       </w:t>
            </w:r>
            <w:r>
              <w:rPr>
                <w:rFonts w:hint="eastAsia"/>
                <w:color w:val="auto"/>
                <w:szCs w:val="21"/>
              </w:rPr>
              <w:t>1</w:t>
            </w:r>
            <w:r>
              <w:rPr>
                <w:rFonts w:hint="eastAsia"/>
                <w:color w:val="auto"/>
                <w:szCs w:val="21"/>
                <w:lang w:val="en-US" w:eastAsia="zh-CN"/>
              </w:rPr>
              <w:t>65.78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668" w:type="dxa"/>
            <w:noWrap/>
            <w:vAlign w:val="center"/>
          </w:tcPr>
          <w:p>
            <w:pPr>
              <w:autoSpaceDE w:val="0"/>
              <w:autoSpaceDN w:val="0"/>
              <w:adjustRightInd w:val="0"/>
              <w:snapToGrid w:val="0"/>
              <w:jc w:val="center"/>
              <w:rPr>
                <w:color w:val="auto"/>
                <w:kern w:val="0"/>
                <w:szCs w:val="21"/>
              </w:rPr>
            </w:pPr>
            <w:r>
              <w:rPr>
                <w:color w:val="auto"/>
                <w:kern w:val="0"/>
                <w:szCs w:val="21"/>
              </w:rPr>
              <w:t>专项评价设置情况</w:t>
            </w:r>
          </w:p>
        </w:tc>
        <w:tc>
          <w:tcPr>
            <w:tcW w:w="7191" w:type="dxa"/>
            <w:gridSpan w:val="3"/>
            <w:noWrap/>
            <w:vAlign w:val="center"/>
          </w:tcPr>
          <w:p>
            <w:pPr>
              <w:adjustRightInd w:val="0"/>
              <w:snapToGrid w:val="0"/>
              <w:spacing w:line="360" w:lineRule="auto"/>
              <w:ind w:firstLine="420" w:firstLineChars="200"/>
              <w:jc w:val="left"/>
              <w:rPr>
                <w:rFonts w:hint="eastAsia" w:ascii="Times New Roman" w:hAnsi="Times New Roman" w:eastAsia="宋体" w:cs="Times New Roman"/>
                <w:color w:val="auto"/>
                <w:szCs w:val="21"/>
                <w:highlight w:val="none"/>
                <w:lang w:val="en-US" w:eastAsia="zh-CN"/>
              </w:rPr>
            </w:pPr>
            <w:r>
              <w:rPr>
                <w:rFonts w:hint="eastAsia" w:ascii="Times New Roman" w:hAnsi="Times New Roman" w:eastAsia="宋体" w:cs="Times New Roman"/>
                <w:color w:val="auto"/>
                <w:szCs w:val="21"/>
                <w:highlight w:val="none"/>
                <w:lang w:val="en-US" w:eastAsia="zh-CN"/>
              </w:rPr>
              <w:t>项目专项评价设置情况见下表。</w:t>
            </w:r>
          </w:p>
          <w:p>
            <w:pPr>
              <w:pStyle w:val="11"/>
              <w:jc w:val="center"/>
              <w:rPr>
                <w:rFonts w:hint="default" w:ascii="Times New Roman" w:hAnsi="Times New Roman" w:eastAsia="宋体" w:cs="Times New Roman"/>
                <w:color w:val="auto"/>
                <w:kern w:val="0"/>
                <w:sz w:val="18"/>
                <w:szCs w:val="18"/>
                <w:highlight w:val="none"/>
                <w:lang w:eastAsia="zh-CN"/>
              </w:rPr>
            </w:pPr>
            <w:r>
              <w:rPr>
                <w:rFonts w:hint="eastAsia" w:ascii="Times New Roman" w:hAnsi="Times New Roman" w:eastAsia="宋体" w:cs="Times New Roman"/>
                <w:b/>
                <w:bCs/>
                <w:color w:val="auto"/>
                <w:kern w:val="0"/>
                <w:sz w:val="18"/>
                <w:szCs w:val="18"/>
                <w:highlight w:val="none"/>
                <w:lang w:val="en-US" w:eastAsia="zh-CN"/>
              </w:rPr>
              <w:t>表1-1   项目专项评价设置判定结果表</w:t>
            </w:r>
          </w:p>
          <w:tbl>
            <w:tblPr>
              <w:tblStyle w:val="22"/>
              <w:tblW w:w="4997"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54"/>
              <w:gridCol w:w="2273"/>
              <w:gridCol w:w="2791"/>
              <w:gridCol w:w="95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84"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b/>
                      <w:bCs/>
                      <w:color w:val="auto"/>
                      <w:kern w:val="0"/>
                      <w:sz w:val="18"/>
                      <w:szCs w:val="18"/>
                      <w:highlight w:val="none"/>
                      <w:vertAlign w:val="baseline"/>
                      <w:lang w:val="en-US" w:eastAsia="zh-CN"/>
                    </w:rPr>
                  </w:pPr>
                  <w:r>
                    <w:rPr>
                      <w:rFonts w:hint="eastAsia" w:ascii="宋体" w:hAnsi="宋体" w:eastAsia="宋体" w:cs="宋体"/>
                      <w:b/>
                      <w:bCs/>
                      <w:color w:val="auto"/>
                      <w:kern w:val="0"/>
                      <w:sz w:val="18"/>
                      <w:szCs w:val="18"/>
                      <w:highlight w:val="none"/>
                      <w:vertAlign w:val="baseline"/>
                      <w:lang w:val="en-US" w:eastAsia="zh-CN"/>
                    </w:rPr>
                    <w:t>专项评</w:t>
                  </w:r>
                </w:p>
                <w:p>
                  <w:pPr>
                    <w:autoSpaceDE w:val="0"/>
                    <w:autoSpaceDN w:val="0"/>
                    <w:adjustRightInd w:val="0"/>
                    <w:snapToGrid w:val="0"/>
                    <w:spacing w:line="240" w:lineRule="auto"/>
                    <w:jc w:val="both"/>
                    <w:rPr>
                      <w:rFonts w:hint="eastAsia" w:ascii="宋体" w:hAnsi="宋体" w:eastAsia="宋体" w:cs="宋体"/>
                      <w:b/>
                      <w:bCs/>
                      <w:color w:val="auto"/>
                      <w:kern w:val="0"/>
                      <w:sz w:val="18"/>
                      <w:szCs w:val="18"/>
                      <w:highlight w:val="none"/>
                      <w:vertAlign w:val="baseline"/>
                      <w:lang w:val="en-US" w:eastAsia="zh-CN"/>
                    </w:rPr>
                  </w:pPr>
                  <w:r>
                    <w:rPr>
                      <w:rFonts w:hint="eastAsia" w:ascii="宋体" w:hAnsi="宋体" w:eastAsia="宋体" w:cs="宋体"/>
                      <w:b/>
                      <w:bCs/>
                      <w:color w:val="auto"/>
                      <w:kern w:val="0"/>
                      <w:sz w:val="18"/>
                      <w:szCs w:val="18"/>
                      <w:highlight w:val="none"/>
                      <w:vertAlign w:val="baseline"/>
                      <w:lang w:val="en-US" w:eastAsia="zh-CN"/>
                    </w:rPr>
                    <w:t>价类别</w:t>
                  </w:r>
                </w:p>
              </w:tc>
              <w:tc>
                <w:tcPr>
                  <w:tcW w:w="1630" w:type="pct"/>
                  <w:tcBorders>
                    <w:tl2br w:val="nil"/>
                    <w:tr2bl w:val="nil"/>
                  </w:tcBorders>
                  <w:noWrap w:val="0"/>
                  <w:vAlign w:val="center"/>
                </w:tcPr>
                <w:p>
                  <w:pPr>
                    <w:autoSpaceDE w:val="0"/>
                    <w:autoSpaceDN w:val="0"/>
                    <w:adjustRightInd w:val="0"/>
                    <w:snapToGrid w:val="0"/>
                    <w:spacing w:line="240" w:lineRule="auto"/>
                    <w:ind w:firstLine="361" w:firstLineChars="200"/>
                    <w:jc w:val="both"/>
                    <w:rPr>
                      <w:rFonts w:hint="eastAsia" w:ascii="宋体" w:hAnsi="宋体" w:eastAsia="宋体" w:cs="宋体"/>
                      <w:b/>
                      <w:bCs/>
                      <w:color w:val="auto"/>
                      <w:kern w:val="0"/>
                      <w:sz w:val="18"/>
                      <w:szCs w:val="18"/>
                      <w:highlight w:val="none"/>
                      <w:vertAlign w:val="baseline"/>
                      <w:lang w:val="en-US" w:eastAsia="zh-CN"/>
                    </w:rPr>
                  </w:pPr>
                  <w:r>
                    <w:rPr>
                      <w:rFonts w:hint="eastAsia" w:ascii="宋体" w:hAnsi="宋体" w:eastAsia="宋体" w:cs="宋体"/>
                      <w:b/>
                      <w:bCs/>
                      <w:color w:val="auto"/>
                      <w:kern w:val="0"/>
                      <w:sz w:val="18"/>
                      <w:szCs w:val="18"/>
                      <w:highlight w:val="none"/>
                      <w:vertAlign w:val="baseline"/>
                      <w:lang w:val="en-US" w:eastAsia="zh-CN"/>
                    </w:rPr>
                    <w:t>涉及项目类别</w:t>
                  </w:r>
                </w:p>
              </w:tc>
              <w:tc>
                <w:tcPr>
                  <w:tcW w:w="2001" w:type="pct"/>
                  <w:tcBorders>
                    <w:tl2br w:val="nil"/>
                    <w:tr2bl w:val="nil"/>
                  </w:tcBorders>
                  <w:noWrap w:val="0"/>
                  <w:vAlign w:val="center"/>
                </w:tcPr>
                <w:p>
                  <w:pPr>
                    <w:autoSpaceDE w:val="0"/>
                    <w:autoSpaceDN w:val="0"/>
                    <w:adjustRightInd w:val="0"/>
                    <w:snapToGrid w:val="0"/>
                    <w:spacing w:line="240" w:lineRule="auto"/>
                    <w:ind w:firstLine="723" w:firstLineChars="400"/>
                    <w:jc w:val="both"/>
                    <w:rPr>
                      <w:rFonts w:hint="eastAsia" w:ascii="宋体" w:hAnsi="宋体" w:eastAsia="宋体" w:cs="宋体"/>
                      <w:b/>
                      <w:bCs/>
                      <w:color w:val="auto"/>
                      <w:kern w:val="0"/>
                      <w:sz w:val="18"/>
                      <w:szCs w:val="18"/>
                      <w:highlight w:val="none"/>
                      <w:vertAlign w:val="baseline"/>
                      <w:lang w:val="en-US" w:eastAsia="zh-CN"/>
                    </w:rPr>
                  </w:pPr>
                  <w:r>
                    <w:rPr>
                      <w:rFonts w:hint="eastAsia" w:ascii="宋体" w:hAnsi="宋体" w:eastAsia="宋体" w:cs="宋体"/>
                      <w:b/>
                      <w:bCs/>
                      <w:color w:val="auto"/>
                      <w:kern w:val="0"/>
                      <w:sz w:val="18"/>
                      <w:szCs w:val="18"/>
                      <w:highlight w:val="none"/>
                      <w:vertAlign w:val="baseline"/>
                      <w:lang w:val="en-US" w:eastAsia="zh-CN"/>
                    </w:rPr>
                    <w:t>本项目情况</w:t>
                  </w:r>
                </w:p>
              </w:tc>
              <w:tc>
                <w:tcPr>
                  <w:tcW w:w="683"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b/>
                      <w:bCs/>
                      <w:color w:val="auto"/>
                      <w:kern w:val="0"/>
                      <w:sz w:val="18"/>
                      <w:szCs w:val="18"/>
                      <w:highlight w:val="none"/>
                      <w:vertAlign w:val="baseline"/>
                      <w:lang w:val="en-US" w:eastAsia="zh-CN"/>
                    </w:rPr>
                  </w:pPr>
                  <w:r>
                    <w:rPr>
                      <w:rFonts w:hint="eastAsia" w:ascii="宋体" w:hAnsi="宋体" w:eastAsia="宋体" w:cs="宋体"/>
                      <w:b/>
                      <w:bCs/>
                      <w:color w:val="auto"/>
                      <w:kern w:val="0"/>
                      <w:sz w:val="18"/>
                      <w:szCs w:val="18"/>
                      <w:highlight w:val="none"/>
                      <w:vertAlign w:val="baseline"/>
                      <w:lang w:val="en-US" w:eastAsia="zh-CN"/>
                    </w:rPr>
                    <w:t>是否设</w:t>
                  </w:r>
                </w:p>
                <w:p>
                  <w:pPr>
                    <w:autoSpaceDE w:val="0"/>
                    <w:autoSpaceDN w:val="0"/>
                    <w:adjustRightInd w:val="0"/>
                    <w:snapToGrid w:val="0"/>
                    <w:spacing w:line="240" w:lineRule="auto"/>
                    <w:jc w:val="both"/>
                    <w:rPr>
                      <w:rFonts w:hint="eastAsia" w:ascii="宋体" w:hAnsi="宋体" w:eastAsia="宋体" w:cs="宋体"/>
                      <w:b/>
                      <w:bCs/>
                      <w:color w:val="auto"/>
                      <w:kern w:val="0"/>
                      <w:sz w:val="18"/>
                      <w:szCs w:val="18"/>
                      <w:highlight w:val="none"/>
                      <w:vertAlign w:val="baseline"/>
                      <w:lang w:val="en-US" w:eastAsia="zh-CN"/>
                    </w:rPr>
                  </w:pPr>
                  <w:r>
                    <w:rPr>
                      <w:rFonts w:hint="eastAsia" w:ascii="宋体" w:hAnsi="宋体" w:eastAsia="宋体" w:cs="宋体"/>
                      <w:b/>
                      <w:bCs/>
                      <w:color w:val="auto"/>
                      <w:kern w:val="0"/>
                      <w:sz w:val="18"/>
                      <w:szCs w:val="18"/>
                      <w:highlight w:val="none"/>
                      <w:vertAlign w:val="baseline"/>
                      <w:lang w:val="en-US" w:eastAsia="zh-CN"/>
                    </w:rPr>
                    <w:t>置专章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84"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地表水</w:t>
                  </w:r>
                </w:p>
              </w:tc>
              <w:tc>
                <w:tcPr>
                  <w:tcW w:w="1630"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新增工业废水直排建设项目（槽罐车外送污水处理厂的除外）；新增废水直排的污水集中处理厂</w:t>
                  </w:r>
                </w:p>
              </w:tc>
              <w:tc>
                <w:tcPr>
                  <w:tcW w:w="2001" w:type="pct"/>
                  <w:tcBorders>
                    <w:tl2br w:val="nil"/>
                    <w:tr2bl w:val="nil"/>
                  </w:tcBorders>
                  <w:noWrap w:val="0"/>
                  <w:vAlign w:val="center"/>
                </w:tcPr>
                <w:p>
                  <w:pPr>
                    <w:spacing w:line="240" w:lineRule="auto"/>
                    <w:jc w:val="left"/>
                    <w:rPr>
                      <w:rFonts w:hint="eastAsia" w:ascii="宋体" w:hAnsi="宋体" w:eastAsia="宋体" w:cs="宋体"/>
                      <w:color w:val="auto"/>
                      <w:kern w:val="0"/>
                      <w:sz w:val="18"/>
                      <w:szCs w:val="18"/>
                      <w:highlight w:val="none"/>
                      <w:vertAlign w:val="baseline"/>
                      <w:lang w:eastAsia="zh-CN"/>
                    </w:rPr>
                  </w:pPr>
                  <w:r>
                    <w:rPr>
                      <w:rFonts w:hint="eastAsia" w:ascii="宋体" w:hAnsi="宋体" w:eastAsia="宋体" w:cs="宋体"/>
                      <w:color w:val="auto"/>
                      <w:kern w:val="0"/>
                      <w:sz w:val="18"/>
                      <w:szCs w:val="18"/>
                      <w:highlight w:val="none"/>
                      <w:vertAlign w:val="baseline"/>
                      <w:lang w:eastAsia="zh-CN"/>
                    </w:rPr>
                    <w:t>本项目为宠物医院服务</w:t>
                  </w:r>
                  <w:r>
                    <w:rPr>
                      <w:rFonts w:hint="eastAsia" w:ascii="宋体" w:hAnsi="宋体" w:eastAsia="宋体" w:cs="宋体"/>
                      <w:color w:val="auto"/>
                      <w:kern w:val="0"/>
                      <w:sz w:val="18"/>
                      <w:szCs w:val="18"/>
                      <w:highlight w:val="none"/>
                      <w:vertAlign w:val="baseline"/>
                      <w:lang w:val="en-US" w:eastAsia="zh-CN"/>
                    </w:rPr>
                    <w:t>项目，宠物治疗废水、</w:t>
                  </w:r>
                  <w:r>
                    <w:rPr>
                      <w:rFonts w:hint="eastAsia" w:ascii="宋体" w:hAnsi="宋体" w:cs="宋体"/>
                      <w:color w:val="auto"/>
                      <w:kern w:val="0"/>
                      <w:sz w:val="18"/>
                      <w:szCs w:val="18"/>
                      <w:highlight w:val="none"/>
                      <w:vertAlign w:val="baseline"/>
                      <w:lang w:val="en-US" w:eastAsia="zh-CN"/>
                    </w:rPr>
                    <w:t>宠物做手术器械和</w:t>
                  </w:r>
                  <w:r>
                    <w:rPr>
                      <w:rFonts w:hint="eastAsia" w:ascii="宋体" w:hAnsi="宋体" w:eastAsia="宋体" w:cs="宋体"/>
                      <w:color w:val="auto"/>
                      <w:kern w:val="0"/>
                      <w:sz w:val="18"/>
                      <w:szCs w:val="18"/>
                      <w:highlight w:val="none"/>
                      <w:vertAlign w:val="baseline"/>
                      <w:lang w:val="en-US" w:eastAsia="zh-CN"/>
                    </w:rPr>
                    <w:t>地面</w:t>
                  </w:r>
                  <w:r>
                    <w:rPr>
                      <w:rFonts w:hint="eastAsia" w:cs="Times New Roman"/>
                      <w:color w:val="auto"/>
                      <w:kern w:val="0"/>
                      <w:sz w:val="18"/>
                      <w:szCs w:val="18"/>
                      <w:lang w:eastAsia="zh-CN" w:bidi="ar"/>
                    </w:rPr>
                    <w:t>、</w:t>
                  </w:r>
                  <w:r>
                    <w:rPr>
                      <w:rFonts w:hint="eastAsia" w:eastAsia="宋体" w:cs="Times New Roman"/>
                      <w:color w:val="auto"/>
                      <w:sz w:val="18"/>
                      <w:szCs w:val="18"/>
                      <w:lang w:eastAsia="zh-CN"/>
                    </w:rPr>
                    <w:t>宠物笼</w:t>
                  </w:r>
                  <w:r>
                    <w:rPr>
                      <w:rFonts w:hint="eastAsia" w:ascii="宋体" w:hAnsi="宋体" w:eastAsia="宋体" w:cs="宋体"/>
                      <w:color w:val="auto"/>
                      <w:kern w:val="0"/>
                      <w:sz w:val="18"/>
                      <w:szCs w:val="18"/>
                      <w:highlight w:val="none"/>
                      <w:vertAlign w:val="baseline"/>
                      <w:lang w:val="en-US" w:eastAsia="zh-CN"/>
                    </w:rPr>
                    <w:t>清洁废水收集至污水</w:t>
                  </w:r>
                  <w:r>
                    <w:rPr>
                      <w:rFonts w:hint="eastAsia" w:ascii="宋体" w:hAnsi="宋体" w:cs="宋体"/>
                      <w:color w:val="auto"/>
                      <w:kern w:val="0"/>
                      <w:sz w:val="18"/>
                      <w:szCs w:val="18"/>
                      <w:highlight w:val="none"/>
                      <w:vertAlign w:val="baseline"/>
                      <w:lang w:val="en-US" w:eastAsia="zh-CN"/>
                    </w:rPr>
                    <w:t>消毒池</w:t>
                  </w:r>
                  <w:r>
                    <w:rPr>
                      <w:rFonts w:hint="eastAsia" w:ascii="宋体" w:hAnsi="宋体" w:eastAsia="宋体" w:cs="宋体"/>
                      <w:color w:val="auto"/>
                      <w:kern w:val="0"/>
                      <w:sz w:val="18"/>
                      <w:szCs w:val="18"/>
                      <w:highlight w:val="none"/>
                      <w:vertAlign w:val="baseline"/>
                      <w:lang w:val="en-US" w:eastAsia="zh-CN"/>
                    </w:rPr>
                    <w:t>进行处理，处理后和工作人员污水排至已建的预处理池进行处理，最终进入苍溪县石家坝城市污水处理厂处理后达标排放；无直排工业废水。</w:t>
                  </w:r>
                </w:p>
              </w:tc>
              <w:tc>
                <w:tcPr>
                  <w:tcW w:w="683" w:type="pct"/>
                  <w:tcBorders>
                    <w:tl2br w:val="nil"/>
                    <w:tr2bl w:val="nil"/>
                  </w:tcBorders>
                  <w:noWrap w:val="0"/>
                  <w:vAlign w:val="center"/>
                </w:tcPr>
                <w:p>
                  <w:pPr>
                    <w:autoSpaceDE w:val="0"/>
                    <w:autoSpaceDN w:val="0"/>
                    <w:adjustRightInd w:val="0"/>
                    <w:snapToGrid w:val="0"/>
                    <w:spacing w:line="240" w:lineRule="auto"/>
                    <w:ind w:firstLine="180" w:firstLineChars="100"/>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84" w:type="pct"/>
                  <w:tcBorders>
                    <w:tl2br w:val="nil"/>
                    <w:tr2bl w:val="nil"/>
                  </w:tcBorders>
                  <w:noWrap w:val="0"/>
                  <w:vAlign w:val="center"/>
                </w:tcPr>
                <w:p>
                  <w:pPr>
                    <w:autoSpaceDE w:val="0"/>
                    <w:autoSpaceDN w:val="0"/>
                    <w:adjustRightInd w:val="0"/>
                    <w:snapToGrid w:val="0"/>
                    <w:spacing w:line="240" w:lineRule="auto"/>
                    <w:jc w:val="both"/>
                    <w:rPr>
                      <w:rFonts w:hint="default"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 xml:space="preserve"> 海洋</w:t>
                  </w:r>
                </w:p>
              </w:tc>
              <w:tc>
                <w:tcPr>
                  <w:tcW w:w="1630"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直接向海排放污染物的海洋工程建设项目</w:t>
                  </w:r>
                </w:p>
              </w:tc>
              <w:tc>
                <w:tcPr>
                  <w:tcW w:w="2001"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eastAsia="zh-CN"/>
                    </w:rPr>
                  </w:pPr>
                  <w:r>
                    <w:rPr>
                      <w:rFonts w:hint="eastAsia" w:ascii="宋体" w:hAnsi="宋体" w:eastAsia="宋体" w:cs="宋体"/>
                      <w:color w:val="auto"/>
                      <w:kern w:val="0"/>
                      <w:sz w:val="18"/>
                      <w:szCs w:val="18"/>
                      <w:highlight w:val="none"/>
                      <w:vertAlign w:val="baseline"/>
                      <w:lang w:eastAsia="zh-CN"/>
                    </w:rPr>
                    <w:t>本项目为宠物医院服务</w:t>
                  </w:r>
                  <w:r>
                    <w:rPr>
                      <w:rFonts w:hint="eastAsia" w:ascii="宋体" w:hAnsi="宋体" w:eastAsia="宋体" w:cs="宋体"/>
                      <w:color w:val="auto"/>
                      <w:kern w:val="0"/>
                      <w:sz w:val="18"/>
                      <w:szCs w:val="18"/>
                      <w:highlight w:val="none"/>
                      <w:vertAlign w:val="baseline"/>
                      <w:lang w:val="en-US" w:eastAsia="zh-CN"/>
                    </w:rPr>
                    <w:t>项目</w:t>
                  </w:r>
                  <w:r>
                    <w:rPr>
                      <w:rFonts w:hint="eastAsia" w:ascii="宋体" w:hAnsi="宋体" w:eastAsia="宋体" w:cs="宋体"/>
                      <w:color w:val="auto"/>
                      <w:sz w:val="18"/>
                      <w:szCs w:val="18"/>
                      <w:highlight w:val="none"/>
                      <w:lang w:val="en-US" w:eastAsia="zh-CN"/>
                    </w:rPr>
                    <w:t>；</w:t>
                  </w:r>
                  <w:r>
                    <w:rPr>
                      <w:rFonts w:hint="eastAsia" w:ascii="宋体" w:hAnsi="宋体" w:eastAsia="宋体" w:cs="宋体"/>
                      <w:color w:val="auto"/>
                      <w:kern w:val="0"/>
                      <w:sz w:val="18"/>
                      <w:szCs w:val="18"/>
                      <w:highlight w:val="none"/>
                      <w:vertAlign w:val="baseline"/>
                      <w:lang w:val="en-US" w:eastAsia="zh-CN"/>
                    </w:rPr>
                    <w:t>不涉及向海排放污染物的海洋工程建设项目</w:t>
                  </w:r>
                  <w:r>
                    <w:rPr>
                      <w:rFonts w:hint="eastAsia" w:hAnsi="宋体" w:eastAsia="宋体" w:cs="宋体"/>
                      <w:color w:val="auto"/>
                      <w:kern w:val="0"/>
                      <w:sz w:val="18"/>
                      <w:szCs w:val="18"/>
                      <w:highlight w:val="none"/>
                      <w:vertAlign w:val="baseline"/>
                      <w:lang w:val="en-US" w:eastAsia="zh-CN"/>
                    </w:rPr>
                    <w:t>；</w:t>
                  </w:r>
                </w:p>
              </w:tc>
              <w:tc>
                <w:tcPr>
                  <w:tcW w:w="683" w:type="pct"/>
                  <w:tcBorders>
                    <w:tl2br w:val="nil"/>
                    <w:tr2bl w:val="nil"/>
                  </w:tcBorders>
                  <w:noWrap w:val="0"/>
                  <w:vAlign w:val="center"/>
                </w:tcPr>
                <w:p>
                  <w:pPr>
                    <w:pStyle w:val="11"/>
                    <w:spacing w:line="240" w:lineRule="auto"/>
                    <w:ind w:firstLine="180" w:firstLineChars="100"/>
                    <w:jc w:val="both"/>
                    <w:rPr>
                      <w:rFonts w:hint="eastAsia" w:ascii="宋体" w:hAnsi="宋体" w:eastAsia="宋体" w:cs="宋体"/>
                      <w:color w:val="auto"/>
                      <w:kern w:val="0"/>
                      <w:sz w:val="18"/>
                      <w:szCs w:val="18"/>
                      <w:highlight w:val="none"/>
                      <w:vertAlign w:val="baseline"/>
                      <w:lang w:val="en-US" w:eastAsia="zh-CN"/>
                    </w:rPr>
                  </w:pPr>
                  <w:r>
                    <w:rPr>
                      <w:rFonts w:hint="eastAsia" w:hAnsi="宋体" w:eastAsia="宋体" w:cs="宋体"/>
                      <w:color w:val="auto"/>
                      <w:kern w:val="0"/>
                      <w:sz w:val="18"/>
                      <w:szCs w:val="18"/>
                      <w:highlight w:val="none"/>
                      <w:vertAlign w:val="baseline"/>
                      <w:lang w:val="en-US" w:eastAsia="zh-CN"/>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84"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生态</w:t>
                  </w:r>
                </w:p>
              </w:tc>
              <w:tc>
                <w:tcPr>
                  <w:tcW w:w="1630" w:type="pct"/>
                  <w:tcBorders>
                    <w:tl2br w:val="nil"/>
                    <w:tr2bl w:val="nil"/>
                  </w:tcBorders>
                  <w:noWrap w:val="0"/>
                  <w:vAlign w:val="center"/>
                </w:tcPr>
                <w:p>
                  <w:pPr>
                    <w:autoSpaceDE w:val="0"/>
                    <w:autoSpaceDN w:val="0"/>
                    <w:adjustRightInd w:val="0"/>
                    <w:snapToGrid w:val="0"/>
                    <w:spacing w:line="240" w:lineRule="auto"/>
                    <w:jc w:val="both"/>
                    <w:rPr>
                      <w:rFonts w:hint="default"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取水口下游500米范围内有重要水生生物的自然产卵场、索饵场、越冬场和洄游通道的新增河道取水的污染类建设项目</w:t>
                  </w:r>
                </w:p>
              </w:tc>
              <w:tc>
                <w:tcPr>
                  <w:tcW w:w="2001"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eastAsia="zh-CN"/>
                    </w:rPr>
                  </w:pPr>
                  <w:r>
                    <w:rPr>
                      <w:rFonts w:hint="eastAsia" w:ascii="Times New Roman" w:hAnsi="Times New Roman" w:cs="Times New Roman"/>
                      <w:bCs/>
                      <w:color w:val="auto"/>
                      <w:sz w:val="18"/>
                      <w:szCs w:val="18"/>
                      <w:highlight w:val="none"/>
                      <w:lang w:eastAsia="zh-CN"/>
                    </w:rPr>
                    <w:t>本项目</w:t>
                  </w:r>
                  <w:r>
                    <w:rPr>
                      <w:rFonts w:hint="default" w:ascii="Times New Roman" w:hAnsi="Times New Roman" w:cs="Times New Roman"/>
                      <w:bCs/>
                      <w:color w:val="auto"/>
                      <w:sz w:val="18"/>
                      <w:szCs w:val="18"/>
                      <w:highlight w:val="none"/>
                      <w:lang w:eastAsia="zh-CN"/>
                    </w:rPr>
                    <w:t>生产用水</w:t>
                  </w:r>
                  <w:r>
                    <w:rPr>
                      <w:rFonts w:hint="eastAsia" w:ascii="Times New Roman" w:hAnsi="Times New Roman" w:cs="Times New Roman"/>
                      <w:bCs/>
                      <w:color w:val="auto"/>
                      <w:sz w:val="18"/>
                      <w:szCs w:val="18"/>
                      <w:highlight w:val="none"/>
                      <w:lang w:eastAsia="zh-CN"/>
                    </w:rPr>
                    <w:t>和生</w:t>
                  </w:r>
                  <w:r>
                    <w:rPr>
                      <w:rFonts w:hint="default" w:ascii="Times New Roman" w:hAnsi="Times New Roman" w:cs="Times New Roman"/>
                      <w:bCs/>
                      <w:color w:val="auto"/>
                      <w:sz w:val="18"/>
                      <w:szCs w:val="18"/>
                      <w:highlight w:val="none"/>
                      <w:lang w:eastAsia="zh-CN"/>
                    </w:rPr>
                    <w:t>活用水</w:t>
                  </w:r>
                  <w:r>
                    <w:rPr>
                      <w:rFonts w:hint="eastAsia" w:ascii="Times New Roman" w:hAnsi="Times New Roman" w:cs="Times New Roman"/>
                      <w:bCs/>
                      <w:color w:val="auto"/>
                      <w:sz w:val="18"/>
                      <w:szCs w:val="18"/>
                      <w:highlight w:val="none"/>
                      <w:lang w:eastAsia="zh-CN"/>
                    </w:rPr>
                    <w:t>均来自自来水管网</w:t>
                  </w:r>
                  <w:r>
                    <w:rPr>
                      <w:rFonts w:hint="eastAsia" w:ascii="宋体" w:hAnsi="宋体" w:eastAsia="宋体" w:cs="宋体"/>
                      <w:color w:val="auto"/>
                      <w:sz w:val="18"/>
                      <w:szCs w:val="18"/>
                      <w:highlight w:val="none"/>
                      <w:lang w:val="en-US" w:eastAsia="zh-CN"/>
                    </w:rPr>
                    <w:t>；</w:t>
                  </w:r>
                  <w:r>
                    <w:rPr>
                      <w:rFonts w:hint="default" w:ascii="Times New Roman" w:hAnsi="Times New Roman" w:eastAsia="宋体" w:cs="Times New Roman"/>
                      <w:color w:val="auto"/>
                      <w:kern w:val="0"/>
                      <w:sz w:val="18"/>
                      <w:szCs w:val="18"/>
                      <w:highlight w:val="none"/>
                      <w:vertAlign w:val="baseline"/>
                      <w:lang w:val="en-US" w:eastAsia="zh-CN"/>
                    </w:rPr>
                    <w:t>不涉及取水口下游500米范围内有重要水生生物的自然产卵场、索饵场、越冬场和洄游通道的新增河道取水的污染类建设项目</w:t>
                  </w:r>
                </w:p>
              </w:tc>
              <w:tc>
                <w:tcPr>
                  <w:tcW w:w="683" w:type="pct"/>
                  <w:tcBorders>
                    <w:tl2br w:val="nil"/>
                    <w:tr2bl w:val="nil"/>
                  </w:tcBorders>
                  <w:noWrap w:val="0"/>
                  <w:vAlign w:val="center"/>
                </w:tcPr>
                <w:p>
                  <w:pPr>
                    <w:autoSpaceDE w:val="0"/>
                    <w:autoSpaceDN w:val="0"/>
                    <w:adjustRightInd w:val="0"/>
                    <w:snapToGrid w:val="0"/>
                    <w:spacing w:line="240" w:lineRule="auto"/>
                    <w:ind w:firstLine="180" w:firstLineChars="100"/>
                    <w:jc w:val="both"/>
                    <w:rPr>
                      <w:rFonts w:hint="eastAsia" w:ascii="宋体" w:hAnsi="宋体" w:eastAsia="宋体" w:cs="宋体"/>
                      <w:color w:val="auto"/>
                      <w:kern w:val="0"/>
                      <w:sz w:val="18"/>
                      <w:szCs w:val="18"/>
                      <w:highlight w:val="none"/>
                      <w:vertAlign w:val="baseline"/>
                      <w:lang w:eastAsia="zh-CN"/>
                    </w:rPr>
                  </w:pPr>
                  <w:r>
                    <w:rPr>
                      <w:rFonts w:hint="eastAsia" w:ascii="宋体" w:hAnsi="宋体" w:eastAsia="宋体" w:cs="宋体"/>
                      <w:color w:val="auto"/>
                      <w:kern w:val="0"/>
                      <w:sz w:val="18"/>
                      <w:szCs w:val="18"/>
                      <w:highlight w:val="none"/>
                      <w:vertAlign w:val="baseline"/>
                      <w:lang w:eastAsia="zh-CN"/>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84"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大气</w:t>
                  </w:r>
                </w:p>
              </w:tc>
              <w:tc>
                <w:tcPr>
                  <w:tcW w:w="1630" w:type="pct"/>
                  <w:tcBorders>
                    <w:tl2br w:val="nil"/>
                    <w:tr2bl w:val="nil"/>
                  </w:tcBorders>
                  <w:noWrap w:val="0"/>
                  <w:vAlign w:val="center"/>
                </w:tcPr>
                <w:p>
                  <w:pPr>
                    <w:autoSpaceDE w:val="0"/>
                    <w:autoSpaceDN w:val="0"/>
                    <w:adjustRightInd w:val="0"/>
                    <w:snapToGrid w:val="0"/>
                    <w:spacing w:line="240" w:lineRule="auto"/>
                    <w:jc w:val="both"/>
                    <w:rPr>
                      <w:rFonts w:hint="default" w:ascii="宋体" w:hAnsi="宋体" w:eastAsia="宋体" w:cs="宋体"/>
                      <w:color w:val="auto"/>
                      <w:sz w:val="18"/>
                      <w:szCs w:val="18"/>
                      <w:highlight w:val="none"/>
                      <w:vertAlign w:val="baseline"/>
                      <w:lang w:val="en-US" w:eastAsia="zh-CN"/>
                    </w:rPr>
                  </w:pPr>
                  <w:r>
                    <w:rPr>
                      <w:rFonts w:hint="default" w:ascii="Times New Roman" w:hAnsi="Times New Roman" w:eastAsia="宋体" w:cs="Times New Roman"/>
                      <w:color w:val="auto"/>
                      <w:sz w:val="18"/>
                      <w:szCs w:val="18"/>
                      <w:highlight w:val="none"/>
                      <w:lang w:val="en-US" w:eastAsia="zh-CN"/>
                    </w:rPr>
                    <w:t>排放废气含有毒有害污染物</w:t>
                  </w:r>
                  <w:r>
                    <w:rPr>
                      <w:rFonts w:hint="default" w:ascii="Times New Roman" w:hAnsi="Times New Roman" w:eastAsia="宋体" w:cs="Times New Roman"/>
                      <w:color w:val="auto"/>
                      <w:sz w:val="18"/>
                      <w:szCs w:val="18"/>
                      <w:highlight w:val="none"/>
                      <w:vertAlign w:val="superscript"/>
                      <w:lang w:val="en-US" w:eastAsia="zh-CN"/>
                    </w:rPr>
                    <w:t>1</w:t>
                  </w:r>
                  <w:r>
                    <w:rPr>
                      <w:rFonts w:hint="default" w:ascii="Times New Roman" w:hAnsi="Times New Roman" w:eastAsia="宋体" w:cs="Times New Roman"/>
                      <w:color w:val="auto"/>
                      <w:sz w:val="18"/>
                      <w:szCs w:val="18"/>
                      <w:highlight w:val="none"/>
                      <w:vertAlign w:val="baseline"/>
                      <w:lang w:val="en-US" w:eastAsia="zh-CN"/>
                    </w:rPr>
                    <w:t>、二噁英、苯并【a】芘、氰化物、氯气且厂界外500米范围内有环境空气保护目标</w:t>
                  </w:r>
                  <w:r>
                    <w:rPr>
                      <w:rFonts w:hint="default" w:ascii="Times New Roman" w:hAnsi="Times New Roman" w:eastAsia="宋体" w:cs="Times New Roman"/>
                      <w:color w:val="auto"/>
                      <w:sz w:val="18"/>
                      <w:szCs w:val="18"/>
                      <w:highlight w:val="none"/>
                      <w:vertAlign w:val="superscript"/>
                      <w:lang w:val="en-US" w:eastAsia="zh-CN"/>
                    </w:rPr>
                    <w:t>2</w:t>
                  </w:r>
                  <w:r>
                    <w:rPr>
                      <w:rFonts w:hint="default" w:ascii="Times New Roman" w:hAnsi="Times New Roman" w:eastAsia="宋体" w:cs="Times New Roman"/>
                      <w:color w:val="auto"/>
                      <w:sz w:val="18"/>
                      <w:szCs w:val="18"/>
                      <w:highlight w:val="none"/>
                      <w:vertAlign w:val="baseline"/>
                      <w:lang w:val="en-US" w:eastAsia="zh-CN"/>
                    </w:rPr>
                    <w:t>的建设项目</w:t>
                  </w:r>
                </w:p>
              </w:tc>
              <w:tc>
                <w:tcPr>
                  <w:tcW w:w="2001" w:type="pct"/>
                  <w:tcBorders>
                    <w:tl2br w:val="nil"/>
                    <w:tr2bl w:val="nil"/>
                  </w:tcBorders>
                  <w:noWrap w:val="0"/>
                  <w:vAlign w:val="center"/>
                </w:tcPr>
                <w:p>
                  <w:pPr>
                    <w:autoSpaceDE w:val="0"/>
                    <w:autoSpaceDN w:val="0"/>
                    <w:adjustRightInd w:val="0"/>
                    <w:snapToGrid w:val="0"/>
                    <w:spacing w:line="240" w:lineRule="auto"/>
                    <w:jc w:val="both"/>
                    <w:rPr>
                      <w:rFonts w:hint="default" w:ascii="Times New Roman" w:hAnsi="Times New Roman" w:eastAsia="宋体" w:cs="Times New Roman"/>
                      <w:color w:val="auto"/>
                      <w:kern w:val="0"/>
                      <w:sz w:val="18"/>
                      <w:szCs w:val="18"/>
                      <w:highlight w:val="none"/>
                      <w:vertAlign w:val="baseline"/>
                      <w:lang w:val="en-US" w:eastAsia="zh-CN"/>
                    </w:rPr>
                  </w:pPr>
                  <w:r>
                    <w:rPr>
                      <w:rFonts w:hint="default" w:ascii="Times New Roman" w:hAnsi="Times New Roman" w:eastAsia="宋体" w:cs="Times New Roman"/>
                      <w:color w:val="auto"/>
                      <w:kern w:val="0"/>
                      <w:sz w:val="18"/>
                      <w:szCs w:val="18"/>
                      <w:highlight w:val="none"/>
                      <w:vertAlign w:val="baseline"/>
                      <w:lang w:eastAsia="zh-CN"/>
                    </w:rPr>
                    <w:t>本项目为</w:t>
                  </w:r>
                  <w:r>
                    <w:rPr>
                      <w:rFonts w:hint="eastAsia" w:ascii="宋体" w:hAnsi="宋体" w:eastAsia="宋体" w:cs="宋体"/>
                      <w:color w:val="auto"/>
                      <w:kern w:val="0"/>
                      <w:sz w:val="18"/>
                      <w:szCs w:val="18"/>
                      <w:highlight w:val="none"/>
                      <w:vertAlign w:val="baseline"/>
                      <w:lang w:eastAsia="zh-CN"/>
                    </w:rPr>
                    <w:t>宠物医院服务</w:t>
                  </w:r>
                  <w:r>
                    <w:rPr>
                      <w:rFonts w:hint="eastAsia" w:ascii="宋体" w:hAnsi="宋体" w:eastAsia="宋体" w:cs="宋体"/>
                      <w:color w:val="auto"/>
                      <w:kern w:val="0"/>
                      <w:sz w:val="18"/>
                      <w:szCs w:val="18"/>
                      <w:highlight w:val="none"/>
                      <w:vertAlign w:val="baseline"/>
                      <w:lang w:val="en-US" w:eastAsia="zh-CN"/>
                    </w:rPr>
                    <w:t>项目</w:t>
                  </w:r>
                  <w:r>
                    <w:rPr>
                      <w:rFonts w:hint="default" w:ascii="Times New Roman" w:hAnsi="Times New Roman" w:eastAsia="宋体" w:cs="Times New Roman"/>
                      <w:color w:val="auto"/>
                      <w:kern w:val="0"/>
                      <w:sz w:val="18"/>
                      <w:szCs w:val="18"/>
                      <w:highlight w:val="none"/>
                      <w:vertAlign w:val="baseline"/>
                      <w:lang w:val="en-US" w:eastAsia="zh-CN"/>
                    </w:rPr>
                    <w:t>，排放废气不涉及有毒有害污染物</w:t>
                  </w:r>
                  <w:r>
                    <w:rPr>
                      <w:rFonts w:hint="default" w:ascii="Times New Roman" w:hAnsi="Times New Roman" w:eastAsia="宋体" w:cs="Times New Roman"/>
                      <w:color w:val="auto"/>
                      <w:kern w:val="0"/>
                      <w:sz w:val="18"/>
                      <w:szCs w:val="18"/>
                      <w:highlight w:val="none"/>
                      <w:vertAlign w:val="superscript"/>
                      <w:lang w:val="en-US" w:eastAsia="zh-CN"/>
                    </w:rPr>
                    <w:t>1</w:t>
                  </w:r>
                  <w:r>
                    <w:rPr>
                      <w:rFonts w:hint="default" w:ascii="Times New Roman" w:hAnsi="Times New Roman" w:eastAsia="宋体" w:cs="Times New Roman"/>
                      <w:color w:val="auto"/>
                      <w:kern w:val="0"/>
                      <w:sz w:val="18"/>
                      <w:szCs w:val="18"/>
                      <w:highlight w:val="none"/>
                      <w:vertAlign w:val="baseline"/>
                      <w:lang w:val="en-US" w:eastAsia="zh-CN"/>
                    </w:rPr>
                    <w:t>、二噁英、苯并【a】芘、氰化物、氯气</w:t>
                  </w:r>
                </w:p>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eastAsia="zh-CN"/>
                    </w:rPr>
                  </w:pPr>
                </w:p>
              </w:tc>
              <w:tc>
                <w:tcPr>
                  <w:tcW w:w="683" w:type="pct"/>
                  <w:tcBorders>
                    <w:tl2br w:val="nil"/>
                    <w:tr2bl w:val="nil"/>
                  </w:tcBorders>
                  <w:noWrap w:val="0"/>
                  <w:vAlign w:val="center"/>
                </w:tcPr>
                <w:p>
                  <w:pPr>
                    <w:autoSpaceDE w:val="0"/>
                    <w:autoSpaceDN w:val="0"/>
                    <w:adjustRightInd w:val="0"/>
                    <w:snapToGrid w:val="0"/>
                    <w:spacing w:line="240" w:lineRule="auto"/>
                    <w:ind w:firstLine="180" w:firstLineChars="100"/>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84"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val="en-US" w:eastAsia="zh-CN"/>
                    </w:rPr>
                    <w:t>环境风险</w:t>
                  </w:r>
                </w:p>
              </w:tc>
              <w:tc>
                <w:tcPr>
                  <w:tcW w:w="1630" w:type="pct"/>
                  <w:tcBorders>
                    <w:tl2br w:val="nil"/>
                    <w:tr2bl w:val="nil"/>
                  </w:tcBorders>
                  <w:noWrap w:val="0"/>
                  <w:vAlign w:val="center"/>
                </w:tcPr>
                <w:p>
                  <w:pPr>
                    <w:autoSpaceDE w:val="0"/>
                    <w:autoSpaceDN w:val="0"/>
                    <w:adjustRightInd w:val="0"/>
                    <w:snapToGrid w:val="0"/>
                    <w:spacing w:line="240" w:lineRule="auto"/>
                    <w:jc w:val="both"/>
                    <w:rPr>
                      <w:rFonts w:hint="default" w:ascii="宋体" w:hAnsi="宋体" w:eastAsia="宋体" w:cs="宋体"/>
                      <w:color w:val="auto"/>
                      <w:kern w:val="0"/>
                      <w:sz w:val="18"/>
                      <w:szCs w:val="18"/>
                      <w:highlight w:val="none"/>
                      <w:vertAlign w:val="baseline"/>
                      <w:lang w:val="en-US" w:eastAsia="zh-CN"/>
                    </w:rPr>
                  </w:pPr>
                  <w:r>
                    <w:rPr>
                      <w:rFonts w:hint="eastAsia" w:ascii="宋体" w:hAnsi="宋体" w:eastAsia="宋体" w:cs="宋体"/>
                      <w:color w:val="auto"/>
                      <w:kern w:val="0"/>
                      <w:sz w:val="18"/>
                      <w:szCs w:val="18"/>
                      <w:highlight w:val="none"/>
                      <w:vertAlign w:val="baseline"/>
                      <w:lang w:eastAsia="zh-CN"/>
                    </w:rPr>
                    <w:t>有毒有害和易燃易爆危险物质储存量超过临界量</w:t>
                  </w:r>
                  <w:r>
                    <w:rPr>
                      <w:rFonts w:hint="eastAsia" w:ascii="宋体" w:hAnsi="宋体" w:eastAsia="宋体" w:cs="宋体"/>
                      <w:color w:val="auto"/>
                      <w:kern w:val="0"/>
                      <w:sz w:val="18"/>
                      <w:szCs w:val="18"/>
                      <w:highlight w:val="none"/>
                      <w:vertAlign w:val="superscript"/>
                      <w:lang w:val="en-US" w:eastAsia="zh-CN"/>
                    </w:rPr>
                    <w:t>3</w:t>
                  </w:r>
                  <w:r>
                    <w:rPr>
                      <w:rFonts w:hint="eastAsia" w:ascii="宋体" w:hAnsi="宋体" w:eastAsia="宋体" w:cs="宋体"/>
                      <w:color w:val="auto"/>
                      <w:kern w:val="0"/>
                      <w:sz w:val="18"/>
                      <w:szCs w:val="18"/>
                      <w:highlight w:val="none"/>
                      <w:vertAlign w:val="baseline"/>
                      <w:lang w:val="en-US" w:eastAsia="zh-CN"/>
                    </w:rPr>
                    <w:t>的建设项目</w:t>
                  </w:r>
                </w:p>
              </w:tc>
              <w:tc>
                <w:tcPr>
                  <w:tcW w:w="2001" w:type="pct"/>
                  <w:tcBorders>
                    <w:tl2br w:val="nil"/>
                    <w:tr2bl w:val="nil"/>
                  </w:tcBorders>
                  <w:noWrap w:val="0"/>
                  <w:vAlign w:val="center"/>
                </w:tcPr>
                <w:p>
                  <w:pPr>
                    <w:autoSpaceDE w:val="0"/>
                    <w:autoSpaceDN w:val="0"/>
                    <w:adjustRightInd w:val="0"/>
                    <w:snapToGrid w:val="0"/>
                    <w:spacing w:line="240" w:lineRule="auto"/>
                    <w:jc w:val="both"/>
                    <w:rPr>
                      <w:rFonts w:hint="eastAsia" w:ascii="宋体" w:hAnsi="宋体" w:eastAsia="宋体" w:cs="宋体"/>
                      <w:color w:val="auto"/>
                      <w:kern w:val="0"/>
                      <w:sz w:val="18"/>
                      <w:szCs w:val="18"/>
                      <w:highlight w:val="none"/>
                      <w:vertAlign w:val="baseline"/>
                      <w:lang w:eastAsia="zh-CN"/>
                    </w:rPr>
                  </w:pPr>
                  <w:r>
                    <w:rPr>
                      <w:rFonts w:hint="eastAsia" w:ascii="宋体" w:hAnsi="宋体" w:eastAsia="宋体" w:cs="宋体"/>
                      <w:color w:val="auto"/>
                      <w:kern w:val="0"/>
                      <w:sz w:val="18"/>
                      <w:szCs w:val="18"/>
                      <w:highlight w:val="none"/>
                      <w:vertAlign w:val="baseline"/>
                      <w:lang w:eastAsia="zh-CN"/>
                    </w:rPr>
                    <w:t>本项目为宠物医院服务</w:t>
                  </w:r>
                  <w:r>
                    <w:rPr>
                      <w:rFonts w:hint="eastAsia" w:ascii="宋体" w:hAnsi="宋体" w:eastAsia="宋体" w:cs="宋体"/>
                      <w:color w:val="auto"/>
                      <w:kern w:val="0"/>
                      <w:sz w:val="18"/>
                      <w:szCs w:val="18"/>
                      <w:highlight w:val="none"/>
                      <w:vertAlign w:val="baseline"/>
                      <w:lang w:val="en-US" w:eastAsia="zh-CN"/>
                    </w:rPr>
                    <w:t>项目，涉及次氯酸钠有毒有害危险物质但储存量未超过临界量</w:t>
                  </w:r>
                </w:p>
              </w:tc>
              <w:tc>
                <w:tcPr>
                  <w:tcW w:w="683" w:type="pct"/>
                  <w:tcBorders>
                    <w:tl2br w:val="nil"/>
                    <w:tr2bl w:val="nil"/>
                  </w:tcBorders>
                  <w:noWrap w:val="0"/>
                  <w:vAlign w:val="center"/>
                </w:tcPr>
                <w:p>
                  <w:pPr>
                    <w:autoSpaceDE w:val="0"/>
                    <w:autoSpaceDN w:val="0"/>
                    <w:adjustRightInd w:val="0"/>
                    <w:snapToGrid w:val="0"/>
                    <w:spacing w:line="240" w:lineRule="auto"/>
                    <w:ind w:firstLine="180" w:firstLineChars="100"/>
                    <w:jc w:val="both"/>
                    <w:rPr>
                      <w:rFonts w:hint="eastAsia" w:ascii="宋体" w:hAnsi="宋体" w:eastAsia="宋体" w:cs="宋体"/>
                      <w:color w:val="auto"/>
                      <w:kern w:val="0"/>
                      <w:sz w:val="18"/>
                      <w:szCs w:val="18"/>
                      <w:highlight w:val="none"/>
                      <w:vertAlign w:val="baseline"/>
                      <w:lang w:eastAsia="zh-CN"/>
                    </w:rPr>
                  </w:pPr>
                  <w:r>
                    <w:rPr>
                      <w:rFonts w:hint="eastAsia" w:ascii="宋体" w:hAnsi="宋体" w:eastAsia="宋体" w:cs="宋体"/>
                      <w:color w:val="auto"/>
                      <w:kern w:val="0"/>
                      <w:sz w:val="18"/>
                      <w:szCs w:val="18"/>
                      <w:highlight w:val="none"/>
                      <w:vertAlign w:val="baseline"/>
                      <w:lang w:eastAsia="zh-CN"/>
                    </w:rPr>
                    <w:t>否</w:t>
                  </w:r>
                </w:p>
              </w:tc>
            </w:tr>
          </w:tbl>
          <w:p>
            <w:pPr>
              <w:autoSpaceDE w:val="0"/>
              <w:autoSpaceDN w:val="0"/>
              <w:adjustRightInd w:val="0"/>
              <w:snapToGrid w:val="0"/>
              <w:rPr>
                <w:color w:val="auto"/>
                <w:kern w:val="0"/>
                <w:szCs w:val="21"/>
              </w:rPr>
            </w:pPr>
            <w:r>
              <w:rPr>
                <w:rFonts w:hint="eastAsia" w:ascii="Times New Roman" w:hAnsi="Times New Roman" w:eastAsia="宋体" w:cs="Times New Roman"/>
                <w:color w:val="auto"/>
                <w:kern w:val="0"/>
                <w:szCs w:val="21"/>
                <w:highlight w:val="none"/>
                <w:lang w:eastAsia="zh-CN"/>
              </w:rPr>
              <w:t>根据以上分析可知，项目不需设置专章。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8" w:type="dxa"/>
            <w:noWrap/>
            <w:vAlign w:val="center"/>
          </w:tcPr>
          <w:p>
            <w:pPr>
              <w:autoSpaceDE w:val="0"/>
              <w:autoSpaceDN w:val="0"/>
              <w:adjustRightInd w:val="0"/>
              <w:snapToGrid w:val="0"/>
              <w:jc w:val="center"/>
              <w:rPr>
                <w:color w:val="auto"/>
                <w:kern w:val="0"/>
                <w:szCs w:val="21"/>
              </w:rPr>
            </w:pPr>
            <w:r>
              <w:rPr>
                <w:color w:val="auto"/>
                <w:szCs w:val="21"/>
              </w:rPr>
              <w:t>规划情况</w:t>
            </w:r>
          </w:p>
        </w:tc>
        <w:tc>
          <w:tcPr>
            <w:tcW w:w="7191" w:type="dxa"/>
            <w:gridSpan w:val="3"/>
            <w:noWrap/>
            <w:vAlign w:val="center"/>
          </w:tcPr>
          <w:p>
            <w:pPr>
              <w:autoSpaceDE w:val="0"/>
              <w:autoSpaceDN w:val="0"/>
              <w:adjustRightInd w:val="0"/>
              <w:snapToGrid w:val="0"/>
              <w:spacing w:line="360" w:lineRule="auto"/>
              <w:rPr>
                <w:color w:val="auto"/>
                <w:kern w:val="0"/>
                <w:szCs w:val="21"/>
              </w:rPr>
            </w:pPr>
            <w:r>
              <w:rPr>
                <w:rFonts w:hint="eastAsia"/>
                <w:color w:val="auto"/>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8" w:type="dxa"/>
            <w:noWrap/>
            <w:vAlign w:val="center"/>
          </w:tcPr>
          <w:p>
            <w:pPr>
              <w:adjustRightInd w:val="0"/>
              <w:snapToGrid w:val="0"/>
              <w:jc w:val="center"/>
              <w:rPr>
                <w:color w:val="auto"/>
                <w:szCs w:val="21"/>
              </w:rPr>
            </w:pPr>
            <w:r>
              <w:rPr>
                <w:color w:val="auto"/>
                <w:szCs w:val="21"/>
              </w:rPr>
              <w:t>规划环境影响</w:t>
            </w:r>
          </w:p>
          <w:p>
            <w:pPr>
              <w:adjustRightInd w:val="0"/>
              <w:snapToGrid w:val="0"/>
              <w:jc w:val="center"/>
              <w:rPr>
                <w:color w:val="auto"/>
                <w:kern w:val="0"/>
                <w:szCs w:val="21"/>
              </w:rPr>
            </w:pPr>
            <w:r>
              <w:rPr>
                <w:color w:val="auto"/>
                <w:szCs w:val="21"/>
              </w:rPr>
              <w:t>评价情况</w:t>
            </w:r>
          </w:p>
        </w:tc>
        <w:tc>
          <w:tcPr>
            <w:tcW w:w="7191" w:type="dxa"/>
            <w:gridSpan w:val="3"/>
            <w:noWrap/>
            <w:vAlign w:val="center"/>
          </w:tcPr>
          <w:p>
            <w:pPr>
              <w:autoSpaceDE w:val="0"/>
              <w:autoSpaceDN w:val="0"/>
              <w:adjustRightInd w:val="0"/>
              <w:snapToGrid w:val="0"/>
              <w:rPr>
                <w:color w:val="auto"/>
              </w:rPr>
            </w:pPr>
            <w:r>
              <w:rPr>
                <w:color w:val="auto"/>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1668" w:type="dxa"/>
            <w:noWrap/>
            <w:vAlign w:val="center"/>
          </w:tcPr>
          <w:p>
            <w:pPr>
              <w:autoSpaceDE w:val="0"/>
              <w:autoSpaceDN w:val="0"/>
              <w:adjustRightInd w:val="0"/>
              <w:snapToGrid w:val="0"/>
              <w:jc w:val="center"/>
              <w:rPr>
                <w:color w:val="auto"/>
                <w:kern w:val="0"/>
                <w:szCs w:val="21"/>
              </w:rPr>
            </w:pPr>
            <w:r>
              <w:rPr>
                <w:color w:val="auto"/>
                <w:kern w:val="0"/>
                <w:szCs w:val="21"/>
              </w:rPr>
              <w:t>规划及规划环境</w:t>
            </w:r>
          </w:p>
          <w:p>
            <w:pPr>
              <w:autoSpaceDE w:val="0"/>
              <w:autoSpaceDN w:val="0"/>
              <w:adjustRightInd w:val="0"/>
              <w:snapToGrid w:val="0"/>
              <w:jc w:val="center"/>
              <w:rPr>
                <w:color w:val="auto"/>
                <w:kern w:val="0"/>
                <w:szCs w:val="21"/>
              </w:rPr>
            </w:pPr>
            <w:r>
              <w:rPr>
                <w:color w:val="auto"/>
                <w:kern w:val="0"/>
                <w:szCs w:val="21"/>
              </w:rPr>
              <w:t>影响评价符合性分析</w:t>
            </w:r>
          </w:p>
        </w:tc>
        <w:tc>
          <w:tcPr>
            <w:tcW w:w="7191" w:type="dxa"/>
            <w:gridSpan w:val="3"/>
            <w:noWrap/>
            <w:vAlign w:val="center"/>
          </w:tcPr>
          <w:p>
            <w:pPr>
              <w:autoSpaceDE w:val="0"/>
              <w:autoSpaceDN w:val="0"/>
              <w:adjustRightInd w:val="0"/>
              <w:snapToGrid w:val="0"/>
              <w:spacing w:line="360" w:lineRule="auto"/>
              <w:jc w:val="left"/>
              <w:rPr>
                <w:color w:val="auto"/>
              </w:rPr>
            </w:pPr>
            <w:r>
              <w:rPr>
                <w:color w:val="auto"/>
              </w:rPr>
              <w:t>1、产业政策符合性分析</w:t>
            </w:r>
          </w:p>
          <w:p>
            <w:pPr>
              <w:topLinePunct/>
              <w:autoSpaceDE w:val="0"/>
              <w:autoSpaceDN w:val="0"/>
              <w:adjustRightInd w:val="0"/>
              <w:snapToGrid w:val="0"/>
              <w:spacing w:line="360" w:lineRule="auto"/>
              <w:ind w:left="2" w:leftChars="1" w:firstLine="420" w:firstLineChars="200"/>
              <w:jc w:val="left"/>
              <w:rPr>
                <w:color w:val="auto"/>
              </w:rPr>
            </w:pPr>
            <w:r>
              <w:rPr>
                <w:color w:val="auto"/>
              </w:rPr>
              <w:t>项目为宠物医院服务，根据《产业结构调整指导目录》</w:t>
            </w:r>
            <w:r>
              <w:rPr>
                <w:rFonts w:hint="eastAsia"/>
                <w:color w:val="auto"/>
              </w:rPr>
              <w:t>（</w:t>
            </w:r>
            <w:r>
              <w:rPr>
                <w:color w:val="auto"/>
              </w:rPr>
              <w:t>2019年</w:t>
            </w:r>
            <w:r>
              <w:rPr>
                <w:rFonts w:hint="eastAsia"/>
                <w:color w:val="auto"/>
              </w:rPr>
              <w:t>版）</w:t>
            </w:r>
            <w:r>
              <w:rPr>
                <w:color w:val="auto"/>
              </w:rPr>
              <w:t>的有关规定，本项目不属于鼓励类、限制类及淘汰类，视为允许类。因此，项目符合国家产业政策。</w:t>
            </w:r>
          </w:p>
          <w:p>
            <w:pPr>
              <w:keepNext w:val="0"/>
              <w:keepLines w:val="0"/>
              <w:pageBreakBefore w:val="0"/>
              <w:widowControl w:val="0"/>
              <w:kinsoku/>
              <w:wordWrap w:val="0"/>
              <w:overflowPunct/>
              <w:topLinePunct/>
              <w:autoSpaceDE/>
              <w:autoSpaceDN/>
              <w:bidi w:val="0"/>
              <w:adjustRightInd/>
              <w:snapToGrid/>
              <w:spacing w:line="360" w:lineRule="auto"/>
              <w:ind w:firstLine="420" w:firstLineChars="200"/>
              <w:textAlignment w:val="auto"/>
              <w:rPr>
                <w:color w:val="auto"/>
              </w:rPr>
            </w:pPr>
            <w:r>
              <w:rPr>
                <w:rFonts w:hint="default"/>
                <w:color w:val="auto"/>
              </w:rPr>
              <w:t>同时，</w:t>
            </w:r>
            <w:r>
              <w:rPr>
                <w:rFonts w:hint="eastAsia"/>
                <w:color w:val="auto"/>
                <w:szCs w:val="21"/>
                <w:lang w:eastAsia="zh-CN"/>
              </w:rPr>
              <w:t>苍溪县发展和改革局</w:t>
            </w:r>
            <w:r>
              <w:rPr>
                <w:rFonts w:hint="eastAsia"/>
                <w:color w:val="auto"/>
                <w:lang w:val="en-US" w:eastAsia="zh-CN"/>
              </w:rPr>
              <w:t>以</w:t>
            </w:r>
            <w:r>
              <w:rPr>
                <w:rFonts w:hint="eastAsia"/>
                <w:color w:val="auto"/>
                <w:szCs w:val="21"/>
                <w:lang w:val="en-US" w:eastAsia="zh-CN"/>
              </w:rPr>
              <w:t>川投资备【2307-510824-04-01-241246】FGQB-0217</w:t>
            </w:r>
            <w:r>
              <w:rPr>
                <w:rFonts w:hint="eastAsia"/>
                <w:color w:val="auto"/>
                <w:lang w:val="en-US" w:eastAsia="zh-CN"/>
              </w:rPr>
              <w:t>号</w:t>
            </w:r>
            <w:r>
              <w:rPr>
                <w:rFonts w:hint="default"/>
                <w:color w:val="auto"/>
              </w:rPr>
              <w:t>对其进行了立项备案。因此，项目符合国家现行产业政策。</w:t>
            </w:r>
          </w:p>
        </w:tc>
      </w:tr>
    </w:tbl>
    <w:p>
      <w:pPr>
        <w:autoSpaceDE w:val="0"/>
        <w:autoSpaceDN w:val="0"/>
        <w:adjustRightInd w:val="0"/>
        <w:snapToGrid w:val="0"/>
        <w:jc w:val="center"/>
        <w:rPr>
          <w:color w:val="auto"/>
          <w:kern w:val="0"/>
          <w:szCs w:val="21"/>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382"/>
        <w:gridCol w:w="647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02" w:hRule="atLeast"/>
          <w:jc w:val="center"/>
        </w:trPr>
        <w:tc>
          <w:tcPr>
            <w:tcW w:w="2382" w:type="dxa"/>
            <w:noWrap/>
            <w:vAlign w:val="center"/>
          </w:tcPr>
          <w:p>
            <w:pPr>
              <w:autoSpaceDE w:val="0"/>
              <w:autoSpaceDN w:val="0"/>
              <w:adjustRightInd w:val="0"/>
              <w:snapToGrid w:val="0"/>
              <w:jc w:val="center"/>
              <w:rPr>
                <w:color w:val="auto"/>
                <w:kern w:val="0"/>
                <w:szCs w:val="21"/>
              </w:rPr>
            </w:pPr>
            <w:r>
              <w:rPr>
                <w:color w:val="auto"/>
                <w:kern w:val="0"/>
                <w:szCs w:val="21"/>
              </w:rPr>
              <w:t>其他符合性分析</w:t>
            </w:r>
          </w:p>
        </w:tc>
        <w:tc>
          <w:tcPr>
            <w:tcW w:w="6477" w:type="dxa"/>
            <w:noWrap/>
            <w:vAlign w:val="center"/>
          </w:tcPr>
          <w:p>
            <w:pPr>
              <w:numPr>
                <w:ilvl w:val="0"/>
                <w:numId w:val="0"/>
              </w:numPr>
              <w:spacing w:line="360" w:lineRule="auto"/>
              <w:ind w:firstLine="422" w:firstLineChars="200"/>
              <w:jc w:val="left"/>
              <w:rPr>
                <w:color w:val="auto"/>
              </w:rPr>
            </w:pPr>
            <w:r>
              <w:rPr>
                <w:rFonts w:hint="eastAsia"/>
                <w:b/>
                <w:bCs/>
                <w:color w:val="auto"/>
                <w:lang w:val="en-US" w:eastAsia="zh-CN"/>
              </w:rPr>
              <w:t>1、</w:t>
            </w:r>
            <w:r>
              <w:rPr>
                <w:b/>
                <w:bCs/>
                <w:color w:val="auto"/>
              </w:rPr>
              <w:t>用地规划符合性：</w:t>
            </w:r>
            <w:r>
              <w:rPr>
                <w:color w:val="auto"/>
              </w:rPr>
              <w:t>本项目</w:t>
            </w:r>
            <w:r>
              <w:rPr>
                <w:rFonts w:hint="eastAsia"/>
                <w:color w:val="auto"/>
              </w:rPr>
              <w:t>系租赁房屋所有权人</w:t>
            </w:r>
            <w:r>
              <w:rPr>
                <w:rFonts w:hint="eastAsia"/>
                <w:color w:val="auto"/>
                <w:lang w:eastAsia="zh-CN"/>
              </w:rPr>
              <w:t>谢家明</w:t>
            </w:r>
            <w:r>
              <w:rPr>
                <w:color w:val="auto"/>
              </w:rPr>
              <w:t>位于四川省</w:t>
            </w:r>
            <w:r>
              <w:rPr>
                <w:rFonts w:hint="eastAsia"/>
                <w:color w:val="auto"/>
                <w:lang w:eastAsia="zh-CN"/>
              </w:rPr>
              <w:t>苍溪县陵江镇江南二环路</w:t>
            </w:r>
            <w:r>
              <w:rPr>
                <w:rFonts w:hint="eastAsia"/>
                <w:color w:val="auto"/>
                <w:lang w:val="en-US" w:eastAsia="zh-CN"/>
              </w:rPr>
              <w:t>1栋1单元1-3商铺</w:t>
            </w:r>
            <w:r>
              <w:rPr>
                <w:rFonts w:hint="eastAsia"/>
                <w:color w:val="auto"/>
              </w:rPr>
              <w:t>，</w:t>
            </w:r>
            <w:r>
              <w:rPr>
                <w:rFonts w:hint="eastAsia"/>
                <w:color w:val="auto"/>
                <w:lang w:eastAsia="zh-CN"/>
              </w:rPr>
              <w:t>根据商品房买卖合同网上备案表</w:t>
            </w:r>
            <w:r>
              <w:rPr>
                <w:rFonts w:hint="eastAsia"/>
                <w:color w:val="auto"/>
              </w:rPr>
              <w:t>，房屋用途为商服用地/商业服务，可作为经营场所供本项目使用。因此，项目符合房屋的使用功能。</w:t>
            </w:r>
          </w:p>
          <w:p>
            <w:pPr>
              <w:spacing w:line="360" w:lineRule="auto"/>
              <w:ind w:firstLine="422" w:firstLineChars="200"/>
              <w:rPr>
                <w:b/>
                <w:bCs/>
                <w:color w:val="auto"/>
              </w:rPr>
            </w:pPr>
            <w:r>
              <w:rPr>
                <w:rFonts w:hint="eastAsia"/>
                <w:b/>
                <w:bCs/>
                <w:color w:val="auto"/>
                <w:lang w:val="en-US" w:eastAsia="zh-CN"/>
              </w:rPr>
              <w:t>2、</w:t>
            </w:r>
            <w:r>
              <w:rPr>
                <w:rFonts w:hint="eastAsia"/>
                <w:b/>
                <w:bCs/>
                <w:color w:val="auto"/>
              </w:rPr>
              <w:t>本项目与《动物诊疗机构管理办法》的符合性分析</w:t>
            </w:r>
          </w:p>
          <w:p>
            <w:pPr>
              <w:spacing w:line="360" w:lineRule="auto"/>
              <w:ind w:firstLine="210" w:firstLineChars="100"/>
              <w:rPr>
                <w:color w:val="auto"/>
              </w:rPr>
            </w:pPr>
            <w:r>
              <w:rPr>
                <w:rFonts w:hint="eastAsia"/>
                <w:color w:val="auto"/>
              </w:rPr>
              <w:t xml:space="preserve"> 对比《动物诊疗机构管理办法》（农业部令19号）的相关规定，本项目建设情况如下：</w:t>
            </w:r>
          </w:p>
          <w:p>
            <w:pPr>
              <w:ind w:firstLine="361" w:firstLineChars="200"/>
              <w:rPr>
                <w:b/>
                <w:bCs/>
                <w:color w:val="auto"/>
                <w:sz w:val="18"/>
                <w:szCs w:val="18"/>
              </w:rPr>
            </w:pPr>
            <w:r>
              <w:rPr>
                <w:rFonts w:hint="eastAsia"/>
                <w:b/>
                <w:bCs/>
                <w:color w:val="auto"/>
                <w:sz w:val="18"/>
                <w:szCs w:val="18"/>
              </w:rPr>
              <w:t>表1-</w:t>
            </w:r>
            <w:r>
              <w:rPr>
                <w:rFonts w:hint="eastAsia"/>
                <w:b/>
                <w:bCs/>
                <w:color w:val="auto"/>
                <w:sz w:val="18"/>
                <w:szCs w:val="18"/>
                <w:lang w:val="en-US" w:eastAsia="zh-CN"/>
              </w:rPr>
              <w:t>2</w:t>
            </w:r>
            <w:r>
              <w:rPr>
                <w:rFonts w:hint="eastAsia"/>
                <w:b/>
                <w:bCs/>
                <w:color w:val="auto"/>
                <w:sz w:val="18"/>
                <w:szCs w:val="18"/>
              </w:rPr>
              <w:t xml:space="preserve"> 项目与《动物诊疗机构管理办法》（农业部令19号）的符合性</w:t>
            </w:r>
          </w:p>
          <w:tbl>
            <w:tblPr>
              <w:tblStyle w:val="22"/>
              <w:tblW w:w="6438"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322"/>
              <w:gridCol w:w="130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73" w:hRule="atLeast"/>
              </w:trPr>
              <w:tc>
                <w:tcPr>
                  <w:tcW w:w="2810" w:type="dxa"/>
                  <w:tcBorders>
                    <w:tl2br w:val="nil"/>
                    <w:tr2bl w:val="nil"/>
                  </w:tcBorders>
                </w:tcPr>
                <w:p>
                  <w:pPr>
                    <w:pStyle w:val="7"/>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《动物诊疗机构管理办法》相关规定要求</w:t>
                  </w:r>
                </w:p>
              </w:tc>
              <w:tc>
                <w:tcPr>
                  <w:tcW w:w="2322" w:type="dxa"/>
                  <w:tcBorders>
                    <w:tl2br w:val="nil"/>
                    <w:tr2bl w:val="nil"/>
                  </w:tcBorders>
                </w:tcPr>
                <w:p>
                  <w:pPr>
                    <w:pStyle w:val="7"/>
                    <w:ind w:firstLine="361" w:firstLineChars="200"/>
                    <w:rPr>
                      <w:rFonts w:ascii="Times New Roman" w:hAnsi="Times New Roman" w:cs="Times New Roman"/>
                      <w:b/>
                      <w:bCs/>
                      <w:color w:val="auto"/>
                      <w:sz w:val="18"/>
                      <w:szCs w:val="18"/>
                    </w:rPr>
                  </w:pPr>
                  <w:r>
                    <w:rPr>
                      <w:rFonts w:ascii="Times New Roman" w:hAnsi="Times New Roman" w:cs="Times New Roman"/>
                      <w:b/>
                      <w:bCs/>
                      <w:color w:val="auto"/>
                      <w:sz w:val="18"/>
                      <w:szCs w:val="18"/>
                    </w:rPr>
                    <w:t>本项目建设情况</w:t>
                  </w:r>
                </w:p>
              </w:tc>
              <w:tc>
                <w:tcPr>
                  <w:tcW w:w="1306" w:type="dxa"/>
                  <w:tcBorders>
                    <w:tl2br w:val="nil"/>
                    <w:tr2bl w:val="nil"/>
                  </w:tcBorders>
                </w:tcPr>
                <w:p>
                  <w:pPr>
                    <w:pStyle w:val="7"/>
                    <w:rPr>
                      <w:rFonts w:ascii="Times New Roman" w:hAnsi="Times New Roman" w:cs="Times New Roman"/>
                      <w:b/>
                      <w:bCs/>
                      <w:color w:val="auto"/>
                      <w:sz w:val="18"/>
                      <w:szCs w:val="18"/>
                    </w:rPr>
                  </w:pPr>
                  <w:r>
                    <w:rPr>
                      <w:rFonts w:ascii="Times New Roman" w:hAnsi="Times New Roman" w:cs="Times New Roman"/>
                      <w:b/>
                      <w:bCs/>
                      <w:color w:val="auto"/>
                      <w:sz w:val="18"/>
                      <w:szCs w:val="18"/>
                    </w:rPr>
                    <w:t>是否符合要求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6438" w:type="dxa"/>
                  <w:gridSpan w:val="3"/>
                  <w:tcBorders>
                    <w:tl2br w:val="nil"/>
                    <w:tr2bl w:val="nil"/>
                  </w:tcBorders>
                </w:tcPr>
                <w:p>
                  <w:pPr>
                    <w:pStyle w:val="7"/>
                    <w:rPr>
                      <w:rFonts w:hint="default" w:ascii="Times New Roman" w:hAnsi="Times New Roman" w:eastAsia="宋体" w:cs="Times New Roman"/>
                      <w:color w:val="auto"/>
                      <w:sz w:val="18"/>
                      <w:szCs w:val="18"/>
                      <w:lang w:val="en-US" w:eastAsia="zh-CN"/>
                    </w:rPr>
                  </w:pPr>
                  <w:r>
                    <w:rPr>
                      <w:rFonts w:hint="eastAsia" w:ascii="Times New Roman" w:hAnsi="Times New Roman" w:cs="Times New Roman"/>
                      <w:color w:val="auto"/>
                      <w:sz w:val="18"/>
                      <w:szCs w:val="18"/>
                      <w:lang w:val="en-US" w:eastAsia="zh-CN"/>
                    </w:rPr>
                    <w:t xml:space="preserve">        第五条 申请设立动物诊疗机构的，应当具备下列条件：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有固定的动物诊疗场所，且动物诊疗场所使用面积符合省、自治区、直辖市人民政府兽医主管部门的规定</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本项目位于四川省广元市</w:t>
                  </w:r>
                  <w:r>
                    <w:rPr>
                      <w:rFonts w:hint="eastAsia" w:ascii="Times New Roman" w:hAnsi="Times New Roman" w:cs="Times New Roman"/>
                      <w:color w:val="auto"/>
                      <w:sz w:val="18"/>
                      <w:szCs w:val="18"/>
                      <w:lang w:eastAsia="zh-CN"/>
                    </w:rPr>
                    <w:t>苍溪县陵江镇江南二环路</w:t>
                  </w:r>
                  <w:r>
                    <w:rPr>
                      <w:rFonts w:hint="eastAsia" w:ascii="Times New Roman" w:hAnsi="Times New Roman" w:cs="Times New Roman"/>
                      <w:color w:val="auto"/>
                      <w:sz w:val="18"/>
                      <w:szCs w:val="18"/>
                      <w:lang w:val="en-US" w:eastAsia="zh-CN"/>
                    </w:rPr>
                    <w:t>1栋1单元1-3号</w:t>
                  </w:r>
                  <w:r>
                    <w:rPr>
                      <w:rFonts w:ascii="Times New Roman" w:hAnsi="Times New Roman" w:cs="Times New Roman"/>
                      <w:color w:val="auto"/>
                      <w:sz w:val="18"/>
                      <w:szCs w:val="18"/>
                    </w:rPr>
                    <w:t>，且动物诊疗场所使用面积符合省、自治区、直辖市人民政府兽医主管部门的规定</w:t>
                  </w:r>
                </w:p>
              </w:tc>
              <w:tc>
                <w:tcPr>
                  <w:tcW w:w="1306"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 xml:space="preserve">   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动物诊疗场所选址距离畜禽养殖场、屠宰加工场、动物交易场所不少于200米</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医院处城市建成区，周边无畜禽养殖场、屠宰加工厂、动物交易所等。</w:t>
                  </w:r>
                </w:p>
              </w:tc>
              <w:tc>
                <w:tcPr>
                  <w:tcW w:w="1306" w:type="dxa"/>
                  <w:tcBorders>
                    <w:tl2br w:val="nil"/>
                    <w:tr2bl w:val="nil"/>
                  </w:tcBorders>
                </w:tcPr>
                <w:p>
                  <w:pPr>
                    <w:pStyle w:val="7"/>
                    <w:ind w:firstLine="360" w:firstLineChars="200"/>
                    <w:rPr>
                      <w:rFonts w:ascii="Times New Roman" w:hAnsi="Times New Roman" w:cs="Times New Roman"/>
                      <w:color w:val="auto"/>
                      <w:sz w:val="18"/>
                      <w:szCs w:val="18"/>
                    </w:rPr>
                  </w:pPr>
                  <w:r>
                    <w:rPr>
                      <w:rFonts w:ascii="Times New Roman" w:hAnsi="Times New Roman" w:cs="Times New Roman"/>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动物诊疗场所设有独立的出入口，出入口不得设在居民住宅楼内或者院内，不得与同一建筑物的其他住户共用通道</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医院设有1个专门的出入口，出入口</w:t>
                  </w:r>
                  <w:r>
                    <w:rPr>
                      <w:rFonts w:hint="eastAsia" w:ascii="Times New Roman" w:hAnsi="Times New Roman" w:cs="Times New Roman"/>
                      <w:color w:val="auto"/>
                      <w:sz w:val="18"/>
                      <w:szCs w:val="18"/>
                      <w:lang w:eastAsia="zh-CN"/>
                    </w:rPr>
                    <w:t>未</w:t>
                  </w:r>
                  <w:r>
                    <w:rPr>
                      <w:rFonts w:ascii="Times New Roman" w:hAnsi="Times New Roman" w:cs="Times New Roman"/>
                      <w:color w:val="auto"/>
                      <w:sz w:val="18"/>
                      <w:szCs w:val="18"/>
                    </w:rPr>
                    <w:t>设在居民住宅楼内或者院内</w:t>
                  </w:r>
                  <w:r>
                    <w:rPr>
                      <w:rFonts w:hint="eastAsia" w:ascii="Times New Roman" w:hAnsi="Times New Roman" w:cs="Times New Roman"/>
                      <w:color w:val="auto"/>
                      <w:sz w:val="18"/>
                      <w:szCs w:val="18"/>
                      <w:lang w:eastAsia="zh-CN"/>
                    </w:rPr>
                    <w:t>，</w:t>
                  </w:r>
                  <w:r>
                    <w:rPr>
                      <w:rFonts w:ascii="Times New Roman" w:hAnsi="Times New Roman" w:cs="Times New Roman"/>
                      <w:color w:val="auto"/>
                      <w:sz w:val="18"/>
                      <w:szCs w:val="18"/>
                    </w:rPr>
                    <w:t>不与建筑物的其他用户共用通道，符合该管理办法</w:t>
                  </w:r>
                </w:p>
              </w:tc>
              <w:tc>
                <w:tcPr>
                  <w:tcW w:w="1306" w:type="dxa"/>
                  <w:tcBorders>
                    <w:tl2br w:val="nil"/>
                    <w:tr2bl w:val="nil"/>
                  </w:tcBorders>
                </w:tcPr>
                <w:p>
                  <w:pPr>
                    <w:pStyle w:val="7"/>
                    <w:ind w:firstLine="360" w:firstLineChars="200"/>
                    <w:rPr>
                      <w:rFonts w:ascii="Times New Roman" w:hAnsi="Times New Roman" w:cs="Times New Roman"/>
                      <w:color w:val="auto"/>
                      <w:sz w:val="18"/>
                      <w:szCs w:val="18"/>
                    </w:rPr>
                  </w:pPr>
                  <w:r>
                    <w:rPr>
                      <w:rFonts w:ascii="Times New Roman" w:hAnsi="Times New Roman" w:cs="Times New Roman"/>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具有布局合理的诊疗室、手术室、药房等设施</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医院设</w:t>
                  </w:r>
                  <w:r>
                    <w:rPr>
                      <w:rFonts w:hint="eastAsia" w:ascii="Times New Roman" w:hAnsi="Times New Roman" w:cs="Times New Roman"/>
                      <w:color w:val="auto"/>
                      <w:sz w:val="18"/>
                      <w:szCs w:val="18"/>
                      <w:lang w:eastAsia="zh-CN"/>
                    </w:rPr>
                    <w:t>有</w:t>
                  </w:r>
                  <w:r>
                    <w:rPr>
                      <w:rFonts w:ascii="Times New Roman" w:hAnsi="Times New Roman" w:cs="Times New Roman"/>
                      <w:color w:val="auto"/>
                      <w:sz w:val="18"/>
                      <w:szCs w:val="18"/>
                    </w:rPr>
                    <w:t>诊疗室、手术室、药房等设施，布局合理</w:t>
                  </w:r>
                </w:p>
              </w:tc>
              <w:tc>
                <w:tcPr>
                  <w:tcW w:w="1306" w:type="dxa"/>
                  <w:tcBorders>
                    <w:tl2br w:val="nil"/>
                    <w:tr2bl w:val="nil"/>
                  </w:tcBorders>
                </w:tcPr>
                <w:p>
                  <w:pPr>
                    <w:pStyle w:val="7"/>
                    <w:ind w:firstLine="360" w:firstLineChars="200"/>
                    <w:rPr>
                      <w:rFonts w:ascii="Times New Roman" w:hAnsi="Times New Roman" w:cs="Times New Roman"/>
                      <w:color w:val="auto"/>
                      <w:sz w:val="18"/>
                      <w:szCs w:val="18"/>
                    </w:rPr>
                  </w:pPr>
                  <w:r>
                    <w:rPr>
                      <w:rFonts w:ascii="Times New Roman" w:hAnsi="Times New Roman" w:cs="Times New Roman"/>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具有诊断、手术、消毒、冷藏、常规化验、污水处理等器械设备</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医院内设置了诊断室、手术室等，具有诊断、手术、消毒、冷藏、常规检验、污水处理等相关器械设备</w:t>
                  </w:r>
                </w:p>
              </w:tc>
              <w:tc>
                <w:tcPr>
                  <w:tcW w:w="1306" w:type="dxa"/>
                  <w:tcBorders>
                    <w:tl2br w:val="nil"/>
                    <w:tr2bl w:val="nil"/>
                  </w:tcBorders>
                </w:tcPr>
                <w:p>
                  <w:pPr>
                    <w:pStyle w:val="7"/>
                    <w:ind w:firstLine="360" w:firstLineChars="200"/>
                    <w:rPr>
                      <w:rFonts w:ascii="Times New Roman" w:hAnsi="Times New Roman" w:cs="Times New Roman"/>
                      <w:color w:val="auto"/>
                      <w:sz w:val="18"/>
                      <w:szCs w:val="18"/>
                    </w:rPr>
                  </w:pPr>
                  <w:r>
                    <w:rPr>
                      <w:rFonts w:ascii="Times New Roman" w:hAnsi="Times New Roman" w:cs="Times New Roman"/>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具有1名以上取得执业兽医资格证书的人员</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具有1名以上取得执业兽医资格证书的人员</w:t>
                  </w:r>
                </w:p>
              </w:tc>
              <w:tc>
                <w:tcPr>
                  <w:tcW w:w="1306" w:type="dxa"/>
                  <w:tcBorders>
                    <w:tl2br w:val="nil"/>
                    <w:tr2bl w:val="nil"/>
                  </w:tcBorders>
                </w:tcPr>
                <w:p>
                  <w:pPr>
                    <w:pStyle w:val="7"/>
                    <w:ind w:firstLine="360" w:firstLineChars="200"/>
                    <w:rPr>
                      <w:rFonts w:ascii="Times New Roman" w:hAnsi="Times New Roman" w:cs="Times New Roman"/>
                      <w:color w:val="auto"/>
                      <w:sz w:val="18"/>
                      <w:szCs w:val="18"/>
                    </w:rPr>
                  </w:pPr>
                  <w:r>
                    <w:rPr>
                      <w:rFonts w:ascii="Times New Roman" w:hAnsi="Times New Roman" w:cs="Times New Roman"/>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2810"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具有完善的诊疗服务、疫情报告、卫生消毒、兽医处方、药物和无害化处理等管理制度</w:t>
                  </w:r>
                </w:p>
              </w:tc>
              <w:tc>
                <w:tcPr>
                  <w:tcW w:w="2322" w:type="dxa"/>
                  <w:tcBorders>
                    <w:tl2br w:val="nil"/>
                    <w:tr2bl w:val="nil"/>
                  </w:tcBorders>
                </w:tcPr>
                <w:p>
                  <w:pPr>
                    <w:pStyle w:val="7"/>
                    <w:rPr>
                      <w:rFonts w:ascii="Times New Roman" w:hAnsi="Times New Roman" w:cs="Times New Roman"/>
                      <w:color w:val="auto"/>
                      <w:sz w:val="18"/>
                      <w:szCs w:val="18"/>
                    </w:rPr>
                  </w:pPr>
                  <w:r>
                    <w:rPr>
                      <w:rFonts w:ascii="Times New Roman" w:hAnsi="Times New Roman" w:cs="Times New Roman"/>
                      <w:color w:val="auto"/>
                      <w:sz w:val="18"/>
                      <w:szCs w:val="18"/>
                    </w:rPr>
                    <w:t>具有完善的诊疗服务、疫情报告、卫生消毒、兽医处方、药物和无害化处理等管理制度</w:t>
                  </w:r>
                </w:p>
              </w:tc>
              <w:tc>
                <w:tcPr>
                  <w:tcW w:w="1306" w:type="dxa"/>
                  <w:tcBorders>
                    <w:tl2br w:val="nil"/>
                    <w:tr2bl w:val="nil"/>
                  </w:tcBorders>
                </w:tcPr>
                <w:p>
                  <w:pPr>
                    <w:pStyle w:val="7"/>
                    <w:ind w:firstLine="360" w:firstLineChars="200"/>
                    <w:rPr>
                      <w:rFonts w:ascii="Times New Roman" w:hAnsi="Times New Roman" w:cs="Times New Roman"/>
                      <w:color w:val="auto"/>
                      <w:sz w:val="18"/>
                      <w:szCs w:val="18"/>
                    </w:rPr>
                  </w:pPr>
                  <w:r>
                    <w:rPr>
                      <w:rFonts w:ascii="Times New Roman" w:hAnsi="Times New Roman" w:cs="Times New Roman"/>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6438" w:type="dxa"/>
                  <w:gridSpan w:val="3"/>
                  <w:tcBorders>
                    <w:tl2br w:val="nil"/>
                    <w:tr2bl w:val="nil"/>
                  </w:tcBorders>
                </w:tcPr>
                <w:p>
                  <w:pPr>
                    <w:pStyle w:val="7"/>
                    <w:rPr>
                      <w:rFonts w:hint="default" w:ascii="Times New Roman" w:hAnsi="Times New Roman" w:eastAsia="宋体" w:cs="Times New Roman"/>
                      <w:color w:val="auto"/>
                      <w:sz w:val="18"/>
                      <w:szCs w:val="18"/>
                      <w:lang w:val="en-US" w:eastAsia="zh-CN"/>
                    </w:rPr>
                  </w:pPr>
                  <w:r>
                    <w:rPr>
                      <w:rFonts w:hint="eastAsia" w:ascii="Times New Roman" w:hAnsi="Times New Roman" w:cs="Times New Roman"/>
                      <w:color w:val="auto"/>
                      <w:sz w:val="18"/>
                      <w:szCs w:val="18"/>
                      <w:lang w:eastAsia="zh-CN"/>
                    </w:rPr>
                    <w:t>第六条</w:t>
                  </w:r>
                  <w:r>
                    <w:rPr>
                      <w:rFonts w:hint="eastAsia" w:ascii="Times New Roman" w:hAnsi="Times New Roman" w:cs="Times New Roman"/>
                      <w:color w:val="auto"/>
                      <w:sz w:val="18"/>
                      <w:szCs w:val="18"/>
                      <w:lang w:val="en-US" w:eastAsia="zh-CN"/>
                    </w:rPr>
                    <w:t xml:space="preserve"> 动物诊疗机构从事动物颅腔、胸腔和腹腔手术的，除具备本办法第五条规定的条件外，还应当具备以下条件：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2810" w:type="dxa"/>
                  <w:tcBorders>
                    <w:tl2br w:val="nil"/>
                    <w:tr2bl w:val="nil"/>
                  </w:tcBorders>
                </w:tcPr>
                <w:p>
                  <w:pPr>
                    <w:pStyle w:val="7"/>
                    <w:rPr>
                      <w:rFonts w:hint="default"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eastAsia="zh-CN"/>
                    </w:rPr>
                    <w:t>具有手术台、</w:t>
                  </w:r>
                  <w:r>
                    <w:rPr>
                      <w:rFonts w:hint="eastAsia" w:ascii="Times New Roman" w:hAnsi="Times New Roman" w:cs="Times New Roman"/>
                      <w:color w:val="auto"/>
                      <w:sz w:val="18"/>
                      <w:szCs w:val="18"/>
                      <w:lang w:val="en-US" w:eastAsia="zh-CN"/>
                    </w:rPr>
                    <w:t>X光机或者B超等机械设备</w:t>
                  </w:r>
                </w:p>
              </w:tc>
              <w:tc>
                <w:tcPr>
                  <w:tcW w:w="2322" w:type="dxa"/>
                  <w:tcBorders>
                    <w:tl2br w:val="nil"/>
                    <w:tr2bl w:val="nil"/>
                  </w:tcBorders>
                </w:tcPr>
                <w:p>
                  <w:pPr>
                    <w:pStyle w:val="7"/>
                    <w:rPr>
                      <w:rFonts w:hint="eastAsia" w:ascii="Times New Roman" w:hAnsi="Times New Roman" w:cs="Times New Roman"/>
                      <w:color w:val="auto"/>
                      <w:sz w:val="18"/>
                      <w:szCs w:val="18"/>
                      <w:lang w:eastAsia="zh-CN"/>
                    </w:rPr>
                  </w:pPr>
                  <w:r>
                    <w:rPr>
                      <w:rFonts w:hint="eastAsia" w:ascii="Times New Roman" w:hAnsi="Times New Roman" w:cs="Times New Roman"/>
                      <w:color w:val="auto"/>
                      <w:sz w:val="18"/>
                      <w:szCs w:val="18"/>
                      <w:lang w:eastAsia="zh-CN"/>
                    </w:rPr>
                    <w:t>本项目具备手术台等机械设备</w:t>
                  </w:r>
                </w:p>
              </w:tc>
              <w:tc>
                <w:tcPr>
                  <w:tcW w:w="1306" w:type="dxa"/>
                  <w:tcBorders>
                    <w:tl2br w:val="nil"/>
                    <w:tr2bl w:val="nil"/>
                  </w:tcBorders>
                </w:tcPr>
                <w:p>
                  <w:pPr>
                    <w:pStyle w:val="7"/>
                    <w:rPr>
                      <w:rFonts w:hint="default"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val="en-US" w:eastAsia="zh-CN"/>
                    </w:rPr>
                    <w:t xml:space="preserve">    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2810" w:type="dxa"/>
                  <w:tcBorders>
                    <w:tl2br w:val="nil"/>
                    <w:tr2bl w:val="nil"/>
                  </w:tcBorders>
                </w:tcPr>
                <w:p>
                  <w:pPr>
                    <w:pStyle w:val="7"/>
                    <w:rPr>
                      <w:rFonts w:hint="default"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eastAsia="zh-CN"/>
                    </w:rPr>
                    <w:t>具有</w:t>
                  </w:r>
                  <w:r>
                    <w:rPr>
                      <w:rFonts w:hint="eastAsia" w:ascii="Times New Roman" w:hAnsi="Times New Roman" w:cs="Times New Roman"/>
                      <w:color w:val="auto"/>
                      <w:sz w:val="18"/>
                      <w:szCs w:val="18"/>
                      <w:lang w:val="en-US" w:eastAsia="zh-CN"/>
                    </w:rPr>
                    <w:t>3名以上取得执业兽医师资格证书的人员</w:t>
                  </w:r>
                </w:p>
              </w:tc>
              <w:tc>
                <w:tcPr>
                  <w:tcW w:w="2322" w:type="dxa"/>
                  <w:tcBorders>
                    <w:tl2br w:val="nil"/>
                    <w:tr2bl w:val="nil"/>
                  </w:tcBorders>
                </w:tcPr>
                <w:p>
                  <w:pPr>
                    <w:pStyle w:val="7"/>
                    <w:rPr>
                      <w:rFonts w:hint="default"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eastAsia="zh-CN"/>
                    </w:rPr>
                    <w:t>本项目具备</w:t>
                  </w:r>
                  <w:r>
                    <w:rPr>
                      <w:rFonts w:hint="eastAsia" w:ascii="Times New Roman" w:hAnsi="Times New Roman" w:cs="Times New Roman"/>
                      <w:color w:val="auto"/>
                      <w:sz w:val="18"/>
                      <w:szCs w:val="18"/>
                      <w:lang w:val="en-US" w:eastAsia="zh-CN"/>
                    </w:rPr>
                    <w:t>5名取得执业兽医师资格证书的人员</w:t>
                  </w:r>
                </w:p>
              </w:tc>
              <w:tc>
                <w:tcPr>
                  <w:tcW w:w="1306" w:type="dxa"/>
                  <w:tcBorders>
                    <w:tl2br w:val="nil"/>
                    <w:tr2bl w:val="nil"/>
                  </w:tcBorders>
                </w:tcPr>
                <w:p>
                  <w:pPr>
                    <w:pStyle w:val="7"/>
                    <w:rPr>
                      <w:rFonts w:hint="default"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val="en-US" w:eastAsia="zh-CN"/>
                    </w:rPr>
                    <w:t xml:space="preserve">    符合</w:t>
                  </w:r>
                </w:p>
              </w:tc>
            </w:tr>
          </w:tbl>
          <w:p>
            <w:pPr>
              <w:autoSpaceDE w:val="0"/>
              <w:autoSpaceDN w:val="0"/>
              <w:adjustRightInd w:val="0"/>
              <w:snapToGrid w:val="0"/>
              <w:spacing w:line="360" w:lineRule="auto"/>
              <w:ind w:firstLine="211" w:firstLineChars="100"/>
              <w:rPr>
                <w:b/>
                <w:bCs/>
                <w:color w:val="auto"/>
              </w:rPr>
            </w:pPr>
            <w:r>
              <w:rPr>
                <w:rFonts w:hint="eastAsia"/>
                <w:b/>
                <w:bCs/>
                <w:color w:val="auto"/>
                <w:lang w:val="en-US" w:eastAsia="zh-CN"/>
              </w:rPr>
              <w:t>3、</w:t>
            </w:r>
            <w:r>
              <w:rPr>
                <w:b/>
                <w:bCs/>
                <w:color w:val="auto"/>
              </w:rPr>
              <w:t>项目与外环境的相容性</w:t>
            </w:r>
            <w:bookmarkStart w:id="2" w:name="_Toc248321484"/>
          </w:p>
          <w:p>
            <w:pPr>
              <w:spacing w:line="360" w:lineRule="auto"/>
              <w:ind w:firstLine="420" w:firstLineChars="200"/>
              <w:rPr>
                <w:rFonts w:hint="eastAsia" w:eastAsia="宋体"/>
                <w:color w:val="auto"/>
                <w:lang w:val="en-US" w:eastAsia="zh-CN"/>
              </w:rPr>
            </w:pPr>
            <w:r>
              <w:rPr>
                <w:color w:val="auto"/>
              </w:rPr>
              <w:t>①与</w:t>
            </w:r>
            <w:r>
              <w:rPr>
                <w:rFonts w:hint="eastAsia"/>
                <w:color w:val="auto"/>
              </w:rPr>
              <w:t>项目周边外环境</w:t>
            </w:r>
            <w:r>
              <w:rPr>
                <w:color w:val="auto"/>
              </w:rPr>
              <w:t>：项目选址位于四川省广元市</w:t>
            </w:r>
            <w:r>
              <w:rPr>
                <w:rFonts w:hint="eastAsia"/>
                <w:color w:val="auto"/>
                <w:lang w:eastAsia="zh-CN"/>
              </w:rPr>
              <w:t>苍溪县陵江镇江南二环路</w:t>
            </w:r>
            <w:r>
              <w:rPr>
                <w:rFonts w:hint="eastAsia"/>
                <w:color w:val="auto"/>
                <w:lang w:val="en-US" w:eastAsia="zh-CN"/>
              </w:rPr>
              <w:t>1栋1单元1-3号</w:t>
            </w:r>
            <w:r>
              <w:rPr>
                <w:color w:val="auto"/>
              </w:rPr>
              <w:t>；根据现场调查，项目周边外环境关系相对较简单，</w:t>
            </w:r>
            <w:r>
              <w:rPr>
                <w:rFonts w:hint="eastAsia"/>
                <w:color w:val="auto"/>
              </w:rPr>
              <w:t>西侧</w:t>
            </w:r>
            <w:r>
              <w:rPr>
                <w:rFonts w:hint="eastAsia"/>
                <w:color w:val="auto"/>
                <w:lang w:eastAsia="zh-CN"/>
              </w:rPr>
              <w:t>紧邻</w:t>
            </w:r>
            <w:r>
              <w:rPr>
                <w:rFonts w:hint="eastAsia"/>
                <w:color w:val="auto"/>
                <w:lang w:val="en-US" w:eastAsia="zh-CN"/>
              </w:rPr>
              <w:t>、80m、108m、436m分别</w:t>
            </w:r>
            <w:r>
              <w:rPr>
                <w:rFonts w:hint="eastAsia"/>
                <w:color w:val="auto"/>
              </w:rPr>
              <w:t>为当地住户</w:t>
            </w:r>
            <w:r>
              <w:rPr>
                <w:rFonts w:hint="eastAsia"/>
                <w:color w:val="auto"/>
                <w:lang w:eastAsia="zh-CN"/>
              </w:rPr>
              <w:t>、北京汉顾国际幼教、当地住户、当地住户</w:t>
            </w:r>
            <w:r>
              <w:rPr>
                <w:color w:val="auto"/>
              </w:rPr>
              <w:t>；</w:t>
            </w:r>
            <w:r>
              <w:rPr>
                <w:rFonts w:hint="eastAsia"/>
                <w:color w:val="auto"/>
              </w:rPr>
              <w:t>南</w:t>
            </w:r>
            <w:r>
              <w:rPr>
                <w:color w:val="auto"/>
              </w:rPr>
              <w:t>侧</w:t>
            </w:r>
            <w:r>
              <w:rPr>
                <w:rFonts w:hint="eastAsia"/>
                <w:color w:val="auto"/>
                <w:lang w:val="en-US" w:eastAsia="zh-CN"/>
              </w:rPr>
              <w:t>50m、205m</w:t>
            </w:r>
            <w:r>
              <w:rPr>
                <w:rFonts w:hint="eastAsia"/>
                <w:color w:val="auto"/>
                <w:lang w:eastAsia="zh-CN"/>
              </w:rPr>
              <w:t>、</w:t>
            </w:r>
            <w:r>
              <w:rPr>
                <w:rFonts w:hint="eastAsia"/>
                <w:color w:val="auto"/>
                <w:lang w:val="en-US" w:eastAsia="zh-CN"/>
              </w:rPr>
              <w:t>280m</w:t>
            </w:r>
            <w:r>
              <w:rPr>
                <w:color w:val="auto"/>
              </w:rPr>
              <w:t>为</w:t>
            </w:r>
            <w:r>
              <w:rPr>
                <w:rFonts w:hint="eastAsia"/>
                <w:color w:val="auto"/>
              </w:rPr>
              <w:t>当地</w:t>
            </w:r>
            <w:r>
              <w:rPr>
                <w:color w:val="auto"/>
              </w:rPr>
              <w:t>住户</w:t>
            </w:r>
            <w:r>
              <w:rPr>
                <w:rFonts w:hint="eastAsia"/>
                <w:color w:val="auto"/>
              </w:rPr>
              <w:t>；北</w:t>
            </w:r>
            <w:r>
              <w:rPr>
                <w:color w:val="auto"/>
              </w:rPr>
              <w:t>侧</w:t>
            </w:r>
            <w:r>
              <w:rPr>
                <w:rFonts w:hint="eastAsia"/>
                <w:color w:val="auto"/>
                <w:lang w:val="en-US" w:eastAsia="zh-CN"/>
              </w:rPr>
              <w:t>402m</w:t>
            </w:r>
            <w:r>
              <w:rPr>
                <w:color w:val="auto"/>
              </w:rPr>
              <w:t>为</w:t>
            </w:r>
            <w:r>
              <w:rPr>
                <w:rFonts w:hint="eastAsia"/>
                <w:color w:val="auto"/>
              </w:rPr>
              <w:t>当地</w:t>
            </w:r>
            <w:r>
              <w:rPr>
                <w:color w:val="auto"/>
              </w:rPr>
              <w:t>住户</w:t>
            </w:r>
            <w:r>
              <w:rPr>
                <w:rFonts w:hint="eastAsia"/>
                <w:color w:val="auto"/>
              </w:rPr>
              <w:t>；西</w:t>
            </w:r>
            <w:r>
              <w:rPr>
                <w:rFonts w:hint="eastAsia"/>
                <w:color w:val="auto"/>
                <w:lang w:eastAsia="zh-CN"/>
              </w:rPr>
              <w:t>南</w:t>
            </w:r>
            <w:r>
              <w:rPr>
                <w:rFonts w:hint="eastAsia"/>
                <w:color w:val="auto"/>
              </w:rPr>
              <w:t>侧</w:t>
            </w:r>
            <w:r>
              <w:rPr>
                <w:rFonts w:hint="eastAsia"/>
                <w:color w:val="auto"/>
                <w:lang w:val="en-US" w:eastAsia="zh-CN"/>
              </w:rPr>
              <w:t>255</w:t>
            </w:r>
            <w:r>
              <w:rPr>
                <w:rFonts w:hint="eastAsia"/>
                <w:color w:val="auto"/>
              </w:rPr>
              <w:t>m、</w:t>
            </w:r>
            <w:r>
              <w:rPr>
                <w:rFonts w:hint="eastAsia"/>
                <w:color w:val="auto"/>
                <w:lang w:val="en-US" w:eastAsia="zh-CN"/>
              </w:rPr>
              <w:t>560</w:t>
            </w:r>
            <w:r>
              <w:rPr>
                <w:rFonts w:hint="eastAsia"/>
                <w:color w:val="auto"/>
              </w:rPr>
              <w:t>m为当地住户；东南侧</w:t>
            </w:r>
            <w:r>
              <w:rPr>
                <w:rFonts w:hint="eastAsia"/>
                <w:color w:val="auto"/>
                <w:lang w:val="en-US" w:eastAsia="zh-CN"/>
              </w:rPr>
              <w:t>190m</w:t>
            </w:r>
            <w:r>
              <w:rPr>
                <w:rFonts w:hint="eastAsia"/>
                <w:color w:val="auto"/>
              </w:rPr>
              <w:t>为当地住户</w:t>
            </w:r>
            <w:r>
              <w:rPr>
                <w:rFonts w:hint="eastAsia"/>
                <w:color w:val="auto"/>
                <w:lang w:eastAsia="zh-CN"/>
              </w:rPr>
              <w:t>。</w:t>
            </w:r>
          </w:p>
          <w:p>
            <w:pPr>
              <w:spacing w:line="360" w:lineRule="auto"/>
              <w:ind w:firstLine="420" w:firstLineChars="200"/>
              <w:rPr>
                <w:rFonts w:hint="eastAsia"/>
                <w:color w:val="auto"/>
              </w:rPr>
            </w:pPr>
            <w:r>
              <w:rPr>
                <w:color w:val="auto"/>
              </w:rPr>
              <w:t>②项目所在大楼外环境：项目所在地</w:t>
            </w:r>
            <w:r>
              <w:rPr>
                <w:rFonts w:hint="eastAsia"/>
                <w:color w:val="auto"/>
                <w:lang w:val="en-US" w:eastAsia="zh-CN"/>
              </w:rPr>
              <w:t>1楼</w:t>
            </w:r>
            <w:r>
              <w:rPr>
                <w:color w:val="auto"/>
              </w:rPr>
              <w:t>以西至东依次为</w:t>
            </w:r>
            <w:r>
              <w:rPr>
                <w:rFonts w:hint="eastAsia"/>
                <w:color w:val="auto"/>
                <w:lang w:eastAsia="zh-CN"/>
              </w:rPr>
              <w:t>火锅店、布云轩茶坊、</w:t>
            </w:r>
            <w:r>
              <w:rPr>
                <w:rFonts w:hint="eastAsia"/>
                <w:color w:val="auto"/>
                <w:lang w:val="en-US" w:eastAsia="zh-CN"/>
              </w:rPr>
              <w:t>苍溪好粮油展示展销旗舰店；2楼</w:t>
            </w:r>
            <w:r>
              <w:rPr>
                <w:color w:val="auto"/>
              </w:rPr>
              <w:t>以西至东依次为</w:t>
            </w:r>
            <w:r>
              <w:rPr>
                <w:rFonts w:hint="eastAsia"/>
                <w:color w:val="auto"/>
                <w:lang w:val="en-US" w:eastAsia="zh-CN"/>
              </w:rPr>
              <w:t>四川璨宇建设工程有限责任公司、四川都运、四川众鑫联建设有限公司；3楼及以上为当地居民。</w:t>
            </w:r>
            <w:r>
              <w:rPr>
                <w:rFonts w:hint="eastAsia"/>
                <w:color w:val="auto"/>
              </w:rPr>
              <w:t>具有一定的缓冲距离，且不位于企业所在地常年主导风向（N风）下风向。</w:t>
            </w:r>
          </w:p>
          <w:p>
            <w:pPr>
              <w:pStyle w:val="2"/>
              <w:rPr>
                <w:rFonts w:hint="eastAsia"/>
                <w:color w:val="auto"/>
              </w:rPr>
            </w:pPr>
            <w:r>
              <w:rPr>
                <w:color w:val="auto"/>
              </w:rPr>
              <mc:AlternateContent>
                <mc:Choice Requires="wps">
                  <w:drawing>
                    <wp:anchor distT="0" distB="0" distL="114300" distR="114300" simplePos="0" relativeHeight="251795456" behindDoc="0" locked="0" layoutInCell="1" allowOverlap="1">
                      <wp:simplePos x="0" y="0"/>
                      <wp:positionH relativeFrom="column">
                        <wp:posOffset>1641475</wp:posOffset>
                      </wp:positionH>
                      <wp:positionV relativeFrom="paragraph">
                        <wp:posOffset>88265</wp:posOffset>
                      </wp:positionV>
                      <wp:extent cx="434975" cy="1129665"/>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434975" cy="1129665"/>
                              </a:xfrm>
                              <a:prstGeom prst="rect">
                                <a:avLst/>
                              </a:prstGeom>
                              <a:noFill/>
                              <a:ln w="6350">
                                <a:noFill/>
                              </a:ln>
                              <a:effectLst/>
                            </wps:spPr>
                            <wps:txbx>
                              <w:txbxContent>
                                <w:p>
                                  <w:pPr>
                                    <w:rPr>
                                      <w:rFonts w:hint="eastAsia" w:eastAsia="宋体"/>
                                      <w:b/>
                                      <w:bCs/>
                                      <w:sz w:val="18"/>
                                      <w:szCs w:val="18"/>
                                      <w:lang w:val="en-US" w:eastAsia="zh-CN"/>
                                    </w:rPr>
                                  </w:pPr>
                                  <w:r>
                                    <w:rPr>
                                      <w:rFonts w:hint="eastAsia" w:eastAsia="宋体"/>
                                      <w:b/>
                                      <w:bCs/>
                                      <w:sz w:val="18"/>
                                      <w:szCs w:val="18"/>
                                      <w:lang w:val="en-US" w:eastAsia="zh-CN"/>
                                    </w:rPr>
                                    <w:t>四川璨宇建设工程有限责任公司</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9.25pt;margin-top:6.95pt;height:88.95pt;width:34.25pt;z-index:251795456;mso-width-relative:page;mso-height-relative:page;" filled="f" stroked="f" coordsize="21600,21600" o:gfxdata="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IXAeoNsAAAAKAQAADwAAAAAAAAABACAA&#10;AAAiAAAAZHJzL2Rvd25yZXYueG1sUEsBAhQAFAAAAAgAh07iQGUXFC1DAgAAdgQAAA4AAAAAAAAA&#10;AQAgAAAAKgEAAGRycy9lMm9Eb2MueG1sUEsFBgAAAAAGAAYAWQEAAN8FAAAAAA==&#10;">
                      <v:fill on="f" focussize="0,0"/>
                      <v:stroke on="f" weight="0.5pt"/>
                      <v:imagedata o:title=""/>
                      <o:lock v:ext="edit" aspectratio="f"/>
                      <v:textbox>
                        <w:txbxContent>
                          <w:p>
                            <w:pPr>
                              <w:rPr>
                                <w:rFonts w:hint="eastAsia" w:eastAsia="宋体"/>
                                <w:b/>
                                <w:bCs/>
                                <w:sz w:val="18"/>
                                <w:szCs w:val="18"/>
                                <w:lang w:val="en-US" w:eastAsia="zh-CN"/>
                              </w:rPr>
                            </w:pPr>
                            <w:r>
                              <w:rPr>
                                <w:rFonts w:hint="eastAsia" w:eastAsia="宋体"/>
                                <w:b/>
                                <w:bCs/>
                                <w:sz w:val="18"/>
                                <w:szCs w:val="18"/>
                                <w:lang w:val="en-US" w:eastAsia="zh-CN"/>
                              </w:rPr>
                              <w:t>四川璨宇建设工程有限责任公司</w:t>
                            </w:r>
                          </w:p>
                        </w:txbxContent>
                      </v:textbox>
                    </v:shape>
                  </w:pict>
                </mc:Fallback>
              </mc:AlternateContent>
            </w:r>
            <w:r>
              <w:rPr>
                <w:color w:val="auto"/>
              </w:rPr>
              <mc:AlternateContent>
                <mc:Choice Requires="wps">
                  <w:drawing>
                    <wp:anchor distT="0" distB="0" distL="114300" distR="114300" simplePos="0" relativeHeight="251789312" behindDoc="0" locked="0" layoutInCell="1" allowOverlap="1">
                      <wp:simplePos x="0" y="0"/>
                      <wp:positionH relativeFrom="column">
                        <wp:posOffset>997585</wp:posOffset>
                      </wp:positionH>
                      <wp:positionV relativeFrom="paragraph">
                        <wp:posOffset>101600</wp:posOffset>
                      </wp:positionV>
                      <wp:extent cx="129540" cy="493395"/>
                      <wp:effectExtent l="6350" t="1905" r="16510" b="19050"/>
                      <wp:wrapNone/>
                      <wp:docPr id="58" name="直接连接符 58"/>
                      <wp:cNvGraphicFramePr/>
                      <a:graphic xmlns:a="http://schemas.openxmlformats.org/drawingml/2006/main">
                        <a:graphicData uri="http://schemas.microsoft.com/office/word/2010/wordprocessingShape">
                          <wps:wsp>
                            <wps:cNvCnPr/>
                            <wps:spPr>
                              <a:xfrm flipH="1">
                                <a:off x="0" y="0"/>
                                <a:ext cx="129540" cy="49339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78.55pt;margin-top:8pt;height:38.85pt;width:10.2pt;z-index:251789312;mso-width-relative:page;mso-height-relative:page;" filled="f" stroked="t" coordsize="21600,21600" o:gfxdata="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9WpYQ1QAAAAkBAAAPAAAAAAAAAAEAIAAAACIAAABkcnMvZG93bnJldi54bWxQSwECFAAU&#10;AAAACACHTuJAz0JUX/QBAADQAwAADgAAAAAAAAABACAAAAAkAQAAZHJzL2Uyb0RvYy54bWxQSwUG&#10;AAAAAAYABgBZAQAAigU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87264" behindDoc="0" locked="0" layoutInCell="1" allowOverlap="1">
                      <wp:simplePos x="0" y="0"/>
                      <wp:positionH relativeFrom="column">
                        <wp:posOffset>1146175</wp:posOffset>
                      </wp:positionH>
                      <wp:positionV relativeFrom="paragraph">
                        <wp:posOffset>100330</wp:posOffset>
                      </wp:positionV>
                      <wp:extent cx="2265680" cy="7620"/>
                      <wp:effectExtent l="0" t="6350" r="1270" b="14605"/>
                      <wp:wrapNone/>
                      <wp:docPr id="39" name="直接连接符 39"/>
                      <wp:cNvGraphicFramePr/>
                      <a:graphic xmlns:a="http://schemas.openxmlformats.org/drawingml/2006/main">
                        <a:graphicData uri="http://schemas.microsoft.com/office/word/2010/wordprocessingShape">
                          <wps:wsp>
                            <wps:cNvCnPr/>
                            <wps:spPr>
                              <a:xfrm flipV="1">
                                <a:off x="0" y="0"/>
                                <a:ext cx="2265680" cy="762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y;margin-left:90.25pt;margin-top:7.9pt;height:0.6pt;width:178.4pt;z-index:251787264;mso-width-relative:page;mso-height-relative:page;" filled="f" stroked="t" coordsize="21600,21600" o:gfxdata="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SxlSZtUAAAAJAQAADwAAAAAAAAABACAAAAAiAAAAZHJzL2Rvd25yZXYueG1sUEsBAhQA&#10;FAAAAAgAh07iQJT0qgL1AQAAzwMAAA4AAAAAAAAAAQAgAAAAJAEAAGRycy9lMm9Eb2MueG1sUEsF&#10;BgAAAAAGAAYAWQEAAIsFA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88288" behindDoc="0" locked="0" layoutInCell="1" allowOverlap="1">
                      <wp:simplePos x="0" y="0"/>
                      <wp:positionH relativeFrom="column">
                        <wp:posOffset>1126490</wp:posOffset>
                      </wp:positionH>
                      <wp:positionV relativeFrom="paragraph">
                        <wp:posOffset>91440</wp:posOffset>
                      </wp:positionV>
                      <wp:extent cx="14605" cy="656590"/>
                      <wp:effectExtent l="6350" t="0" r="17145" b="10160"/>
                      <wp:wrapNone/>
                      <wp:docPr id="40" name="直接连接符 40"/>
                      <wp:cNvGraphicFramePr/>
                      <a:graphic xmlns:a="http://schemas.openxmlformats.org/drawingml/2006/main">
                        <a:graphicData uri="http://schemas.microsoft.com/office/word/2010/wordprocessingShape">
                          <wps:wsp>
                            <wps:cNvCnPr/>
                            <wps:spPr>
                              <a:xfrm flipH="1">
                                <a:off x="0" y="0"/>
                                <a:ext cx="14605" cy="6565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88.7pt;margin-top:7.2pt;height:51.7pt;width:1.15pt;z-index:251788288;mso-width-relative:page;mso-height-relative:page;" filled="f" stroked="t" coordsize="21600,21600" o:gfxdata="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w0sU1gAAAAoBAAAPAAAAAAAAAAEAIAAAACIAAABkcnMvZG93bnJldi54bWxQSwEC&#10;FAAUAAAACACHTuJAOVDVuvYBAADPAwAADgAAAAAAAAABACAAAAAlAQAAZHJzL2Uyb0RvYy54bWxQ&#10;SwUGAAAAAAYABgBZAQAAjQUAAAAA&#10;">
                      <v:fill on="f" focussize="0,0"/>
                      <v:stroke weight="1pt" color="#000000" miterlimit="8" joinstyle="miter"/>
                      <v:imagedata o:title=""/>
                      <o:lock v:ext="edit" aspectratio="f"/>
                    </v:line>
                  </w:pict>
                </mc:Fallback>
              </mc:AlternateContent>
            </w:r>
          </w:p>
          <w:p>
            <w:pPr>
              <w:rPr>
                <w:rFonts w:hint="eastAsia"/>
                <w:color w:val="auto"/>
              </w:rPr>
            </w:pPr>
            <w:r>
              <w:rPr>
                <w:color w:val="auto"/>
              </w:rPr>
              <mc:AlternateContent>
                <mc:Choice Requires="wps">
                  <w:drawing>
                    <wp:anchor distT="0" distB="0" distL="114300" distR="114300" simplePos="0" relativeHeight="251786240" behindDoc="0" locked="0" layoutInCell="1" allowOverlap="1">
                      <wp:simplePos x="0" y="0"/>
                      <wp:positionH relativeFrom="column">
                        <wp:posOffset>3267075</wp:posOffset>
                      </wp:positionH>
                      <wp:positionV relativeFrom="paragraph">
                        <wp:posOffset>-83185</wp:posOffset>
                      </wp:positionV>
                      <wp:extent cx="129540" cy="493395"/>
                      <wp:effectExtent l="6350" t="1905" r="16510" b="19050"/>
                      <wp:wrapNone/>
                      <wp:docPr id="35" name="直接连接符 35"/>
                      <wp:cNvGraphicFramePr/>
                      <a:graphic xmlns:a="http://schemas.openxmlformats.org/drawingml/2006/main">
                        <a:graphicData uri="http://schemas.microsoft.com/office/word/2010/wordprocessingShape">
                          <wps:wsp>
                            <wps:cNvCnPr/>
                            <wps:spPr>
                              <a:xfrm flipH="1">
                                <a:off x="0" y="0"/>
                                <a:ext cx="129540" cy="49339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257.25pt;margin-top:-6.55pt;height:38.85pt;width:10.2pt;z-index:251786240;mso-width-relative:page;mso-height-relative:page;" filled="f" stroked="t" coordsize="21600,21600" o:gfxdata="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zpKPXYAAAACgEAAA8AAAAAAAAAAQAgAAAAIgAAAGRycy9kb3ducmV2LnhtbFBL&#10;AQIUABQAAAAIAIdO4kATQ+DQ9gEAANADAAAOAAAAAAAAAAEAIAAAACcBAABkcnMvZTJvRG9jLnht&#10;bFBLBQYAAAAABgAGAFkBAACP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85216" behindDoc="0" locked="0" layoutInCell="1" allowOverlap="1">
                      <wp:simplePos x="0" y="0"/>
                      <wp:positionH relativeFrom="column">
                        <wp:posOffset>3401060</wp:posOffset>
                      </wp:positionH>
                      <wp:positionV relativeFrom="paragraph">
                        <wp:posOffset>-102235</wp:posOffset>
                      </wp:positionV>
                      <wp:extent cx="14605" cy="656590"/>
                      <wp:effectExtent l="6350" t="0" r="17145" b="10160"/>
                      <wp:wrapNone/>
                      <wp:docPr id="18" name="直接连接符 18"/>
                      <wp:cNvGraphicFramePr/>
                      <a:graphic xmlns:a="http://schemas.openxmlformats.org/drawingml/2006/main">
                        <a:graphicData uri="http://schemas.microsoft.com/office/word/2010/wordprocessingShape">
                          <wps:wsp>
                            <wps:cNvCnPr/>
                            <wps:spPr>
                              <a:xfrm flipH="1">
                                <a:off x="0" y="0"/>
                                <a:ext cx="14605" cy="6565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267.8pt;margin-top:-8.05pt;height:51.7pt;width:1.15pt;z-index:251785216;mso-width-relative:page;mso-height-relative:page;" filled="f" stroked="t" coordsize="21600,21600" o:gfxdata="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eQScnYAAAACgEAAA8AAAAAAAAAAQAgAAAAIgAAAGRycy9kb3ducmV2LnhtbFBL&#10;AQIUABQAAAAIAIdO4kAtYe9a9gEAAM8DAAAOAAAAAAAAAAEAIAAAACcBAABkcnMvZTJvRG9jLnht&#10;bFBLBQYAAAAABgAGAFkBAACPBQAAAAA=&#10;">
                      <v:fill on="f" focussize="0,0"/>
                      <v:stroke weight="1pt" color="#000000" miterlimit="8" joinstyle="miter"/>
                      <v:imagedata o:title=""/>
                      <o:lock v:ext="edit" aspectratio="f"/>
                    </v:line>
                  </w:pict>
                </mc:Fallback>
              </mc:AlternateContent>
            </w:r>
          </w:p>
          <w:p>
            <w:pPr>
              <w:pStyle w:val="9"/>
              <w:rPr>
                <w:b/>
                <w:bCs/>
                <w:color w:val="auto"/>
              </w:rPr>
            </w:pPr>
            <w:r>
              <w:rPr>
                <w:color w:val="auto"/>
              </w:rPr>
              <mc:AlternateContent>
                <mc:Choice Requires="wps">
                  <w:drawing>
                    <wp:anchor distT="0" distB="0" distL="114300" distR="114300" simplePos="0" relativeHeight="251791360" behindDoc="0" locked="0" layoutInCell="1" allowOverlap="1">
                      <wp:simplePos x="0" y="0"/>
                      <wp:positionH relativeFrom="column">
                        <wp:posOffset>992505</wp:posOffset>
                      </wp:positionH>
                      <wp:positionV relativeFrom="paragraph">
                        <wp:posOffset>213995</wp:posOffset>
                      </wp:positionV>
                      <wp:extent cx="2278380" cy="1270"/>
                      <wp:effectExtent l="0" t="0" r="0" b="0"/>
                      <wp:wrapNone/>
                      <wp:docPr id="69" name="直接连接符 69"/>
                      <wp:cNvGraphicFramePr/>
                      <a:graphic xmlns:a="http://schemas.openxmlformats.org/drawingml/2006/main">
                        <a:graphicData uri="http://schemas.microsoft.com/office/word/2010/wordprocessingShape">
                          <wps:wsp>
                            <wps:cNvCnPr/>
                            <wps:spPr>
                              <a:xfrm>
                                <a:off x="0" y="0"/>
                                <a:ext cx="2278380" cy="127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78.15pt;margin-top:16.85pt;height:0.1pt;width:179.4pt;z-index:251791360;mso-width-relative:page;mso-height-relative:page;" filled="f" stroked="t" coordsize="21600,21600" o:gfxdata="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GFn&#10;qebYAAAACQEAAA8AAAAAAAAAAQAgAAAAIgAAAGRycy9kb3ducmV2LnhtbFBLAQIUABQAAAAIAIdO&#10;4kAo3Hxr6gEAAMUDAAAOAAAAAAAAAAEAIAAAACcBAABkcnMvZTJvRG9jLnhtbFBLBQYAAAAABgAG&#10;AFkBAACD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90336" behindDoc="0" locked="0" layoutInCell="1" allowOverlap="1">
                      <wp:simplePos x="0" y="0"/>
                      <wp:positionH relativeFrom="column">
                        <wp:posOffset>997585</wp:posOffset>
                      </wp:positionH>
                      <wp:positionV relativeFrom="paragraph">
                        <wp:posOffset>198120</wp:posOffset>
                      </wp:positionV>
                      <wp:extent cx="7620" cy="653415"/>
                      <wp:effectExtent l="6350" t="0" r="24130" b="13335"/>
                      <wp:wrapNone/>
                      <wp:docPr id="68" name="直接连接符 68"/>
                      <wp:cNvGraphicFramePr/>
                      <a:graphic xmlns:a="http://schemas.openxmlformats.org/drawingml/2006/main">
                        <a:graphicData uri="http://schemas.microsoft.com/office/word/2010/wordprocessingShape">
                          <wps:wsp>
                            <wps:cNvCnPr/>
                            <wps:spPr>
                              <a:xfrm>
                                <a:off x="0" y="0"/>
                                <a:ext cx="7620" cy="65341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78.55pt;margin-top:15.6pt;height:51.45pt;width:0.6pt;z-index:251790336;mso-width-relative:page;mso-height-relative:page;" filled="f" stroked="t" coordsize="21600,21600" o:gfxdata="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OJ9689kAAAAKAQAADwAAAAAAAAABACAAAAAiAAAAZHJzL2Rvd25yZXYueG1sUEsBAhQAFAAAAAgA&#10;h07iQPhzdAzrAQAAxAMAAA4AAAAAAAAAAQAgAAAAKAEAAGRycy9lMm9Eb2MueG1sUEsFBgAAAAAG&#10;AAYAWQEAAIUFAAAAAA==&#10;">
                      <v:fill on="f" focussize="0,0"/>
                      <v:stroke weight="1pt" color="#000000" miterlimit="8" joinstyle="miter"/>
                      <v:imagedata o:title=""/>
                      <o:lock v:ext="edit" aspectratio="f"/>
                    </v:line>
                  </w:pict>
                </mc:Fallback>
              </mc:AlternateContent>
            </w:r>
          </w:p>
          <w:p>
            <w:pPr>
              <w:pStyle w:val="9"/>
              <w:rPr>
                <w:b/>
                <w:bCs/>
                <w:color w:val="auto"/>
              </w:rPr>
            </w:pPr>
            <w:r>
              <w:rPr>
                <w:color w:val="auto"/>
              </w:rPr>
              <mc:AlternateContent>
                <mc:Choice Requires="wps">
                  <w:drawing>
                    <wp:anchor distT="0" distB="0" distL="114300" distR="114300" simplePos="0" relativeHeight="251797504" behindDoc="0" locked="0" layoutInCell="1" allowOverlap="1">
                      <wp:simplePos x="0" y="0"/>
                      <wp:positionH relativeFrom="column">
                        <wp:posOffset>2493645</wp:posOffset>
                      </wp:positionH>
                      <wp:positionV relativeFrom="paragraph">
                        <wp:posOffset>52070</wp:posOffset>
                      </wp:positionV>
                      <wp:extent cx="879475" cy="40259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879475" cy="402590"/>
                              </a:xfrm>
                              <a:prstGeom prst="rect">
                                <a:avLst/>
                              </a:prstGeom>
                              <a:noFill/>
                              <a:ln w="6350">
                                <a:noFill/>
                              </a:ln>
                              <a:effectLst/>
                            </wps:spPr>
                            <wps:txbx>
                              <w:txbxContent>
                                <w:p>
                                  <w:pPr>
                                    <w:rPr>
                                      <w:rFonts w:hint="eastAsia" w:eastAsia="宋体"/>
                                      <w:b/>
                                      <w:bCs/>
                                      <w:sz w:val="18"/>
                                      <w:szCs w:val="18"/>
                                      <w:lang w:val="en-US" w:eastAsia="zh-CN"/>
                                    </w:rPr>
                                  </w:pPr>
                                  <w:r>
                                    <w:rPr>
                                      <w:rFonts w:hint="eastAsia" w:eastAsia="宋体"/>
                                      <w:b/>
                                      <w:bCs/>
                                      <w:sz w:val="18"/>
                                      <w:szCs w:val="18"/>
                                      <w:lang w:val="en-US" w:eastAsia="zh-CN"/>
                                    </w:rPr>
                                    <w:t>四川众鑫联建设有限公司</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6.35pt;margin-top:4.1pt;height:31.7pt;width:69.25pt;z-index:251797504;mso-width-relative:page;mso-height-relative:page;" filled="f" stroked="f" coordsize="21600,21600" o:gfxdata="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V3IFQdoAAAAIAQAADwAAAAAAAAABACAA&#10;AAAiAAAAZHJzL2Rvd25yZXYueG1sUEsBAhQAFAAAAAgAh07iQAyfhLFEAgAAdQQAAA4AAAAAAAAA&#10;AQAgAAAAKQEAAGRycy9lMm9Eb2MueG1sUEsFBgAAAAAGAAYAWQEAAN8FAAAAAA==&#10;">
                      <v:fill on="f" focussize="0,0"/>
                      <v:stroke on="f" weight="0.5pt"/>
                      <v:imagedata o:title=""/>
                      <o:lock v:ext="edit" aspectratio="f"/>
                      <v:textbox>
                        <w:txbxContent>
                          <w:p>
                            <w:pPr>
                              <w:rPr>
                                <w:rFonts w:hint="eastAsia" w:eastAsia="宋体"/>
                                <w:b/>
                                <w:bCs/>
                                <w:sz w:val="18"/>
                                <w:szCs w:val="18"/>
                                <w:lang w:val="en-US" w:eastAsia="zh-CN"/>
                              </w:rPr>
                            </w:pPr>
                            <w:r>
                              <w:rPr>
                                <w:rFonts w:hint="eastAsia" w:eastAsia="宋体"/>
                                <w:b/>
                                <w:bCs/>
                                <w:sz w:val="18"/>
                                <w:szCs w:val="18"/>
                                <w:lang w:val="en-US" w:eastAsia="zh-CN"/>
                              </w:rPr>
                              <w:t>四川众鑫联建设有限公司</w:t>
                            </w:r>
                          </w:p>
                        </w:txbxContent>
                      </v:textbox>
                    </v:shape>
                  </w:pict>
                </mc:Fallback>
              </mc:AlternateContent>
            </w:r>
            <w:r>
              <w:rPr>
                <w:color w:val="auto"/>
              </w:rPr>
              <mc:AlternateContent>
                <mc:Choice Requires="wps">
                  <w:drawing>
                    <wp:anchor distT="0" distB="0" distL="114300" distR="114300" simplePos="0" relativeHeight="251796480" behindDoc="0" locked="0" layoutInCell="1" allowOverlap="1">
                      <wp:simplePos x="0" y="0"/>
                      <wp:positionH relativeFrom="column">
                        <wp:posOffset>2020570</wp:posOffset>
                      </wp:positionH>
                      <wp:positionV relativeFrom="paragraph">
                        <wp:posOffset>163830</wp:posOffset>
                      </wp:positionV>
                      <wp:extent cx="675640" cy="26797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675640" cy="267970"/>
                              </a:xfrm>
                              <a:prstGeom prst="rect">
                                <a:avLst/>
                              </a:prstGeom>
                              <a:noFill/>
                              <a:ln w="6350">
                                <a:noFill/>
                              </a:ln>
                              <a:effectLst/>
                            </wps:spPr>
                            <wps:txbx>
                              <w:txbxContent>
                                <w:p>
                                  <w:pPr>
                                    <w:rPr>
                                      <w:rFonts w:hint="eastAsia" w:eastAsia="宋体"/>
                                      <w:b/>
                                      <w:bCs/>
                                      <w:sz w:val="18"/>
                                      <w:szCs w:val="18"/>
                                      <w:lang w:eastAsia="zh-CN"/>
                                    </w:rPr>
                                  </w:pPr>
                                  <w:r>
                                    <w:rPr>
                                      <w:rFonts w:hint="eastAsia"/>
                                      <w:b/>
                                      <w:bCs/>
                                      <w:sz w:val="18"/>
                                      <w:szCs w:val="18"/>
                                      <w:lang w:eastAsia="zh-CN"/>
                                    </w:rPr>
                                    <w:t>四川都运</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9.1pt;margin-top:12.9pt;height:21.1pt;width:53.2pt;z-index:251796480;mso-width-relative:page;mso-height-relative:page;" filled="f" stroked="f" coordsize="21600,21600" o:gfxdata="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0awdzNoAAAAJAQAADwAAAAAAAAABACAAAAAi&#10;AAAAZHJzL2Rvd25yZXYueG1sUEsBAhQAFAAAAAgAh07iQCkmwpxBAgAAdQQAAA4AAAAAAAAAAQAg&#10;AAAAKQEAAGRycy9lMm9Eb2MueG1sUEsFBgAAAAAGAAYAWQEAANwFAAAAAA==&#10;">
                      <v:fill on="f" focussize="0,0"/>
                      <v:stroke on="f" weight="0.5pt"/>
                      <v:imagedata o:title=""/>
                      <o:lock v:ext="edit" aspectratio="f"/>
                      <v:textbox>
                        <w:txbxContent>
                          <w:p>
                            <w:pPr>
                              <w:rPr>
                                <w:rFonts w:hint="eastAsia" w:eastAsia="宋体"/>
                                <w:b/>
                                <w:bCs/>
                                <w:sz w:val="18"/>
                                <w:szCs w:val="18"/>
                                <w:lang w:eastAsia="zh-CN"/>
                              </w:rPr>
                            </w:pPr>
                            <w:r>
                              <w:rPr>
                                <w:rFonts w:hint="eastAsia"/>
                                <w:b/>
                                <w:bCs/>
                                <w:sz w:val="18"/>
                                <w:szCs w:val="18"/>
                                <w:lang w:eastAsia="zh-CN"/>
                              </w:rPr>
                              <w:t>四川都运</w:t>
                            </w:r>
                          </w:p>
                        </w:txbxContent>
                      </v:textbox>
                    </v:shape>
                  </w:pict>
                </mc:Fallback>
              </mc:AlternateContent>
            </w:r>
            <w:r>
              <w:rPr>
                <w:color w:val="auto"/>
              </w:rPr>
              <mc:AlternateContent>
                <mc:Choice Requires="wps">
                  <w:drawing>
                    <wp:anchor distT="0" distB="0" distL="114300" distR="114300" simplePos="0" relativeHeight="251793408" behindDoc="0" locked="0" layoutInCell="1" allowOverlap="1">
                      <wp:simplePos x="0" y="0"/>
                      <wp:positionH relativeFrom="column">
                        <wp:posOffset>2153285</wp:posOffset>
                      </wp:positionH>
                      <wp:positionV relativeFrom="paragraph">
                        <wp:posOffset>235585</wp:posOffset>
                      </wp:positionV>
                      <wp:extent cx="364490" cy="127000"/>
                      <wp:effectExtent l="6350" t="6350" r="10160" b="19050"/>
                      <wp:wrapNone/>
                      <wp:docPr id="72" name="文本框 72"/>
                      <wp:cNvGraphicFramePr/>
                      <a:graphic xmlns:a="http://schemas.openxmlformats.org/drawingml/2006/main">
                        <a:graphicData uri="http://schemas.microsoft.com/office/word/2010/wordprocessingShape">
                          <wps:wsp>
                            <wps:cNvSpPr txBox="1"/>
                            <wps:spPr>
                              <a:xfrm>
                                <a:off x="0" y="0"/>
                                <a:ext cx="364490" cy="127000"/>
                              </a:xfrm>
                              <a:prstGeom prst="rect">
                                <a:avLst/>
                              </a:prstGeom>
                              <a:solidFill>
                                <a:srgbClr val="FFFFFF"/>
                              </a:solidFill>
                              <a:ln w="12700">
                                <a:solidFill>
                                  <a:prstClr val="black"/>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9.55pt;margin-top:18.55pt;height:10pt;width:28.7pt;z-index:251793408;mso-width-relative:page;mso-height-relative:page;" fillcolor="#FFFFFF" filled="t" stroked="t" coordsize="21600,21600" o:gfxdata="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TH4bNdoAAAAJAQAADwAAAAAAAAABACAAAAAiAAAAZHJzL2Rvd25yZXYueG1sUEsBAhQAFAAAAAgA&#10;h07iQEEY/hlcAgAAxwQAAA4AAAAAAAAAAQAgAAAAKQEAAGRycy9lMm9Eb2MueG1sUEsFBgAAAAAG&#10;AAYAWQEAAPcFAAAAAA==&#10;">
                      <v:fill on="t" focussize="0,0"/>
                      <v:stroke weight="1pt" color="#000000" joinstyle="round"/>
                      <v:imagedata o:title=""/>
                      <o:lock v:ext="edit" aspectratio="f"/>
                      <v:textbox>
                        <w:txbxContent>
                          <w:p/>
                        </w:txbxContent>
                      </v:textbox>
                    </v:shape>
                  </w:pict>
                </mc:Fallback>
              </mc:AlternateContent>
            </w:r>
            <w:r>
              <w:rPr>
                <w:color w:val="auto"/>
              </w:rPr>
              <mc:AlternateContent>
                <mc:Choice Requires="wps">
                  <w:drawing>
                    <wp:anchor distT="0" distB="0" distL="114300" distR="114300" simplePos="0" relativeHeight="251792384" behindDoc="0" locked="0" layoutInCell="1" allowOverlap="1">
                      <wp:simplePos x="0" y="0"/>
                      <wp:positionH relativeFrom="column">
                        <wp:posOffset>1728470</wp:posOffset>
                      </wp:positionH>
                      <wp:positionV relativeFrom="paragraph">
                        <wp:posOffset>236220</wp:posOffset>
                      </wp:positionV>
                      <wp:extent cx="207010" cy="127000"/>
                      <wp:effectExtent l="6350" t="6350" r="15240" b="19050"/>
                      <wp:wrapNone/>
                      <wp:docPr id="71" name="文本框 71"/>
                      <wp:cNvGraphicFramePr/>
                      <a:graphic xmlns:a="http://schemas.openxmlformats.org/drawingml/2006/main">
                        <a:graphicData uri="http://schemas.microsoft.com/office/word/2010/wordprocessingShape">
                          <wps:wsp>
                            <wps:cNvSpPr txBox="1"/>
                            <wps:spPr>
                              <a:xfrm>
                                <a:off x="0" y="0"/>
                                <a:ext cx="207010" cy="127000"/>
                              </a:xfrm>
                              <a:prstGeom prst="rect">
                                <a:avLst/>
                              </a:prstGeom>
                              <a:solidFill>
                                <a:srgbClr val="FFFFFF"/>
                              </a:solidFill>
                              <a:ln w="12700">
                                <a:solidFill>
                                  <a:prstClr val="black"/>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6.1pt;margin-top:18.6pt;height:10pt;width:16.3pt;z-index:251792384;mso-width-relative:page;mso-height-relative:page;" fillcolor="#FFFFFF" filled="t" stroked="t" coordsize="21600,21600" o:gfxdata="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1ccp4dsAAAAJAQAADwAAAAAAAAABACAAAAAiAAAAZHJzL2Rvd25yZXYueG1sUEsBAhQAFAAAAAgA&#10;h07iQBoZOpxbAgAAxwQAAA4AAAAAAAAAAQAgAAAAKgEAAGRycy9lMm9Eb2MueG1sUEsFBgAAAAAG&#10;AAYAWQEAAPcFAAAAAA==&#10;">
                      <v:fill on="t" focussize="0,0"/>
                      <v:stroke weight="1pt" color="#000000" joinstyle="round"/>
                      <v:imagedata o:title=""/>
                      <o:lock v:ext="edit" aspectratio="f"/>
                      <v:textbox>
                        <w:txbxContent>
                          <w:p/>
                        </w:txbxContent>
                      </v:textbox>
                    </v:shape>
                  </w:pict>
                </mc:Fallback>
              </mc:AlternateContent>
            </w:r>
            <w:r>
              <w:rPr>
                <w:color w:val="auto"/>
              </w:rPr>
              <mc:AlternateContent>
                <mc:Choice Requires="wps">
                  <w:drawing>
                    <wp:anchor distT="0" distB="0" distL="114300" distR="114300" simplePos="0" relativeHeight="251784192" behindDoc="0" locked="0" layoutInCell="1" allowOverlap="1">
                      <wp:simplePos x="0" y="0"/>
                      <wp:positionH relativeFrom="column">
                        <wp:posOffset>3272155</wp:posOffset>
                      </wp:positionH>
                      <wp:positionV relativeFrom="paragraph">
                        <wp:posOffset>-67945</wp:posOffset>
                      </wp:positionV>
                      <wp:extent cx="7620" cy="653415"/>
                      <wp:effectExtent l="6350" t="0" r="24130" b="13335"/>
                      <wp:wrapNone/>
                      <wp:docPr id="10" name="直接连接符 10"/>
                      <wp:cNvGraphicFramePr/>
                      <a:graphic xmlns:a="http://schemas.openxmlformats.org/drawingml/2006/main">
                        <a:graphicData uri="http://schemas.microsoft.com/office/word/2010/wordprocessingShape">
                          <wps:wsp>
                            <wps:cNvCnPr/>
                            <wps:spPr>
                              <a:xfrm>
                                <a:off x="0" y="0"/>
                                <a:ext cx="7620" cy="65341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257.65pt;margin-top:-5.35pt;height:51.45pt;width:0.6pt;z-index:251784192;mso-width-relative:page;mso-height-relative:page;" filled="f" stroked="t" coordsize="21600,21600" o:gfxdata="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43ZiPbAAAACgEAAA8AAAAAAAAAAQAgAAAAIgAAAGRycy9kb3ducmV2LnhtbFBLAQIUABQAAAAI&#10;AIdO4kAJTjpn6gEAAMQDAAAOAAAAAAAAAAEAIAAAACoBAABkcnMvZTJvRG9jLnhtbFBLBQYAAAAA&#10;BgAGAFkBAACG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76000" behindDoc="0" locked="0" layoutInCell="1" allowOverlap="1">
                      <wp:simplePos x="0" y="0"/>
                      <wp:positionH relativeFrom="column">
                        <wp:posOffset>1122680</wp:posOffset>
                      </wp:positionH>
                      <wp:positionV relativeFrom="paragraph">
                        <wp:posOffset>85725</wp:posOffset>
                      </wp:positionV>
                      <wp:extent cx="16510" cy="479425"/>
                      <wp:effectExtent l="6350" t="0" r="15240" b="15875"/>
                      <wp:wrapNone/>
                      <wp:docPr id="49" name="直接连接符 49"/>
                      <wp:cNvGraphicFramePr/>
                      <a:graphic xmlns:a="http://schemas.openxmlformats.org/drawingml/2006/main">
                        <a:graphicData uri="http://schemas.microsoft.com/office/word/2010/wordprocessingShape">
                          <wps:wsp>
                            <wps:cNvCnPr/>
                            <wps:spPr>
                              <a:xfrm flipH="1">
                                <a:off x="0" y="0"/>
                                <a:ext cx="16510" cy="47942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88.4pt;margin-top:6.75pt;height:37.75pt;width:1.3pt;z-index:251776000;mso-width-relative:page;mso-height-relative:page;" filled="f" stroked="t" coordsize="21600,21600" o:gfxdata="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ogZkvXAAAACQEAAA8AAAAAAAAAAQAgAAAAIgAAAGRycy9kb3ducmV2LnhtbFBLAQIU&#10;ABQAAAAIAIdO4kCBSp8B9AEAAM8DAAAOAAAAAAAAAAEAIAAAACYBAABkcnMvZTJvRG9jLnhtbFBL&#10;BQYAAAAABgAGAFkBAACM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60640" behindDoc="0" locked="0" layoutInCell="1" allowOverlap="1">
                      <wp:simplePos x="0" y="0"/>
                      <wp:positionH relativeFrom="column">
                        <wp:posOffset>3387725</wp:posOffset>
                      </wp:positionH>
                      <wp:positionV relativeFrom="paragraph">
                        <wp:posOffset>84455</wp:posOffset>
                      </wp:positionV>
                      <wp:extent cx="16510" cy="479425"/>
                      <wp:effectExtent l="6350" t="0" r="15240" b="15875"/>
                      <wp:wrapNone/>
                      <wp:docPr id="136" name="直接连接符 136"/>
                      <wp:cNvGraphicFramePr/>
                      <a:graphic xmlns:a="http://schemas.openxmlformats.org/drawingml/2006/main">
                        <a:graphicData uri="http://schemas.microsoft.com/office/word/2010/wordprocessingShape">
                          <wps:wsp>
                            <wps:cNvCnPr/>
                            <wps:spPr>
                              <a:xfrm flipH="1">
                                <a:off x="0" y="0"/>
                                <a:ext cx="16510" cy="47942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266.75pt;margin-top:6.65pt;height:37.75pt;width:1.3pt;z-index:251760640;mso-width-relative:page;mso-height-relative:page;" filled="f" stroked="t" coordsize="21600,21600" o:gfxdata="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GeowVzWAAAACQEAAA8AAAAAAAAAAQAgAAAAIgAAAGRycy9kb3ducmV2LnhtbFBLAQIU&#10;ABQAAAAIAIdO4kCmZcyz9QEAANEDAAAOAAAAAAAAAAEAIAAAACUBAABkcnMvZTJvRG9jLnhtbFBL&#10;BQYAAAAABgAGAFkBAACM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57568" behindDoc="0" locked="0" layoutInCell="1" allowOverlap="1">
                      <wp:simplePos x="0" y="0"/>
                      <wp:positionH relativeFrom="column">
                        <wp:posOffset>1017270</wp:posOffset>
                      </wp:positionH>
                      <wp:positionV relativeFrom="paragraph">
                        <wp:posOffset>88265</wp:posOffset>
                      </wp:positionV>
                      <wp:extent cx="109855" cy="478790"/>
                      <wp:effectExtent l="6350" t="1270" r="17145" b="15240"/>
                      <wp:wrapNone/>
                      <wp:docPr id="127" name="直接连接符 127"/>
                      <wp:cNvGraphicFramePr/>
                      <a:graphic xmlns:a="http://schemas.openxmlformats.org/drawingml/2006/main">
                        <a:graphicData uri="http://schemas.microsoft.com/office/word/2010/wordprocessingShape">
                          <wps:wsp>
                            <wps:cNvCnPr/>
                            <wps:spPr>
                              <a:xfrm flipH="1">
                                <a:off x="2771140" y="1428750"/>
                                <a:ext cx="109855" cy="4787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80.1pt;margin-top:6.95pt;height:37.7pt;width:8.65pt;z-index:251757568;mso-width-relative:page;mso-height-relative:page;" filled="f" stroked="t" coordsize="21600,21600" o:gfxdata="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EWFgGNcAAAAJAQAADwAAAAAAAAABACAAAAAiAAAAZHJzL2Rv&#10;d25yZXYueG1sUEsBAhQAFAAAAAgAh07iQNB+7kECAgAA3gMAAA4AAAAAAAAAAQAgAAAAJgEAAGRy&#10;cy9lMm9Eb2MueG1sUEsFBgAAAAAGAAYAWQEAAJoFA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58592" behindDoc="0" locked="0" layoutInCell="1" allowOverlap="1">
                      <wp:simplePos x="0" y="0"/>
                      <wp:positionH relativeFrom="column">
                        <wp:posOffset>3281680</wp:posOffset>
                      </wp:positionH>
                      <wp:positionV relativeFrom="paragraph">
                        <wp:posOffset>91440</wp:posOffset>
                      </wp:positionV>
                      <wp:extent cx="109855" cy="478790"/>
                      <wp:effectExtent l="6350" t="1270" r="17145" b="15240"/>
                      <wp:wrapNone/>
                      <wp:docPr id="128" name="直接连接符 128"/>
                      <wp:cNvGraphicFramePr/>
                      <a:graphic xmlns:a="http://schemas.openxmlformats.org/drawingml/2006/main">
                        <a:graphicData uri="http://schemas.microsoft.com/office/word/2010/wordprocessingShape">
                          <wps:wsp>
                            <wps:cNvCnPr/>
                            <wps:spPr>
                              <a:xfrm flipH="1">
                                <a:off x="0" y="0"/>
                                <a:ext cx="109855" cy="4787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258.4pt;margin-top:7.2pt;height:37.7pt;width:8.65pt;z-index:251758592;mso-width-relative:page;mso-height-relative:page;" filled="f" stroked="t" coordsize="21600,21600" o:gfxdata="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LOeXXAAAACQEAAA8AAAAAAAAAAQAgAAAAIgAAAGRycy9kb3ducmV2LnhtbFBL&#10;AQIUABQAAAAIAIdO4kBQYxkA9wEAANIDAAAOAAAAAAAAAAEAIAAAACYBAABkcnMvZTJvRG9jLnht&#10;bFBLBQYAAAAABgAGAFkBAACP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55520" behindDoc="0" locked="0" layoutInCell="1" allowOverlap="1">
                      <wp:simplePos x="0" y="0"/>
                      <wp:positionH relativeFrom="column">
                        <wp:posOffset>1122680</wp:posOffset>
                      </wp:positionH>
                      <wp:positionV relativeFrom="paragraph">
                        <wp:posOffset>76835</wp:posOffset>
                      </wp:positionV>
                      <wp:extent cx="2278380" cy="1270"/>
                      <wp:effectExtent l="0" t="0" r="0" b="0"/>
                      <wp:wrapNone/>
                      <wp:docPr id="125" name="直接连接符 125"/>
                      <wp:cNvGraphicFramePr/>
                      <a:graphic xmlns:a="http://schemas.openxmlformats.org/drawingml/2006/main">
                        <a:graphicData uri="http://schemas.microsoft.com/office/word/2010/wordprocessingShape">
                          <wps:wsp>
                            <wps:cNvCnPr/>
                            <wps:spPr>
                              <a:xfrm>
                                <a:off x="2898775" y="1414145"/>
                                <a:ext cx="2278380" cy="127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88.4pt;margin-top:6.05pt;height:0.1pt;width:179.4pt;z-index:251755520;mso-width-relative:page;mso-height-relative:page;" filled="f" stroked="t" coordsize="21600,21600" o:gfxdata="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VxVOjNgAAAAJAQAADwAAAAAAAAABACAAAAAiAAAAZHJzL2Rvd25yZXYueG1sUEsB&#10;AhQAFAAAAAgAh07iQEO2uYX1AQAA0wMAAA4AAAAAAAAAAQAgAAAAJwEAAGRycy9lMm9Eb2MueG1s&#10;UEsFBgAAAAAGAAYAWQEAAI4FAAAAAA==&#10;">
                      <v:fill on="f" focussize="0,0"/>
                      <v:stroke weight="1pt" color="#000000" miterlimit="8" joinstyle="miter"/>
                      <v:imagedata o:title=""/>
                      <o:lock v:ext="edit" aspectratio="f"/>
                    </v:line>
                  </w:pict>
                </mc:Fallback>
              </mc:AlternateContent>
            </w:r>
          </w:p>
          <w:p>
            <w:pPr>
              <w:pStyle w:val="9"/>
              <w:ind w:firstLine="1440" w:firstLineChars="800"/>
              <w:rPr>
                <w:b/>
                <w:bCs/>
                <w:color w:val="auto"/>
              </w:rPr>
            </w:pPr>
            <w:r>
              <w:rPr>
                <w:color w:val="auto"/>
              </w:rPr>
              <mc:AlternateContent>
                <mc:Choice Requires="wps">
                  <w:drawing>
                    <wp:anchor distT="0" distB="0" distL="114300" distR="114300" simplePos="0" relativeHeight="251794432" behindDoc="0" locked="0" layoutInCell="1" allowOverlap="1">
                      <wp:simplePos x="0" y="0"/>
                      <wp:positionH relativeFrom="column">
                        <wp:posOffset>2778760</wp:posOffset>
                      </wp:positionH>
                      <wp:positionV relativeFrom="paragraph">
                        <wp:posOffset>5080</wp:posOffset>
                      </wp:positionV>
                      <wp:extent cx="207010" cy="127000"/>
                      <wp:effectExtent l="6350" t="6350" r="15240" b="19050"/>
                      <wp:wrapNone/>
                      <wp:docPr id="74" name="文本框 74"/>
                      <wp:cNvGraphicFramePr/>
                      <a:graphic xmlns:a="http://schemas.openxmlformats.org/drawingml/2006/main">
                        <a:graphicData uri="http://schemas.microsoft.com/office/word/2010/wordprocessingShape">
                          <wps:wsp>
                            <wps:cNvSpPr txBox="1"/>
                            <wps:spPr>
                              <a:xfrm>
                                <a:off x="0" y="0"/>
                                <a:ext cx="207010" cy="127000"/>
                              </a:xfrm>
                              <a:prstGeom prst="rect">
                                <a:avLst/>
                              </a:prstGeom>
                              <a:solidFill>
                                <a:srgbClr val="FFFFFF"/>
                              </a:solidFill>
                              <a:ln w="12700">
                                <a:solidFill>
                                  <a:prstClr val="black"/>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8.8pt;margin-top:0.4pt;height:10pt;width:16.3pt;z-index:251794432;mso-width-relative:page;mso-height-relative:page;" fillcolor="#FFFFFF" filled="t" stroked="t" coordsize="21600,21600" o:gfxdata="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E+Z&#10;t3vZAAAABwEAAA8AAAAAAAAAAQAgAAAAIgAAAGRycy9kb3ducmV2LnhtbFBLAQIUABQAAAAIAIdO&#10;4kCPboGbWwIAAMcEAAAOAAAAAAAAAAEAIAAAACgBAABkcnMvZTJvRG9jLnhtbFBLBQYAAAAABgAG&#10;AFkBAAD1BQAAAAA=&#10;">
                      <v:fill on="t" focussize="0,0"/>
                      <v:stroke weight="1pt" color="#000000" joinstyle="round"/>
                      <v:imagedata o:title=""/>
                      <o:lock v:ext="edit" aspectratio="f"/>
                      <v:textbox>
                        <w:txbxContent>
                          <w:p/>
                        </w:txbxContent>
                      </v:textbox>
                    </v:shape>
                  </w:pict>
                </mc:Fallback>
              </mc:AlternateContent>
            </w:r>
            <w:r>
              <w:rPr>
                <w:color w:val="auto"/>
              </w:rPr>
              <mc:AlternateContent>
                <mc:Choice Requires="wps">
                  <w:drawing>
                    <wp:anchor distT="0" distB="0" distL="114300" distR="114300" simplePos="0" relativeHeight="251768832" behindDoc="0" locked="0" layoutInCell="1" allowOverlap="1">
                      <wp:simplePos x="0" y="0"/>
                      <wp:positionH relativeFrom="column">
                        <wp:posOffset>1957705</wp:posOffset>
                      </wp:positionH>
                      <wp:positionV relativeFrom="paragraph">
                        <wp:posOffset>193675</wp:posOffset>
                      </wp:positionV>
                      <wp:extent cx="293370" cy="922020"/>
                      <wp:effectExtent l="0" t="0" r="0" b="0"/>
                      <wp:wrapNone/>
                      <wp:docPr id="162" name="文本框 162"/>
                      <wp:cNvGraphicFramePr/>
                      <a:graphic xmlns:a="http://schemas.openxmlformats.org/drawingml/2006/main">
                        <a:graphicData uri="http://schemas.microsoft.com/office/word/2010/wordprocessingShape">
                          <wps:wsp>
                            <wps:cNvSpPr txBox="1"/>
                            <wps:spPr>
                              <a:xfrm>
                                <a:off x="0" y="0"/>
                                <a:ext cx="293370" cy="922020"/>
                              </a:xfrm>
                              <a:prstGeom prst="rect">
                                <a:avLst/>
                              </a:prstGeom>
                              <a:noFill/>
                              <a:ln w="6350">
                                <a:noFill/>
                              </a:ln>
                              <a:effectLst/>
                            </wps:spPr>
                            <wps:txbx>
                              <w:txbxContent>
                                <w:p>
                                  <w:pPr>
                                    <w:rPr>
                                      <w:rFonts w:hint="eastAsia" w:eastAsia="宋体"/>
                                      <w:b/>
                                      <w:bCs/>
                                      <w:sz w:val="18"/>
                                      <w:szCs w:val="18"/>
                                      <w:lang w:eastAsia="zh-CN"/>
                                    </w:rPr>
                                  </w:pPr>
                                  <w:r>
                                    <w:rPr>
                                      <w:rFonts w:hint="eastAsia"/>
                                      <w:b/>
                                      <w:bCs/>
                                      <w:sz w:val="18"/>
                                      <w:szCs w:val="18"/>
                                      <w:lang w:eastAsia="zh-CN"/>
                                    </w:rPr>
                                    <w:t>布云轩茶坊</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4.15pt;margin-top:15.25pt;height:72.6pt;width:23.1pt;z-index:251768832;mso-width-relative:page;mso-height-relative:page;" filled="f" stroked="f" coordsize="21600,21600" o:gfxdata="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iRcvXtoAAAAKAQAADwAAAAAAAAABACAA&#10;AAAiAAAAZHJzL2Rvd25yZXYueG1sUEsBAhQAFAAAAAgAh07iQICW419EAgAAdwQAAA4AAAAAAAAA&#10;AQAgAAAAKQEAAGRycy9lMm9Eb2MueG1sUEsFBgAAAAAGAAYAWQEAAN8FAAAAAA==&#10;">
                      <v:fill on="f" focussize="0,0"/>
                      <v:stroke on="f" weight="0.5pt"/>
                      <v:imagedata o:title=""/>
                      <o:lock v:ext="edit" aspectratio="f"/>
                      <v:textbox>
                        <w:txbxContent>
                          <w:p>
                            <w:pPr>
                              <w:rPr>
                                <w:rFonts w:hint="eastAsia" w:eastAsia="宋体"/>
                                <w:b/>
                                <w:bCs/>
                                <w:sz w:val="18"/>
                                <w:szCs w:val="18"/>
                                <w:lang w:eastAsia="zh-CN"/>
                              </w:rPr>
                            </w:pPr>
                            <w:r>
                              <w:rPr>
                                <w:rFonts w:hint="eastAsia"/>
                                <w:b/>
                                <w:bCs/>
                                <w:sz w:val="18"/>
                                <w:szCs w:val="18"/>
                                <w:lang w:eastAsia="zh-CN"/>
                              </w:rPr>
                              <w:t>布云轩茶坊</w:t>
                            </w:r>
                          </w:p>
                        </w:txbxContent>
                      </v:textbox>
                    </v:shape>
                  </w:pict>
                </mc:Fallback>
              </mc:AlternateContent>
            </w:r>
            <w:r>
              <w:rPr>
                <w:color w:val="auto"/>
                <w:sz w:val="21"/>
              </w:rPr>
              <mc:AlternateContent>
                <mc:Choice Requires="wps">
                  <w:drawing>
                    <wp:anchor distT="0" distB="0" distL="114300" distR="114300" simplePos="0" relativeHeight="251773952" behindDoc="0" locked="0" layoutInCell="1" allowOverlap="1">
                      <wp:simplePos x="0" y="0"/>
                      <wp:positionH relativeFrom="column">
                        <wp:posOffset>518795</wp:posOffset>
                      </wp:positionH>
                      <wp:positionV relativeFrom="paragraph">
                        <wp:posOffset>216535</wp:posOffset>
                      </wp:positionV>
                      <wp:extent cx="710565" cy="321945"/>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710565" cy="3219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Times New Roman" w:hAnsi="Times New Roman" w:eastAsia="宋体" w:cs="Times New Roman"/>
                                      <w:b/>
                                      <w:bCs/>
                                      <w:sz w:val="18"/>
                                      <w:szCs w:val="18"/>
                                      <w:lang w:eastAsia="zh-CN"/>
                                    </w:rPr>
                                  </w:pPr>
                                  <w:r>
                                    <w:rPr>
                                      <w:rFonts w:hint="eastAsia" w:ascii="Times New Roman" w:hAnsi="Times New Roman" w:eastAsia="宋体" w:cs="Times New Roman"/>
                                      <w:b/>
                                      <w:bCs/>
                                      <w:sz w:val="18"/>
                                      <w:szCs w:val="18"/>
                                      <w:lang w:eastAsia="zh-CN"/>
                                    </w:rPr>
                                    <w:t>居民入口</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0.85pt;margin-top:17.05pt;height:25.35pt;width:55.95pt;z-index:251773952;mso-width-relative:page;mso-height-relative:page;" filled="f" stroked="f" coordsize="21600,21600" o:gfxdata="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lDkMFtkAAAAIAQAADwAAAAAAAAABACAAAAAiAAAAZHJz&#10;L2Rvd25yZXYueG1sUEsBAhQAFAAAAAgAh07iQEeGHmE8AgAAZwQAAA4AAAAAAAAAAQAgAAAAKAEA&#10;AGRycy9lMm9Eb2MueG1sUEsFBgAAAAAGAAYAWQEAANYFAAAAAA==&#10;">
                      <v:fill on="f" focussize="0,0"/>
                      <v:stroke on="f" weight="0.5pt"/>
                      <v:imagedata o:title=""/>
                      <o:lock v:ext="edit" aspectratio="f"/>
                      <v:textbox>
                        <w:txbxContent>
                          <w:p>
                            <w:pPr>
                              <w:rPr>
                                <w:rFonts w:hint="eastAsia" w:ascii="Times New Roman" w:hAnsi="Times New Roman" w:eastAsia="宋体" w:cs="Times New Roman"/>
                                <w:b/>
                                <w:bCs/>
                                <w:sz w:val="18"/>
                                <w:szCs w:val="18"/>
                                <w:lang w:eastAsia="zh-CN"/>
                              </w:rPr>
                            </w:pPr>
                            <w:r>
                              <w:rPr>
                                <w:rFonts w:hint="eastAsia" w:ascii="Times New Roman" w:hAnsi="Times New Roman" w:eastAsia="宋体" w:cs="Times New Roman"/>
                                <w:b/>
                                <w:bCs/>
                                <w:sz w:val="18"/>
                                <w:szCs w:val="18"/>
                                <w:lang w:eastAsia="zh-CN"/>
                              </w:rPr>
                              <w:t>居民入口</w:t>
                            </w:r>
                          </w:p>
                        </w:txbxContent>
                      </v:textbox>
                    </v:shape>
                  </w:pict>
                </mc:Fallback>
              </mc:AlternateContent>
            </w:r>
            <w:r>
              <w:rPr>
                <w:rFonts w:hint="default" w:ascii="Times New Roman" w:hAnsi="Times New Roman" w:cs="Times New Roman"/>
                <w:color w:val="auto"/>
                <w:sz w:val="21"/>
              </w:rPr>
              <mc:AlternateContent>
                <mc:Choice Requires="wps">
                  <w:drawing>
                    <wp:anchor distT="0" distB="0" distL="114300" distR="114300" simplePos="0" relativeHeight="251772928" behindDoc="0" locked="0" layoutInCell="1" allowOverlap="1">
                      <wp:simplePos x="0" y="0"/>
                      <wp:positionH relativeFrom="column">
                        <wp:posOffset>866775</wp:posOffset>
                      </wp:positionH>
                      <wp:positionV relativeFrom="paragraph">
                        <wp:posOffset>160020</wp:posOffset>
                      </wp:positionV>
                      <wp:extent cx="160020" cy="336550"/>
                      <wp:effectExtent l="4445" t="1905" r="6985" b="4445"/>
                      <wp:wrapNone/>
                      <wp:docPr id="85" name="直接连接符 85"/>
                      <wp:cNvGraphicFramePr/>
                      <a:graphic xmlns:a="http://schemas.openxmlformats.org/drawingml/2006/main">
                        <a:graphicData uri="http://schemas.microsoft.com/office/word/2010/wordprocessingShape">
                          <wps:wsp>
                            <wps:cNvCnPr/>
                            <wps:spPr>
                              <a:xfrm>
                                <a:off x="0" y="0"/>
                                <a:ext cx="160020" cy="336550"/>
                              </a:xfrm>
                              <a:prstGeom prst="line">
                                <a:avLst/>
                              </a:prstGeom>
                              <a:ln w="9525" cap="flat" cmpd="sng">
                                <a:solidFill>
                                  <a:schemeClr val="tx1"/>
                                </a:solidFill>
                                <a:prstDash val="solid"/>
                                <a:headEnd type="none" w="med" len="med"/>
                                <a:tailEnd type="triangle" w="med" len="med"/>
                              </a:ln>
                            </wps:spPr>
                            <wps:bodyPr upright="1"/>
                          </wps:wsp>
                        </a:graphicData>
                      </a:graphic>
                    </wp:anchor>
                  </w:drawing>
                </mc:Choice>
                <mc:Fallback>
                  <w:pict>
                    <v:line id="_x0000_s1026" o:spid="_x0000_s1026" o:spt="20" style="position:absolute;left:0pt;margin-left:68.25pt;margin-top:12.6pt;height:26.5pt;width:12.6pt;z-index:251772928;mso-width-relative:page;mso-height-relative:page;" filled="f" stroked="t" coordsize="21600,21600" o:gfxdata="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&#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I3BVgbaAAAACQEAAA8AAAAAAAAAAQAgAAAAIgAAAGRy&#10;cy9kb3ducmV2LnhtbFBLAQIUABQAAAAIAIdO4kCKV3dcAwIAAO4DAAAOAAAAAAAAAAEAIAAAACkB&#10;AABkcnMvZTJvRG9jLnhtbFBLBQYAAAAABgAGAFkBAACeBQAAAAA=&#10;">
                      <v:fill on="f" focussize="0,0"/>
                      <v:stroke color="#000000 [3213]" joinstyle="round" endarrow="block"/>
                      <v:imagedata o:title=""/>
                      <o:lock v:ext="edit" aspectratio="f"/>
                    </v:line>
                  </w:pict>
                </mc:Fallback>
              </mc:AlternateContent>
            </w:r>
          </w:p>
          <w:p>
            <w:pPr>
              <w:pStyle w:val="9"/>
              <w:ind w:firstLine="1440" w:firstLineChars="800"/>
              <w:rPr>
                <w:b/>
                <w:bCs/>
                <w:color w:val="auto"/>
              </w:rPr>
            </w:pPr>
            <w:r>
              <w:rPr>
                <w:color w:val="auto"/>
              </w:rPr>
              <mc:AlternateContent>
                <mc:Choice Requires="wps">
                  <w:drawing>
                    <wp:anchor distT="0" distB="0" distL="114300" distR="114300" simplePos="0" relativeHeight="251766784" behindDoc="0" locked="0" layoutInCell="1" allowOverlap="1">
                      <wp:simplePos x="0" y="0"/>
                      <wp:positionH relativeFrom="column">
                        <wp:posOffset>1656080</wp:posOffset>
                      </wp:positionH>
                      <wp:positionV relativeFrom="paragraph">
                        <wp:posOffset>78105</wp:posOffset>
                      </wp:positionV>
                      <wp:extent cx="315595" cy="688975"/>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315595" cy="688975"/>
                              </a:xfrm>
                              <a:prstGeom prst="rect">
                                <a:avLst/>
                              </a:prstGeom>
                              <a:noFill/>
                              <a:ln w="6350">
                                <a:noFill/>
                              </a:ln>
                              <a:effectLst/>
                            </wps:spPr>
                            <wps:txbx>
                              <w:txbxContent>
                                <w:p>
                                  <w:pPr>
                                    <w:rPr>
                                      <w:rFonts w:hint="eastAsia" w:eastAsia="宋体"/>
                                      <w:b/>
                                      <w:bCs/>
                                      <w:sz w:val="18"/>
                                      <w:szCs w:val="18"/>
                                      <w:lang w:val="en-US" w:eastAsia="zh-CN"/>
                                    </w:rPr>
                                  </w:pPr>
                                  <w:r>
                                    <w:rPr>
                                      <w:rFonts w:hint="eastAsia"/>
                                      <w:b/>
                                      <w:bCs/>
                                      <w:sz w:val="18"/>
                                      <w:szCs w:val="18"/>
                                      <w:lang w:eastAsia="zh-CN"/>
                                    </w:rPr>
                                    <w:t>火锅店</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0.4pt;margin-top:6.15pt;height:54.25pt;width:24.85pt;z-index:251766784;mso-width-relative:page;mso-height-relative:page;" filled="f" stroked="f" coordsize="21600,21600" o:gfxdata="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cIIRDtgAAAAKAQAADwAAAAAAAAABACAAAAAi&#10;AAAAZHJzL2Rvd25yZXYueG1sUEsBAhQAFAAAAAgAh07iQA71/chDAgAAdwQAAA4AAAAAAAAAAQAg&#10;AAAAJwEAAGRycy9lMm9Eb2MueG1sUEsFBgAAAAAGAAYAWQEAANwFAAAAAA==&#10;">
                      <v:fill on="f" focussize="0,0"/>
                      <v:stroke on="f" weight="0.5pt"/>
                      <v:imagedata o:title=""/>
                      <o:lock v:ext="edit" aspectratio="f"/>
                      <v:textbox>
                        <w:txbxContent>
                          <w:p>
                            <w:pPr>
                              <w:rPr>
                                <w:rFonts w:hint="eastAsia" w:eastAsia="宋体"/>
                                <w:b/>
                                <w:bCs/>
                                <w:sz w:val="18"/>
                                <w:szCs w:val="18"/>
                                <w:lang w:val="en-US" w:eastAsia="zh-CN"/>
                              </w:rPr>
                            </w:pPr>
                            <w:r>
                              <w:rPr>
                                <w:rFonts w:hint="eastAsia"/>
                                <w:b/>
                                <w:bCs/>
                                <w:sz w:val="18"/>
                                <w:szCs w:val="18"/>
                                <w:lang w:eastAsia="zh-CN"/>
                              </w:rPr>
                              <w:t>火锅店</w:t>
                            </w:r>
                          </w:p>
                        </w:txbxContent>
                      </v:textbox>
                    </v:shape>
                  </w:pict>
                </mc:Fallback>
              </mc:AlternateContent>
            </w:r>
            <w:r>
              <w:rPr>
                <w:color w:val="auto"/>
              </w:rPr>
              <mc:AlternateContent>
                <mc:Choice Requires="wps">
                  <w:drawing>
                    <wp:anchor distT="0" distB="0" distL="114300" distR="114300" simplePos="0" relativeHeight="251783168" behindDoc="0" locked="0" layoutInCell="1" allowOverlap="1">
                      <wp:simplePos x="0" y="0"/>
                      <wp:positionH relativeFrom="column">
                        <wp:posOffset>2550160</wp:posOffset>
                      </wp:positionH>
                      <wp:positionV relativeFrom="paragraph">
                        <wp:posOffset>187960</wp:posOffset>
                      </wp:positionV>
                      <wp:extent cx="890905" cy="387985"/>
                      <wp:effectExtent l="0" t="0" r="0" b="0"/>
                      <wp:wrapNone/>
                      <wp:docPr id="7" name="文本框 7"/>
                      <wp:cNvGraphicFramePr/>
                      <a:graphic xmlns:a="http://schemas.openxmlformats.org/drawingml/2006/main">
                        <a:graphicData uri="http://schemas.microsoft.com/office/word/2010/wordprocessingShape">
                          <wps:wsp>
                            <wps:cNvSpPr txBox="1"/>
                            <wps:spPr>
                              <a:xfrm>
                                <a:off x="0" y="0"/>
                                <a:ext cx="890905" cy="387985"/>
                              </a:xfrm>
                              <a:prstGeom prst="rect">
                                <a:avLst/>
                              </a:prstGeom>
                              <a:noFill/>
                              <a:ln w="6350">
                                <a:noFill/>
                              </a:ln>
                              <a:effectLst/>
                            </wps:spPr>
                            <wps:txbx>
                              <w:txbxContent>
                                <w:p>
                                  <w:pPr>
                                    <w:rPr>
                                      <w:rFonts w:hint="eastAsia"/>
                                      <w:b/>
                                      <w:bCs/>
                                      <w:sz w:val="18"/>
                                      <w:szCs w:val="18"/>
                                      <w:lang w:val="en-US" w:eastAsia="zh-CN"/>
                                    </w:rPr>
                                  </w:pPr>
                                  <w:r>
                                    <w:rPr>
                                      <w:rFonts w:hint="eastAsia"/>
                                      <w:b/>
                                      <w:bCs/>
                                      <w:sz w:val="18"/>
                                      <w:szCs w:val="18"/>
                                      <w:lang w:val="en-US" w:eastAsia="zh-CN"/>
                                    </w:rPr>
                                    <w:t>苍溪好粮油展</w:t>
                                  </w:r>
                                </w:p>
                                <w:p>
                                  <w:pPr>
                                    <w:rPr>
                                      <w:rFonts w:hint="eastAsia" w:eastAsia="宋体"/>
                                      <w:b/>
                                      <w:bCs/>
                                      <w:sz w:val="18"/>
                                      <w:szCs w:val="18"/>
                                      <w:lang w:val="en-US" w:eastAsia="zh-CN"/>
                                    </w:rPr>
                                  </w:pPr>
                                  <w:r>
                                    <w:rPr>
                                      <w:rFonts w:hint="eastAsia"/>
                                      <w:b/>
                                      <w:bCs/>
                                      <w:sz w:val="18"/>
                                      <w:szCs w:val="18"/>
                                      <w:lang w:val="en-US" w:eastAsia="zh-CN"/>
                                    </w:rPr>
                                    <w:t>示展销旗舰店</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0.8pt;margin-top:14.8pt;height:30.55pt;width:70.15pt;z-index:251783168;mso-width-relative:page;mso-height-relative:page;" filled="f" stroked="f" coordsize="21600,21600" o:gfxdata="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BrXEtL2wAAAAkBAAAPAAAAAAAAAAEAIAAA&#10;ACIAAABkcnMvZG93bnJldi54bWxQSwECFAAUAAAACACHTuJAjaMdMEICAABzBAAADgAAAAAAAAAB&#10;ACAAAAAqAQAAZHJzL2Uyb0RvYy54bWxQSwUGAAAAAAYABgBZAQAA3gUAAAAA&#10;">
                      <v:fill on="f" focussize="0,0"/>
                      <v:stroke on="f" weight="0.5pt"/>
                      <v:imagedata o:title=""/>
                      <o:lock v:ext="edit" aspectratio="f"/>
                      <v:textbox>
                        <w:txbxContent>
                          <w:p>
                            <w:pPr>
                              <w:rPr>
                                <w:rFonts w:hint="eastAsia"/>
                                <w:b/>
                                <w:bCs/>
                                <w:sz w:val="18"/>
                                <w:szCs w:val="18"/>
                                <w:lang w:val="en-US" w:eastAsia="zh-CN"/>
                              </w:rPr>
                            </w:pPr>
                            <w:r>
                              <w:rPr>
                                <w:rFonts w:hint="eastAsia"/>
                                <w:b/>
                                <w:bCs/>
                                <w:sz w:val="18"/>
                                <w:szCs w:val="18"/>
                                <w:lang w:val="en-US" w:eastAsia="zh-CN"/>
                              </w:rPr>
                              <w:t>苍溪好粮油展</w:t>
                            </w:r>
                          </w:p>
                          <w:p>
                            <w:pPr>
                              <w:rPr>
                                <w:rFonts w:hint="eastAsia" w:eastAsia="宋体"/>
                                <w:b/>
                                <w:bCs/>
                                <w:sz w:val="18"/>
                                <w:szCs w:val="18"/>
                                <w:lang w:val="en-US" w:eastAsia="zh-CN"/>
                              </w:rPr>
                            </w:pPr>
                            <w:r>
                              <w:rPr>
                                <w:rFonts w:hint="eastAsia"/>
                                <w:b/>
                                <w:bCs/>
                                <w:sz w:val="18"/>
                                <w:szCs w:val="18"/>
                                <w:lang w:val="en-US" w:eastAsia="zh-CN"/>
                              </w:rPr>
                              <w:t>示展销旗舰店</w:t>
                            </w:r>
                          </w:p>
                        </w:txbxContent>
                      </v:textbox>
                    </v:shape>
                  </w:pict>
                </mc:Fallback>
              </mc:AlternateContent>
            </w:r>
            <w:r>
              <w:rPr>
                <w:color w:val="auto"/>
              </w:rPr>
              <mc:AlternateContent>
                <mc:Choice Requires="wps">
                  <w:drawing>
                    <wp:anchor distT="0" distB="0" distL="114300" distR="114300" simplePos="0" relativeHeight="251777024" behindDoc="0" locked="0" layoutInCell="1" allowOverlap="1">
                      <wp:simplePos x="0" y="0"/>
                      <wp:positionH relativeFrom="column">
                        <wp:posOffset>1028065</wp:posOffset>
                      </wp:positionH>
                      <wp:positionV relativeFrom="paragraph">
                        <wp:posOffset>67945</wp:posOffset>
                      </wp:positionV>
                      <wp:extent cx="94615" cy="478790"/>
                      <wp:effectExtent l="6350" t="1270" r="13335" b="15240"/>
                      <wp:wrapNone/>
                      <wp:docPr id="55" name="直接连接符 55"/>
                      <wp:cNvGraphicFramePr/>
                      <a:graphic xmlns:a="http://schemas.openxmlformats.org/drawingml/2006/main">
                        <a:graphicData uri="http://schemas.microsoft.com/office/word/2010/wordprocessingShape">
                          <wps:wsp>
                            <wps:cNvCnPr/>
                            <wps:spPr>
                              <a:xfrm flipH="1">
                                <a:off x="0" y="0"/>
                                <a:ext cx="94615" cy="4787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80.95pt;margin-top:5.35pt;height:37.7pt;width:7.45pt;z-index:251777024;mso-width-relative:page;mso-height-relative:page;" filled="f" stroked="t" coordsize="21600,21600" o:gfxdata="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bkG5o1QAAAAkBAAAPAAAAAAAAAAEAIAAAACIAAABkcnMvZG93bnJldi54bWxQSwEC&#10;FAAUAAAACACHTuJAX5FKgvcBAADPAwAADgAAAAAAAAABACAAAAAkAQAAZHJzL2Uyb0RvYy54bWxQ&#10;SwUGAAAAAAYABgBZAQAAjQU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74976" behindDoc="0" locked="0" layoutInCell="1" allowOverlap="1">
                      <wp:simplePos x="0" y="0"/>
                      <wp:positionH relativeFrom="column">
                        <wp:posOffset>997585</wp:posOffset>
                      </wp:positionH>
                      <wp:positionV relativeFrom="paragraph">
                        <wp:posOffset>85090</wp:posOffset>
                      </wp:positionV>
                      <wp:extent cx="16510" cy="479425"/>
                      <wp:effectExtent l="6350" t="0" r="15240" b="15875"/>
                      <wp:wrapNone/>
                      <wp:docPr id="14" name="直接连接符 14"/>
                      <wp:cNvGraphicFramePr/>
                      <a:graphic xmlns:a="http://schemas.openxmlformats.org/drawingml/2006/main">
                        <a:graphicData uri="http://schemas.microsoft.com/office/word/2010/wordprocessingShape">
                          <wps:wsp>
                            <wps:cNvCnPr/>
                            <wps:spPr>
                              <a:xfrm flipH="1">
                                <a:off x="0" y="0"/>
                                <a:ext cx="16510" cy="47942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78.55pt;margin-top:6.7pt;height:37.75pt;width:1.3pt;z-index:251774976;mso-width-relative:page;mso-height-relative:page;" filled="f" stroked="t" coordsize="21600,21600" o:gfxdata="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WL7Ts1gAAAAkBAAAPAAAAAAAAAAEAIAAAACIAAABkcnMvZG93bnJldi54bWxQSwECFAAU&#10;AAAACACHTuJAMX/+KfMBAADPAwAADgAAAAAAAAABACAAAAAlAQAAZHJzL2Uyb0RvYy54bWxQSwUG&#10;AAAAAAYABgBZAQAAigU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67808" behindDoc="0" locked="0" layoutInCell="1" allowOverlap="1">
                      <wp:simplePos x="0" y="0"/>
                      <wp:positionH relativeFrom="column">
                        <wp:posOffset>2353945</wp:posOffset>
                      </wp:positionH>
                      <wp:positionV relativeFrom="paragraph">
                        <wp:posOffset>56515</wp:posOffset>
                      </wp:positionV>
                      <wp:extent cx="297815" cy="574675"/>
                      <wp:effectExtent l="0" t="0" r="0" b="0"/>
                      <wp:wrapNone/>
                      <wp:docPr id="163" name="文本框 163"/>
                      <wp:cNvGraphicFramePr/>
                      <a:graphic xmlns:a="http://schemas.openxmlformats.org/drawingml/2006/main">
                        <a:graphicData uri="http://schemas.microsoft.com/office/word/2010/wordprocessingShape">
                          <wps:wsp>
                            <wps:cNvSpPr txBox="1"/>
                            <wps:spPr>
                              <a:xfrm>
                                <a:off x="0" y="0"/>
                                <a:ext cx="297815" cy="574675"/>
                              </a:xfrm>
                              <a:prstGeom prst="rect">
                                <a:avLst/>
                              </a:prstGeom>
                              <a:noFill/>
                              <a:ln w="6350">
                                <a:noFill/>
                              </a:ln>
                              <a:effectLst/>
                            </wps:spPr>
                            <wps:txbx>
                              <w:txbxContent>
                                <w:p>
                                  <w:pPr>
                                    <w:rPr>
                                      <w:b/>
                                      <w:bCs/>
                                      <w:color w:val="FF0000"/>
                                      <w:sz w:val="18"/>
                                      <w:szCs w:val="18"/>
                                    </w:rPr>
                                  </w:pPr>
                                  <w:r>
                                    <w:rPr>
                                      <w:rFonts w:hint="eastAsia"/>
                                      <w:b/>
                                      <w:bCs/>
                                      <w:color w:val="FF0000"/>
                                      <w:sz w:val="18"/>
                                      <w:szCs w:val="18"/>
                                    </w:rPr>
                                    <w:t>本项目</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5.35pt;margin-top:4.45pt;height:45.25pt;width:23.45pt;z-index:251767808;mso-width-relative:page;mso-height-relative:page;" filled="f" stroked="f" coordsize="21600,21600" o:gfxdata="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B2jFfG2gAAAAgBAAAPAAAAAAAAAAEAIAAA&#10;ACIAAABkcnMvZG93bnJldi54bWxQSwECFAAUAAAACACHTuJAWgPxJkMCAAB3BAAADgAAAAAAAAAB&#10;ACAAAAApAQAAZHJzL2Uyb0RvYy54bWxQSwUGAAAAAAYABgBZAQAA3gUAAAAA&#10;">
                      <v:fill on="f" focussize="0,0"/>
                      <v:stroke on="f" weight="0.5pt"/>
                      <v:imagedata o:title=""/>
                      <o:lock v:ext="edit" aspectratio="f"/>
                      <v:textbox>
                        <w:txbxContent>
                          <w:p>
                            <w:pPr>
                              <w:rPr>
                                <w:b/>
                                <w:bCs/>
                                <w:color w:val="FF0000"/>
                                <w:sz w:val="18"/>
                                <w:szCs w:val="18"/>
                              </w:rPr>
                            </w:pPr>
                            <w:r>
                              <w:rPr>
                                <w:rFonts w:hint="eastAsia"/>
                                <w:b/>
                                <w:bCs/>
                                <w:color w:val="FF0000"/>
                                <w:sz w:val="18"/>
                                <w:szCs w:val="18"/>
                              </w:rPr>
                              <w:t>本项目</w:t>
                            </w:r>
                          </w:p>
                        </w:txbxContent>
                      </v:textbox>
                    </v:shape>
                  </w:pict>
                </mc:Fallback>
              </mc:AlternateContent>
            </w:r>
            <w:r>
              <w:rPr>
                <w:color w:val="auto"/>
              </w:rPr>
              <mc:AlternateContent>
                <mc:Choice Requires="wps">
                  <w:drawing>
                    <wp:anchor distT="0" distB="0" distL="114300" distR="114300" simplePos="0" relativeHeight="251762688" behindDoc="0" locked="0" layoutInCell="1" allowOverlap="1">
                      <wp:simplePos x="0" y="0"/>
                      <wp:positionH relativeFrom="column">
                        <wp:posOffset>3293110</wp:posOffset>
                      </wp:positionH>
                      <wp:positionV relativeFrom="paragraph">
                        <wp:posOffset>80010</wp:posOffset>
                      </wp:positionV>
                      <wp:extent cx="94615" cy="478790"/>
                      <wp:effectExtent l="6350" t="1270" r="13335" b="15240"/>
                      <wp:wrapNone/>
                      <wp:docPr id="138" name="直接连接符 138"/>
                      <wp:cNvGraphicFramePr/>
                      <a:graphic xmlns:a="http://schemas.openxmlformats.org/drawingml/2006/main">
                        <a:graphicData uri="http://schemas.microsoft.com/office/word/2010/wordprocessingShape">
                          <wps:wsp>
                            <wps:cNvCnPr/>
                            <wps:spPr>
                              <a:xfrm flipH="1">
                                <a:off x="0" y="0"/>
                                <a:ext cx="94615" cy="4787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259.3pt;margin-top:6.3pt;height:37.7pt;width:7.45pt;z-index:251762688;mso-width-relative:page;mso-height-relative:page;" filled="f" stroked="t" coordsize="21600,21600" o:gfxdata="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EcVbzWAAAACQEAAA8AAAAAAAAAAQAgAAAAIgAAAGRycy9kb3ducmV2LnhtbFBL&#10;AQIUABQAAAAIAIdO4kBXGW+L+AEAANEDAAAOAAAAAAAAAAEAIAAAACUBAABkcnMvZTJvRG9jLnht&#10;bFBLBQYAAAAABgAGAFkBAACPBQ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56544" behindDoc="0" locked="0" layoutInCell="1" allowOverlap="1">
                      <wp:simplePos x="0" y="0"/>
                      <wp:positionH relativeFrom="column">
                        <wp:posOffset>1013460</wp:posOffset>
                      </wp:positionH>
                      <wp:positionV relativeFrom="paragraph">
                        <wp:posOffset>76835</wp:posOffset>
                      </wp:positionV>
                      <wp:extent cx="2263775" cy="8890"/>
                      <wp:effectExtent l="0" t="6350" r="3175" b="13335"/>
                      <wp:wrapNone/>
                      <wp:docPr id="126" name="直接连接符 126"/>
                      <wp:cNvGraphicFramePr/>
                      <a:graphic xmlns:a="http://schemas.openxmlformats.org/drawingml/2006/main">
                        <a:graphicData uri="http://schemas.microsoft.com/office/word/2010/wordprocessingShape">
                          <wps:wsp>
                            <wps:cNvCnPr/>
                            <wps:spPr>
                              <a:xfrm flipV="1">
                                <a:off x="0" y="0"/>
                                <a:ext cx="2263775" cy="889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y;margin-left:79.8pt;margin-top:6.05pt;height:0.7pt;width:178.25pt;z-index:251756544;mso-width-relative:page;mso-height-relative:page;" filled="f" stroked="t" coordsize="21600,21600" o:gfxdata="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0hhND9UAAAAJAQAADwAAAAAAAAABACAAAAAiAAAAZHJzL2Rvd25yZXYueG1sUEsBAhQA&#10;FAAAAAgAh07iQM6CK//1AQAA0QMAAA4AAAAAAAAAAQAgAAAAJAEAAGRycy9lMm9Eb2MueG1sUEsF&#10;BgAAAAAGAAYAWQEAAIsFAAAAAA==&#10;">
                      <v:fill on="f" focussize="0,0"/>
                      <v:stroke weight="1pt" color="#000000" miterlimit="8" joinstyle="miter"/>
                      <v:imagedata o:title=""/>
                      <o:lock v:ext="edit" aspectratio="f"/>
                    </v:line>
                  </w:pict>
                </mc:Fallback>
              </mc:AlternateContent>
            </w:r>
            <w:r>
              <w:rPr>
                <w:color w:val="auto"/>
              </w:rPr>
              <mc:AlternateContent>
                <mc:Choice Requires="wps">
                  <w:drawing>
                    <wp:anchor distT="0" distB="0" distL="114300" distR="114300" simplePos="0" relativeHeight="251761664" behindDoc="0" locked="0" layoutInCell="1" allowOverlap="1">
                      <wp:simplePos x="0" y="0"/>
                      <wp:positionH relativeFrom="column">
                        <wp:posOffset>3273425</wp:posOffset>
                      </wp:positionH>
                      <wp:positionV relativeFrom="paragraph">
                        <wp:posOffset>70485</wp:posOffset>
                      </wp:positionV>
                      <wp:extent cx="15240" cy="493395"/>
                      <wp:effectExtent l="6350" t="0" r="16510" b="1905"/>
                      <wp:wrapNone/>
                      <wp:docPr id="137" name="直接连接符 137"/>
                      <wp:cNvGraphicFramePr/>
                      <a:graphic xmlns:a="http://schemas.openxmlformats.org/drawingml/2006/main">
                        <a:graphicData uri="http://schemas.microsoft.com/office/word/2010/wordprocessingShape">
                          <wps:wsp>
                            <wps:cNvCnPr/>
                            <wps:spPr>
                              <a:xfrm flipH="1">
                                <a:off x="0" y="0"/>
                                <a:ext cx="15240" cy="49339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257.75pt;margin-top:5.55pt;height:38.85pt;width:1.2pt;z-index:251761664;mso-width-relative:page;mso-height-relative:page;" filled="f" stroked="t" coordsize="21600,21600" o:gfxdata="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KB8/fLWAAAACQEAAA8AAAAAAAAAAQAgAAAAIgAAAGRycy9kb3ducmV2LnhtbFBLAQIU&#10;ABQAAAAIAIdO4kC+4/Sx9QEAANEDAAAOAAAAAAAAAAEAIAAAACUBAABkcnMvZTJvRG9jLnhtbFBL&#10;BQYAAAAABgAGAFkBAACMBQAAAAA=&#10;">
                      <v:fill on="f" focussize="0,0"/>
                      <v:stroke weight="1pt" color="#000000" miterlimit="8" joinstyle="miter"/>
                      <v:imagedata o:title=""/>
                      <o:lock v:ext="edit" aspectratio="f"/>
                    </v:line>
                  </w:pict>
                </mc:Fallback>
              </mc:AlternateContent>
            </w:r>
          </w:p>
          <w:p>
            <w:pPr>
              <w:pStyle w:val="9"/>
              <w:ind w:firstLine="1680" w:firstLineChars="800"/>
              <w:rPr>
                <w:b/>
                <w:bCs/>
                <w:color w:val="auto"/>
              </w:rPr>
            </w:pPr>
            <w:r>
              <w:rPr>
                <w:rFonts w:hint="default" w:ascii="Times New Roman" w:hAnsi="Times New Roman" w:cs="Times New Roman"/>
                <w:color w:val="auto"/>
                <w:sz w:val="21"/>
              </w:rPr>
              <mc:AlternateContent>
                <mc:Choice Requires="wps">
                  <w:drawing>
                    <wp:anchor distT="0" distB="0" distL="114300" distR="114300" simplePos="0" relativeHeight="251770880" behindDoc="0" locked="0" layoutInCell="1" allowOverlap="1">
                      <wp:simplePos x="0" y="0"/>
                      <wp:positionH relativeFrom="column">
                        <wp:posOffset>2583815</wp:posOffset>
                      </wp:positionH>
                      <wp:positionV relativeFrom="paragraph">
                        <wp:posOffset>164465</wp:posOffset>
                      </wp:positionV>
                      <wp:extent cx="213995" cy="426720"/>
                      <wp:effectExtent l="0" t="0" r="14605" b="11430"/>
                      <wp:wrapNone/>
                      <wp:docPr id="75" name="直接连接符 75"/>
                      <wp:cNvGraphicFramePr/>
                      <a:graphic xmlns:a="http://schemas.openxmlformats.org/drawingml/2006/main">
                        <a:graphicData uri="http://schemas.microsoft.com/office/word/2010/wordprocessingShape">
                          <wps:wsp>
                            <wps:cNvCnPr/>
                            <wps:spPr>
                              <a:xfrm flipH="1" flipV="1">
                                <a:off x="0" y="0"/>
                                <a:ext cx="213995" cy="426720"/>
                              </a:xfrm>
                              <a:prstGeom prst="line">
                                <a:avLst/>
                              </a:prstGeom>
                              <a:ln w="9525" cap="flat" cmpd="sng">
                                <a:solidFill>
                                  <a:schemeClr val="tx1"/>
                                </a:solidFill>
                                <a:prstDash val="solid"/>
                                <a:headEnd type="none" w="med" len="med"/>
                                <a:tailEnd type="triangle" w="med" len="med"/>
                              </a:ln>
                            </wps:spPr>
                            <wps:bodyPr upright="1"/>
                          </wps:wsp>
                        </a:graphicData>
                      </a:graphic>
                    </wp:anchor>
                  </w:drawing>
                </mc:Choice>
                <mc:Fallback>
                  <w:pict>
                    <v:line id="_x0000_s1026" o:spid="_x0000_s1026" o:spt="20" style="position:absolute;left:0pt;flip:x y;margin-left:203.45pt;margin-top:12.95pt;height:33.6pt;width:16.85pt;z-index:251770880;mso-width-relative:page;mso-height-relative:page;" filled="f" stroked="t" coordsize="21600,21600" o:gfxdata="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UKyKe2AAAAAkBAAAPAAAAAAAAAAEA&#10;IAAAACIAAABkcnMvZG93bnJldi54bWxQSwECFAAUAAAACACHTuJAhoRzag8CAAACBAAADgAAAAAA&#10;AAABACAAAAAnAQAAZHJzL2Uyb0RvYy54bWxQSwUGAAAAAAYABgBZAQAAqAUAAAAA&#10;">
                      <v:fill on="f" focussize="0,0"/>
                      <v:stroke color="#000000 [3213]" joinstyle="round" endarrow="block"/>
                      <v:imagedata o:title=""/>
                      <o:lock v:ext="edit" aspectratio="f"/>
                    </v:line>
                  </w:pict>
                </mc:Fallback>
              </mc:AlternateContent>
            </w:r>
            <w:r>
              <w:rPr>
                <w:color w:val="auto"/>
              </w:rPr>
              <mc:AlternateContent>
                <mc:Choice Requires="wps">
                  <w:drawing>
                    <wp:anchor distT="0" distB="0" distL="114300" distR="114300" simplePos="0" relativeHeight="251782144" behindDoc="0" locked="0" layoutInCell="1" allowOverlap="1">
                      <wp:simplePos x="0" y="0"/>
                      <wp:positionH relativeFrom="column">
                        <wp:posOffset>2778125</wp:posOffset>
                      </wp:positionH>
                      <wp:positionV relativeFrom="paragraph">
                        <wp:posOffset>22225</wp:posOffset>
                      </wp:positionV>
                      <wp:extent cx="207010" cy="121920"/>
                      <wp:effectExtent l="6350" t="6350" r="15240" b="24130"/>
                      <wp:wrapNone/>
                      <wp:docPr id="3" name="文本框 3"/>
                      <wp:cNvGraphicFramePr/>
                      <a:graphic xmlns:a="http://schemas.openxmlformats.org/drawingml/2006/main">
                        <a:graphicData uri="http://schemas.microsoft.com/office/word/2010/wordprocessingShape">
                          <wps:wsp>
                            <wps:cNvSpPr txBox="1"/>
                            <wps:spPr>
                              <a:xfrm>
                                <a:off x="0" y="0"/>
                                <a:ext cx="207010" cy="121920"/>
                              </a:xfrm>
                              <a:prstGeom prst="rect">
                                <a:avLst/>
                              </a:prstGeom>
                              <a:solidFill>
                                <a:srgbClr val="FFFFFF"/>
                              </a:solidFill>
                              <a:ln w="12700">
                                <a:solidFill>
                                  <a:prstClr val="black"/>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8.75pt;margin-top:1.75pt;height:9.6pt;width:16.3pt;z-index:251782144;mso-width-relative:page;mso-height-relative:page;" fillcolor="#FFFFFF" filled="t" stroked="t" coordsize="21600,21600" o:gfxdata="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DT25/rbAAAACAEAAA8AAAAAAAAAAQAgAAAAIgAAAGRycy9kb3ducmV2LnhtbFBLAQIUABQA&#10;AAAIAIdO4kAEsTT+XwIAAMUEAAAOAAAAAAAAAAEAIAAAACoBAABkcnMvZTJvRG9jLnhtbFBLBQYA&#10;AAAABgAGAFkBAAD7BQAAAAA=&#10;">
                      <v:fill on="t" focussize="0,0"/>
                      <v:stroke weight="1pt" color="#000000" joinstyle="round"/>
                      <v:imagedata o:title=""/>
                      <o:lock v:ext="edit" aspectratio="f"/>
                      <v:textbox>
                        <w:txbxContent>
                          <w:p/>
                        </w:txbxContent>
                      </v:textbox>
                    </v:shape>
                  </w:pict>
                </mc:Fallback>
              </mc:AlternateContent>
            </w:r>
            <w:r>
              <w:rPr>
                <w:color w:val="auto"/>
              </w:rPr>
              <mc:AlternateContent>
                <mc:Choice Requires="wps">
                  <w:drawing>
                    <wp:anchor distT="0" distB="0" distL="114300" distR="114300" simplePos="0" relativeHeight="251765760" behindDoc="0" locked="0" layoutInCell="1" allowOverlap="1">
                      <wp:simplePos x="0" y="0"/>
                      <wp:positionH relativeFrom="column">
                        <wp:posOffset>2400300</wp:posOffset>
                      </wp:positionH>
                      <wp:positionV relativeFrom="paragraph">
                        <wp:posOffset>28575</wp:posOffset>
                      </wp:positionV>
                      <wp:extent cx="207010" cy="121920"/>
                      <wp:effectExtent l="6350" t="6350" r="15240" b="24130"/>
                      <wp:wrapNone/>
                      <wp:docPr id="157" name="文本框 157"/>
                      <wp:cNvGraphicFramePr/>
                      <a:graphic xmlns:a="http://schemas.openxmlformats.org/drawingml/2006/main">
                        <a:graphicData uri="http://schemas.microsoft.com/office/word/2010/wordprocessingShape">
                          <wps:wsp>
                            <wps:cNvSpPr txBox="1"/>
                            <wps:spPr>
                              <a:xfrm>
                                <a:off x="0" y="0"/>
                                <a:ext cx="207010" cy="121920"/>
                              </a:xfrm>
                              <a:prstGeom prst="rect">
                                <a:avLst/>
                              </a:prstGeom>
                              <a:solidFill>
                                <a:srgbClr val="FFFFFF"/>
                              </a:solidFill>
                              <a:ln w="12700">
                                <a:solidFill>
                                  <a:srgbClr val="FF0000"/>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9pt;margin-top:2.25pt;height:9.6pt;width:16.3pt;z-index:251765760;mso-width-relative:page;mso-height-relative:page;" fillcolor="#FFFFFF" filled="t" stroked="t" coordsize="21600,21600" o:gfxdata="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k3zy/NkAAAAIAQAADwAAAAAAAAABACAAAAAiAAAAZHJzL2Rvd25yZXYueG1sUEsBAhQAFAAAAAgA&#10;h07iQGMdynBdAgAAygQAAA4AAAAAAAAAAQAgAAAAKAEAAGRycy9lMm9Eb2MueG1sUEsFBgAAAAAG&#10;AAYAWQEAAPcFAAAAAA==&#10;">
                      <v:fill on="t" focussize="0,0"/>
                      <v:stroke weight="1pt" color="#FF0000" joinstyle="round"/>
                      <v:imagedata o:title=""/>
                      <o:lock v:ext="edit" aspectratio="f"/>
                      <v:textbox>
                        <w:txbxContent>
                          <w:p/>
                        </w:txbxContent>
                      </v:textbox>
                    </v:shape>
                  </w:pict>
                </mc:Fallback>
              </mc:AlternateContent>
            </w:r>
            <w:r>
              <w:rPr>
                <w:color w:val="auto"/>
              </w:rPr>
              <mc:AlternateContent>
                <mc:Choice Requires="wps">
                  <w:drawing>
                    <wp:anchor distT="0" distB="0" distL="114300" distR="114300" simplePos="0" relativeHeight="251763712" behindDoc="0" locked="0" layoutInCell="1" allowOverlap="1">
                      <wp:simplePos x="0" y="0"/>
                      <wp:positionH relativeFrom="column">
                        <wp:posOffset>1696085</wp:posOffset>
                      </wp:positionH>
                      <wp:positionV relativeFrom="paragraph">
                        <wp:posOffset>13970</wp:posOffset>
                      </wp:positionV>
                      <wp:extent cx="207010" cy="121920"/>
                      <wp:effectExtent l="6350" t="6350" r="15240" b="24130"/>
                      <wp:wrapNone/>
                      <wp:docPr id="155" name="文本框 155"/>
                      <wp:cNvGraphicFramePr/>
                      <a:graphic xmlns:a="http://schemas.openxmlformats.org/drawingml/2006/main">
                        <a:graphicData uri="http://schemas.microsoft.com/office/word/2010/wordprocessingShape">
                          <wps:wsp>
                            <wps:cNvSpPr txBox="1"/>
                            <wps:spPr>
                              <a:xfrm>
                                <a:off x="0" y="0"/>
                                <a:ext cx="207010" cy="121920"/>
                              </a:xfrm>
                              <a:prstGeom prst="rect">
                                <a:avLst/>
                              </a:prstGeom>
                              <a:solidFill>
                                <a:srgbClr val="FFFFFF"/>
                              </a:solidFill>
                              <a:ln w="12700">
                                <a:solidFill>
                                  <a:prstClr val="black"/>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3.55pt;margin-top:1.1pt;height:9.6pt;width:16.3pt;z-index:251763712;mso-width-relative:page;mso-height-relative:page;" fillcolor="#FFFFFF" filled="t" stroked="t" coordsize="21600,21600" o:gfxdata="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CEfQ3DaAAAACAEAAA8AAAAAAAAAAQAgAAAAIgAAAGRycy9kb3ducmV2LnhtbFBLAQIUABQA&#10;AAAIAIdO4kANEoEPYAIAAMkEAAAOAAAAAAAAAAEAIAAAACkBAABkcnMvZTJvRG9jLnhtbFBLBQYA&#10;AAAABgAGAFkBAAD7BQAAAAA=&#10;">
                      <v:fill on="t" focussize="0,0"/>
                      <v:stroke weight="1pt" color="#000000" joinstyle="round"/>
                      <v:imagedata o:title=""/>
                      <o:lock v:ext="edit" aspectratio="f"/>
                      <v:textbox>
                        <w:txbxContent>
                          <w:p/>
                        </w:txbxContent>
                      </v:textbox>
                    </v:shape>
                  </w:pict>
                </mc:Fallback>
              </mc:AlternateContent>
            </w:r>
            <w:r>
              <w:rPr>
                <w:color w:val="auto"/>
              </w:rPr>
              <mc:AlternateContent>
                <mc:Choice Requires="wps">
                  <w:drawing>
                    <wp:anchor distT="0" distB="0" distL="114300" distR="114300" simplePos="0" relativeHeight="251764736" behindDoc="0" locked="0" layoutInCell="1" allowOverlap="1">
                      <wp:simplePos x="0" y="0"/>
                      <wp:positionH relativeFrom="column">
                        <wp:posOffset>2004060</wp:posOffset>
                      </wp:positionH>
                      <wp:positionV relativeFrom="paragraph">
                        <wp:posOffset>8890</wp:posOffset>
                      </wp:positionV>
                      <wp:extent cx="207010" cy="121920"/>
                      <wp:effectExtent l="6350" t="6350" r="15240" b="24130"/>
                      <wp:wrapNone/>
                      <wp:docPr id="156" name="文本框 156"/>
                      <wp:cNvGraphicFramePr/>
                      <a:graphic xmlns:a="http://schemas.openxmlformats.org/drawingml/2006/main">
                        <a:graphicData uri="http://schemas.microsoft.com/office/word/2010/wordprocessingShape">
                          <wps:wsp>
                            <wps:cNvSpPr txBox="1"/>
                            <wps:spPr>
                              <a:xfrm>
                                <a:off x="0" y="0"/>
                                <a:ext cx="207010" cy="121920"/>
                              </a:xfrm>
                              <a:prstGeom prst="rect">
                                <a:avLst/>
                              </a:prstGeom>
                              <a:solidFill>
                                <a:srgbClr val="FFFFFF"/>
                              </a:solidFill>
                              <a:ln w="12700">
                                <a:solidFill>
                                  <a:prstClr val="black"/>
                                </a:solidFill>
                              </a:ln>
                              <a:effectLst/>
                            </wps:spPr>
                            <wps:txbx>
                              <w:txbxContent>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7.8pt;margin-top:0.7pt;height:9.6pt;width:16.3pt;z-index:251764736;mso-width-relative:page;mso-height-relative:page;" fillcolor="#FFFFFF" filled="t" stroked="t" coordsize="21600,21600" o:gfxdata="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N0CD6PaAAAACAEAAA8AAAAAAAAAAQAgAAAAIgAAAGRycy9kb3ducmV2LnhtbFBLAQIUABQA&#10;AAAIAIdO4kCSEtCJYAIAAMkEAAAOAAAAAAAAAAEAIAAAACkBAABkcnMvZTJvRG9jLnhtbFBLBQYA&#10;AAAABgAGAFkBAAD7BQAAAAA=&#10;">
                      <v:fill on="t" focussize="0,0"/>
                      <v:stroke weight="1pt" color="#000000" joinstyle="round"/>
                      <v:imagedata o:title=""/>
                      <o:lock v:ext="edit" aspectratio="f"/>
                      <v:textbox>
                        <w:txbxContent>
                          <w:p/>
                        </w:txbxContent>
                      </v:textbox>
                    </v:shape>
                  </w:pict>
                </mc:Fallback>
              </mc:AlternateContent>
            </w:r>
          </w:p>
          <w:p>
            <w:pPr>
              <w:pStyle w:val="9"/>
              <w:ind w:firstLine="1440" w:firstLineChars="800"/>
              <w:rPr>
                <w:b/>
                <w:bCs/>
                <w:color w:val="auto"/>
              </w:rPr>
            </w:pPr>
            <w:r>
              <w:rPr>
                <w:color w:val="auto"/>
              </w:rPr>
              <mc:AlternateContent>
                <mc:Choice Requires="wps">
                  <w:drawing>
                    <wp:anchor distT="0" distB="0" distL="114300" distR="114300" simplePos="0" relativeHeight="251759616" behindDoc="0" locked="0" layoutInCell="1" allowOverlap="1">
                      <wp:simplePos x="0" y="0"/>
                      <wp:positionH relativeFrom="column">
                        <wp:posOffset>1012190</wp:posOffset>
                      </wp:positionH>
                      <wp:positionV relativeFrom="paragraph">
                        <wp:posOffset>81915</wp:posOffset>
                      </wp:positionV>
                      <wp:extent cx="2265680" cy="7620"/>
                      <wp:effectExtent l="0" t="6350" r="1270" b="14605"/>
                      <wp:wrapNone/>
                      <wp:docPr id="135" name="直接连接符 135"/>
                      <wp:cNvGraphicFramePr/>
                      <a:graphic xmlns:a="http://schemas.openxmlformats.org/drawingml/2006/main">
                        <a:graphicData uri="http://schemas.microsoft.com/office/word/2010/wordprocessingShape">
                          <wps:wsp>
                            <wps:cNvCnPr/>
                            <wps:spPr>
                              <a:xfrm flipV="1">
                                <a:off x="0" y="0"/>
                                <a:ext cx="2265680" cy="762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y;margin-left:79.7pt;margin-top:6.45pt;height:0.6pt;width:178.4pt;z-index:251759616;mso-width-relative:page;mso-height-relative:page;" filled="f" stroked="t" coordsize="21600,21600" o:gfxdata="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KXwWQ1wAAAAkBAAAPAAAAAAAAAAEAIAAAACIAAABkcnMvZG93bnJldi54bWxQSwEC&#10;FAAUAAAACACHTuJAwqa+CfUBAADRAwAADgAAAAAAAAABACAAAAAmAQAAZHJzL2Uyb0RvYy54bWxQ&#10;SwUGAAAAAAYABgBZAQAAjQUAAAAA&#10;">
                      <v:fill on="f" focussize="0,0"/>
                      <v:stroke weight="1pt" color="#000000" miterlimit="8" joinstyle="miter"/>
                      <v:imagedata o:title=""/>
                      <o:lock v:ext="edit" aspectratio="f"/>
                    </v:line>
                  </w:pict>
                </mc:Fallback>
              </mc:AlternateContent>
            </w:r>
          </w:p>
          <w:p>
            <w:pPr>
              <w:pStyle w:val="9"/>
              <w:ind w:firstLine="1680" w:firstLineChars="800"/>
              <w:rPr>
                <w:b/>
                <w:bCs/>
                <w:color w:val="auto"/>
              </w:rPr>
            </w:pPr>
            <w:r>
              <w:rPr>
                <w:color w:val="auto"/>
                <w:sz w:val="21"/>
              </w:rPr>
              <mc:AlternateContent>
                <mc:Choice Requires="wps">
                  <w:drawing>
                    <wp:anchor distT="0" distB="0" distL="114300" distR="114300" simplePos="0" relativeHeight="251771904" behindDoc="0" locked="0" layoutInCell="1" allowOverlap="1">
                      <wp:simplePos x="0" y="0"/>
                      <wp:positionH relativeFrom="column">
                        <wp:posOffset>2808605</wp:posOffset>
                      </wp:positionH>
                      <wp:positionV relativeFrom="paragraph">
                        <wp:posOffset>7620</wp:posOffset>
                      </wp:positionV>
                      <wp:extent cx="786765" cy="240665"/>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786765" cy="2406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Times New Roman" w:hAnsi="Times New Roman" w:eastAsia="宋体" w:cs="Times New Roman"/>
                                      <w:b/>
                                      <w:bCs/>
                                      <w:sz w:val="18"/>
                                      <w:szCs w:val="18"/>
                                      <w:lang w:eastAsia="zh-CN"/>
                                    </w:rPr>
                                  </w:pPr>
                                  <w:r>
                                    <w:rPr>
                                      <w:rFonts w:hint="eastAsia" w:ascii="Times New Roman" w:hAnsi="Times New Roman" w:eastAsia="宋体" w:cs="Times New Roman"/>
                                      <w:b/>
                                      <w:bCs/>
                                      <w:sz w:val="18"/>
                                      <w:szCs w:val="18"/>
                                      <w:lang w:eastAsia="zh-CN"/>
                                    </w:rPr>
                                    <w:t>本项目入口</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1.15pt;margin-top:0.6pt;height:18.95pt;width:61.95pt;z-index:251771904;mso-width-relative:page;mso-height-relative:page;" filled="f" stroked="f" coordsize="21600,21600" o:gfxdata="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3xKn19kAAAAIAQAADwAAAAAAAAABACAAAAAiAAAAZHJz&#10;L2Rvd25yZXYueG1sUEsBAhQAFAAAAAgAh07iQMU13CU8AgAAZwQAAA4AAAAAAAAAAQAgAAAAKAEA&#10;AGRycy9lMm9Eb2MueG1sUEsFBgAAAAAGAAYAWQEAANYFAAAAAA==&#10;">
                      <v:fill on="f" focussize="0,0"/>
                      <v:stroke on="f" weight="0.5pt"/>
                      <v:imagedata o:title=""/>
                      <o:lock v:ext="edit" aspectratio="f"/>
                      <v:textbox>
                        <w:txbxContent>
                          <w:p>
                            <w:pPr>
                              <w:rPr>
                                <w:rFonts w:hint="eastAsia" w:ascii="Times New Roman" w:hAnsi="Times New Roman" w:eastAsia="宋体" w:cs="Times New Roman"/>
                                <w:b/>
                                <w:bCs/>
                                <w:sz w:val="18"/>
                                <w:szCs w:val="18"/>
                                <w:lang w:eastAsia="zh-CN"/>
                              </w:rPr>
                            </w:pPr>
                            <w:r>
                              <w:rPr>
                                <w:rFonts w:hint="eastAsia" w:ascii="Times New Roman" w:hAnsi="Times New Roman" w:eastAsia="宋体" w:cs="Times New Roman"/>
                                <w:b/>
                                <w:bCs/>
                                <w:sz w:val="18"/>
                                <w:szCs w:val="18"/>
                                <w:lang w:eastAsia="zh-CN"/>
                              </w:rPr>
                              <w:t>本项目入口</w:t>
                            </w:r>
                          </w:p>
                        </w:txbxContent>
                      </v:textbox>
                    </v:shape>
                  </w:pict>
                </mc:Fallback>
              </mc:AlternateContent>
            </w:r>
            <w:r>
              <w:rPr>
                <w:color w:val="auto"/>
              </w:rPr>
              <mc:AlternateContent>
                <mc:Choice Requires="wps">
                  <w:drawing>
                    <wp:anchor distT="0" distB="0" distL="114300" distR="114300" simplePos="0" relativeHeight="251769856" behindDoc="0" locked="0" layoutInCell="1" allowOverlap="1">
                      <wp:simplePos x="0" y="0"/>
                      <wp:positionH relativeFrom="column">
                        <wp:posOffset>594360</wp:posOffset>
                      </wp:positionH>
                      <wp:positionV relativeFrom="paragraph">
                        <wp:posOffset>62230</wp:posOffset>
                      </wp:positionV>
                      <wp:extent cx="2901315" cy="294640"/>
                      <wp:effectExtent l="0" t="0" r="13335" b="10160"/>
                      <wp:wrapNone/>
                      <wp:docPr id="166" name="文本框 166"/>
                      <wp:cNvGraphicFramePr/>
                      <a:graphic xmlns:a="http://schemas.openxmlformats.org/drawingml/2006/main">
                        <a:graphicData uri="http://schemas.microsoft.com/office/word/2010/wordprocessingShape">
                          <wps:wsp>
                            <wps:cNvSpPr txBox="1"/>
                            <wps:spPr>
                              <a:xfrm>
                                <a:off x="3135630" y="3145155"/>
                                <a:ext cx="2901315" cy="294640"/>
                              </a:xfrm>
                              <a:prstGeom prst="rect">
                                <a:avLst/>
                              </a:prstGeom>
                              <a:solidFill>
                                <a:srgbClr val="FFFFFF"/>
                              </a:solidFill>
                              <a:ln w="6350">
                                <a:noFill/>
                              </a:ln>
                              <a:effectLst/>
                            </wps:spPr>
                            <wps:txbx>
                              <w:txbxContent>
                                <w:p>
                                  <w:pPr>
                                    <w:ind w:firstLine="1265" w:firstLineChars="700"/>
                                    <w:rPr>
                                      <w:b/>
                                      <w:bCs/>
                                      <w:sz w:val="18"/>
                                      <w:szCs w:val="18"/>
                                    </w:rPr>
                                  </w:pPr>
                                  <w:r>
                                    <w:rPr>
                                      <w:rFonts w:hint="eastAsia"/>
                                      <w:b/>
                                      <w:bCs/>
                                      <w:sz w:val="18"/>
                                      <w:szCs w:val="18"/>
                                    </w:rPr>
                                    <w:t>图1-</w:t>
                                  </w:r>
                                  <w:r>
                                    <w:rPr>
                                      <w:rFonts w:hint="eastAsia"/>
                                      <w:b/>
                                      <w:bCs/>
                                      <w:sz w:val="18"/>
                                      <w:szCs w:val="18"/>
                                      <w:lang w:val="en-US" w:eastAsia="zh-CN"/>
                                    </w:rPr>
                                    <w:t>1</w:t>
                                  </w:r>
                                  <w:r>
                                    <w:rPr>
                                      <w:rFonts w:hint="eastAsia"/>
                                      <w:b/>
                                      <w:bCs/>
                                      <w:sz w:val="18"/>
                                      <w:szCs w:val="18"/>
                                    </w:rPr>
                                    <w:t xml:space="preserve"> 项目立面图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6.8pt;margin-top:4.9pt;height:23.2pt;width:228.45pt;z-index:251769856;mso-width-relative:page;mso-height-relative:page;" fillcolor="#FFFFFF" filled="t" stroked="f" coordsize="21600,21600" o:gfxdata="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AXxI860wAAAAcBAAAPAAAAAAAAAAEAIAAAACIAAABkcnMvZG93bnJldi54bWxQSwECFAAUAAAA&#10;CACHTuJARcyUnmUCAACtBAAADgAAAAAAAAABACAAAAAiAQAAZHJzL2Uyb0RvYy54bWxQSwUGAAAA&#10;AAYABgBZAQAA+QUAAAAA&#10;">
                      <v:fill on="t" focussize="0,0"/>
                      <v:stroke on="f" weight="0.5pt"/>
                      <v:imagedata o:title=""/>
                      <o:lock v:ext="edit" aspectratio="f"/>
                      <v:textbox>
                        <w:txbxContent>
                          <w:p>
                            <w:pPr>
                              <w:ind w:firstLine="1265" w:firstLineChars="700"/>
                              <w:rPr>
                                <w:b/>
                                <w:bCs/>
                                <w:sz w:val="18"/>
                                <w:szCs w:val="18"/>
                              </w:rPr>
                            </w:pPr>
                            <w:r>
                              <w:rPr>
                                <w:rFonts w:hint="eastAsia"/>
                                <w:b/>
                                <w:bCs/>
                                <w:sz w:val="18"/>
                                <w:szCs w:val="18"/>
                              </w:rPr>
                              <w:t>图1-</w:t>
                            </w:r>
                            <w:r>
                              <w:rPr>
                                <w:rFonts w:hint="eastAsia"/>
                                <w:b/>
                                <w:bCs/>
                                <w:sz w:val="18"/>
                                <w:szCs w:val="18"/>
                                <w:lang w:val="en-US" w:eastAsia="zh-CN"/>
                              </w:rPr>
                              <w:t>1</w:t>
                            </w:r>
                            <w:r>
                              <w:rPr>
                                <w:rFonts w:hint="eastAsia"/>
                                <w:b/>
                                <w:bCs/>
                                <w:sz w:val="18"/>
                                <w:szCs w:val="18"/>
                              </w:rPr>
                              <w:t xml:space="preserve"> 项目立面图</w:t>
                            </w:r>
                          </w:p>
                        </w:txbxContent>
                      </v:textbox>
                    </v:shape>
                  </w:pict>
                </mc:Fallback>
              </mc:AlternateContent>
            </w:r>
          </w:p>
          <w:p>
            <w:pPr>
              <w:pStyle w:val="40"/>
              <w:spacing w:line="240" w:lineRule="auto"/>
              <w:ind w:left="0" w:leftChars="0" w:firstLine="0" w:firstLineChars="0"/>
              <w:jc w:val="both"/>
              <w:rPr>
                <w:rFonts w:hint="eastAsia" w:eastAsia="宋体"/>
                <w:b/>
                <w:bCs/>
                <w:color w:val="auto"/>
                <w:sz w:val="18"/>
                <w:szCs w:val="18"/>
              </w:rPr>
            </w:pPr>
          </w:p>
          <w:p>
            <w:pPr>
              <w:pStyle w:val="40"/>
              <w:spacing w:line="240" w:lineRule="auto"/>
              <w:ind w:firstLine="1807" w:firstLineChars="1000"/>
              <w:jc w:val="both"/>
              <w:rPr>
                <w:rFonts w:eastAsia="宋体"/>
                <w:b/>
                <w:bCs/>
                <w:color w:val="auto"/>
                <w:sz w:val="18"/>
                <w:szCs w:val="18"/>
              </w:rPr>
            </w:pPr>
            <w:r>
              <w:rPr>
                <w:rFonts w:hint="eastAsia" w:eastAsia="宋体"/>
                <w:b/>
                <w:bCs/>
                <w:color w:val="auto"/>
                <w:sz w:val="18"/>
                <w:szCs w:val="18"/>
              </w:rPr>
              <w:t xml:space="preserve"> 表1-</w:t>
            </w:r>
            <w:r>
              <w:rPr>
                <w:rFonts w:hint="eastAsia" w:eastAsia="宋体"/>
                <w:b/>
                <w:bCs/>
                <w:color w:val="auto"/>
                <w:sz w:val="18"/>
                <w:szCs w:val="18"/>
                <w:lang w:val="en-US" w:eastAsia="zh-CN"/>
              </w:rPr>
              <w:t>3</w:t>
            </w:r>
            <w:r>
              <w:rPr>
                <w:rFonts w:hint="eastAsia" w:eastAsia="宋体"/>
                <w:b/>
                <w:bCs/>
                <w:color w:val="auto"/>
                <w:sz w:val="18"/>
                <w:szCs w:val="18"/>
              </w:rPr>
              <w:t xml:space="preserve"> 项目外环境关系一览表</w:t>
            </w:r>
          </w:p>
          <w:tbl>
            <w:tblPr>
              <w:tblStyle w:val="22"/>
              <w:tblW w:w="62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6"/>
              <w:gridCol w:w="967"/>
              <w:gridCol w:w="1456"/>
              <w:gridCol w:w="1109"/>
              <w:gridCol w:w="979"/>
              <w:gridCol w:w="104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6" w:type="dxa"/>
                  <w:tcBorders>
                    <w:tl2br w:val="nil"/>
                    <w:tr2bl w:val="nil"/>
                  </w:tcBorders>
                </w:tcPr>
                <w:p>
                  <w:pPr>
                    <w:pStyle w:val="9"/>
                    <w:rPr>
                      <w:b/>
                      <w:bCs/>
                      <w:color w:val="auto"/>
                    </w:rPr>
                  </w:pPr>
                  <w:r>
                    <w:rPr>
                      <w:rFonts w:hint="eastAsia"/>
                      <w:b/>
                      <w:bCs/>
                      <w:color w:val="auto"/>
                    </w:rPr>
                    <w:t>序号</w:t>
                  </w:r>
                </w:p>
              </w:tc>
              <w:tc>
                <w:tcPr>
                  <w:tcW w:w="2423" w:type="dxa"/>
                  <w:gridSpan w:val="2"/>
                  <w:tcBorders>
                    <w:tl2br w:val="nil"/>
                    <w:tr2bl w:val="nil"/>
                  </w:tcBorders>
                </w:tcPr>
                <w:p>
                  <w:pPr>
                    <w:pStyle w:val="9"/>
                    <w:rPr>
                      <w:b/>
                      <w:bCs/>
                      <w:color w:val="auto"/>
                    </w:rPr>
                  </w:pPr>
                  <w:r>
                    <w:rPr>
                      <w:rFonts w:hint="eastAsia"/>
                      <w:b/>
                      <w:bCs/>
                      <w:color w:val="auto"/>
                    </w:rPr>
                    <w:t xml:space="preserve">       名称</w:t>
                  </w:r>
                </w:p>
              </w:tc>
              <w:tc>
                <w:tcPr>
                  <w:tcW w:w="1109" w:type="dxa"/>
                  <w:tcBorders>
                    <w:tl2br w:val="nil"/>
                    <w:tr2bl w:val="nil"/>
                  </w:tcBorders>
                </w:tcPr>
                <w:p>
                  <w:pPr>
                    <w:pStyle w:val="9"/>
                    <w:rPr>
                      <w:b/>
                      <w:bCs/>
                      <w:color w:val="auto"/>
                    </w:rPr>
                  </w:pPr>
                  <w:r>
                    <w:rPr>
                      <w:rFonts w:hint="eastAsia"/>
                      <w:b/>
                      <w:bCs/>
                      <w:color w:val="auto"/>
                    </w:rPr>
                    <w:t xml:space="preserve">  性质</w:t>
                  </w:r>
                </w:p>
              </w:tc>
              <w:tc>
                <w:tcPr>
                  <w:tcW w:w="979" w:type="dxa"/>
                  <w:tcBorders>
                    <w:tl2br w:val="nil"/>
                    <w:tr2bl w:val="nil"/>
                  </w:tcBorders>
                </w:tcPr>
                <w:p>
                  <w:pPr>
                    <w:pStyle w:val="9"/>
                    <w:rPr>
                      <w:b/>
                      <w:bCs/>
                      <w:color w:val="auto"/>
                    </w:rPr>
                  </w:pPr>
                  <w:r>
                    <w:rPr>
                      <w:rFonts w:hint="eastAsia"/>
                      <w:b/>
                      <w:bCs/>
                      <w:color w:val="auto"/>
                    </w:rPr>
                    <w:t xml:space="preserve">  方位</w:t>
                  </w:r>
                </w:p>
              </w:tc>
              <w:tc>
                <w:tcPr>
                  <w:tcW w:w="1044" w:type="dxa"/>
                  <w:tcBorders>
                    <w:tl2br w:val="nil"/>
                    <w:tr2bl w:val="nil"/>
                  </w:tcBorders>
                </w:tcPr>
                <w:p>
                  <w:pPr>
                    <w:pStyle w:val="9"/>
                    <w:rPr>
                      <w:b/>
                      <w:bCs/>
                      <w:color w:val="auto"/>
                    </w:rPr>
                  </w:pPr>
                  <w:r>
                    <w:rPr>
                      <w:rFonts w:hint="eastAsia"/>
                      <w:b/>
                      <w:bCs/>
                      <w:color w:val="auto"/>
                    </w:rPr>
                    <w:t xml:space="preserve">  距离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6" w:type="dxa"/>
                  <w:tcBorders>
                    <w:tl2br w:val="nil"/>
                    <w:tr2bl w:val="nil"/>
                  </w:tcBorders>
                </w:tcPr>
                <w:p>
                  <w:pPr>
                    <w:pStyle w:val="9"/>
                    <w:rPr>
                      <w:rFonts w:hint="default" w:eastAsia="宋体"/>
                      <w:color w:val="auto"/>
                      <w:lang w:val="en-US" w:eastAsia="zh-CN"/>
                    </w:rPr>
                  </w:pPr>
                  <w:r>
                    <w:rPr>
                      <w:rFonts w:hint="eastAsia"/>
                      <w:color w:val="auto"/>
                      <w:lang w:val="en-US" w:eastAsia="zh-CN"/>
                    </w:rPr>
                    <w:t xml:space="preserve">  1</w:t>
                  </w:r>
                </w:p>
              </w:tc>
              <w:tc>
                <w:tcPr>
                  <w:tcW w:w="967" w:type="dxa"/>
                  <w:vMerge w:val="restart"/>
                  <w:tcBorders>
                    <w:tl2br w:val="nil"/>
                    <w:tr2bl w:val="nil"/>
                  </w:tcBorders>
                </w:tcPr>
                <w:p>
                  <w:pPr>
                    <w:pStyle w:val="9"/>
                    <w:ind w:firstLine="180" w:firstLineChars="100"/>
                    <w:rPr>
                      <w:color w:val="auto"/>
                    </w:rPr>
                  </w:pPr>
                </w:p>
                <w:p>
                  <w:pPr>
                    <w:pStyle w:val="9"/>
                    <w:ind w:firstLine="180" w:firstLineChars="100"/>
                    <w:rPr>
                      <w:color w:val="auto"/>
                    </w:rPr>
                  </w:pPr>
                </w:p>
                <w:p>
                  <w:pPr>
                    <w:pStyle w:val="9"/>
                    <w:ind w:firstLine="180" w:firstLineChars="100"/>
                    <w:rPr>
                      <w:color w:val="auto"/>
                    </w:rPr>
                  </w:pPr>
                </w:p>
                <w:p>
                  <w:pPr>
                    <w:pStyle w:val="9"/>
                    <w:rPr>
                      <w:color w:val="auto"/>
                    </w:rPr>
                  </w:pPr>
                </w:p>
                <w:p>
                  <w:pPr>
                    <w:pStyle w:val="9"/>
                    <w:ind w:firstLine="180" w:firstLineChars="100"/>
                    <w:rPr>
                      <w:color w:val="auto"/>
                    </w:rPr>
                  </w:pPr>
                  <w:r>
                    <w:rPr>
                      <w:rFonts w:hint="eastAsia"/>
                      <w:color w:val="auto"/>
                    </w:rPr>
                    <w:t>项目周边外环境</w:t>
                  </w:r>
                </w:p>
              </w:tc>
              <w:tc>
                <w:tcPr>
                  <w:tcW w:w="1456" w:type="dxa"/>
                  <w:tcBorders>
                    <w:tl2br w:val="nil"/>
                    <w:tr2bl w:val="nil"/>
                  </w:tcBorders>
                  <w:vAlign w:val="top"/>
                </w:tcPr>
                <w:p>
                  <w:pPr>
                    <w:pStyle w:val="9"/>
                    <w:ind w:right="113" w:rightChars="0" w:firstLine="360" w:firstLineChars="200"/>
                    <w:rPr>
                      <w:rFonts w:hint="eastAsia"/>
                      <w:color w:val="auto"/>
                    </w:rPr>
                  </w:pPr>
                  <w:r>
                    <w:rPr>
                      <w:rFonts w:hint="eastAsia"/>
                      <w:color w:val="auto"/>
                    </w:rPr>
                    <w:t>住户</w:t>
                  </w:r>
                </w:p>
              </w:tc>
              <w:tc>
                <w:tcPr>
                  <w:tcW w:w="1109" w:type="dxa"/>
                  <w:tcBorders>
                    <w:tl2br w:val="nil"/>
                    <w:tr2bl w:val="nil"/>
                  </w:tcBorders>
                  <w:vAlign w:val="top"/>
                </w:tcPr>
                <w:p>
                  <w:pPr>
                    <w:pStyle w:val="9"/>
                    <w:ind w:right="113" w:rightChars="0"/>
                    <w:jc w:val="center"/>
                    <w:rPr>
                      <w:color w:val="auto"/>
                    </w:rPr>
                  </w:pPr>
                  <w:r>
                    <w:rPr>
                      <w:color w:val="auto"/>
                    </w:rPr>
                    <w:t>住户</w:t>
                  </w:r>
                </w:p>
              </w:tc>
              <w:tc>
                <w:tcPr>
                  <w:tcW w:w="979" w:type="dxa"/>
                  <w:vMerge w:val="restart"/>
                  <w:tcBorders>
                    <w:tl2br w:val="nil"/>
                    <w:tr2bl w:val="nil"/>
                  </w:tcBorders>
                </w:tcPr>
                <w:p>
                  <w:pPr>
                    <w:pStyle w:val="9"/>
                    <w:ind w:firstLine="180" w:firstLineChars="100"/>
                    <w:rPr>
                      <w:color w:val="auto"/>
                    </w:rPr>
                  </w:pPr>
                </w:p>
                <w:p>
                  <w:pPr>
                    <w:pStyle w:val="9"/>
                    <w:ind w:firstLine="180" w:firstLineChars="100"/>
                    <w:rPr>
                      <w:color w:val="auto"/>
                    </w:rPr>
                  </w:pPr>
                  <w:r>
                    <w:rPr>
                      <w:rFonts w:hint="eastAsia"/>
                      <w:color w:val="auto"/>
                    </w:rPr>
                    <w:t>西侧</w:t>
                  </w:r>
                </w:p>
              </w:tc>
              <w:tc>
                <w:tcPr>
                  <w:tcW w:w="1044" w:type="dxa"/>
                  <w:tcBorders>
                    <w:tl2br w:val="nil"/>
                    <w:tr2bl w:val="nil"/>
                  </w:tcBorders>
                </w:tcPr>
                <w:p>
                  <w:pPr>
                    <w:pStyle w:val="9"/>
                    <w:ind w:firstLine="180" w:firstLineChars="100"/>
                    <w:rPr>
                      <w:rFonts w:hint="eastAsia" w:eastAsia="宋体"/>
                      <w:color w:val="auto"/>
                      <w:lang w:eastAsia="zh-CN"/>
                    </w:rPr>
                  </w:pPr>
                  <w:r>
                    <w:rPr>
                      <w:rFonts w:hint="eastAsia"/>
                      <w:color w:val="auto"/>
                      <w:lang w:eastAsia="zh-CN"/>
                    </w:rPr>
                    <w:t>紧邻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06" w:type="dxa"/>
                  <w:tcBorders>
                    <w:tl2br w:val="nil"/>
                    <w:tr2bl w:val="nil"/>
                  </w:tcBorders>
                  <w:vAlign w:val="top"/>
                </w:tcPr>
                <w:p>
                  <w:pPr>
                    <w:pStyle w:val="9"/>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 xml:space="preserve">  2</w:t>
                  </w:r>
                </w:p>
              </w:tc>
              <w:tc>
                <w:tcPr>
                  <w:tcW w:w="967" w:type="dxa"/>
                  <w:vMerge w:val="continue"/>
                  <w:tcBorders>
                    <w:tl2br w:val="nil"/>
                    <w:tr2bl w:val="nil"/>
                  </w:tcBorders>
                </w:tcPr>
                <w:p>
                  <w:pPr>
                    <w:pStyle w:val="9"/>
                    <w:rPr>
                      <w:rFonts w:hint="eastAsia" w:ascii="Times New Roman" w:hAnsi="Times New Roman" w:eastAsia="宋体" w:cs="Times New Roman"/>
                      <w:color w:val="auto"/>
                      <w:lang w:val="en-US" w:eastAsia="zh-CN"/>
                    </w:rPr>
                  </w:pPr>
                </w:p>
              </w:tc>
              <w:tc>
                <w:tcPr>
                  <w:tcW w:w="1456" w:type="dxa"/>
                  <w:tcBorders>
                    <w:tl2br w:val="nil"/>
                    <w:tr2bl w:val="nil"/>
                  </w:tcBorders>
                  <w:vAlign w:val="top"/>
                </w:tcPr>
                <w:p>
                  <w:pPr>
                    <w:pStyle w:val="9"/>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北京汉顾国际幼教</w:t>
                  </w:r>
                </w:p>
              </w:tc>
              <w:tc>
                <w:tcPr>
                  <w:tcW w:w="1109" w:type="dxa"/>
                  <w:tcBorders>
                    <w:tl2br w:val="nil"/>
                    <w:tr2bl w:val="nil"/>
                  </w:tcBorders>
                  <w:vAlign w:val="top"/>
                </w:tcPr>
                <w:p>
                  <w:pPr>
                    <w:pStyle w:val="9"/>
                    <w:ind w:firstLine="180" w:firstLineChars="1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幼儿园</w:t>
                  </w:r>
                </w:p>
              </w:tc>
              <w:tc>
                <w:tcPr>
                  <w:tcW w:w="979" w:type="dxa"/>
                  <w:vMerge w:val="continue"/>
                  <w:tcBorders>
                    <w:tl2br w:val="nil"/>
                    <w:tr2bl w:val="nil"/>
                  </w:tcBorders>
                </w:tcPr>
                <w:p>
                  <w:pPr>
                    <w:pStyle w:val="9"/>
                    <w:rPr>
                      <w:rFonts w:hint="eastAsia" w:ascii="Times New Roman" w:hAnsi="Times New Roman" w:eastAsia="宋体" w:cs="Times New Roman"/>
                      <w:color w:val="auto"/>
                      <w:lang w:val="en-US" w:eastAsia="zh-CN"/>
                    </w:rPr>
                  </w:pPr>
                </w:p>
              </w:tc>
              <w:tc>
                <w:tcPr>
                  <w:tcW w:w="1044" w:type="dxa"/>
                  <w:tcBorders>
                    <w:tl2br w:val="nil"/>
                    <w:tr2bl w:val="nil"/>
                  </w:tcBorders>
                </w:tcPr>
                <w:p>
                  <w:pPr>
                    <w:pStyle w:val="9"/>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 xml:space="preserve"> 80m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3</w:t>
                  </w:r>
                </w:p>
              </w:tc>
              <w:tc>
                <w:tcPr>
                  <w:tcW w:w="967" w:type="dxa"/>
                  <w:vMerge w:val="continue"/>
                  <w:tcBorders>
                    <w:tl2br w:val="nil"/>
                    <w:tr2bl w:val="nil"/>
                  </w:tcBorders>
                </w:tcPr>
                <w:p>
                  <w:pPr>
                    <w:pStyle w:val="9"/>
                    <w:ind w:firstLine="180" w:firstLineChars="100"/>
                    <w:rPr>
                      <w:color w:val="auto"/>
                    </w:rPr>
                  </w:pPr>
                </w:p>
              </w:tc>
              <w:tc>
                <w:tcPr>
                  <w:tcW w:w="1456" w:type="dxa"/>
                  <w:tcBorders>
                    <w:tl2br w:val="nil"/>
                    <w:tr2bl w:val="nil"/>
                  </w:tcBorders>
                </w:tcPr>
                <w:p>
                  <w:pPr>
                    <w:pStyle w:val="9"/>
                    <w:ind w:firstLine="360" w:firstLineChars="200"/>
                    <w:rPr>
                      <w:color w:val="auto"/>
                    </w:rPr>
                  </w:pPr>
                  <w:r>
                    <w:rPr>
                      <w:rFonts w:hint="eastAsia"/>
                      <w:color w:val="auto"/>
                    </w:rPr>
                    <w:t>住户</w:t>
                  </w:r>
                </w:p>
              </w:tc>
              <w:tc>
                <w:tcPr>
                  <w:tcW w:w="1109" w:type="dxa"/>
                  <w:tcBorders>
                    <w:tl2br w:val="nil"/>
                    <w:tr2bl w:val="nil"/>
                  </w:tcBorders>
                </w:tcPr>
                <w:p>
                  <w:pPr>
                    <w:pStyle w:val="9"/>
                    <w:jc w:val="center"/>
                    <w:rPr>
                      <w:color w:val="auto"/>
                    </w:rPr>
                  </w:pPr>
                  <w:r>
                    <w:rPr>
                      <w:color w:val="auto"/>
                    </w:rPr>
                    <w:t>住户</w:t>
                  </w:r>
                </w:p>
              </w:tc>
              <w:tc>
                <w:tcPr>
                  <w:tcW w:w="979" w:type="dxa"/>
                  <w:vMerge w:val="continue"/>
                  <w:tcBorders>
                    <w:tl2br w:val="nil"/>
                    <w:tr2bl w:val="nil"/>
                  </w:tcBorders>
                </w:tcPr>
                <w:p>
                  <w:pPr>
                    <w:pStyle w:val="9"/>
                    <w:ind w:firstLine="180" w:firstLineChars="100"/>
                    <w:rPr>
                      <w:color w:val="auto"/>
                    </w:rPr>
                  </w:pPr>
                </w:p>
              </w:tc>
              <w:tc>
                <w:tcPr>
                  <w:tcW w:w="1044" w:type="dxa"/>
                  <w:tcBorders>
                    <w:tl2br w:val="nil"/>
                    <w:tr2bl w:val="nil"/>
                  </w:tcBorders>
                </w:tcPr>
                <w:p>
                  <w:pPr>
                    <w:pStyle w:val="9"/>
                    <w:ind w:firstLine="180" w:firstLineChars="100"/>
                    <w:rPr>
                      <w:color w:val="auto"/>
                    </w:rPr>
                  </w:pPr>
                  <w:r>
                    <w:rPr>
                      <w:rFonts w:hint="eastAsia"/>
                      <w:color w:val="auto"/>
                      <w:lang w:val="en-US" w:eastAsia="zh-CN"/>
                    </w:rPr>
                    <w:t>108m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4</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ind w:firstLine="360" w:firstLineChars="200"/>
                    <w:rPr>
                      <w:color w:val="auto"/>
                    </w:rPr>
                  </w:pPr>
                  <w:r>
                    <w:rPr>
                      <w:color w:val="auto"/>
                    </w:rPr>
                    <w:t>住户</w:t>
                  </w:r>
                </w:p>
              </w:tc>
              <w:tc>
                <w:tcPr>
                  <w:tcW w:w="1109" w:type="dxa"/>
                  <w:tcBorders>
                    <w:tl2br w:val="nil"/>
                    <w:tr2bl w:val="nil"/>
                  </w:tcBorders>
                </w:tcPr>
                <w:p>
                  <w:pPr>
                    <w:pStyle w:val="9"/>
                    <w:jc w:val="center"/>
                    <w:rPr>
                      <w:color w:val="auto"/>
                    </w:rPr>
                  </w:pPr>
                  <w:r>
                    <w:rPr>
                      <w:color w:val="auto"/>
                    </w:rPr>
                    <w:t>住户</w:t>
                  </w:r>
                </w:p>
              </w:tc>
              <w:tc>
                <w:tcPr>
                  <w:tcW w:w="979" w:type="dxa"/>
                  <w:vMerge w:val="continue"/>
                  <w:tcBorders>
                    <w:tl2br w:val="nil"/>
                    <w:tr2bl w:val="nil"/>
                  </w:tcBorders>
                </w:tcPr>
                <w:p>
                  <w:pPr>
                    <w:pStyle w:val="9"/>
                    <w:ind w:firstLine="180" w:firstLineChars="100"/>
                    <w:rPr>
                      <w:color w:val="auto"/>
                    </w:rPr>
                  </w:pPr>
                </w:p>
              </w:tc>
              <w:tc>
                <w:tcPr>
                  <w:tcW w:w="1044" w:type="dxa"/>
                  <w:tcBorders>
                    <w:tl2br w:val="nil"/>
                    <w:tr2bl w:val="nil"/>
                  </w:tcBorders>
                </w:tcPr>
                <w:p>
                  <w:pPr>
                    <w:pStyle w:val="9"/>
                    <w:ind w:firstLine="180" w:firstLineChars="100"/>
                    <w:rPr>
                      <w:color w:val="auto"/>
                    </w:rPr>
                  </w:pPr>
                  <w:r>
                    <w:rPr>
                      <w:rFonts w:hint="eastAsia"/>
                      <w:color w:val="auto"/>
                      <w:lang w:val="en-US" w:eastAsia="zh-CN"/>
                    </w:rPr>
                    <w:t>436m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color w:val="auto"/>
                    </w:rPr>
                  </w:pPr>
                  <w:r>
                    <w:rPr>
                      <w:rFonts w:hint="eastAsia"/>
                      <w:color w:val="auto"/>
                    </w:rPr>
                    <w:t xml:space="preserve">  </w:t>
                  </w:r>
                  <w:r>
                    <w:rPr>
                      <w:rFonts w:hint="eastAsia"/>
                      <w:color w:val="auto"/>
                      <w:lang w:val="en-US" w:eastAsia="zh-CN"/>
                    </w:rPr>
                    <w:t>5</w:t>
                  </w:r>
                </w:p>
              </w:tc>
              <w:tc>
                <w:tcPr>
                  <w:tcW w:w="967" w:type="dxa"/>
                  <w:vMerge w:val="continue"/>
                  <w:tcBorders>
                    <w:tl2br w:val="nil"/>
                    <w:tr2bl w:val="nil"/>
                  </w:tcBorders>
                </w:tcPr>
                <w:p>
                  <w:pPr>
                    <w:pStyle w:val="9"/>
                    <w:rPr>
                      <w:color w:val="auto"/>
                    </w:rPr>
                  </w:pPr>
                </w:p>
              </w:tc>
              <w:tc>
                <w:tcPr>
                  <w:tcW w:w="1456" w:type="dxa"/>
                  <w:tcBorders>
                    <w:tl2br w:val="nil"/>
                    <w:tr2bl w:val="nil"/>
                  </w:tcBorders>
                  <w:vAlign w:val="top"/>
                </w:tcPr>
                <w:p>
                  <w:pPr>
                    <w:pStyle w:val="9"/>
                    <w:ind w:right="113" w:rightChars="0" w:firstLine="360" w:firstLineChars="200"/>
                    <w:rPr>
                      <w:color w:val="auto"/>
                    </w:rPr>
                  </w:pPr>
                  <w:r>
                    <w:rPr>
                      <w:color w:val="auto"/>
                    </w:rPr>
                    <w:t>住户</w:t>
                  </w:r>
                </w:p>
              </w:tc>
              <w:tc>
                <w:tcPr>
                  <w:tcW w:w="1109" w:type="dxa"/>
                  <w:tcBorders>
                    <w:tl2br w:val="nil"/>
                    <w:tr2bl w:val="nil"/>
                  </w:tcBorders>
                  <w:vAlign w:val="top"/>
                </w:tcPr>
                <w:p>
                  <w:pPr>
                    <w:pStyle w:val="9"/>
                    <w:ind w:right="113" w:rightChars="0"/>
                    <w:jc w:val="center"/>
                    <w:rPr>
                      <w:color w:val="auto"/>
                    </w:rPr>
                  </w:pPr>
                  <w:r>
                    <w:rPr>
                      <w:color w:val="auto"/>
                    </w:rPr>
                    <w:t>住户</w:t>
                  </w:r>
                </w:p>
              </w:tc>
              <w:tc>
                <w:tcPr>
                  <w:tcW w:w="979" w:type="dxa"/>
                  <w:vMerge w:val="restart"/>
                  <w:tcBorders>
                    <w:tl2br w:val="nil"/>
                    <w:tr2bl w:val="nil"/>
                  </w:tcBorders>
                </w:tcPr>
                <w:p>
                  <w:pPr>
                    <w:pStyle w:val="9"/>
                    <w:ind w:firstLine="180" w:firstLineChars="100"/>
                    <w:rPr>
                      <w:color w:val="auto"/>
                    </w:rPr>
                  </w:pPr>
                  <w:r>
                    <w:rPr>
                      <w:rFonts w:hint="eastAsia"/>
                      <w:color w:val="auto"/>
                    </w:rPr>
                    <w:t>南</w:t>
                  </w:r>
                  <w:r>
                    <w:rPr>
                      <w:color w:val="auto"/>
                    </w:rPr>
                    <w:t>侧</w:t>
                  </w:r>
                </w:p>
              </w:tc>
              <w:tc>
                <w:tcPr>
                  <w:tcW w:w="1044" w:type="dxa"/>
                  <w:tcBorders>
                    <w:tl2br w:val="nil"/>
                    <w:tr2bl w:val="nil"/>
                  </w:tcBorders>
                </w:tcPr>
                <w:p>
                  <w:pPr>
                    <w:pStyle w:val="9"/>
                    <w:ind w:firstLine="180" w:firstLineChars="100"/>
                    <w:rPr>
                      <w:rFonts w:hint="default"/>
                      <w:color w:val="auto"/>
                      <w:lang w:val="en-US" w:eastAsia="zh-CN"/>
                    </w:rPr>
                  </w:pPr>
                  <w:r>
                    <w:rPr>
                      <w:rFonts w:hint="eastAsia"/>
                      <w:color w:val="auto"/>
                      <w:lang w:val="en-US" w:eastAsia="zh-CN"/>
                    </w:rPr>
                    <w:t>50m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6</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ind w:firstLine="360" w:firstLineChars="200"/>
                    <w:rPr>
                      <w:color w:val="auto"/>
                    </w:rPr>
                  </w:pPr>
                  <w:r>
                    <w:rPr>
                      <w:color w:val="auto"/>
                    </w:rPr>
                    <w:t>住户</w:t>
                  </w:r>
                </w:p>
              </w:tc>
              <w:tc>
                <w:tcPr>
                  <w:tcW w:w="1109" w:type="dxa"/>
                  <w:tcBorders>
                    <w:tl2br w:val="nil"/>
                    <w:tr2bl w:val="nil"/>
                  </w:tcBorders>
                </w:tcPr>
                <w:p>
                  <w:pPr>
                    <w:pStyle w:val="9"/>
                    <w:ind w:firstLine="180" w:firstLineChars="100"/>
                    <w:rPr>
                      <w:color w:val="auto"/>
                    </w:rPr>
                  </w:pPr>
                  <w:r>
                    <w:rPr>
                      <w:color w:val="auto"/>
                    </w:rPr>
                    <w:t>住户</w:t>
                  </w:r>
                </w:p>
              </w:tc>
              <w:tc>
                <w:tcPr>
                  <w:tcW w:w="979" w:type="dxa"/>
                  <w:vMerge w:val="continue"/>
                  <w:tcBorders>
                    <w:tl2br w:val="nil"/>
                    <w:tr2bl w:val="nil"/>
                  </w:tcBorders>
                </w:tcPr>
                <w:p>
                  <w:pPr>
                    <w:pStyle w:val="9"/>
                    <w:ind w:firstLine="180" w:firstLineChars="100"/>
                    <w:rPr>
                      <w:color w:val="auto"/>
                    </w:rPr>
                  </w:pPr>
                </w:p>
              </w:tc>
              <w:tc>
                <w:tcPr>
                  <w:tcW w:w="1044" w:type="dxa"/>
                  <w:tcBorders>
                    <w:tl2br w:val="nil"/>
                    <w:tr2bl w:val="nil"/>
                  </w:tcBorders>
                </w:tcPr>
                <w:p>
                  <w:pPr>
                    <w:pStyle w:val="9"/>
                    <w:ind w:firstLine="180" w:firstLineChars="100"/>
                    <w:rPr>
                      <w:color w:val="auto"/>
                    </w:rPr>
                  </w:pPr>
                  <w:r>
                    <w:rPr>
                      <w:rFonts w:hint="eastAsia"/>
                      <w:color w:val="auto"/>
                      <w:lang w:val="en-US" w:eastAsia="zh-CN"/>
                    </w:rPr>
                    <w:t>205</w:t>
                  </w:r>
                  <w:r>
                    <w:rPr>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7</w:t>
                  </w:r>
                </w:p>
              </w:tc>
              <w:tc>
                <w:tcPr>
                  <w:tcW w:w="967" w:type="dxa"/>
                  <w:vMerge w:val="continue"/>
                  <w:tcBorders>
                    <w:tl2br w:val="nil"/>
                    <w:tr2bl w:val="nil"/>
                  </w:tcBorders>
                </w:tcPr>
                <w:p>
                  <w:pPr>
                    <w:pStyle w:val="9"/>
                    <w:rPr>
                      <w:color w:val="auto"/>
                    </w:rPr>
                  </w:pPr>
                </w:p>
              </w:tc>
              <w:tc>
                <w:tcPr>
                  <w:tcW w:w="1456" w:type="dxa"/>
                  <w:tcBorders>
                    <w:tl2br w:val="nil"/>
                    <w:tr2bl w:val="nil"/>
                  </w:tcBorders>
                  <w:vAlign w:val="top"/>
                </w:tcPr>
                <w:p>
                  <w:pPr>
                    <w:pStyle w:val="9"/>
                    <w:ind w:right="113" w:rightChars="0" w:firstLine="360" w:firstLineChars="200"/>
                    <w:rPr>
                      <w:color w:val="auto"/>
                    </w:rPr>
                  </w:pPr>
                  <w:r>
                    <w:rPr>
                      <w:color w:val="auto"/>
                    </w:rPr>
                    <w:t>住户</w:t>
                  </w:r>
                </w:p>
              </w:tc>
              <w:tc>
                <w:tcPr>
                  <w:tcW w:w="1109" w:type="dxa"/>
                  <w:tcBorders>
                    <w:tl2br w:val="nil"/>
                    <w:tr2bl w:val="nil"/>
                  </w:tcBorders>
                  <w:vAlign w:val="top"/>
                </w:tcPr>
                <w:p>
                  <w:pPr>
                    <w:pStyle w:val="9"/>
                    <w:ind w:right="113" w:rightChars="0" w:firstLine="180" w:firstLineChars="100"/>
                    <w:rPr>
                      <w:color w:val="auto"/>
                    </w:rPr>
                  </w:pPr>
                  <w:r>
                    <w:rPr>
                      <w:color w:val="auto"/>
                    </w:rPr>
                    <w:t>住户</w:t>
                  </w:r>
                </w:p>
              </w:tc>
              <w:tc>
                <w:tcPr>
                  <w:tcW w:w="979" w:type="dxa"/>
                  <w:vMerge w:val="continue"/>
                  <w:tcBorders>
                    <w:tl2br w:val="nil"/>
                    <w:tr2bl w:val="nil"/>
                  </w:tcBorders>
                </w:tcPr>
                <w:p>
                  <w:pPr>
                    <w:pStyle w:val="9"/>
                    <w:ind w:firstLine="180" w:firstLineChars="100"/>
                    <w:rPr>
                      <w:color w:val="auto"/>
                    </w:rPr>
                  </w:pPr>
                </w:p>
              </w:tc>
              <w:tc>
                <w:tcPr>
                  <w:tcW w:w="1044" w:type="dxa"/>
                  <w:tcBorders>
                    <w:tl2br w:val="nil"/>
                    <w:tr2bl w:val="nil"/>
                  </w:tcBorders>
                </w:tcPr>
                <w:p>
                  <w:pPr>
                    <w:pStyle w:val="9"/>
                    <w:ind w:firstLine="180" w:firstLineChars="100"/>
                    <w:rPr>
                      <w:rFonts w:hint="default" w:eastAsia="宋体"/>
                      <w:color w:val="auto"/>
                      <w:lang w:val="en-US" w:eastAsia="zh-CN"/>
                    </w:rPr>
                  </w:pPr>
                  <w:r>
                    <w:rPr>
                      <w:rFonts w:hint="eastAsia"/>
                      <w:color w:val="auto"/>
                      <w:lang w:val="en-US" w:eastAsia="zh-CN"/>
                    </w:rPr>
                    <w:t>280</w:t>
                  </w:r>
                  <w:r>
                    <w:rPr>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2" w:hRule="atLeast"/>
              </w:trPr>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8</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ind w:firstLine="360" w:firstLineChars="200"/>
                    <w:rPr>
                      <w:color w:val="auto"/>
                    </w:rPr>
                  </w:pPr>
                  <w:r>
                    <w:rPr>
                      <w:color w:val="auto"/>
                    </w:rPr>
                    <w:t>住户</w:t>
                  </w:r>
                </w:p>
              </w:tc>
              <w:tc>
                <w:tcPr>
                  <w:tcW w:w="1109" w:type="dxa"/>
                  <w:tcBorders>
                    <w:tl2br w:val="nil"/>
                    <w:tr2bl w:val="nil"/>
                  </w:tcBorders>
                </w:tcPr>
                <w:p>
                  <w:pPr>
                    <w:pStyle w:val="9"/>
                    <w:ind w:firstLine="180" w:firstLineChars="100"/>
                    <w:rPr>
                      <w:color w:val="auto"/>
                    </w:rPr>
                  </w:pPr>
                  <w:r>
                    <w:rPr>
                      <w:color w:val="auto"/>
                    </w:rPr>
                    <w:t>住户</w:t>
                  </w:r>
                </w:p>
              </w:tc>
              <w:tc>
                <w:tcPr>
                  <w:tcW w:w="979" w:type="dxa"/>
                  <w:vMerge w:val="restart"/>
                  <w:tcBorders>
                    <w:tl2br w:val="nil"/>
                    <w:tr2bl w:val="nil"/>
                  </w:tcBorders>
                </w:tcPr>
                <w:p>
                  <w:pPr>
                    <w:pStyle w:val="9"/>
                    <w:rPr>
                      <w:color w:val="auto"/>
                    </w:rPr>
                  </w:pPr>
                  <w:r>
                    <w:rPr>
                      <w:rFonts w:hint="eastAsia"/>
                      <w:color w:val="auto"/>
                    </w:rPr>
                    <w:t>西</w:t>
                  </w:r>
                  <w:r>
                    <w:rPr>
                      <w:rFonts w:hint="eastAsia"/>
                      <w:color w:val="auto"/>
                      <w:lang w:eastAsia="zh-CN"/>
                    </w:rPr>
                    <w:t>南</w:t>
                  </w:r>
                  <w:r>
                    <w:rPr>
                      <w:rFonts w:hint="eastAsia"/>
                      <w:color w:val="auto"/>
                    </w:rPr>
                    <w:t>侧</w:t>
                  </w:r>
                </w:p>
              </w:tc>
              <w:tc>
                <w:tcPr>
                  <w:tcW w:w="1044" w:type="dxa"/>
                  <w:tcBorders>
                    <w:tl2br w:val="nil"/>
                    <w:tr2bl w:val="nil"/>
                  </w:tcBorders>
                </w:tcPr>
                <w:p>
                  <w:pPr>
                    <w:pStyle w:val="9"/>
                    <w:ind w:firstLine="180" w:firstLineChars="100"/>
                    <w:rPr>
                      <w:color w:val="auto"/>
                    </w:rPr>
                  </w:pPr>
                  <w:r>
                    <w:rPr>
                      <w:rFonts w:hint="eastAsia"/>
                      <w:color w:val="auto"/>
                      <w:lang w:val="en-US" w:eastAsia="zh-CN"/>
                    </w:rPr>
                    <w:t>255</w:t>
                  </w:r>
                  <w:r>
                    <w:rPr>
                      <w:rFonts w:hint="eastAsia"/>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9</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ind w:firstLine="360" w:firstLineChars="200"/>
                    <w:rPr>
                      <w:color w:val="auto"/>
                    </w:rPr>
                  </w:pPr>
                  <w:r>
                    <w:rPr>
                      <w:color w:val="auto"/>
                    </w:rPr>
                    <w:t>住户</w:t>
                  </w:r>
                </w:p>
              </w:tc>
              <w:tc>
                <w:tcPr>
                  <w:tcW w:w="1109" w:type="dxa"/>
                  <w:tcBorders>
                    <w:tl2br w:val="nil"/>
                    <w:tr2bl w:val="nil"/>
                  </w:tcBorders>
                </w:tcPr>
                <w:p>
                  <w:pPr>
                    <w:pStyle w:val="9"/>
                    <w:ind w:firstLine="180" w:firstLineChars="100"/>
                    <w:rPr>
                      <w:color w:val="auto"/>
                    </w:rPr>
                  </w:pPr>
                  <w:r>
                    <w:rPr>
                      <w:color w:val="auto"/>
                    </w:rPr>
                    <w:t>住户</w:t>
                  </w:r>
                </w:p>
              </w:tc>
              <w:tc>
                <w:tcPr>
                  <w:tcW w:w="979" w:type="dxa"/>
                  <w:vMerge w:val="continue"/>
                  <w:tcBorders>
                    <w:tl2br w:val="nil"/>
                    <w:tr2bl w:val="nil"/>
                  </w:tcBorders>
                </w:tcPr>
                <w:p>
                  <w:pPr>
                    <w:pStyle w:val="9"/>
                    <w:rPr>
                      <w:color w:val="auto"/>
                    </w:rPr>
                  </w:pPr>
                </w:p>
              </w:tc>
              <w:tc>
                <w:tcPr>
                  <w:tcW w:w="1044" w:type="dxa"/>
                  <w:tcBorders>
                    <w:tl2br w:val="nil"/>
                    <w:tr2bl w:val="nil"/>
                  </w:tcBorders>
                </w:tcPr>
                <w:p>
                  <w:pPr>
                    <w:pStyle w:val="9"/>
                    <w:ind w:firstLine="180" w:firstLineChars="100"/>
                    <w:rPr>
                      <w:color w:val="auto"/>
                    </w:rPr>
                  </w:pPr>
                  <w:r>
                    <w:rPr>
                      <w:rFonts w:hint="eastAsia"/>
                      <w:color w:val="auto"/>
                      <w:lang w:val="en-US" w:eastAsia="zh-CN"/>
                    </w:rPr>
                    <w:t>560</w:t>
                  </w:r>
                  <w:r>
                    <w:rPr>
                      <w:rFonts w:hint="eastAsia"/>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10</w:t>
                  </w:r>
                </w:p>
              </w:tc>
              <w:tc>
                <w:tcPr>
                  <w:tcW w:w="967" w:type="dxa"/>
                  <w:vMerge w:val="continue"/>
                  <w:tcBorders>
                    <w:tl2br w:val="nil"/>
                    <w:tr2bl w:val="nil"/>
                  </w:tcBorders>
                </w:tcPr>
                <w:p>
                  <w:pPr>
                    <w:pStyle w:val="9"/>
                    <w:rPr>
                      <w:color w:val="auto"/>
                    </w:rPr>
                  </w:pPr>
                </w:p>
              </w:tc>
              <w:tc>
                <w:tcPr>
                  <w:tcW w:w="1456" w:type="dxa"/>
                  <w:tcBorders>
                    <w:tl2br w:val="nil"/>
                    <w:tr2bl w:val="nil"/>
                  </w:tcBorders>
                  <w:vAlign w:val="top"/>
                </w:tcPr>
                <w:p>
                  <w:pPr>
                    <w:pStyle w:val="9"/>
                    <w:ind w:right="113" w:rightChars="0" w:firstLine="360" w:firstLineChars="200"/>
                    <w:rPr>
                      <w:color w:val="auto"/>
                    </w:rPr>
                  </w:pPr>
                  <w:r>
                    <w:rPr>
                      <w:color w:val="auto"/>
                    </w:rPr>
                    <w:t>住户</w:t>
                  </w:r>
                </w:p>
              </w:tc>
              <w:tc>
                <w:tcPr>
                  <w:tcW w:w="1109" w:type="dxa"/>
                  <w:tcBorders>
                    <w:tl2br w:val="nil"/>
                    <w:tr2bl w:val="nil"/>
                  </w:tcBorders>
                  <w:vAlign w:val="top"/>
                </w:tcPr>
                <w:p>
                  <w:pPr>
                    <w:pStyle w:val="9"/>
                    <w:ind w:right="113" w:rightChars="0" w:firstLine="180" w:firstLineChars="100"/>
                    <w:rPr>
                      <w:color w:val="auto"/>
                    </w:rPr>
                  </w:pPr>
                  <w:r>
                    <w:rPr>
                      <w:color w:val="auto"/>
                    </w:rPr>
                    <w:t>住户</w:t>
                  </w:r>
                </w:p>
              </w:tc>
              <w:tc>
                <w:tcPr>
                  <w:tcW w:w="979" w:type="dxa"/>
                  <w:tcBorders>
                    <w:tl2br w:val="nil"/>
                    <w:tr2bl w:val="nil"/>
                  </w:tcBorders>
                  <w:vAlign w:val="top"/>
                </w:tcPr>
                <w:p>
                  <w:pPr>
                    <w:pStyle w:val="9"/>
                    <w:ind w:right="113" w:rightChars="0" w:firstLine="180" w:firstLineChars="100"/>
                    <w:rPr>
                      <w:color w:val="auto"/>
                    </w:rPr>
                  </w:pPr>
                  <w:r>
                    <w:rPr>
                      <w:rFonts w:hint="eastAsia"/>
                      <w:color w:val="auto"/>
                    </w:rPr>
                    <w:t>北</w:t>
                  </w:r>
                  <w:r>
                    <w:rPr>
                      <w:color w:val="auto"/>
                    </w:rPr>
                    <w:t>侧</w:t>
                  </w:r>
                </w:p>
              </w:tc>
              <w:tc>
                <w:tcPr>
                  <w:tcW w:w="1044" w:type="dxa"/>
                  <w:tcBorders>
                    <w:tl2br w:val="nil"/>
                    <w:tr2bl w:val="nil"/>
                  </w:tcBorders>
                  <w:vAlign w:val="top"/>
                </w:tcPr>
                <w:p>
                  <w:pPr>
                    <w:pStyle w:val="9"/>
                    <w:ind w:right="113" w:rightChars="0" w:firstLine="180" w:firstLineChars="100"/>
                    <w:rPr>
                      <w:color w:val="auto"/>
                    </w:rPr>
                  </w:pPr>
                  <w:r>
                    <w:rPr>
                      <w:rFonts w:hint="eastAsia"/>
                      <w:color w:val="auto"/>
                      <w:lang w:val="en-US" w:eastAsia="zh-CN"/>
                    </w:rPr>
                    <w:t>402</w:t>
                  </w:r>
                  <w:r>
                    <w:rPr>
                      <w:rFonts w:hint="eastAsia"/>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06" w:type="dxa"/>
                  <w:tcBorders>
                    <w:tl2br w:val="nil"/>
                    <w:tr2bl w:val="nil"/>
                  </w:tcBorders>
                  <w:vAlign w:val="top"/>
                </w:tcPr>
                <w:p>
                  <w:pPr>
                    <w:pStyle w:val="9"/>
                    <w:ind w:right="113" w:rightChars="0"/>
                    <w:rPr>
                      <w:rFonts w:hint="eastAsia" w:eastAsia="宋体"/>
                      <w:color w:val="auto"/>
                      <w:lang w:val="en-US" w:eastAsia="zh-CN"/>
                    </w:rPr>
                  </w:pPr>
                  <w:r>
                    <w:rPr>
                      <w:rFonts w:hint="eastAsia"/>
                      <w:color w:val="auto"/>
                    </w:rPr>
                    <w:t xml:space="preserve">  </w:t>
                  </w:r>
                  <w:r>
                    <w:rPr>
                      <w:rFonts w:hint="eastAsia"/>
                      <w:color w:val="auto"/>
                      <w:lang w:val="en-US" w:eastAsia="zh-CN"/>
                    </w:rPr>
                    <w:t>11</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ind w:firstLine="360" w:firstLineChars="200"/>
                    <w:rPr>
                      <w:color w:val="auto"/>
                    </w:rPr>
                  </w:pPr>
                  <w:r>
                    <w:rPr>
                      <w:color w:val="auto"/>
                    </w:rPr>
                    <w:t>住户</w:t>
                  </w:r>
                </w:p>
              </w:tc>
              <w:tc>
                <w:tcPr>
                  <w:tcW w:w="1109" w:type="dxa"/>
                  <w:tcBorders>
                    <w:tl2br w:val="nil"/>
                    <w:tr2bl w:val="nil"/>
                  </w:tcBorders>
                </w:tcPr>
                <w:p>
                  <w:pPr>
                    <w:pStyle w:val="9"/>
                    <w:ind w:firstLine="180" w:firstLineChars="100"/>
                    <w:rPr>
                      <w:color w:val="auto"/>
                    </w:rPr>
                  </w:pPr>
                  <w:r>
                    <w:rPr>
                      <w:color w:val="auto"/>
                    </w:rPr>
                    <w:t>住户</w:t>
                  </w:r>
                </w:p>
              </w:tc>
              <w:tc>
                <w:tcPr>
                  <w:tcW w:w="979" w:type="dxa"/>
                  <w:tcBorders>
                    <w:tl2br w:val="nil"/>
                    <w:tr2bl w:val="nil"/>
                  </w:tcBorders>
                </w:tcPr>
                <w:p>
                  <w:pPr>
                    <w:pStyle w:val="9"/>
                    <w:rPr>
                      <w:color w:val="auto"/>
                    </w:rPr>
                  </w:pPr>
                  <w:r>
                    <w:rPr>
                      <w:rFonts w:hint="eastAsia"/>
                      <w:color w:val="auto"/>
                    </w:rPr>
                    <w:t>东南侧</w:t>
                  </w:r>
                </w:p>
              </w:tc>
              <w:tc>
                <w:tcPr>
                  <w:tcW w:w="1044" w:type="dxa"/>
                  <w:tcBorders>
                    <w:tl2br w:val="nil"/>
                    <w:tr2bl w:val="nil"/>
                  </w:tcBorders>
                </w:tcPr>
                <w:p>
                  <w:pPr>
                    <w:pStyle w:val="9"/>
                    <w:ind w:firstLine="180" w:firstLineChars="100"/>
                    <w:rPr>
                      <w:color w:val="auto"/>
                    </w:rPr>
                  </w:pPr>
                  <w:r>
                    <w:rPr>
                      <w:rFonts w:hint="eastAsia"/>
                      <w:color w:val="auto"/>
                      <w:lang w:val="en-US" w:eastAsia="zh-CN"/>
                    </w:rPr>
                    <w:t>190m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8" w:hRule="atLeast"/>
              </w:trPr>
              <w:tc>
                <w:tcPr>
                  <w:tcW w:w="706" w:type="dxa"/>
                  <w:tcBorders>
                    <w:tl2br w:val="nil"/>
                    <w:tr2bl w:val="nil"/>
                  </w:tcBorders>
                  <w:vAlign w:val="top"/>
                </w:tcPr>
                <w:p>
                  <w:pPr>
                    <w:pStyle w:val="9"/>
                    <w:ind w:right="113" w:rightChars="0"/>
                    <w:rPr>
                      <w:rFonts w:hint="default" w:eastAsia="宋体"/>
                      <w:color w:val="auto"/>
                      <w:lang w:val="en-US" w:eastAsia="zh-CN"/>
                    </w:rPr>
                  </w:pPr>
                  <w:r>
                    <w:rPr>
                      <w:rFonts w:hint="eastAsia"/>
                      <w:color w:val="auto"/>
                      <w:lang w:val="en-US" w:eastAsia="zh-CN"/>
                    </w:rPr>
                    <w:t xml:space="preserve">  12</w:t>
                  </w:r>
                </w:p>
              </w:tc>
              <w:tc>
                <w:tcPr>
                  <w:tcW w:w="967" w:type="dxa"/>
                  <w:vMerge w:val="restart"/>
                  <w:tcBorders>
                    <w:tl2br w:val="nil"/>
                    <w:tr2bl w:val="nil"/>
                  </w:tcBorders>
                </w:tcPr>
                <w:p>
                  <w:pPr>
                    <w:pStyle w:val="9"/>
                    <w:rPr>
                      <w:rFonts w:hint="eastAsia"/>
                      <w:color w:val="auto"/>
                    </w:rPr>
                  </w:pPr>
                  <w:r>
                    <w:rPr>
                      <w:rFonts w:hint="eastAsia"/>
                      <w:color w:val="auto"/>
                    </w:rPr>
                    <w:t xml:space="preserve"> </w:t>
                  </w:r>
                </w:p>
                <w:p>
                  <w:pPr>
                    <w:pStyle w:val="9"/>
                    <w:rPr>
                      <w:rFonts w:hint="eastAsia"/>
                      <w:color w:val="auto"/>
                    </w:rPr>
                  </w:pPr>
                </w:p>
                <w:p>
                  <w:pPr>
                    <w:pStyle w:val="9"/>
                    <w:rPr>
                      <w:rFonts w:hint="eastAsia"/>
                      <w:color w:val="auto"/>
                    </w:rPr>
                  </w:pPr>
                </w:p>
                <w:p>
                  <w:pPr>
                    <w:pStyle w:val="9"/>
                    <w:rPr>
                      <w:color w:val="auto"/>
                    </w:rPr>
                  </w:pPr>
                  <w:r>
                    <w:rPr>
                      <w:rFonts w:hint="eastAsia"/>
                      <w:color w:val="auto"/>
                    </w:rPr>
                    <w:t>项目所在大楼外环境</w:t>
                  </w:r>
                </w:p>
              </w:tc>
              <w:tc>
                <w:tcPr>
                  <w:tcW w:w="1456" w:type="dxa"/>
                  <w:tcBorders>
                    <w:tl2br w:val="nil"/>
                    <w:tr2bl w:val="nil"/>
                  </w:tcBorders>
                </w:tcPr>
                <w:p>
                  <w:pPr>
                    <w:pStyle w:val="9"/>
                    <w:rPr>
                      <w:color w:val="auto"/>
                    </w:rPr>
                  </w:pPr>
                  <w:r>
                    <w:rPr>
                      <w:rFonts w:hint="eastAsia"/>
                      <w:color w:val="auto"/>
                      <w:lang w:eastAsia="zh-CN"/>
                    </w:rPr>
                    <w:t>布云轩茶坊</w:t>
                  </w:r>
                </w:p>
              </w:tc>
              <w:tc>
                <w:tcPr>
                  <w:tcW w:w="1109" w:type="dxa"/>
                  <w:tcBorders>
                    <w:tl2br w:val="nil"/>
                    <w:tr2bl w:val="nil"/>
                  </w:tcBorders>
                </w:tcPr>
                <w:p>
                  <w:pPr>
                    <w:pStyle w:val="9"/>
                    <w:rPr>
                      <w:color w:val="auto"/>
                    </w:rPr>
                  </w:pPr>
                  <w:r>
                    <w:rPr>
                      <w:rFonts w:hint="eastAsia"/>
                      <w:color w:val="auto"/>
                    </w:rPr>
                    <w:t>餐饮行业</w:t>
                  </w:r>
                </w:p>
              </w:tc>
              <w:tc>
                <w:tcPr>
                  <w:tcW w:w="979" w:type="dxa"/>
                  <w:vMerge w:val="restart"/>
                  <w:tcBorders>
                    <w:tl2br w:val="nil"/>
                    <w:tr2bl w:val="nil"/>
                  </w:tcBorders>
                </w:tcPr>
                <w:p>
                  <w:pPr>
                    <w:pStyle w:val="9"/>
                    <w:ind w:firstLine="180" w:firstLineChars="100"/>
                    <w:rPr>
                      <w:color w:val="auto"/>
                    </w:rPr>
                  </w:pPr>
                  <w:r>
                    <w:rPr>
                      <w:rFonts w:hint="eastAsia"/>
                      <w:color w:val="auto"/>
                    </w:rPr>
                    <w:t>西侧</w:t>
                  </w:r>
                </w:p>
              </w:tc>
              <w:tc>
                <w:tcPr>
                  <w:tcW w:w="1044" w:type="dxa"/>
                  <w:tcBorders>
                    <w:tl2br w:val="nil"/>
                    <w:tr2bl w:val="nil"/>
                  </w:tcBorders>
                </w:tcPr>
                <w:p>
                  <w:pPr>
                    <w:pStyle w:val="9"/>
                    <w:ind w:firstLine="180" w:firstLineChars="100"/>
                    <w:rPr>
                      <w:color w:val="auto"/>
                    </w:rPr>
                  </w:pPr>
                  <w:r>
                    <w:rPr>
                      <w:rFonts w:hint="eastAsia"/>
                      <w:color w:val="auto"/>
                      <w:lang w:val="en-US" w:eastAsia="zh-CN"/>
                    </w:rPr>
                    <w:t>10</w:t>
                  </w:r>
                  <w:r>
                    <w:rPr>
                      <w:rFonts w:hint="eastAsia"/>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5" w:hRule="atLeast"/>
              </w:trPr>
              <w:tc>
                <w:tcPr>
                  <w:tcW w:w="706" w:type="dxa"/>
                  <w:tcBorders>
                    <w:tl2br w:val="nil"/>
                    <w:tr2bl w:val="nil"/>
                  </w:tcBorders>
                </w:tcPr>
                <w:p>
                  <w:pPr>
                    <w:pStyle w:val="9"/>
                    <w:rPr>
                      <w:rFonts w:hint="default" w:eastAsia="宋体"/>
                      <w:color w:val="auto"/>
                      <w:lang w:val="en-US" w:eastAsia="zh-CN"/>
                    </w:rPr>
                  </w:pPr>
                  <w:r>
                    <w:rPr>
                      <w:rFonts w:hint="eastAsia"/>
                      <w:color w:val="auto"/>
                      <w:lang w:val="en-US" w:eastAsia="zh-CN"/>
                    </w:rPr>
                    <w:t xml:space="preserve">  13</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jc w:val="center"/>
                    <w:rPr>
                      <w:color w:val="auto"/>
                    </w:rPr>
                  </w:pPr>
                  <w:r>
                    <w:rPr>
                      <w:rFonts w:hint="eastAsia"/>
                      <w:color w:val="auto"/>
                      <w:lang w:eastAsia="zh-CN"/>
                    </w:rPr>
                    <w:t>火锅店</w:t>
                  </w:r>
                </w:p>
              </w:tc>
              <w:tc>
                <w:tcPr>
                  <w:tcW w:w="1109" w:type="dxa"/>
                  <w:tcBorders>
                    <w:tl2br w:val="nil"/>
                    <w:tr2bl w:val="nil"/>
                  </w:tcBorders>
                </w:tcPr>
                <w:p>
                  <w:pPr>
                    <w:pStyle w:val="9"/>
                    <w:rPr>
                      <w:color w:val="auto"/>
                    </w:rPr>
                  </w:pPr>
                  <w:r>
                    <w:rPr>
                      <w:rFonts w:hint="eastAsia"/>
                      <w:color w:val="auto"/>
                    </w:rPr>
                    <w:t>餐饮行业</w:t>
                  </w:r>
                </w:p>
              </w:tc>
              <w:tc>
                <w:tcPr>
                  <w:tcW w:w="979" w:type="dxa"/>
                  <w:vMerge w:val="continue"/>
                  <w:tcBorders>
                    <w:tl2br w:val="nil"/>
                    <w:tr2bl w:val="nil"/>
                  </w:tcBorders>
                </w:tcPr>
                <w:p>
                  <w:pPr>
                    <w:pStyle w:val="9"/>
                    <w:rPr>
                      <w:color w:val="auto"/>
                    </w:rPr>
                  </w:pPr>
                </w:p>
              </w:tc>
              <w:tc>
                <w:tcPr>
                  <w:tcW w:w="1044" w:type="dxa"/>
                  <w:tcBorders>
                    <w:tl2br w:val="nil"/>
                    <w:tr2bl w:val="nil"/>
                  </w:tcBorders>
                </w:tcPr>
                <w:p>
                  <w:pPr>
                    <w:pStyle w:val="9"/>
                    <w:ind w:firstLine="180" w:firstLineChars="100"/>
                    <w:rPr>
                      <w:color w:val="auto"/>
                    </w:rPr>
                  </w:pPr>
                  <w:r>
                    <w:rPr>
                      <w:rFonts w:hint="eastAsia"/>
                      <w:color w:val="auto"/>
                    </w:rPr>
                    <w:t>50m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06" w:type="dxa"/>
                  <w:tcBorders>
                    <w:tl2br w:val="nil"/>
                    <w:tr2bl w:val="nil"/>
                  </w:tcBorders>
                </w:tcPr>
                <w:p>
                  <w:pPr>
                    <w:pStyle w:val="9"/>
                    <w:rPr>
                      <w:rFonts w:hint="default"/>
                      <w:color w:val="auto"/>
                      <w:lang w:val="en-US" w:eastAsia="zh-CN"/>
                    </w:rPr>
                  </w:pPr>
                  <w:r>
                    <w:rPr>
                      <w:rFonts w:hint="eastAsia"/>
                      <w:color w:val="auto"/>
                      <w:lang w:val="en-US" w:eastAsia="zh-CN"/>
                    </w:rPr>
                    <w:t xml:space="preserve">  14</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jc w:val="center"/>
                    <w:rPr>
                      <w:rFonts w:hint="eastAsia"/>
                      <w:color w:val="auto"/>
                      <w:lang w:eastAsia="zh-CN"/>
                    </w:rPr>
                  </w:pPr>
                  <w:r>
                    <w:rPr>
                      <w:rFonts w:hint="eastAsia"/>
                      <w:color w:val="auto"/>
                      <w:lang w:val="en-US" w:eastAsia="zh-CN"/>
                    </w:rPr>
                    <w:t>苍溪好粮油展示展销旗舰店</w:t>
                  </w:r>
                </w:p>
              </w:tc>
              <w:tc>
                <w:tcPr>
                  <w:tcW w:w="1109" w:type="dxa"/>
                  <w:tcBorders>
                    <w:tl2br w:val="nil"/>
                    <w:tr2bl w:val="nil"/>
                  </w:tcBorders>
                </w:tcPr>
                <w:p>
                  <w:pPr>
                    <w:pStyle w:val="9"/>
                    <w:rPr>
                      <w:rFonts w:hint="eastAsia" w:eastAsia="宋体"/>
                      <w:color w:val="auto"/>
                      <w:lang w:val="en-US" w:eastAsia="zh-CN"/>
                    </w:rPr>
                  </w:pPr>
                  <w:r>
                    <w:rPr>
                      <w:rFonts w:hint="eastAsia"/>
                      <w:color w:val="auto"/>
                      <w:lang w:val="en-US" w:eastAsia="zh-CN"/>
                    </w:rPr>
                    <w:t>食品行业</w:t>
                  </w:r>
                </w:p>
              </w:tc>
              <w:tc>
                <w:tcPr>
                  <w:tcW w:w="979" w:type="dxa"/>
                  <w:tcBorders>
                    <w:tl2br w:val="nil"/>
                    <w:tr2bl w:val="nil"/>
                  </w:tcBorders>
                </w:tcPr>
                <w:p>
                  <w:pPr>
                    <w:pStyle w:val="9"/>
                    <w:rPr>
                      <w:rFonts w:hint="default" w:eastAsia="宋体"/>
                      <w:color w:val="auto"/>
                      <w:lang w:val="en-US" w:eastAsia="zh-CN"/>
                    </w:rPr>
                  </w:pPr>
                  <w:r>
                    <w:rPr>
                      <w:rFonts w:hint="eastAsia"/>
                      <w:color w:val="auto"/>
                      <w:lang w:val="en-US" w:eastAsia="zh-CN"/>
                    </w:rPr>
                    <w:t xml:space="preserve">  东侧</w:t>
                  </w:r>
                </w:p>
              </w:tc>
              <w:tc>
                <w:tcPr>
                  <w:tcW w:w="1044" w:type="dxa"/>
                  <w:tcBorders>
                    <w:tl2br w:val="nil"/>
                    <w:tr2bl w:val="nil"/>
                  </w:tcBorders>
                </w:tcPr>
                <w:p>
                  <w:pPr>
                    <w:pStyle w:val="9"/>
                    <w:rPr>
                      <w:rFonts w:hint="default" w:eastAsia="宋体"/>
                      <w:color w:val="auto"/>
                      <w:lang w:val="en-US" w:eastAsia="zh-CN"/>
                    </w:rPr>
                  </w:pPr>
                  <w:r>
                    <w:rPr>
                      <w:rFonts w:hint="eastAsia"/>
                      <w:color w:val="auto"/>
                      <w:lang w:val="en-US" w:eastAsia="zh-CN"/>
                    </w:rPr>
                    <w:t xml:space="preserve">   10</w:t>
                  </w:r>
                  <w:r>
                    <w:rPr>
                      <w:rFonts w:hint="eastAsia"/>
                      <w:color w:val="auto"/>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6" w:type="dxa"/>
                  <w:tcBorders>
                    <w:tl2br w:val="nil"/>
                    <w:tr2bl w:val="nil"/>
                  </w:tcBorders>
                </w:tcPr>
                <w:p>
                  <w:pPr>
                    <w:pStyle w:val="9"/>
                    <w:rPr>
                      <w:rFonts w:hint="default"/>
                      <w:color w:val="auto"/>
                      <w:lang w:val="en-US" w:eastAsia="zh-CN"/>
                    </w:rPr>
                  </w:pPr>
                  <w:r>
                    <w:rPr>
                      <w:rFonts w:hint="eastAsia"/>
                      <w:color w:val="auto"/>
                      <w:lang w:val="en-US" w:eastAsia="zh-CN"/>
                    </w:rPr>
                    <w:t xml:space="preserve">  15</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jc w:val="center"/>
                    <w:rPr>
                      <w:rFonts w:hint="eastAsia"/>
                      <w:color w:val="auto"/>
                      <w:lang w:eastAsia="zh-CN"/>
                    </w:rPr>
                  </w:pPr>
                  <w:r>
                    <w:rPr>
                      <w:rFonts w:hint="eastAsia"/>
                      <w:color w:val="auto"/>
                      <w:lang w:val="en-US" w:eastAsia="zh-CN"/>
                    </w:rPr>
                    <w:t>四川璨宇建设工程有限责任公司</w:t>
                  </w:r>
                </w:p>
              </w:tc>
              <w:tc>
                <w:tcPr>
                  <w:tcW w:w="1109" w:type="dxa"/>
                  <w:tcBorders>
                    <w:tl2br w:val="nil"/>
                    <w:tr2bl w:val="nil"/>
                  </w:tcBorders>
                </w:tcPr>
                <w:p>
                  <w:pPr>
                    <w:pStyle w:val="9"/>
                    <w:rPr>
                      <w:rFonts w:hint="default" w:eastAsia="宋体"/>
                      <w:color w:val="auto"/>
                      <w:lang w:val="en-US" w:eastAsia="zh-CN"/>
                    </w:rPr>
                  </w:pPr>
                  <w:r>
                    <w:rPr>
                      <w:rFonts w:hint="eastAsia"/>
                      <w:color w:val="auto"/>
                      <w:lang w:val="en-US" w:eastAsia="zh-CN"/>
                    </w:rPr>
                    <w:t>建筑行业</w:t>
                  </w:r>
                </w:p>
              </w:tc>
              <w:tc>
                <w:tcPr>
                  <w:tcW w:w="979" w:type="dxa"/>
                  <w:tcBorders>
                    <w:tl2br w:val="nil"/>
                    <w:tr2bl w:val="nil"/>
                  </w:tcBorders>
                </w:tcPr>
                <w:p>
                  <w:pPr>
                    <w:pStyle w:val="9"/>
                    <w:rPr>
                      <w:rFonts w:hint="eastAsia" w:eastAsia="宋体"/>
                      <w:color w:val="auto"/>
                      <w:lang w:val="en-US" w:eastAsia="zh-CN"/>
                    </w:rPr>
                  </w:pPr>
                  <w:r>
                    <w:rPr>
                      <w:rFonts w:hint="eastAsia"/>
                      <w:color w:val="auto"/>
                      <w:lang w:val="en-US" w:eastAsia="zh-CN"/>
                    </w:rPr>
                    <w:t xml:space="preserve"> 西北侧</w:t>
                  </w:r>
                </w:p>
              </w:tc>
              <w:tc>
                <w:tcPr>
                  <w:tcW w:w="1044" w:type="dxa"/>
                  <w:tcBorders>
                    <w:tl2br w:val="nil"/>
                    <w:tr2bl w:val="nil"/>
                  </w:tcBorders>
                </w:tcPr>
                <w:p>
                  <w:pPr>
                    <w:pStyle w:val="9"/>
                    <w:ind w:firstLine="180" w:firstLineChars="100"/>
                    <w:rPr>
                      <w:rFonts w:hint="default" w:eastAsia="宋体"/>
                      <w:color w:val="auto"/>
                      <w:lang w:val="en-US" w:eastAsia="zh-CN"/>
                    </w:rPr>
                  </w:pPr>
                  <w:r>
                    <w:rPr>
                      <w:rFonts w:hint="eastAsia"/>
                      <w:color w:val="auto"/>
                      <w:lang w:val="en-US" w:eastAsia="zh-CN"/>
                    </w:rPr>
                    <w:t xml:space="preserve"> 55m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5" w:hRule="atLeast"/>
              </w:trPr>
              <w:tc>
                <w:tcPr>
                  <w:tcW w:w="706" w:type="dxa"/>
                  <w:tcBorders>
                    <w:tl2br w:val="nil"/>
                    <w:tr2bl w:val="nil"/>
                  </w:tcBorders>
                </w:tcPr>
                <w:p>
                  <w:pPr>
                    <w:pStyle w:val="9"/>
                    <w:rPr>
                      <w:rFonts w:hint="default"/>
                      <w:color w:val="auto"/>
                      <w:lang w:val="en-US" w:eastAsia="zh-CN"/>
                    </w:rPr>
                  </w:pPr>
                  <w:r>
                    <w:rPr>
                      <w:rFonts w:hint="eastAsia"/>
                      <w:color w:val="auto"/>
                      <w:lang w:val="en-US" w:eastAsia="zh-CN"/>
                    </w:rPr>
                    <w:t xml:space="preserve">  16</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jc w:val="center"/>
                    <w:rPr>
                      <w:rFonts w:hint="eastAsia"/>
                      <w:color w:val="auto"/>
                      <w:lang w:eastAsia="zh-CN"/>
                    </w:rPr>
                  </w:pPr>
                  <w:r>
                    <w:rPr>
                      <w:rFonts w:hint="eastAsia"/>
                      <w:color w:val="auto"/>
                      <w:lang w:val="en-US" w:eastAsia="zh-CN"/>
                    </w:rPr>
                    <w:t>四川都运</w:t>
                  </w:r>
                </w:p>
              </w:tc>
              <w:tc>
                <w:tcPr>
                  <w:tcW w:w="1109" w:type="dxa"/>
                  <w:tcBorders>
                    <w:tl2br w:val="nil"/>
                    <w:tr2bl w:val="nil"/>
                  </w:tcBorders>
                </w:tcPr>
                <w:p>
                  <w:pPr>
                    <w:pStyle w:val="9"/>
                    <w:rPr>
                      <w:rFonts w:hint="default" w:eastAsia="宋体"/>
                      <w:color w:val="auto"/>
                      <w:lang w:val="en-US" w:eastAsia="zh-CN"/>
                    </w:rPr>
                  </w:pPr>
                  <w:r>
                    <w:rPr>
                      <w:rFonts w:hint="eastAsia"/>
                      <w:color w:val="auto"/>
                      <w:lang w:val="en-US" w:eastAsia="zh-CN"/>
                    </w:rPr>
                    <w:t xml:space="preserve">  物流</w:t>
                  </w:r>
                </w:p>
              </w:tc>
              <w:tc>
                <w:tcPr>
                  <w:tcW w:w="979" w:type="dxa"/>
                  <w:tcBorders>
                    <w:tl2br w:val="nil"/>
                    <w:tr2bl w:val="nil"/>
                  </w:tcBorders>
                </w:tcPr>
                <w:p>
                  <w:pPr>
                    <w:pStyle w:val="9"/>
                    <w:rPr>
                      <w:rFonts w:hint="default" w:eastAsia="宋体"/>
                      <w:color w:val="auto"/>
                      <w:lang w:val="en-US" w:eastAsia="zh-CN"/>
                    </w:rPr>
                  </w:pPr>
                  <w:r>
                    <w:rPr>
                      <w:rFonts w:hint="eastAsia"/>
                      <w:color w:val="auto"/>
                      <w:lang w:val="en-US" w:eastAsia="zh-CN"/>
                    </w:rPr>
                    <w:t xml:space="preserve">  北侧</w:t>
                  </w:r>
                </w:p>
              </w:tc>
              <w:tc>
                <w:tcPr>
                  <w:tcW w:w="1044" w:type="dxa"/>
                  <w:tcBorders>
                    <w:tl2br w:val="nil"/>
                    <w:tr2bl w:val="nil"/>
                  </w:tcBorders>
                </w:tcPr>
                <w:p>
                  <w:pPr>
                    <w:pStyle w:val="9"/>
                    <w:ind w:firstLine="180" w:firstLineChars="100"/>
                    <w:rPr>
                      <w:rFonts w:hint="default" w:eastAsia="宋体"/>
                      <w:color w:val="auto"/>
                      <w:lang w:val="en-US" w:eastAsia="zh-CN"/>
                    </w:rPr>
                  </w:pPr>
                  <w:r>
                    <w:rPr>
                      <w:rFonts w:hint="eastAsia"/>
                      <w:color w:val="auto"/>
                      <w:lang w:val="en-US" w:eastAsia="zh-CN"/>
                    </w:rPr>
                    <w:t>10m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5" w:hRule="atLeast"/>
              </w:trPr>
              <w:tc>
                <w:tcPr>
                  <w:tcW w:w="706" w:type="dxa"/>
                  <w:tcBorders>
                    <w:tl2br w:val="nil"/>
                    <w:tr2bl w:val="nil"/>
                  </w:tcBorders>
                </w:tcPr>
                <w:p>
                  <w:pPr>
                    <w:pStyle w:val="9"/>
                    <w:rPr>
                      <w:rFonts w:hint="default"/>
                      <w:color w:val="auto"/>
                      <w:lang w:val="en-US" w:eastAsia="zh-CN"/>
                    </w:rPr>
                  </w:pPr>
                  <w:r>
                    <w:rPr>
                      <w:rFonts w:hint="eastAsia"/>
                      <w:color w:val="auto"/>
                      <w:lang w:val="en-US" w:eastAsia="zh-CN"/>
                    </w:rPr>
                    <w:t xml:space="preserve">  17</w:t>
                  </w:r>
                </w:p>
              </w:tc>
              <w:tc>
                <w:tcPr>
                  <w:tcW w:w="967" w:type="dxa"/>
                  <w:vMerge w:val="continue"/>
                  <w:tcBorders>
                    <w:tl2br w:val="nil"/>
                    <w:tr2bl w:val="nil"/>
                  </w:tcBorders>
                </w:tcPr>
                <w:p>
                  <w:pPr>
                    <w:pStyle w:val="9"/>
                    <w:rPr>
                      <w:color w:val="auto"/>
                    </w:rPr>
                  </w:pPr>
                </w:p>
              </w:tc>
              <w:tc>
                <w:tcPr>
                  <w:tcW w:w="1456" w:type="dxa"/>
                  <w:tcBorders>
                    <w:tl2br w:val="nil"/>
                    <w:tr2bl w:val="nil"/>
                  </w:tcBorders>
                </w:tcPr>
                <w:p>
                  <w:pPr>
                    <w:pStyle w:val="9"/>
                    <w:jc w:val="both"/>
                    <w:rPr>
                      <w:rFonts w:hint="eastAsia"/>
                      <w:color w:val="auto"/>
                      <w:lang w:eastAsia="zh-CN"/>
                    </w:rPr>
                  </w:pPr>
                  <w:r>
                    <w:rPr>
                      <w:rFonts w:hint="eastAsia"/>
                      <w:color w:val="auto"/>
                      <w:lang w:val="en-US" w:eastAsia="zh-CN"/>
                    </w:rPr>
                    <w:t>四川众鑫联建设有限公司</w:t>
                  </w:r>
                </w:p>
              </w:tc>
              <w:tc>
                <w:tcPr>
                  <w:tcW w:w="1109" w:type="dxa"/>
                  <w:tcBorders>
                    <w:tl2br w:val="nil"/>
                    <w:tr2bl w:val="nil"/>
                  </w:tcBorders>
                </w:tcPr>
                <w:p>
                  <w:pPr>
                    <w:pStyle w:val="9"/>
                    <w:rPr>
                      <w:rFonts w:hint="eastAsia"/>
                      <w:color w:val="auto"/>
                    </w:rPr>
                  </w:pPr>
                  <w:r>
                    <w:rPr>
                      <w:rFonts w:hint="eastAsia"/>
                      <w:color w:val="auto"/>
                      <w:lang w:val="en-US" w:eastAsia="zh-CN"/>
                    </w:rPr>
                    <w:t>建筑行业</w:t>
                  </w:r>
                </w:p>
              </w:tc>
              <w:tc>
                <w:tcPr>
                  <w:tcW w:w="979" w:type="dxa"/>
                  <w:tcBorders>
                    <w:tl2br w:val="nil"/>
                    <w:tr2bl w:val="nil"/>
                  </w:tcBorders>
                </w:tcPr>
                <w:p>
                  <w:pPr>
                    <w:pStyle w:val="9"/>
                    <w:rPr>
                      <w:rFonts w:hint="default" w:eastAsia="宋体"/>
                      <w:color w:val="auto"/>
                      <w:lang w:val="en-US" w:eastAsia="zh-CN"/>
                    </w:rPr>
                  </w:pPr>
                  <w:r>
                    <w:rPr>
                      <w:rFonts w:hint="eastAsia"/>
                      <w:color w:val="auto"/>
                      <w:lang w:val="en-US" w:eastAsia="zh-CN"/>
                    </w:rPr>
                    <w:t>东北侧</w:t>
                  </w:r>
                </w:p>
              </w:tc>
              <w:tc>
                <w:tcPr>
                  <w:tcW w:w="1044" w:type="dxa"/>
                  <w:tcBorders>
                    <w:tl2br w:val="nil"/>
                    <w:tr2bl w:val="nil"/>
                  </w:tcBorders>
                </w:tcPr>
                <w:p>
                  <w:pPr>
                    <w:pStyle w:val="9"/>
                    <w:ind w:firstLine="180" w:firstLineChars="100"/>
                    <w:rPr>
                      <w:rFonts w:hint="default" w:eastAsia="宋体"/>
                      <w:color w:val="auto"/>
                      <w:lang w:val="en-US" w:eastAsia="zh-CN"/>
                    </w:rPr>
                  </w:pPr>
                  <w:r>
                    <w:rPr>
                      <w:rFonts w:hint="eastAsia"/>
                      <w:color w:val="auto"/>
                      <w:lang w:val="en-US" w:eastAsia="zh-CN"/>
                    </w:rPr>
                    <w:t>15m</w:t>
                  </w:r>
                </w:p>
              </w:tc>
            </w:tr>
          </w:tbl>
          <w:p>
            <w:pPr>
              <w:spacing w:line="360" w:lineRule="auto"/>
              <w:ind w:firstLine="420" w:firstLineChars="200"/>
              <w:rPr>
                <w:color w:val="auto"/>
              </w:rPr>
            </w:pPr>
            <w:r>
              <w:rPr>
                <w:color w:val="auto"/>
              </w:rPr>
              <w:t>③与周边企业外环境关系：项目选址位于四川省广元市</w:t>
            </w:r>
            <w:r>
              <w:rPr>
                <w:rFonts w:hint="eastAsia"/>
                <w:color w:val="auto"/>
                <w:lang w:eastAsia="zh-CN"/>
              </w:rPr>
              <w:t>苍溪县陵江镇江南二环路</w:t>
            </w:r>
            <w:r>
              <w:rPr>
                <w:rFonts w:hint="eastAsia"/>
                <w:color w:val="auto"/>
                <w:lang w:val="en-US" w:eastAsia="zh-CN"/>
              </w:rPr>
              <w:t>1栋1单元1-3号</w:t>
            </w:r>
            <w:r>
              <w:rPr>
                <w:rFonts w:hint="eastAsia"/>
                <w:color w:val="auto"/>
              </w:rPr>
              <w:t>，经现场调查</w:t>
            </w:r>
            <w:r>
              <w:rPr>
                <w:color w:val="auto"/>
              </w:rPr>
              <w:t>，</w:t>
            </w:r>
            <w:r>
              <w:rPr>
                <w:rFonts w:hint="eastAsia"/>
                <w:color w:val="auto"/>
              </w:rPr>
              <w:t>项目周围无生产性企业，</w:t>
            </w:r>
            <w:r>
              <w:rPr>
                <w:color w:val="auto"/>
              </w:rPr>
              <w:t>周边无医药、食品加工类等敏感性企业。</w:t>
            </w:r>
          </w:p>
          <w:p>
            <w:pPr>
              <w:spacing w:line="360" w:lineRule="auto"/>
              <w:ind w:firstLine="420" w:firstLineChars="200"/>
              <w:rPr>
                <w:color w:val="auto"/>
              </w:rPr>
            </w:pPr>
            <w:r>
              <w:rPr>
                <w:rFonts w:hint="eastAsia"/>
                <w:color w:val="auto"/>
              </w:rPr>
              <w:t>④</w:t>
            </w:r>
            <w:r>
              <w:rPr>
                <w:color w:val="auto"/>
              </w:rPr>
              <w:t>特殊敏感点：项目选址位于四川省广元市</w:t>
            </w:r>
            <w:r>
              <w:rPr>
                <w:rFonts w:hint="eastAsia"/>
                <w:color w:val="auto"/>
                <w:lang w:eastAsia="zh-CN"/>
              </w:rPr>
              <w:t>苍溪县陵江镇江南二环路</w:t>
            </w:r>
            <w:r>
              <w:rPr>
                <w:rFonts w:hint="eastAsia"/>
                <w:color w:val="auto"/>
                <w:lang w:val="en-US" w:eastAsia="zh-CN"/>
              </w:rPr>
              <w:t>1栋1单元1-3号</w:t>
            </w:r>
            <w:r>
              <w:rPr>
                <w:color w:val="auto"/>
              </w:rPr>
              <w:t>，周边不涉及文物保护单位、风景名胜区、水源保护区、珍稀动植物保护物种、生态敏感点和其它需要特殊保护的敏感目标。</w:t>
            </w:r>
          </w:p>
          <w:bookmarkEnd w:id="2"/>
          <w:p>
            <w:pPr>
              <w:spacing w:line="360" w:lineRule="auto"/>
              <w:ind w:firstLine="420" w:firstLineChars="200"/>
              <w:rPr>
                <w:color w:val="auto"/>
              </w:rPr>
            </w:pPr>
            <w:r>
              <w:rPr>
                <w:rFonts w:hint="eastAsia"/>
                <w:color w:val="auto"/>
              </w:rPr>
              <w:t>⑤</w:t>
            </w:r>
            <w:r>
              <w:rPr>
                <w:color w:val="auto"/>
              </w:rPr>
              <w:t>周边配套设施：项目所在地基础设施如自来水管网等已经铺设完毕，项目所在地市政设施完善，本项目及周边居民生活饮用水来自自来水管网。</w:t>
            </w:r>
          </w:p>
          <w:p>
            <w:pPr>
              <w:autoSpaceDE w:val="0"/>
              <w:autoSpaceDN w:val="0"/>
              <w:adjustRightInd w:val="0"/>
              <w:snapToGrid w:val="0"/>
              <w:spacing w:line="360" w:lineRule="auto"/>
              <w:ind w:firstLine="420" w:firstLineChars="200"/>
              <w:rPr>
                <w:rFonts w:hint="eastAsia"/>
                <w:color w:val="auto"/>
                <w:sz w:val="21"/>
                <w:szCs w:val="21"/>
                <w:lang w:eastAsia="zh-CN"/>
              </w:rPr>
            </w:pPr>
            <w:r>
              <w:rPr>
                <w:rFonts w:hint="eastAsia"/>
                <w:color w:val="auto"/>
                <w:sz w:val="21"/>
                <w:szCs w:val="21"/>
              </w:rPr>
              <w:t>通过项目的合理布局、严格管理、积极推进企业清洁生产以及</w:t>
            </w:r>
            <w:r>
              <w:rPr>
                <w:color w:val="auto"/>
                <w:sz w:val="21"/>
                <w:szCs w:val="21"/>
              </w:rPr>
              <w:t>废气、废水经处理后均能达标排放，厂界噪声达标排放</w:t>
            </w:r>
            <w:r>
              <w:rPr>
                <w:rFonts w:hint="eastAsia"/>
                <w:color w:val="auto"/>
                <w:sz w:val="21"/>
                <w:szCs w:val="21"/>
              </w:rPr>
              <w:t>，可以有效地避免或减轻项目运营过程对周围环境的影响，项目与周围环境相容。</w:t>
            </w:r>
          </w:p>
          <w:p>
            <w:pPr>
              <w:autoSpaceDE w:val="0"/>
              <w:autoSpaceDN w:val="0"/>
              <w:adjustRightInd w:val="0"/>
              <w:snapToGrid w:val="0"/>
              <w:spacing w:line="360" w:lineRule="auto"/>
              <w:ind w:firstLine="422" w:firstLineChars="200"/>
              <w:rPr>
                <w:rFonts w:hint="eastAsia"/>
                <w:b/>
                <w:bCs/>
                <w:color w:val="auto"/>
                <w:sz w:val="21"/>
                <w:szCs w:val="21"/>
                <w:lang w:eastAsia="zh-CN"/>
              </w:rPr>
            </w:pPr>
            <w:r>
              <w:rPr>
                <w:rFonts w:hint="eastAsia"/>
                <w:b/>
                <w:bCs/>
                <w:color w:val="auto"/>
                <w:sz w:val="21"/>
                <w:szCs w:val="21"/>
                <w:lang w:val="en-US" w:eastAsia="zh-CN"/>
              </w:rPr>
              <w:t>4、</w:t>
            </w:r>
            <w:r>
              <w:rPr>
                <w:rFonts w:hint="eastAsia"/>
                <w:b/>
                <w:bCs/>
                <w:color w:val="auto"/>
                <w:sz w:val="21"/>
                <w:szCs w:val="21"/>
                <w:lang w:eastAsia="zh-CN"/>
              </w:rPr>
              <w:t>与《广元市“十四五”生态环境保护规划》（广府发【</w:t>
            </w:r>
            <w:r>
              <w:rPr>
                <w:rFonts w:hint="eastAsia"/>
                <w:b/>
                <w:bCs/>
                <w:color w:val="auto"/>
                <w:sz w:val="21"/>
                <w:szCs w:val="21"/>
                <w:lang w:val="en-US" w:eastAsia="zh-CN"/>
              </w:rPr>
              <w:t>2022</w:t>
            </w:r>
            <w:r>
              <w:rPr>
                <w:rFonts w:hint="eastAsia"/>
                <w:b/>
                <w:bCs/>
                <w:color w:val="auto"/>
                <w:sz w:val="21"/>
                <w:szCs w:val="21"/>
                <w:lang w:eastAsia="zh-CN"/>
              </w:rPr>
              <w:t>】</w:t>
            </w:r>
            <w:r>
              <w:rPr>
                <w:rFonts w:hint="eastAsia"/>
                <w:b/>
                <w:bCs/>
                <w:color w:val="auto"/>
                <w:sz w:val="21"/>
                <w:szCs w:val="21"/>
                <w:lang w:val="en-US" w:eastAsia="zh-CN"/>
              </w:rPr>
              <w:t>17号</w:t>
            </w:r>
            <w:r>
              <w:rPr>
                <w:rFonts w:hint="eastAsia"/>
                <w:b/>
                <w:bCs/>
                <w:color w:val="auto"/>
                <w:sz w:val="21"/>
                <w:szCs w:val="21"/>
                <w:lang w:eastAsia="zh-CN"/>
              </w:rPr>
              <w:t>）符合性分析</w:t>
            </w:r>
          </w:p>
          <w:p>
            <w:pPr>
              <w:pStyle w:val="40"/>
              <w:spacing w:line="240" w:lineRule="auto"/>
              <w:ind w:left="0" w:leftChars="0" w:firstLine="0" w:firstLineChars="0"/>
              <w:jc w:val="center"/>
              <w:rPr>
                <w:rFonts w:eastAsia="宋体"/>
                <w:b/>
                <w:bCs/>
                <w:color w:val="auto"/>
                <w:sz w:val="18"/>
                <w:szCs w:val="18"/>
              </w:rPr>
            </w:pPr>
            <w:r>
              <w:rPr>
                <w:rFonts w:hint="eastAsia" w:eastAsia="宋体"/>
                <w:b/>
                <w:bCs/>
                <w:color w:val="auto"/>
                <w:sz w:val="18"/>
                <w:szCs w:val="18"/>
              </w:rPr>
              <w:t>表1-</w:t>
            </w:r>
            <w:r>
              <w:rPr>
                <w:rFonts w:hint="eastAsia" w:eastAsia="宋体"/>
                <w:b/>
                <w:bCs/>
                <w:color w:val="auto"/>
                <w:sz w:val="18"/>
                <w:szCs w:val="18"/>
                <w:lang w:val="en-US" w:eastAsia="zh-CN"/>
              </w:rPr>
              <w:t>4</w:t>
            </w:r>
            <w:r>
              <w:rPr>
                <w:rFonts w:hint="eastAsia" w:eastAsia="宋体"/>
                <w:b/>
                <w:bCs/>
                <w:color w:val="auto"/>
                <w:sz w:val="18"/>
                <w:szCs w:val="18"/>
              </w:rPr>
              <w:t xml:space="preserve"> </w:t>
            </w:r>
            <w:r>
              <w:rPr>
                <w:rFonts w:hint="eastAsia" w:eastAsia="宋体"/>
                <w:b/>
                <w:bCs/>
                <w:color w:val="auto"/>
                <w:sz w:val="18"/>
                <w:szCs w:val="18"/>
                <w:lang w:eastAsia="zh-CN"/>
              </w:rPr>
              <w:t>与《广元市“十四五”生态环境保护规划》（广府发【</w:t>
            </w:r>
            <w:r>
              <w:rPr>
                <w:rFonts w:hint="eastAsia" w:eastAsia="宋体"/>
                <w:b/>
                <w:bCs/>
                <w:color w:val="auto"/>
                <w:sz w:val="18"/>
                <w:szCs w:val="18"/>
                <w:lang w:val="en-US" w:eastAsia="zh-CN"/>
              </w:rPr>
              <w:t>2022</w:t>
            </w:r>
            <w:r>
              <w:rPr>
                <w:rFonts w:hint="eastAsia" w:eastAsia="宋体"/>
                <w:b/>
                <w:bCs/>
                <w:color w:val="auto"/>
                <w:sz w:val="18"/>
                <w:szCs w:val="18"/>
                <w:lang w:eastAsia="zh-CN"/>
              </w:rPr>
              <w:t>】</w:t>
            </w:r>
            <w:r>
              <w:rPr>
                <w:rFonts w:hint="eastAsia" w:eastAsia="宋体"/>
                <w:b/>
                <w:bCs/>
                <w:color w:val="auto"/>
                <w:sz w:val="18"/>
                <w:szCs w:val="18"/>
                <w:lang w:val="en-US" w:eastAsia="zh-CN"/>
              </w:rPr>
              <w:t>17号</w:t>
            </w:r>
            <w:r>
              <w:rPr>
                <w:rFonts w:hint="eastAsia" w:eastAsia="宋体"/>
                <w:b/>
                <w:bCs/>
                <w:color w:val="auto"/>
                <w:sz w:val="18"/>
                <w:szCs w:val="18"/>
                <w:lang w:eastAsia="zh-CN"/>
              </w:rPr>
              <w:t>）符合性分析</w:t>
            </w:r>
          </w:p>
          <w:tbl>
            <w:tblPr>
              <w:tblStyle w:val="22"/>
              <w:tblW w:w="62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0"/>
              <w:gridCol w:w="946"/>
              <w:gridCol w:w="2149"/>
              <w:gridCol w:w="1672"/>
              <w:gridCol w:w="84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650" w:type="dxa"/>
                  <w:tcBorders>
                    <w:tl2br w:val="nil"/>
                    <w:tr2bl w:val="nil"/>
                  </w:tcBorders>
                </w:tcPr>
                <w:p>
                  <w:pPr>
                    <w:autoSpaceDE w:val="0"/>
                    <w:autoSpaceDN w:val="0"/>
                    <w:adjustRightInd w:val="0"/>
                    <w:snapToGrid w:val="0"/>
                    <w:spacing w:line="360" w:lineRule="auto"/>
                    <w:rPr>
                      <w:rFonts w:hint="eastAsia" w:eastAsia="宋体"/>
                      <w:b/>
                      <w:bCs/>
                      <w:color w:val="auto"/>
                      <w:sz w:val="18"/>
                      <w:szCs w:val="18"/>
                      <w:vertAlign w:val="baseline"/>
                      <w:lang w:val="en-US" w:eastAsia="zh-CN"/>
                    </w:rPr>
                  </w:pPr>
                  <w:r>
                    <w:rPr>
                      <w:rFonts w:hint="eastAsia"/>
                      <w:b/>
                      <w:bCs/>
                      <w:color w:val="auto"/>
                      <w:sz w:val="18"/>
                      <w:szCs w:val="18"/>
                      <w:vertAlign w:val="baseline"/>
                      <w:lang w:val="en-US" w:eastAsia="zh-CN"/>
                    </w:rPr>
                    <w:t>序号</w:t>
                  </w:r>
                </w:p>
              </w:tc>
              <w:tc>
                <w:tcPr>
                  <w:tcW w:w="3095" w:type="dxa"/>
                  <w:gridSpan w:val="2"/>
                  <w:tcBorders>
                    <w:tl2br w:val="nil"/>
                    <w:tr2bl w:val="nil"/>
                  </w:tcBorders>
                </w:tcPr>
                <w:p>
                  <w:pPr>
                    <w:autoSpaceDE w:val="0"/>
                    <w:autoSpaceDN w:val="0"/>
                    <w:adjustRightInd w:val="0"/>
                    <w:snapToGrid w:val="0"/>
                    <w:spacing w:line="360" w:lineRule="auto"/>
                    <w:rPr>
                      <w:rFonts w:hint="default"/>
                      <w:b/>
                      <w:bCs/>
                      <w:color w:val="auto"/>
                      <w:sz w:val="18"/>
                      <w:szCs w:val="18"/>
                      <w:vertAlign w:val="baseline"/>
                      <w:lang w:val="en-US" w:eastAsia="zh-CN"/>
                    </w:rPr>
                  </w:pPr>
                  <w:r>
                    <w:rPr>
                      <w:rFonts w:hint="eastAsia"/>
                      <w:b/>
                      <w:bCs/>
                      <w:color w:val="auto"/>
                      <w:sz w:val="18"/>
                      <w:szCs w:val="18"/>
                      <w:vertAlign w:val="baseline"/>
                      <w:lang w:val="en-US" w:eastAsia="zh-CN"/>
                    </w:rPr>
                    <w:t xml:space="preserve"> 文件要求内容</w:t>
                  </w:r>
                </w:p>
              </w:tc>
              <w:tc>
                <w:tcPr>
                  <w:tcW w:w="1672" w:type="dxa"/>
                  <w:tcBorders>
                    <w:tl2br w:val="nil"/>
                    <w:tr2bl w:val="nil"/>
                  </w:tcBorders>
                </w:tcPr>
                <w:p>
                  <w:pPr>
                    <w:autoSpaceDE w:val="0"/>
                    <w:autoSpaceDN w:val="0"/>
                    <w:adjustRightInd w:val="0"/>
                    <w:snapToGrid w:val="0"/>
                    <w:spacing w:line="360" w:lineRule="auto"/>
                    <w:rPr>
                      <w:rFonts w:hint="default"/>
                      <w:b/>
                      <w:bCs/>
                      <w:color w:val="auto"/>
                      <w:sz w:val="18"/>
                      <w:szCs w:val="18"/>
                      <w:vertAlign w:val="baseline"/>
                      <w:lang w:val="en-US" w:eastAsia="zh-CN"/>
                    </w:rPr>
                  </w:pPr>
                  <w:r>
                    <w:rPr>
                      <w:rFonts w:hint="eastAsia"/>
                      <w:b/>
                      <w:bCs/>
                      <w:color w:val="auto"/>
                      <w:sz w:val="18"/>
                      <w:szCs w:val="18"/>
                      <w:vertAlign w:val="baseline"/>
                      <w:lang w:val="en-US" w:eastAsia="zh-CN"/>
                    </w:rPr>
                    <w:t xml:space="preserve">   本项目情况</w:t>
                  </w:r>
                </w:p>
              </w:tc>
              <w:tc>
                <w:tcPr>
                  <w:tcW w:w="844" w:type="dxa"/>
                  <w:tcBorders>
                    <w:tl2br w:val="nil"/>
                    <w:tr2bl w:val="nil"/>
                  </w:tcBorders>
                </w:tcPr>
                <w:p>
                  <w:pPr>
                    <w:autoSpaceDE w:val="0"/>
                    <w:autoSpaceDN w:val="0"/>
                    <w:adjustRightInd w:val="0"/>
                    <w:snapToGrid w:val="0"/>
                    <w:spacing w:line="360" w:lineRule="auto"/>
                    <w:rPr>
                      <w:rFonts w:hint="default"/>
                      <w:b/>
                      <w:bCs/>
                      <w:color w:val="auto"/>
                      <w:sz w:val="18"/>
                      <w:szCs w:val="18"/>
                      <w:vertAlign w:val="baseline"/>
                      <w:lang w:val="en-US" w:eastAsia="zh-CN"/>
                    </w:rPr>
                  </w:pPr>
                  <w:r>
                    <w:rPr>
                      <w:rFonts w:hint="eastAsia"/>
                      <w:b/>
                      <w:bCs/>
                      <w:color w:val="auto"/>
                      <w:sz w:val="18"/>
                      <w:szCs w:val="18"/>
                      <w:vertAlign w:val="baseline"/>
                      <w:lang w:val="en-US" w:eastAsia="zh-CN"/>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0" w:type="dxa"/>
                  <w:tcBorders>
                    <w:tl2br w:val="nil"/>
                    <w:tr2bl w:val="nil"/>
                  </w:tcBorders>
                </w:tcPr>
                <w:p>
                  <w:pPr>
                    <w:autoSpaceDE w:val="0"/>
                    <w:autoSpaceDN w:val="0"/>
                    <w:adjustRightInd w:val="0"/>
                    <w:snapToGrid w:val="0"/>
                    <w:spacing w:line="360" w:lineRule="auto"/>
                    <w:ind w:firstLine="210" w:firstLineChars="100"/>
                    <w:rPr>
                      <w:rFonts w:hint="default"/>
                      <w:color w:val="auto"/>
                      <w:sz w:val="21"/>
                      <w:szCs w:val="21"/>
                      <w:vertAlign w:val="baseline"/>
                      <w:lang w:val="en-US" w:eastAsia="zh-CN"/>
                    </w:rPr>
                  </w:pPr>
                  <w:r>
                    <w:rPr>
                      <w:rFonts w:hint="eastAsia"/>
                      <w:color w:val="auto"/>
                      <w:sz w:val="21"/>
                      <w:szCs w:val="21"/>
                      <w:vertAlign w:val="baseline"/>
                      <w:lang w:val="en-US" w:eastAsia="zh-CN"/>
                    </w:rPr>
                    <w:t>1</w:t>
                  </w:r>
                </w:p>
              </w:tc>
              <w:tc>
                <w:tcPr>
                  <w:tcW w:w="946" w:type="dxa"/>
                  <w:vMerge w:val="restart"/>
                  <w:tcBorders>
                    <w:tl2br w:val="nil"/>
                    <w:tr2bl w:val="nil"/>
                  </w:tcBorders>
                </w:tcPr>
                <w:p>
                  <w:pPr>
                    <w:autoSpaceDE w:val="0"/>
                    <w:autoSpaceDN w:val="0"/>
                    <w:adjustRightInd w:val="0"/>
                    <w:snapToGrid w:val="0"/>
                    <w:spacing w:line="240" w:lineRule="auto"/>
                    <w:rPr>
                      <w:rFonts w:hint="eastAsia"/>
                      <w:color w:val="auto"/>
                      <w:sz w:val="21"/>
                      <w:szCs w:val="21"/>
                      <w:vertAlign w:val="baseline"/>
                      <w:lang w:eastAsia="zh-CN"/>
                    </w:rPr>
                  </w:pPr>
                  <w:r>
                    <w:rPr>
                      <w:rFonts w:hint="eastAsia"/>
                      <w:color w:val="auto"/>
                      <w:sz w:val="18"/>
                      <w:szCs w:val="18"/>
                      <w:vertAlign w:val="baseline"/>
                      <w:lang w:eastAsia="zh-CN"/>
                    </w:rPr>
                    <w:t>五、（一）持续改善大气环境</w:t>
                  </w:r>
                </w:p>
              </w:tc>
              <w:tc>
                <w:tcPr>
                  <w:tcW w:w="2149" w:type="dxa"/>
                  <w:tcBorders>
                    <w:tl2br w:val="nil"/>
                    <w:tr2bl w:val="nil"/>
                  </w:tcBorders>
                </w:tcPr>
                <w:p>
                  <w:pPr>
                    <w:autoSpaceDE w:val="0"/>
                    <w:autoSpaceDN w:val="0"/>
                    <w:adjustRightInd w:val="0"/>
                    <w:snapToGrid w:val="0"/>
                    <w:spacing w:line="240" w:lineRule="auto"/>
                    <w:rPr>
                      <w:rFonts w:hint="eastAsia"/>
                      <w:color w:val="auto"/>
                      <w:sz w:val="18"/>
                      <w:szCs w:val="18"/>
                      <w:vertAlign w:val="baseline"/>
                      <w:lang w:eastAsia="zh-CN"/>
                    </w:rPr>
                  </w:pPr>
                  <w:r>
                    <w:rPr>
                      <w:rFonts w:hint="eastAsia"/>
                      <w:color w:val="auto"/>
                      <w:sz w:val="18"/>
                      <w:szCs w:val="18"/>
                      <w:vertAlign w:val="baseline"/>
                      <w:lang w:eastAsia="zh-CN"/>
                    </w:rPr>
                    <w:t>全面加强施工扬尘污染控制，积极开展绿色、文明施工标准化建设。</w:t>
                  </w:r>
                </w:p>
              </w:tc>
              <w:tc>
                <w:tcPr>
                  <w:tcW w:w="1672" w:type="dxa"/>
                  <w:tcBorders>
                    <w:tl2br w:val="nil"/>
                    <w:tr2bl w:val="nil"/>
                  </w:tcBorders>
                </w:tcPr>
                <w:p>
                  <w:pPr>
                    <w:autoSpaceDE w:val="0"/>
                    <w:autoSpaceDN w:val="0"/>
                    <w:adjustRightInd w:val="0"/>
                    <w:snapToGrid w:val="0"/>
                    <w:spacing w:line="240" w:lineRule="auto"/>
                    <w:rPr>
                      <w:rFonts w:hint="eastAsia"/>
                      <w:color w:val="auto"/>
                      <w:sz w:val="21"/>
                      <w:szCs w:val="21"/>
                      <w:vertAlign w:val="baseline"/>
                      <w:lang w:eastAsia="zh-CN"/>
                    </w:rPr>
                  </w:pPr>
                  <w:r>
                    <w:rPr>
                      <w:rFonts w:hint="eastAsia"/>
                      <w:color w:val="auto"/>
                      <w:sz w:val="18"/>
                      <w:szCs w:val="18"/>
                      <w:vertAlign w:val="baseline"/>
                      <w:lang w:eastAsia="zh-CN"/>
                    </w:rPr>
                    <w:t>施工过程中产生的粉尘，粉尘的比重较大，通过自然沉降后大部分散落到地面，仅有少许粉尘外排。同时由于施工过程均在室内，施工期间通过关闭门窗，及时清除建渣，清扫施工场地等措施后，外排的粉尘对外环境的影响很小</w:t>
                  </w:r>
                </w:p>
              </w:tc>
              <w:tc>
                <w:tcPr>
                  <w:tcW w:w="844" w:type="dxa"/>
                  <w:tcBorders>
                    <w:tl2br w:val="nil"/>
                    <w:tr2bl w:val="nil"/>
                  </w:tcBorders>
                </w:tcPr>
                <w:p>
                  <w:pPr>
                    <w:autoSpaceDE w:val="0"/>
                    <w:autoSpaceDN w:val="0"/>
                    <w:adjustRightInd w:val="0"/>
                    <w:snapToGrid w:val="0"/>
                    <w:spacing w:line="360" w:lineRule="auto"/>
                    <w:rPr>
                      <w:rFonts w:hint="default"/>
                      <w:color w:val="auto"/>
                      <w:sz w:val="21"/>
                      <w:szCs w:val="21"/>
                      <w:vertAlign w:val="baseline"/>
                      <w:lang w:val="en-US" w:eastAsia="zh-CN"/>
                    </w:rPr>
                  </w:pPr>
                  <w:r>
                    <w:rPr>
                      <w:rFonts w:hint="eastAsia"/>
                      <w:color w:val="auto"/>
                      <w:sz w:val="21"/>
                      <w:szCs w:val="21"/>
                      <w:vertAlign w:val="baseline"/>
                      <w:lang w:val="en-US" w:eastAsia="zh-CN"/>
                    </w:rPr>
                    <w:t xml:space="preserve"> </w:t>
                  </w:r>
                  <w:r>
                    <w:rPr>
                      <w:rFonts w:hint="eastAsia"/>
                      <w:color w:val="auto"/>
                      <w:sz w:val="18"/>
                      <w:szCs w:val="18"/>
                      <w:vertAlign w:val="baseline"/>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0" w:type="dxa"/>
                  <w:tcBorders>
                    <w:tl2br w:val="nil"/>
                    <w:tr2bl w:val="nil"/>
                  </w:tcBorders>
                </w:tcPr>
                <w:p>
                  <w:pPr>
                    <w:autoSpaceDE w:val="0"/>
                    <w:autoSpaceDN w:val="0"/>
                    <w:adjustRightInd w:val="0"/>
                    <w:snapToGrid w:val="0"/>
                    <w:spacing w:line="360" w:lineRule="auto"/>
                    <w:rPr>
                      <w:rFonts w:hint="default"/>
                      <w:color w:val="auto"/>
                      <w:sz w:val="21"/>
                      <w:szCs w:val="21"/>
                      <w:vertAlign w:val="baseline"/>
                      <w:lang w:val="en-US" w:eastAsia="zh-CN"/>
                    </w:rPr>
                  </w:pPr>
                  <w:r>
                    <w:rPr>
                      <w:rFonts w:hint="eastAsia"/>
                      <w:color w:val="auto"/>
                      <w:sz w:val="21"/>
                      <w:szCs w:val="21"/>
                      <w:vertAlign w:val="baseline"/>
                      <w:lang w:val="en-US" w:eastAsia="zh-CN"/>
                    </w:rPr>
                    <w:t xml:space="preserve">  2</w:t>
                  </w:r>
                </w:p>
              </w:tc>
              <w:tc>
                <w:tcPr>
                  <w:tcW w:w="946" w:type="dxa"/>
                  <w:vMerge w:val="continue"/>
                  <w:tcBorders>
                    <w:tl2br w:val="nil"/>
                    <w:tr2bl w:val="nil"/>
                  </w:tcBorders>
                </w:tcPr>
                <w:p>
                  <w:pPr>
                    <w:autoSpaceDE w:val="0"/>
                    <w:autoSpaceDN w:val="0"/>
                    <w:adjustRightInd w:val="0"/>
                    <w:snapToGrid w:val="0"/>
                    <w:spacing w:line="360" w:lineRule="auto"/>
                    <w:rPr>
                      <w:rFonts w:hint="eastAsia"/>
                      <w:color w:val="auto"/>
                      <w:sz w:val="21"/>
                      <w:szCs w:val="21"/>
                      <w:vertAlign w:val="baseline"/>
                      <w:lang w:eastAsia="zh-CN"/>
                    </w:rPr>
                  </w:pPr>
                </w:p>
              </w:tc>
              <w:tc>
                <w:tcPr>
                  <w:tcW w:w="2149" w:type="dxa"/>
                  <w:tcBorders>
                    <w:tl2br w:val="nil"/>
                    <w:tr2bl w:val="nil"/>
                  </w:tcBorders>
                </w:tcPr>
                <w:p>
                  <w:pPr>
                    <w:autoSpaceDE w:val="0"/>
                    <w:autoSpaceDN w:val="0"/>
                    <w:adjustRightInd w:val="0"/>
                    <w:snapToGrid w:val="0"/>
                    <w:spacing w:line="240" w:lineRule="auto"/>
                    <w:rPr>
                      <w:rFonts w:hint="eastAsia"/>
                      <w:color w:val="auto"/>
                      <w:sz w:val="21"/>
                      <w:szCs w:val="21"/>
                      <w:vertAlign w:val="baseline"/>
                      <w:lang w:eastAsia="zh-CN"/>
                    </w:rPr>
                  </w:pPr>
                  <w:r>
                    <w:rPr>
                      <w:rFonts w:hint="eastAsia"/>
                      <w:color w:val="auto"/>
                      <w:sz w:val="18"/>
                      <w:szCs w:val="18"/>
                      <w:vertAlign w:val="baseline"/>
                      <w:lang w:eastAsia="zh-CN"/>
                    </w:rPr>
                    <w:t>有效控制环境噪声污染。统筹城市现状与长期规划发展，强化环境准入，适时开展声环境功能区划调整。完善城市建成区内施工噪声监管尤其是夜间施工管理。加强社会生活噪声污染源管理，有效治理商业活动配套服务设施噪声的噪声污染。</w:t>
                  </w:r>
                </w:p>
              </w:tc>
              <w:tc>
                <w:tcPr>
                  <w:tcW w:w="1672" w:type="dxa"/>
                  <w:tcBorders>
                    <w:tl2br w:val="nil"/>
                    <w:tr2bl w:val="nil"/>
                  </w:tcBorders>
                </w:tcPr>
                <w:p>
                  <w:pPr>
                    <w:autoSpaceDE w:val="0"/>
                    <w:autoSpaceDN w:val="0"/>
                    <w:adjustRightInd w:val="0"/>
                    <w:snapToGrid w:val="0"/>
                    <w:spacing w:line="240" w:lineRule="auto"/>
                    <w:rPr>
                      <w:rFonts w:hint="eastAsia" w:eastAsia="宋体"/>
                      <w:color w:val="auto"/>
                      <w:sz w:val="21"/>
                      <w:szCs w:val="21"/>
                      <w:vertAlign w:val="baseline"/>
                      <w:lang w:eastAsia="zh-CN"/>
                    </w:rPr>
                  </w:pPr>
                  <w:r>
                    <w:rPr>
                      <w:rFonts w:hint="eastAsia"/>
                      <w:color w:val="auto"/>
                      <w:sz w:val="18"/>
                      <w:szCs w:val="18"/>
                      <w:vertAlign w:val="baseline"/>
                      <w:lang w:eastAsia="zh-CN"/>
                    </w:rPr>
                    <w:t>本项目夜间不施工，运营期噪声通过</w:t>
                  </w:r>
                  <w:r>
                    <w:rPr>
                      <w:rFonts w:hint="eastAsia"/>
                      <w:color w:val="auto"/>
                      <w:sz w:val="18"/>
                      <w:szCs w:val="18"/>
                    </w:rPr>
                    <w:t>建筑隔声，选用低噪声设备，距离衰减，设备维护保养</w:t>
                  </w:r>
                  <w:r>
                    <w:rPr>
                      <w:rFonts w:hint="eastAsia"/>
                      <w:color w:val="auto"/>
                      <w:sz w:val="18"/>
                      <w:szCs w:val="18"/>
                      <w:lang w:eastAsia="zh-CN"/>
                    </w:rPr>
                    <w:t>来减少噪声对环境的影响</w:t>
                  </w:r>
                </w:p>
              </w:tc>
              <w:tc>
                <w:tcPr>
                  <w:tcW w:w="844" w:type="dxa"/>
                  <w:tcBorders>
                    <w:tl2br w:val="nil"/>
                    <w:tr2bl w:val="nil"/>
                  </w:tcBorders>
                </w:tcPr>
                <w:p>
                  <w:pPr>
                    <w:autoSpaceDE w:val="0"/>
                    <w:autoSpaceDN w:val="0"/>
                    <w:adjustRightInd w:val="0"/>
                    <w:snapToGrid w:val="0"/>
                    <w:spacing w:line="360" w:lineRule="auto"/>
                    <w:ind w:firstLine="180" w:firstLineChars="100"/>
                    <w:rPr>
                      <w:rFonts w:hint="eastAsia"/>
                      <w:color w:val="auto"/>
                      <w:sz w:val="21"/>
                      <w:szCs w:val="21"/>
                      <w:vertAlign w:val="baseline"/>
                      <w:lang w:eastAsia="zh-CN"/>
                    </w:rPr>
                  </w:pPr>
                  <w:r>
                    <w:rPr>
                      <w:rFonts w:hint="eastAsia"/>
                      <w:color w:val="auto"/>
                      <w:sz w:val="18"/>
                      <w:szCs w:val="18"/>
                      <w:vertAlign w:val="baseline"/>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0" w:type="dxa"/>
                  <w:tcBorders>
                    <w:tl2br w:val="nil"/>
                    <w:tr2bl w:val="nil"/>
                  </w:tcBorders>
                </w:tcPr>
                <w:p>
                  <w:pPr>
                    <w:autoSpaceDE w:val="0"/>
                    <w:autoSpaceDN w:val="0"/>
                    <w:adjustRightInd w:val="0"/>
                    <w:snapToGrid w:val="0"/>
                    <w:spacing w:line="360" w:lineRule="auto"/>
                    <w:rPr>
                      <w:rFonts w:hint="default"/>
                      <w:color w:val="auto"/>
                      <w:sz w:val="21"/>
                      <w:szCs w:val="21"/>
                      <w:vertAlign w:val="baseline"/>
                      <w:lang w:val="en-US" w:eastAsia="zh-CN"/>
                    </w:rPr>
                  </w:pPr>
                  <w:r>
                    <w:rPr>
                      <w:rFonts w:hint="eastAsia"/>
                      <w:color w:val="auto"/>
                      <w:sz w:val="21"/>
                      <w:szCs w:val="21"/>
                      <w:vertAlign w:val="baseline"/>
                      <w:lang w:val="en-US" w:eastAsia="zh-CN"/>
                    </w:rPr>
                    <w:t xml:space="preserve">  3</w:t>
                  </w:r>
                </w:p>
              </w:tc>
              <w:tc>
                <w:tcPr>
                  <w:tcW w:w="946" w:type="dxa"/>
                  <w:tcBorders>
                    <w:tl2br w:val="nil"/>
                    <w:tr2bl w:val="nil"/>
                  </w:tcBorders>
                </w:tcPr>
                <w:p>
                  <w:pPr>
                    <w:autoSpaceDE w:val="0"/>
                    <w:autoSpaceDN w:val="0"/>
                    <w:adjustRightInd w:val="0"/>
                    <w:snapToGrid w:val="0"/>
                    <w:spacing w:line="240" w:lineRule="auto"/>
                    <w:rPr>
                      <w:rFonts w:hint="eastAsia"/>
                      <w:color w:val="auto"/>
                      <w:sz w:val="21"/>
                      <w:szCs w:val="21"/>
                      <w:vertAlign w:val="baseline"/>
                      <w:lang w:eastAsia="zh-CN"/>
                    </w:rPr>
                  </w:pPr>
                  <w:r>
                    <w:rPr>
                      <w:rFonts w:hint="eastAsia"/>
                      <w:color w:val="auto"/>
                      <w:sz w:val="18"/>
                      <w:szCs w:val="18"/>
                      <w:vertAlign w:val="baseline"/>
                      <w:lang w:eastAsia="zh-CN"/>
                    </w:rPr>
                    <w:t>五、（二）稳步提升水生态环境</w:t>
                  </w:r>
                </w:p>
              </w:tc>
              <w:tc>
                <w:tcPr>
                  <w:tcW w:w="2149" w:type="dxa"/>
                  <w:tcBorders>
                    <w:tl2br w:val="nil"/>
                    <w:tr2bl w:val="nil"/>
                  </w:tcBorders>
                </w:tcPr>
                <w:p>
                  <w:pPr>
                    <w:autoSpaceDE w:val="0"/>
                    <w:autoSpaceDN w:val="0"/>
                    <w:adjustRightInd w:val="0"/>
                    <w:snapToGrid w:val="0"/>
                    <w:spacing w:line="240" w:lineRule="auto"/>
                    <w:rPr>
                      <w:rFonts w:hint="eastAsia"/>
                      <w:color w:val="auto"/>
                      <w:sz w:val="21"/>
                      <w:szCs w:val="21"/>
                      <w:vertAlign w:val="baseline"/>
                      <w:lang w:eastAsia="zh-CN"/>
                    </w:rPr>
                  </w:pPr>
                  <w:r>
                    <w:rPr>
                      <w:rFonts w:hint="eastAsia"/>
                      <w:color w:val="auto"/>
                      <w:sz w:val="18"/>
                      <w:szCs w:val="18"/>
                      <w:vertAlign w:val="baseline"/>
                      <w:lang w:eastAsia="zh-CN"/>
                    </w:rPr>
                    <w:t>扎实推进工业废水治理。严格涉水企业环境准入，落实排污许可制度，严控工业废水未经处理或未有效处理直接排入城镇污水处理系统，严厉查处超标、超总量排放或偷排工业废水，加强企业废水预处理和排水管理，严格执行污水处理厂接管标准</w:t>
                  </w:r>
                </w:p>
              </w:tc>
              <w:tc>
                <w:tcPr>
                  <w:tcW w:w="1672" w:type="dxa"/>
                  <w:tcBorders>
                    <w:tl2br w:val="nil"/>
                    <w:tr2bl w:val="nil"/>
                  </w:tcBorders>
                </w:tcPr>
                <w:p>
                  <w:pPr>
                    <w:autoSpaceDE w:val="0"/>
                    <w:autoSpaceDN w:val="0"/>
                    <w:adjustRightInd w:val="0"/>
                    <w:snapToGrid w:val="0"/>
                    <w:spacing w:line="240" w:lineRule="auto"/>
                    <w:rPr>
                      <w:rFonts w:hint="eastAsia"/>
                      <w:color w:val="auto"/>
                      <w:sz w:val="18"/>
                      <w:szCs w:val="18"/>
                      <w:vertAlign w:val="baseline"/>
                      <w:lang w:eastAsia="zh-CN"/>
                    </w:rPr>
                  </w:pPr>
                  <w:r>
                    <w:rPr>
                      <w:rFonts w:hint="eastAsia"/>
                      <w:color w:val="auto"/>
                      <w:sz w:val="18"/>
                      <w:szCs w:val="18"/>
                      <w:vertAlign w:val="baseline"/>
                      <w:lang w:eastAsia="zh-CN"/>
                    </w:rPr>
                    <w:t>项目宠物治疗废水、宠物做手术器械和地面</w:t>
                  </w:r>
                  <w:r>
                    <w:rPr>
                      <w:rFonts w:hint="eastAsia" w:cs="Times New Roman"/>
                      <w:color w:val="auto"/>
                      <w:kern w:val="0"/>
                      <w:sz w:val="18"/>
                      <w:szCs w:val="18"/>
                      <w:lang w:eastAsia="zh-CN" w:bidi="ar"/>
                    </w:rPr>
                    <w:t>、</w:t>
                  </w:r>
                  <w:r>
                    <w:rPr>
                      <w:rFonts w:hint="eastAsia" w:eastAsia="宋体" w:cs="Times New Roman"/>
                      <w:color w:val="auto"/>
                      <w:sz w:val="18"/>
                      <w:szCs w:val="18"/>
                      <w:lang w:eastAsia="zh-CN"/>
                    </w:rPr>
                    <w:t>宠物笼</w:t>
                  </w:r>
                </w:p>
                <w:p>
                  <w:pPr>
                    <w:autoSpaceDE w:val="0"/>
                    <w:autoSpaceDN w:val="0"/>
                    <w:adjustRightInd w:val="0"/>
                    <w:snapToGrid w:val="0"/>
                    <w:spacing w:line="240" w:lineRule="auto"/>
                    <w:rPr>
                      <w:rFonts w:hint="eastAsia"/>
                      <w:color w:val="auto"/>
                      <w:sz w:val="21"/>
                      <w:szCs w:val="21"/>
                      <w:vertAlign w:val="baseline"/>
                      <w:lang w:eastAsia="zh-CN"/>
                    </w:rPr>
                  </w:pPr>
                  <w:r>
                    <w:rPr>
                      <w:rFonts w:hint="eastAsia"/>
                      <w:color w:val="auto"/>
                      <w:sz w:val="18"/>
                      <w:szCs w:val="18"/>
                      <w:vertAlign w:val="baseline"/>
                      <w:lang w:eastAsia="zh-CN"/>
                    </w:rPr>
                    <w:t>清洁废水收集至污水消毒池进行处理，处理后和工作人员污水排至已建的预处理池进行处理，最终进入苍溪县石家坝城市污水处理厂处理后达标排放</w:t>
                  </w:r>
                </w:p>
              </w:tc>
              <w:tc>
                <w:tcPr>
                  <w:tcW w:w="844" w:type="dxa"/>
                  <w:tcBorders>
                    <w:tl2br w:val="nil"/>
                    <w:tr2bl w:val="nil"/>
                  </w:tcBorders>
                </w:tcPr>
                <w:p>
                  <w:pPr>
                    <w:autoSpaceDE w:val="0"/>
                    <w:autoSpaceDN w:val="0"/>
                    <w:adjustRightInd w:val="0"/>
                    <w:snapToGrid w:val="0"/>
                    <w:spacing w:line="360" w:lineRule="auto"/>
                    <w:rPr>
                      <w:rFonts w:hint="default"/>
                      <w:color w:val="auto"/>
                      <w:sz w:val="21"/>
                      <w:szCs w:val="21"/>
                      <w:vertAlign w:val="baseline"/>
                      <w:lang w:val="en-US" w:eastAsia="zh-CN"/>
                    </w:rPr>
                  </w:pPr>
                  <w:r>
                    <w:rPr>
                      <w:rFonts w:hint="eastAsia"/>
                      <w:color w:val="auto"/>
                      <w:sz w:val="18"/>
                      <w:szCs w:val="18"/>
                      <w:vertAlign w:val="baseline"/>
                      <w:lang w:val="en-US" w:eastAsia="zh-CN"/>
                    </w:rPr>
                    <w:t xml:space="preserve"> 符合</w:t>
                  </w:r>
                </w:p>
              </w:tc>
            </w:tr>
          </w:tbl>
          <w:p>
            <w:pPr>
              <w:numPr>
                <w:ilvl w:val="0"/>
                <w:numId w:val="2"/>
              </w:numPr>
              <w:autoSpaceDE w:val="0"/>
              <w:autoSpaceDN w:val="0"/>
              <w:adjustRightInd w:val="0"/>
              <w:snapToGrid w:val="0"/>
              <w:spacing w:line="360" w:lineRule="auto"/>
              <w:ind w:firstLine="422"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kern w:val="2"/>
                <w:sz w:val="21"/>
                <w:szCs w:val="21"/>
                <w:lang w:val="en-US" w:eastAsia="zh-CN" w:bidi="ar-SA"/>
              </w:rPr>
              <w:t>项目与《</w:t>
            </w:r>
            <w:r>
              <w:rPr>
                <w:rFonts w:hint="eastAsia" w:cs="Times New Roman"/>
                <w:b/>
                <w:bCs/>
                <w:color w:val="auto"/>
                <w:kern w:val="2"/>
                <w:sz w:val="21"/>
                <w:szCs w:val="21"/>
                <w:lang w:val="en-US" w:eastAsia="zh-CN" w:bidi="ar-SA"/>
              </w:rPr>
              <w:t>苍溪县国民经济和社会发展 第十四个五年规划和二0三五年 远景目标纲要</w:t>
            </w:r>
            <w:r>
              <w:rPr>
                <w:rFonts w:hint="default" w:ascii="Times New Roman" w:hAnsi="Times New Roman" w:eastAsia="宋体" w:cs="Times New Roman"/>
                <w:b/>
                <w:bCs/>
                <w:color w:val="auto"/>
                <w:kern w:val="2"/>
                <w:sz w:val="21"/>
                <w:szCs w:val="21"/>
                <w:lang w:val="en-US" w:eastAsia="zh-CN" w:bidi="ar-SA"/>
              </w:rPr>
              <w:t>》的符合性分析见表1-</w:t>
            </w:r>
            <w:r>
              <w:rPr>
                <w:rFonts w:hint="eastAsia" w:ascii="Times New Roman" w:hAnsi="Times New Roman" w:cs="Times New Roman"/>
                <w:b/>
                <w:bCs/>
                <w:color w:val="auto"/>
                <w:kern w:val="2"/>
                <w:sz w:val="21"/>
                <w:szCs w:val="21"/>
                <w:lang w:val="en-US" w:eastAsia="zh-CN" w:bidi="ar-SA"/>
              </w:rPr>
              <w:t>5</w:t>
            </w:r>
            <w:r>
              <w:rPr>
                <w:rFonts w:hint="default" w:ascii="Times New Roman" w:hAnsi="Times New Roman" w:eastAsia="宋体" w:cs="Times New Roman"/>
                <w:b/>
                <w:bCs/>
                <w:color w:val="auto"/>
                <w:kern w:val="2"/>
                <w:sz w:val="21"/>
                <w:szCs w:val="21"/>
                <w:lang w:val="en-US" w:eastAsia="zh-CN" w:bidi="ar-SA"/>
              </w:rPr>
              <w:t>。</w:t>
            </w:r>
            <w:r>
              <w:rPr>
                <w:rFonts w:hint="default" w:ascii="Times New Roman" w:hAnsi="Times New Roman" w:eastAsia="宋体" w:cs="Times New Roman"/>
                <w:b/>
                <w:bCs/>
                <w:color w:val="auto"/>
                <w:sz w:val="24"/>
                <w:szCs w:val="24"/>
                <w:lang w:val="en-US" w:eastAsia="zh-CN"/>
              </w:rPr>
              <w:t xml:space="preserve"> </w:t>
            </w:r>
          </w:p>
          <w:p>
            <w:pPr>
              <w:pStyle w:val="40"/>
              <w:spacing w:line="240" w:lineRule="auto"/>
              <w:ind w:left="0" w:leftChars="0" w:firstLine="0" w:firstLineChars="0"/>
              <w:jc w:val="center"/>
              <w:rPr>
                <w:rFonts w:eastAsia="宋体"/>
                <w:b/>
                <w:bCs/>
                <w:color w:val="auto"/>
                <w:sz w:val="18"/>
                <w:szCs w:val="18"/>
              </w:rPr>
            </w:pPr>
            <w:r>
              <w:rPr>
                <w:rFonts w:hint="eastAsia" w:eastAsia="宋体"/>
                <w:b/>
                <w:bCs/>
                <w:color w:val="auto"/>
                <w:sz w:val="18"/>
                <w:szCs w:val="18"/>
              </w:rPr>
              <w:t>表1-</w:t>
            </w:r>
            <w:r>
              <w:rPr>
                <w:rFonts w:hint="eastAsia" w:eastAsia="宋体"/>
                <w:b/>
                <w:bCs/>
                <w:color w:val="auto"/>
                <w:sz w:val="18"/>
                <w:szCs w:val="18"/>
                <w:lang w:val="en-US" w:eastAsia="zh-CN"/>
              </w:rPr>
              <w:t>5</w:t>
            </w:r>
            <w:r>
              <w:rPr>
                <w:rFonts w:hint="eastAsia" w:eastAsia="宋体"/>
                <w:b/>
                <w:bCs/>
                <w:color w:val="auto"/>
                <w:sz w:val="18"/>
                <w:szCs w:val="18"/>
              </w:rPr>
              <w:t xml:space="preserve"> </w:t>
            </w:r>
            <w:r>
              <w:rPr>
                <w:rFonts w:hint="eastAsia" w:eastAsia="宋体"/>
                <w:b/>
                <w:bCs/>
                <w:color w:val="auto"/>
                <w:sz w:val="18"/>
                <w:szCs w:val="18"/>
                <w:lang w:eastAsia="zh-CN"/>
              </w:rPr>
              <w:t>与《</w:t>
            </w:r>
            <w:r>
              <w:rPr>
                <w:rFonts w:hint="eastAsia" w:eastAsia="宋体"/>
                <w:b/>
                <w:bCs/>
                <w:color w:val="auto"/>
                <w:sz w:val="18"/>
                <w:szCs w:val="18"/>
                <w:lang w:val="en-US" w:eastAsia="zh-CN"/>
              </w:rPr>
              <w:t>苍溪县国民经济和社会发展 第十四个五年规划和二0三五年 远景目标纲要</w:t>
            </w:r>
            <w:r>
              <w:rPr>
                <w:rFonts w:hint="eastAsia" w:eastAsia="宋体"/>
                <w:b/>
                <w:bCs/>
                <w:color w:val="auto"/>
                <w:sz w:val="18"/>
                <w:szCs w:val="18"/>
                <w:lang w:eastAsia="zh-CN"/>
              </w:rPr>
              <w:t>》符合性分析</w:t>
            </w:r>
          </w:p>
          <w:tbl>
            <w:tblPr>
              <w:tblStyle w:val="22"/>
              <w:tblW w:w="62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0"/>
              <w:gridCol w:w="946"/>
              <w:gridCol w:w="2149"/>
              <w:gridCol w:w="1672"/>
              <w:gridCol w:w="84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650" w:type="dxa"/>
                  <w:tcBorders>
                    <w:tl2br w:val="nil"/>
                    <w:tr2bl w:val="nil"/>
                  </w:tcBorders>
                </w:tcPr>
                <w:p>
                  <w:pPr>
                    <w:autoSpaceDE w:val="0"/>
                    <w:autoSpaceDN w:val="0"/>
                    <w:adjustRightInd w:val="0"/>
                    <w:snapToGrid w:val="0"/>
                    <w:spacing w:line="360" w:lineRule="auto"/>
                    <w:rPr>
                      <w:rFonts w:hint="eastAsia" w:eastAsia="宋体"/>
                      <w:b/>
                      <w:bCs/>
                      <w:color w:val="auto"/>
                      <w:sz w:val="18"/>
                      <w:szCs w:val="18"/>
                      <w:vertAlign w:val="baseline"/>
                      <w:lang w:val="en-US" w:eastAsia="zh-CN"/>
                    </w:rPr>
                  </w:pPr>
                  <w:r>
                    <w:rPr>
                      <w:rFonts w:hint="eastAsia"/>
                      <w:b/>
                      <w:bCs/>
                      <w:color w:val="auto"/>
                      <w:sz w:val="18"/>
                      <w:szCs w:val="18"/>
                      <w:vertAlign w:val="baseline"/>
                      <w:lang w:val="en-US" w:eastAsia="zh-CN"/>
                    </w:rPr>
                    <w:t>序号</w:t>
                  </w:r>
                </w:p>
              </w:tc>
              <w:tc>
                <w:tcPr>
                  <w:tcW w:w="3095" w:type="dxa"/>
                  <w:gridSpan w:val="2"/>
                  <w:tcBorders>
                    <w:tl2br w:val="nil"/>
                    <w:tr2bl w:val="nil"/>
                  </w:tcBorders>
                </w:tcPr>
                <w:p>
                  <w:pPr>
                    <w:autoSpaceDE w:val="0"/>
                    <w:autoSpaceDN w:val="0"/>
                    <w:adjustRightInd w:val="0"/>
                    <w:snapToGrid w:val="0"/>
                    <w:spacing w:line="360" w:lineRule="auto"/>
                    <w:rPr>
                      <w:rFonts w:hint="default"/>
                      <w:b/>
                      <w:bCs/>
                      <w:color w:val="auto"/>
                      <w:sz w:val="18"/>
                      <w:szCs w:val="18"/>
                      <w:vertAlign w:val="baseline"/>
                      <w:lang w:val="en-US" w:eastAsia="zh-CN"/>
                    </w:rPr>
                  </w:pPr>
                  <w:r>
                    <w:rPr>
                      <w:rFonts w:hint="eastAsia"/>
                      <w:b/>
                      <w:bCs/>
                      <w:color w:val="auto"/>
                      <w:sz w:val="18"/>
                      <w:szCs w:val="18"/>
                      <w:vertAlign w:val="baseline"/>
                      <w:lang w:val="en-US" w:eastAsia="zh-CN"/>
                    </w:rPr>
                    <w:t xml:space="preserve"> 文件要求内容</w:t>
                  </w:r>
                </w:p>
              </w:tc>
              <w:tc>
                <w:tcPr>
                  <w:tcW w:w="1672" w:type="dxa"/>
                  <w:tcBorders>
                    <w:tl2br w:val="nil"/>
                    <w:tr2bl w:val="nil"/>
                  </w:tcBorders>
                </w:tcPr>
                <w:p>
                  <w:pPr>
                    <w:autoSpaceDE w:val="0"/>
                    <w:autoSpaceDN w:val="0"/>
                    <w:adjustRightInd w:val="0"/>
                    <w:snapToGrid w:val="0"/>
                    <w:spacing w:line="360" w:lineRule="auto"/>
                    <w:rPr>
                      <w:rFonts w:hint="default"/>
                      <w:b/>
                      <w:bCs/>
                      <w:color w:val="auto"/>
                      <w:sz w:val="18"/>
                      <w:szCs w:val="18"/>
                      <w:vertAlign w:val="baseline"/>
                      <w:lang w:val="en-US" w:eastAsia="zh-CN"/>
                    </w:rPr>
                  </w:pPr>
                  <w:r>
                    <w:rPr>
                      <w:rFonts w:hint="eastAsia"/>
                      <w:b/>
                      <w:bCs/>
                      <w:color w:val="auto"/>
                      <w:sz w:val="18"/>
                      <w:szCs w:val="18"/>
                      <w:vertAlign w:val="baseline"/>
                      <w:lang w:val="en-US" w:eastAsia="zh-CN"/>
                    </w:rPr>
                    <w:t xml:space="preserve">   本项目情况</w:t>
                  </w:r>
                </w:p>
              </w:tc>
              <w:tc>
                <w:tcPr>
                  <w:tcW w:w="844" w:type="dxa"/>
                  <w:tcBorders>
                    <w:tl2br w:val="nil"/>
                    <w:tr2bl w:val="nil"/>
                  </w:tcBorders>
                </w:tcPr>
                <w:p>
                  <w:pPr>
                    <w:autoSpaceDE w:val="0"/>
                    <w:autoSpaceDN w:val="0"/>
                    <w:adjustRightInd w:val="0"/>
                    <w:snapToGrid w:val="0"/>
                    <w:spacing w:line="360" w:lineRule="auto"/>
                    <w:rPr>
                      <w:rFonts w:hint="default"/>
                      <w:b/>
                      <w:bCs/>
                      <w:color w:val="auto"/>
                      <w:sz w:val="18"/>
                      <w:szCs w:val="18"/>
                      <w:vertAlign w:val="baseline"/>
                      <w:lang w:val="en-US" w:eastAsia="zh-CN"/>
                    </w:rPr>
                  </w:pPr>
                  <w:r>
                    <w:rPr>
                      <w:rFonts w:hint="eastAsia"/>
                      <w:b/>
                      <w:bCs/>
                      <w:color w:val="auto"/>
                      <w:sz w:val="18"/>
                      <w:szCs w:val="18"/>
                      <w:vertAlign w:val="baseline"/>
                      <w:lang w:val="en-US" w:eastAsia="zh-CN"/>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0" w:type="dxa"/>
                  <w:tcBorders>
                    <w:tl2br w:val="nil"/>
                    <w:tr2bl w:val="nil"/>
                  </w:tcBorders>
                </w:tcPr>
                <w:p>
                  <w:pPr>
                    <w:autoSpaceDE w:val="0"/>
                    <w:autoSpaceDN w:val="0"/>
                    <w:adjustRightInd w:val="0"/>
                    <w:snapToGrid w:val="0"/>
                    <w:spacing w:line="360" w:lineRule="auto"/>
                    <w:ind w:firstLine="210" w:firstLineChars="100"/>
                    <w:rPr>
                      <w:rFonts w:hint="default"/>
                      <w:color w:val="auto"/>
                      <w:sz w:val="21"/>
                      <w:szCs w:val="21"/>
                      <w:vertAlign w:val="baseline"/>
                      <w:lang w:val="en-US" w:eastAsia="zh-CN"/>
                    </w:rPr>
                  </w:pPr>
                  <w:r>
                    <w:rPr>
                      <w:rFonts w:hint="eastAsia"/>
                      <w:color w:val="auto"/>
                      <w:sz w:val="21"/>
                      <w:szCs w:val="21"/>
                      <w:vertAlign w:val="baseline"/>
                      <w:lang w:val="en-US" w:eastAsia="zh-CN"/>
                    </w:rPr>
                    <w:t>1</w:t>
                  </w:r>
                </w:p>
              </w:tc>
              <w:tc>
                <w:tcPr>
                  <w:tcW w:w="946" w:type="dxa"/>
                  <w:vMerge w:val="restart"/>
                  <w:tcBorders>
                    <w:tl2br w:val="nil"/>
                    <w:tr2bl w:val="nil"/>
                  </w:tcBorders>
                </w:tcPr>
                <w:p>
                  <w:pPr>
                    <w:autoSpaceDE w:val="0"/>
                    <w:autoSpaceDN w:val="0"/>
                    <w:adjustRightInd w:val="0"/>
                    <w:snapToGrid w:val="0"/>
                    <w:spacing w:line="240" w:lineRule="auto"/>
                    <w:rPr>
                      <w:rFonts w:hint="eastAsia"/>
                      <w:color w:val="auto"/>
                      <w:sz w:val="18"/>
                      <w:szCs w:val="18"/>
                      <w:vertAlign w:val="baseline"/>
                      <w:lang w:eastAsia="zh-CN"/>
                    </w:rPr>
                  </w:pPr>
                  <w:r>
                    <w:rPr>
                      <w:rFonts w:hint="eastAsia"/>
                      <w:color w:val="auto"/>
                      <w:sz w:val="18"/>
                      <w:szCs w:val="18"/>
                      <w:vertAlign w:val="baseline"/>
                      <w:lang w:eastAsia="zh-CN"/>
                    </w:rPr>
                    <w:t>第八章、（三）持续推进重点领域污染防治</w:t>
                  </w:r>
                </w:p>
              </w:tc>
              <w:tc>
                <w:tcPr>
                  <w:tcW w:w="2149" w:type="dxa"/>
                  <w:tcBorders>
                    <w:tl2br w:val="nil"/>
                    <w:tr2bl w:val="nil"/>
                  </w:tcBorders>
                </w:tcPr>
                <w:p>
                  <w:pPr>
                    <w:autoSpaceDE w:val="0"/>
                    <w:autoSpaceDN w:val="0"/>
                    <w:adjustRightInd w:val="0"/>
                    <w:snapToGrid w:val="0"/>
                    <w:spacing w:line="240" w:lineRule="auto"/>
                    <w:rPr>
                      <w:rFonts w:hint="eastAsia"/>
                      <w:color w:val="auto"/>
                      <w:sz w:val="18"/>
                      <w:szCs w:val="18"/>
                      <w:vertAlign w:val="baseline"/>
                      <w:lang w:eastAsia="zh-CN"/>
                    </w:rPr>
                  </w:pPr>
                  <w:r>
                    <w:rPr>
                      <w:rFonts w:hint="eastAsia"/>
                      <w:color w:val="auto"/>
                      <w:sz w:val="18"/>
                      <w:szCs w:val="18"/>
                      <w:vertAlign w:val="baseline"/>
                      <w:lang w:eastAsia="zh-CN"/>
                    </w:rPr>
                    <w:t>加强大气污染防治。以多污染物协同减排和精细化管理为重点，持续推进常规污染源治理，强化新型污染物协同控制。</w:t>
                  </w:r>
                </w:p>
              </w:tc>
              <w:tc>
                <w:tcPr>
                  <w:tcW w:w="1672" w:type="dxa"/>
                  <w:tcBorders>
                    <w:tl2br w:val="nil"/>
                    <w:tr2bl w:val="nil"/>
                  </w:tcBorders>
                </w:tcPr>
                <w:p>
                  <w:pPr>
                    <w:autoSpaceDE w:val="0"/>
                    <w:autoSpaceDN w:val="0"/>
                    <w:adjustRightInd w:val="0"/>
                    <w:snapToGrid w:val="0"/>
                    <w:spacing w:line="240" w:lineRule="auto"/>
                    <w:rPr>
                      <w:rFonts w:hint="eastAsia" w:eastAsia="宋体"/>
                      <w:color w:val="auto"/>
                      <w:sz w:val="21"/>
                      <w:szCs w:val="21"/>
                      <w:vertAlign w:val="baseline"/>
                      <w:lang w:eastAsia="zh-CN"/>
                    </w:rPr>
                  </w:pPr>
                  <w:r>
                    <w:rPr>
                      <w:rFonts w:hint="eastAsia" w:ascii="Times New Roman" w:hAnsi="Times New Roman" w:eastAsia="宋体" w:cs="Times New Roman"/>
                      <w:color w:val="auto"/>
                      <w:sz w:val="18"/>
                      <w:szCs w:val="18"/>
                    </w:rPr>
                    <w:t>医疗废物暂存间产生的恶臭</w:t>
                  </w: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rPr>
                    <w:t>医疗废物的密封、清运和消毒工作，加强管理，定期进行医疗废物暂存间储存设施、设备的清洁和消毒工作，并喷洒生物除臭剂</w:t>
                  </w:r>
                  <w:r>
                    <w:rPr>
                      <w:rFonts w:hint="eastAsia" w:cs="Times New Roman"/>
                      <w:color w:val="auto"/>
                      <w:sz w:val="18"/>
                      <w:szCs w:val="18"/>
                      <w:lang w:eastAsia="zh-CN"/>
                    </w:rPr>
                    <w:t>；</w:t>
                  </w:r>
                  <w:r>
                    <w:rPr>
                      <w:rFonts w:hint="eastAsia" w:ascii="Times New Roman" w:hAnsi="Times New Roman" w:eastAsia="宋体" w:cs="Times New Roman"/>
                      <w:color w:val="auto"/>
                      <w:sz w:val="18"/>
                      <w:szCs w:val="18"/>
                    </w:rPr>
                    <w:t>污水处理设施产生的恶臭</w:t>
                  </w: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rPr>
                    <w:t>污水处理设施密封，定期对设备进行消毒</w:t>
                  </w:r>
                  <w:r>
                    <w:rPr>
                      <w:rFonts w:hint="eastAsia" w:cs="Times New Roman"/>
                      <w:color w:val="auto"/>
                      <w:sz w:val="18"/>
                      <w:szCs w:val="18"/>
                      <w:lang w:eastAsia="zh-CN"/>
                    </w:rPr>
                    <w:t>；</w:t>
                  </w:r>
                  <w:r>
                    <w:rPr>
                      <w:rFonts w:hint="eastAsia" w:ascii="Times New Roman" w:hAnsi="Times New Roman" w:eastAsia="宋体" w:cs="Times New Roman"/>
                      <w:color w:val="auto"/>
                      <w:sz w:val="18"/>
                      <w:szCs w:val="18"/>
                    </w:rPr>
                    <w:t>污水处理设施产生的恶臭</w:t>
                  </w: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rPr>
                    <w:t>污水处理设施密封，定期对设备进行消毒。</w:t>
                  </w:r>
                </w:p>
              </w:tc>
              <w:tc>
                <w:tcPr>
                  <w:tcW w:w="844" w:type="dxa"/>
                  <w:tcBorders>
                    <w:tl2br w:val="nil"/>
                    <w:tr2bl w:val="nil"/>
                  </w:tcBorders>
                </w:tcPr>
                <w:p>
                  <w:pPr>
                    <w:autoSpaceDE w:val="0"/>
                    <w:autoSpaceDN w:val="0"/>
                    <w:adjustRightInd w:val="0"/>
                    <w:snapToGrid w:val="0"/>
                    <w:spacing w:line="360" w:lineRule="auto"/>
                    <w:rPr>
                      <w:rFonts w:hint="default"/>
                      <w:color w:val="auto"/>
                      <w:sz w:val="21"/>
                      <w:szCs w:val="21"/>
                      <w:vertAlign w:val="baseline"/>
                      <w:lang w:val="en-US" w:eastAsia="zh-CN"/>
                    </w:rPr>
                  </w:pPr>
                  <w:r>
                    <w:rPr>
                      <w:rFonts w:hint="eastAsia"/>
                      <w:color w:val="auto"/>
                      <w:sz w:val="21"/>
                      <w:szCs w:val="21"/>
                      <w:vertAlign w:val="baseline"/>
                      <w:lang w:val="en-US" w:eastAsia="zh-CN"/>
                    </w:rPr>
                    <w:t xml:space="preserve"> </w:t>
                  </w:r>
                  <w:r>
                    <w:rPr>
                      <w:rFonts w:hint="eastAsia"/>
                      <w:color w:val="auto"/>
                      <w:sz w:val="18"/>
                      <w:szCs w:val="18"/>
                      <w:vertAlign w:val="baseline"/>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0" w:type="dxa"/>
                  <w:tcBorders>
                    <w:tl2br w:val="nil"/>
                    <w:tr2bl w:val="nil"/>
                  </w:tcBorders>
                </w:tcPr>
                <w:p>
                  <w:pPr>
                    <w:autoSpaceDE w:val="0"/>
                    <w:autoSpaceDN w:val="0"/>
                    <w:adjustRightInd w:val="0"/>
                    <w:snapToGrid w:val="0"/>
                    <w:spacing w:line="360" w:lineRule="auto"/>
                    <w:rPr>
                      <w:rFonts w:hint="default"/>
                      <w:color w:val="auto"/>
                      <w:sz w:val="21"/>
                      <w:szCs w:val="21"/>
                      <w:vertAlign w:val="baseline"/>
                      <w:lang w:val="en-US" w:eastAsia="zh-CN"/>
                    </w:rPr>
                  </w:pPr>
                  <w:r>
                    <w:rPr>
                      <w:rFonts w:hint="eastAsia"/>
                      <w:color w:val="auto"/>
                      <w:sz w:val="21"/>
                      <w:szCs w:val="21"/>
                      <w:vertAlign w:val="baseline"/>
                      <w:lang w:val="en-US" w:eastAsia="zh-CN"/>
                    </w:rPr>
                    <w:t xml:space="preserve">  2</w:t>
                  </w:r>
                </w:p>
              </w:tc>
              <w:tc>
                <w:tcPr>
                  <w:tcW w:w="946" w:type="dxa"/>
                  <w:vMerge w:val="continue"/>
                  <w:tcBorders>
                    <w:tl2br w:val="nil"/>
                    <w:tr2bl w:val="nil"/>
                  </w:tcBorders>
                </w:tcPr>
                <w:p>
                  <w:pPr>
                    <w:autoSpaceDE w:val="0"/>
                    <w:autoSpaceDN w:val="0"/>
                    <w:adjustRightInd w:val="0"/>
                    <w:snapToGrid w:val="0"/>
                    <w:spacing w:line="240" w:lineRule="auto"/>
                    <w:rPr>
                      <w:rFonts w:hint="eastAsia"/>
                      <w:color w:val="auto"/>
                      <w:sz w:val="18"/>
                      <w:szCs w:val="18"/>
                      <w:vertAlign w:val="baseline"/>
                      <w:lang w:eastAsia="zh-CN"/>
                    </w:rPr>
                  </w:pPr>
                </w:p>
              </w:tc>
              <w:tc>
                <w:tcPr>
                  <w:tcW w:w="2149" w:type="dxa"/>
                  <w:tcBorders>
                    <w:tl2br w:val="nil"/>
                    <w:tr2bl w:val="nil"/>
                  </w:tcBorders>
                </w:tcPr>
                <w:p>
                  <w:pPr>
                    <w:autoSpaceDE w:val="0"/>
                    <w:autoSpaceDN w:val="0"/>
                    <w:adjustRightInd w:val="0"/>
                    <w:snapToGrid w:val="0"/>
                    <w:spacing w:line="240" w:lineRule="auto"/>
                    <w:rPr>
                      <w:rFonts w:hint="eastAsia"/>
                      <w:color w:val="auto"/>
                      <w:sz w:val="18"/>
                      <w:szCs w:val="18"/>
                      <w:vertAlign w:val="baseline"/>
                      <w:lang w:eastAsia="zh-CN"/>
                    </w:rPr>
                  </w:pPr>
                  <w:r>
                    <w:rPr>
                      <w:rFonts w:hint="eastAsia"/>
                      <w:color w:val="auto"/>
                      <w:sz w:val="18"/>
                      <w:szCs w:val="18"/>
                      <w:vertAlign w:val="baseline"/>
                      <w:lang w:eastAsia="zh-CN"/>
                    </w:rPr>
                    <w:t>加强土壤污染综合防治。强化固体废物污染防治，完善危险废物收集、转运、处置体系，提高生活垃圾处理处置能力和水平，重视新污染治理。</w:t>
                  </w:r>
                </w:p>
              </w:tc>
              <w:tc>
                <w:tcPr>
                  <w:tcW w:w="1672" w:type="dxa"/>
                  <w:tcBorders>
                    <w:tl2br w:val="nil"/>
                    <w:tr2bl w:val="nil"/>
                  </w:tcBorders>
                </w:tcPr>
                <w:p>
                  <w:pPr>
                    <w:autoSpaceDE w:val="0"/>
                    <w:autoSpaceDN w:val="0"/>
                    <w:adjustRightInd w:val="0"/>
                    <w:snapToGrid w:val="0"/>
                    <w:spacing w:line="240" w:lineRule="auto"/>
                    <w:rPr>
                      <w:rFonts w:hint="eastAsia" w:eastAsia="宋体"/>
                      <w:color w:val="auto"/>
                      <w:sz w:val="21"/>
                      <w:szCs w:val="21"/>
                      <w:vertAlign w:val="baseline"/>
                      <w:lang w:val="en-US" w:eastAsia="zh-CN"/>
                    </w:rPr>
                  </w:pPr>
                  <w:r>
                    <w:rPr>
                      <w:rFonts w:hint="eastAsia"/>
                      <w:bCs/>
                      <w:color w:val="auto"/>
                      <w:sz w:val="18"/>
                      <w:szCs w:val="18"/>
                    </w:rPr>
                    <w:t>生活垃圾</w:t>
                  </w:r>
                  <w:r>
                    <w:rPr>
                      <w:bCs/>
                      <w:color w:val="auto"/>
                      <w:sz w:val="18"/>
                      <w:szCs w:val="18"/>
                    </w:rPr>
                    <w:t>：</w:t>
                  </w:r>
                  <w:r>
                    <w:rPr>
                      <w:rFonts w:hint="eastAsia"/>
                      <w:bCs/>
                      <w:color w:val="auto"/>
                      <w:sz w:val="18"/>
                      <w:szCs w:val="18"/>
                    </w:rPr>
                    <w:t>经场内垃圾桶收集后定期运送至当地市政垃圾收集点，最后由环卫部门统一清运</w:t>
                  </w:r>
                  <w:r>
                    <w:rPr>
                      <w:rFonts w:hint="eastAsia"/>
                      <w:bCs/>
                      <w:color w:val="auto"/>
                      <w:sz w:val="18"/>
                      <w:szCs w:val="18"/>
                      <w:lang w:eastAsia="zh-CN"/>
                    </w:rPr>
                    <w:t>；</w:t>
                  </w:r>
                  <w:r>
                    <w:rPr>
                      <w:bCs/>
                      <w:color w:val="auto"/>
                      <w:sz w:val="18"/>
                      <w:szCs w:val="18"/>
                    </w:rPr>
                    <w:t>宠物粪污单独收集处置委托环卫部门清运处置</w:t>
                  </w:r>
                  <w:r>
                    <w:rPr>
                      <w:rFonts w:hint="eastAsia"/>
                      <w:bCs/>
                      <w:color w:val="auto"/>
                      <w:sz w:val="18"/>
                      <w:szCs w:val="18"/>
                      <w:lang w:eastAsia="zh-CN"/>
                    </w:rPr>
                    <w:t>；</w:t>
                  </w:r>
                  <w:r>
                    <w:rPr>
                      <w:rFonts w:hint="eastAsia"/>
                      <w:color w:val="auto"/>
                      <w:spacing w:val="-3"/>
                      <w:sz w:val="18"/>
                      <w:szCs w:val="18"/>
                    </w:rPr>
                    <w:t>废包装及输液瓶</w:t>
                  </w:r>
                  <w:r>
                    <w:rPr>
                      <w:color w:val="auto"/>
                      <w:sz w:val="18"/>
                      <w:szCs w:val="18"/>
                    </w:rPr>
                    <w:t>暂存于医疗外包装暂存间</w:t>
                  </w:r>
                  <w:r>
                    <w:rPr>
                      <w:rFonts w:hint="eastAsia"/>
                      <w:color w:val="auto"/>
                      <w:sz w:val="18"/>
                      <w:szCs w:val="18"/>
                    </w:rPr>
                    <w:t>（建筑面积2m</w:t>
                  </w:r>
                  <w:r>
                    <w:rPr>
                      <w:rFonts w:hint="eastAsia"/>
                      <w:color w:val="auto"/>
                      <w:sz w:val="18"/>
                      <w:szCs w:val="18"/>
                      <w:vertAlign w:val="superscript"/>
                    </w:rPr>
                    <w:t>2</w:t>
                  </w:r>
                  <w:r>
                    <w:rPr>
                      <w:rFonts w:hint="eastAsia"/>
                      <w:color w:val="auto"/>
                      <w:sz w:val="18"/>
                      <w:szCs w:val="18"/>
                    </w:rPr>
                    <w:t>,位于宠物医院1楼）</w:t>
                  </w:r>
                  <w:r>
                    <w:rPr>
                      <w:color w:val="auto"/>
                      <w:sz w:val="18"/>
                      <w:szCs w:val="18"/>
                    </w:rPr>
                    <w:t>，交由</w:t>
                  </w:r>
                  <w:r>
                    <w:rPr>
                      <w:rFonts w:hint="eastAsia"/>
                      <w:color w:val="auto"/>
                      <w:sz w:val="18"/>
                      <w:szCs w:val="18"/>
                    </w:rPr>
                    <w:t>相关</w:t>
                  </w:r>
                  <w:r>
                    <w:rPr>
                      <w:color w:val="auto"/>
                      <w:sz w:val="18"/>
                      <w:szCs w:val="18"/>
                    </w:rPr>
                    <w:t>公司回收处理</w:t>
                  </w:r>
                  <w:r>
                    <w:rPr>
                      <w:rFonts w:hint="eastAsia"/>
                      <w:color w:val="auto"/>
                      <w:sz w:val="18"/>
                      <w:szCs w:val="18"/>
                      <w:lang w:eastAsia="zh-CN"/>
                    </w:rPr>
                    <w:t>；</w:t>
                  </w:r>
                  <w:r>
                    <w:rPr>
                      <w:rFonts w:hint="eastAsia"/>
                      <w:color w:val="auto"/>
                      <w:spacing w:val="-3"/>
                      <w:sz w:val="18"/>
                      <w:szCs w:val="18"/>
                    </w:rPr>
                    <w:t>水质处理器产生的悬浮物及污泥</w:t>
                  </w:r>
                  <w:r>
                    <w:rPr>
                      <w:rFonts w:hint="eastAsia"/>
                      <w:color w:val="auto"/>
                      <w:spacing w:val="-3"/>
                      <w:sz w:val="18"/>
                      <w:szCs w:val="18"/>
                      <w:lang w:eastAsia="zh-CN"/>
                    </w:rPr>
                    <w:t>、</w:t>
                  </w:r>
                  <w:r>
                    <w:rPr>
                      <w:rFonts w:hint="eastAsia"/>
                      <w:color w:val="auto"/>
                      <w:spacing w:val="-3"/>
                      <w:sz w:val="18"/>
                      <w:szCs w:val="18"/>
                    </w:rPr>
                    <w:t>废紫外</w:t>
                  </w:r>
                  <w:r>
                    <w:rPr>
                      <w:rFonts w:hint="eastAsia"/>
                      <w:color w:val="auto"/>
                      <w:spacing w:val="-3"/>
                      <w:sz w:val="18"/>
                      <w:szCs w:val="18"/>
                      <w:lang w:eastAsia="zh-CN"/>
                    </w:rPr>
                    <w:t>线</w:t>
                  </w:r>
                  <w:r>
                    <w:rPr>
                      <w:rFonts w:hint="eastAsia"/>
                      <w:color w:val="auto"/>
                      <w:spacing w:val="-3"/>
                      <w:sz w:val="18"/>
                      <w:szCs w:val="18"/>
                    </w:rPr>
                    <w:t>灯管</w:t>
                  </w:r>
                  <w:r>
                    <w:rPr>
                      <w:rFonts w:hint="eastAsia"/>
                      <w:color w:val="auto"/>
                      <w:spacing w:val="-3"/>
                      <w:sz w:val="18"/>
                      <w:szCs w:val="18"/>
                      <w:lang w:eastAsia="zh-CN"/>
                    </w:rPr>
                    <w:t>、废活性炭、医疗废物</w:t>
                  </w:r>
                  <w:r>
                    <w:rPr>
                      <w:rFonts w:hint="eastAsia"/>
                      <w:color w:val="auto"/>
                      <w:spacing w:val="-3"/>
                      <w:sz w:val="18"/>
                      <w:szCs w:val="18"/>
                    </w:rPr>
                    <w:t>为危险废物，定期清淘后贮存在医疗废物暂存间（面积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楼）交由相关资质单位处理，并签订处理处置协议</w:t>
                  </w:r>
                  <w:r>
                    <w:rPr>
                      <w:rFonts w:hint="eastAsia"/>
                      <w:color w:val="auto"/>
                      <w:spacing w:val="-3"/>
                      <w:sz w:val="18"/>
                      <w:szCs w:val="18"/>
                      <w:lang w:eastAsia="zh-CN"/>
                    </w:rPr>
                    <w:t>；</w:t>
                  </w:r>
                </w:p>
              </w:tc>
              <w:tc>
                <w:tcPr>
                  <w:tcW w:w="844" w:type="dxa"/>
                  <w:tcBorders>
                    <w:tl2br w:val="nil"/>
                    <w:tr2bl w:val="nil"/>
                  </w:tcBorders>
                </w:tcPr>
                <w:p>
                  <w:pPr>
                    <w:autoSpaceDE w:val="0"/>
                    <w:autoSpaceDN w:val="0"/>
                    <w:adjustRightInd w:val="0"/>
                    <w:snapToGrid w:val="0"/>
                    <w:spacing w:line="360" w:lineRule="auto"/>
                    <w:ind w:firstLine="180" w:firstLineChars="100"/>
                    <w:rPr>
                      <w:rFonts w:hint="eastAsia"/>
                      <w:color w:val="auto"/>
                      <w:sz w:val="21"/>
                      <w:szCs w:val="21"/>
                      <w:vertAlign w:val="baseline"/>
                      <w:lang w:eastAsia="zh-CN"/>
                    </w:rPr>
                  </w:pPr>
                  <w:r>
                    <w:rPr>
                      <w:rFonts w:hint="eastAsia"/>
                      <w:color w:val="auto"/>
                      <w:sz w:val="18"/>
                      <w:szCs w:val="18"/>
                      <w:vertAlign w:val="baseline"/>
                      <w:lang w:val="en-US" w:eastAsia="zh-CN"/>
                    </w:rPr>
                    <w:t>符合</w:t>
                  </w:r>
                </w:p>
              </w:tc>
            </w:tr>
          </w:tbl>
          <w:p>
            <w:pPr>
              <w:autoSpaceDE w:val="0"/>
              <w:autoSpaceDN w:val="0"/>
              <w:adjustRightInd w:val="0"/>
              <w:snapToGrid w:val="0"/>
              <w:spacing w:line="360" w:lineRule="auto"/>
              <w:ind w:firstLine="422" w:firstLineChars="200"/>
              <w:rPr>
                <w:rFonts w:hint="default" w:ascii="Times New Roman" w:hAnsi="Times New Roman" w:eastAsia="宋体" w:cs="Times New Roman"/>
                <w:b/>
                <w:bCs/>
                <w:color w:val="auto"/>
                <w:sz w:val="24"/>
                <w:szCs w:val="24"/>
                <w:lang w:val="en-US" w:eastAsia="zh-CN"/>
              </w:rPr>
            </w:pPr>
            <w:r>
              <w:rPr>
                <w:rFonts w:hint="eastAsia" w:cs="Times New Roman"/>
                <w:b/>
                <w:bCs/>
                <w:color w:val="auto"/>
                <w:kern w:val="2"/>
                <w:sz w:val="21"/>
                <w:szCs w:val="21"/>
                <w:lang w:val="en-US" w:eastAsia="zh-CN" w:bidi="ar-SA"/>
              </w:rPr>
              <w:t>6、</w:t>
            </w:r>
            <w:r>
              <w:rPr>
                <w:rFonts w:hint="default" w:ascii="Times New Roman" w:hAnsi="Times New Roman" w:eastAsia="宋体" w:cs="Times New Roman"/>
                <w:b/>
                <w:bCs/>
                <w:color w:val="auto"/>
                <w:kern w:val="2"/>
                <w:sz w:val="21"/>
                <w:szCs w:val="21"/>
                <w:lang w:val="en-US" w:eastAsia="zh-CN" w:bidi="ar-SA"/>
              </w:rPr>
              <w:t>项目与《四川省长江经济带发展负面清单实施细则（试行）》的符合性分析见表1-</w:t>
            </w:r>
            <w:r>
              <w:rPr>
                <w:rFonts w:hint="eastAsia" w:cs="Times New Roman"/>
                <w:b/>
                <w:bCs/>
                <w:color w:val="auto"/>
                <w:kern w:val="2"/>
                <w:sz w:val="21"/>
                <w:szCs w:val="21"/>
                <w:lang w:val="en-US" w:eastAsia="zh-CN" w:bidi="ar-SA"/>
              </w:rPr>
              <w:t>6</w:t>
            </w:r>
            <w:r>
              <w:rPr>
                <w:rFonts w:hint="default" w:ascii="Times New Roman" w:hAnsi="Times New Roman" w:eastAsia="宋体" w:cs="Times New Roman"/>
                <w:b/>
                <w:bCs/>
                <w:color w:val="auto"/>
                <w:kern w:val="2"/>
                <w:sz w:val="21"/>
                <w:szCs w:val="21"/>
                <w:lang w:val="en-US" w:eastAsia="zh-CN" w:bidi="ar-SA"/>
              </w:rPr>
              <w:t>。</w:t>
            </w:r>
            <w:r>
              <w:rPr>
                <w:rFonts w:hint="default" w:ascii="Times New Roman" w:hAnsi="Times New Roman" w:eastAsia="宋体" w:cs="Times New Roman"/>
                <w:b/>
                <w:bCs/>
                <w:color w:val="auto"/>
                <w:sz w:val="24"/>
                <w:szCs w:val="24"/>
                <w:lang w:val="en-US" w:eastAsia="zh-CN"/>
              </w:rPr>
              <w:t xml:space="preserve"> </w:t>
            </w:r>
          </w:p>
          <w:p>
            <w:pPr>
              <w:autoSpaceDE w:val="0"/>
              <w:autoSpaceDN w:val="0"/>
              <w:adjustRightInd w:val="0"/>
              <w:snapToGrid w:val="0"/>
              <w:spacing w:line="360" w:lineRule="auto"/>
              <w:ind w:firstLine="420" w:firstLineChars="200"/>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根据《四川省长江经济带发展负面清单实施细则（试行）》（川长江办 【</w:t>
            </w:r>
            <w:r>
              <w:rPr>
                <w:rFonts w:hint="default" w:ascii="Times New Roman" w:hAnsi="Times New Roman" w:eastAsia="宋体" w:cs="Times New Roman"/>
                <w:color w:val="auto"/>
                <w:szCs w:val="21"/>
                <w:lang w:val="en-US" w:eastAsia="zh-CN"/>
              </w:rPr>
              <w:t>2019</w:t>
            </w:r>
            <w:r>
              <w:rPr>
                <w:rFonts w:hint="eastAsia" w:ascii="Times New Roman" w:hAnsi="Times New Roman" w:eastAsia="宋体" w:cs="Times New Roman"/>
                <w:color w:val="auto"/>
                <w:szCs w:val="21"/>
                <w:lang w:val="en-US" w:eastAsia="zh-CN"/>
              </w:rPr>
              <w:t>】</w:t>
            </w:r>
            <w:r>
              <w:rPr>
                <w:rFonts w:hint="default" w:ascii="Times New Roman" w:hAnsi="Times New Roman" w:eastAsia="宋体" w:cs="Times New Roman"/>
                <w:color w:val="auto"/>
                <w:szCs w:val="21"/>
                <w:lang w:val="en-US" w:eastAsia="zh-CN"/>
              </w:rPr>
              <w:t xml:space="preserve">8 </w:t>
            </w:r>
            <w:r>
              <w:rPr>
                <w:rFonts w:hint="eastAsia" w:ascii="Times New Roman" w:hAnsi="Times New Roman" w:eastAsia="宋体" w:cs="Times New Roman"/>
                <w:color w:val="auto"/>
                <w:szCs w:val="21"/>
                <w:lang w:val="en-US" w:eastAsia="zh-CN"/>
              </w:rPr>
              <w:t xml:space="preserve">号）相关标准要求，本项目与《四川省长江经济带发展负面清单实施细则（试行）》的符合性见下表。 </w:t>
            </w:r>
          </w:p>
          <w:p>
            <w:pPr>
              <w:adjustRightInd w:val="0"/>
              <w:snapToGrid w:val="0"/>
              <w:jc w:val="center"/>
              <w:rPr>
                <w:rFonts w:hint="default" w:ascii="Times New Roman" w:hAnsi="Times New Roman" w:eastAsia="宋体" w:cs="Times New Roman"/>
                <w:b/>
                <w:color w:val="auto"/>
                <w:sz w:val="18"/>
                <w:szCs w:val="18"/>
                <w:highlight w:val="none"/>
                <w:lang w:val="en-US" w:eastAsia="zh-CN"/>
              </w:rPr>
            </w:pPr>
            <w:r>
              <w:rPr>
                <w:rFonts w:hint="default" w:ascii="Times New Roman" w:hAnsi="Times New Roman" w:eastAsia="宋体" w:cs="Times New Roman"/>
                <w:b/>
                <w:color w:val="auto"/>
                <w:sz w:val="18"/>
                <w:szCs w:val="18"/>
                <w:highlight w:val="none"/>
                <w:lang w:val="en-US" w:eastAsia="zh-CN"/>
              </w:rPr>
              <w:t>表 1-</w:t>
            </w:r>
            <w:r>
              <w:rPr>
                <w:rFonts w:hint="eastAsia" w:cs="Times New Roman"/>
                <w:b/>
                <w:color w:val="auto"/>
                <w:sz w:val="18"/>
                <w:szCs w:val="18"/>
                <w:highlight w:val="none"/>
                <w:lang w:val="en-US" w:eastAsia="zh-CN"/>
              </w:rPr>
              <w:t>6</w:t>
            </w:r>
            <w:r>
              <w:rPr>
                <w:rFonts w:hint="default" w:ascii="Times New Roman" w:hAnsi="Times New Roman" w:eastAsia="宋体" w:cs="Times New Roman"/>
                <w:b/>
                <w:color w:val="auto"/>
                <w:sz w:val="18"/>
                <w:szCs w:val="18"/>
                <w:highlight w:val="none"/>
                <w:lang w:val="en-US" w:eastAsia="zh-CN"/>
              </w:rPr>
              <w:t xml:space="preserve">  项目与四川省长江经济带发展负面清单实施细则（试行）符合性表</w:t>
            </w:r>
          </w:p>
          <w:tbl>
            <w:tblPr>
              <w:tblStyle w:val="22"/>
              <w:tblW w:w="6379"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23"/>
              <w:gridCol w:w="3580"/>
              <w:gridCol w:w="1207"/>
              <w:gridCol w:w="96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488"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b/>
                      <w:bCs/>
                      <w:color w:val="auto"/>
                      <w:sz w:val="18"/>
                      <w:szCs w:val="18"/>
                      <w:vertAlign w:val="baseline"/>
                    </w:rPr>
                  </w:pPr>
                  <w:r>
                    <w:rPr>
                      <w:rFonts w:hint="default" w:ascii="Times New Roman" w:hAnsi="Times New Roman" w:eastAsia="宋体" w:cs="Times New Roman"/>
                      <w:b/>
                      <w:bCs/>
                      <w:color w:val="auto"/>
                      <w:kern w:val="0"/>
                      <w:sz w:val="18"/>
                      <w:szCs w:val="18"/>
                      <w:lang w:val="en-US" w:eastAsia="zh-CN" w:bidi="ar"/>
                    </w:rPr>
                    <w:t>序号</w:t>
                  </w:r>
                </w:p>
              </w:tc>
              <w:tc>
                <w:tcPr>
                  <w:tcW w:w="2806" w:type="pct"/>
                  <w:tcBorders>
                    <w:tl2br w:val="nil"/>
                    <w:tr2bl w:val="nil"/>
                  </w:tcBorders>
                  <w:noWrap w:val="0"/>
                  <w:vAlign w:val="top"/>
                </w:tcPr>
                <w:p>
                  <w:pPr>
                    <w:keepNext w:val="0"/>
                    <w:keepLines w:val="0"/>
                    <w:widowControl/>
                    <w:suppressLineNumbers w:val="0"/>
                    <w:ind w:firstLine="1084" w:firstLineChars="600"/>
                    <w:jc w:val="left"/>
                    <w:rPr>
                      <w:rFonts w:hint="default" w:ascii="Times New Roman" w:hAnsi="Times New Roman" w:eastAsia="宋体" w:cs="Times New Roman"/>
                      <w:b/>
                      <w:bCs/>
                      <w:color w:val="auto"/>
                      <w:sz w:val="18"/>
                      <w:szCs w:val="18"/>
                      <w:vertAlign w:val="baseline"/>
                    </w:rPr>
                  </w:pPr>
                  <w:r>
                    <w:rPr>
                      <w:rFonts w:hint="default" w:ascii="Times New Roman" w:hAnsi="Times New Roman" w:eastAsia="宋体" w:cs="Times New Roman"/>
                      <w:b/>
                      <w:bCs/>
                      <w:color w:val="auto"/>
                      <w:kern w:val="0"/>
                      <w:sz w:val="18"/>
                      <w:szCs w:val="18"/>
                      <w:lang w:val="en-US" w:eastAsia="zh-CN" w:bidi="ar"/>
                    </w:rPr>
                    <w:t xml:space="preserve">负面清单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b/>
                      <w:bCs/>
                      <w:color w:val="auto"/>
                      <w:sz w:val="18"/>
                      <w:szCs w:val="18"/>
                      <w:vertAlign w:val="baseline"/>
                    </w:rPr>
                  </w:pPr>
                  <w:r>
                    <w:rPr>
                      <w:rFonts w:hint="default" w:ascii="Times New Roman" w:hAnsi="Times New Roman" w:eastAsia="宋体" w:cs="Times New Roman"/>
                      <w:b/>
                      <w:bCs/>
                      <w:color w:val="auto"/>
                      <w:kern w:val="0"/>
                      <w:sz w:val="18"/>
                      <w:szCs w:val="18"/>
                      <w:lang w:val="en-US" w:eastAsia="zh-CN" w:bidi="ar"/>
                    </w:rPr>
                    <w:t>符合性分析</w:t>
                  </w:r>
                </w:p>
              </w:tc>
              <w:tc>
                <w:tcPr>
                  <w:tcW w:w="759"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b/>
                      <w:bCs/>
                      <w:color w:val="auto"/>
                      <w:sz w:val="18"/>
                      <w:szCs w:val="18"/>
                      <w:vertAlign w:val="baseline"/>
                    </w:rPr>
                  </w:pPr>
                  <w:r>
                    <w:rPr>
                      <w:rFonts w:hint="default" w:ascii="Times New Roman" w:hAnsi="Times New Roman" w:eastAsia="宋体" w:cs="Times New Roman"/>
                      <w:b/>
                      <w:bCs/>
                      <w:color w:val="auto"/>
                      <w:kern w:val="0"/>
                      <w:sz w:val="18"/>
                      <w:szCs w:val="18"/>
                      <w:lang w:val="en-US" w:eastAsia="zh-CN" w:bidi="ar"/>
                    </w:rPr>
                    <w:t xml:space="preserve">是否符合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6"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禁止新建、改建和扩建未纳入《全国内河航道与港口布局规划》等全国港口规划，以及《四川省内河水运发展规划》、《泸州—宜宾—乐山港口群布局规划》等省级港口布局规划及港口总体规划的码头项目。</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本项目不属于码头项目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pStyle w:val="11"/>
                    <w:ind w:firstLine="180" w:firstLineChars="100"/>
                    <w:rPr>
                      <w:rFonts w:hint="default" w:ascii="Times New Roman" w:hAnsi="Times New Roman" w:eastAsia="宋体" w:cs="Times New Roman"/>
                      <w:color w:val="auto"/>
                      <w:sz w:val="18"/>
                      <w:szCs w:val="18"/>
                      <w:vertAlign w:val="baseline"/>
                      <w:lang w:eastAsia="zh-CN"/>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2</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禁止新建、改建和扩建不符合《长江干线过江通道布局规划》的过长江通道项目（含桥梁、隧道）。</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本项目不属于过江通道项目</w:t>
                  </w:r>
                </w:p>
              </w:tc>
              <w:tc>
                <w:tcPr>
                  <w:tcW w:w="759" w:type="pct"/>
                  <w:tcBorders>
                    <w:tl2br w:val="nil"/>
                    <w:tr2bl w:val="nil"/>
                  </w:tcBorders>
                  <w:noWrap w:val="0"/>
                  <w:vAlign w:val="top"/>
                </w:tcPr>
                <w:p>
                  <w:pPr>
                    <w:ind w:firstLine="180" w:firstLineChars="100"/>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3</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禁止在自然保护区核心区、缓冲区的岸线和河段范围内投资建设旅游和生产经营项目。禁止在自然保护区内进行砍伐、放牧、狩猎、捕捞、采药、开垦、烧荒、开矿、采石、挖沙等活动。</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项目选址不在自然保护区范围内</w:t>
                  </w:r>
                </w:p>
              </w:tc>
              <w:tc>
                <w:tcPr>
                  <w:tcW w:w="759" w:type="pct"/>
                  <w:tcBorders>
                    <w:tl2br w:val="nil"/>
                    <w:tr2bl w:val="nil"/>
                  </w:tcBorders>
                  <w:noWrap w:val="0"/>
                  <w:vAlign w:val="top"/>
                </w:tcPr>
                <w:p>
                  <w:pPr>
                    <w:ind w:firstLine="180" w:firstLineChars="100"/>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4</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禁止违反风景名胜区规划，在风景名胜区内设立各类开发区；禁止在风景名胜区核心景区的岸线和河段范围内建设宾馆、招待所、培训中心、疗养院以及与风景名胜资源保护无关的其他建筑物。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项目选址不在风景名胜区内</w:t>
                  </w:r>
                </w:p>
              </w:tc>
              <w:tc>
                <w:tcPr>
                  <w:tcW w:w="759" w:type="pct"/>
                  <w:tcBorders>
                    <w:tl2br w:val="nil"/>
                    <w:tr2bl w:val="nil"/>
                  </w:tcBorders>
                  <w:noWrap w:val="0"/>
                  <w:vAlign w:val="top"/>
                </w:tcPr>
                <w:p>
                  <w:pPr>
                    <w:ind w:firstLine="180" w:firstLineChars="100"/>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5</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在饮用水水源准保护区的岸线和河段范围内新建、扩建对水体污染严重的建设项目；改建建设项目不得增加排污量。禁止在饮用水水源准保护区的岸线和河段范围内设置化工原料、矿物油类及有毒有害矿产品的贮存场所，以及生活垃圾、工业固体废物和危险废物的堆放场所和转运站。</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项目选址不在饮用水保护区内</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6</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在饮用水水源二级保护区的岸线和河段范围内，除应遵守准保护区规定外，禁止新建、改建、扩建排放污染物的建设项目；禁止从事经营性取土和采石（砂）等活动；禁止从事网箱养殖、施肥养鱼等污染饮用水水体的活动；禁止铺设输送污水、油类、有毒有害物品的管道。</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项目选址不在饮用水保护区内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40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7</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饮用水水源一级保护区的岸线和河段范围内，除应遵守准保护区和二级保护区规定外，禁止新建、改建、扩建与供（取）水设施和保护水源无关的项目，以及网箱养殖、旅游等可能污染饮用水水体的投资建设项目；禁止设置畜禽养殖场。</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项目选址不在饮用水保护区内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0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8</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禁止在水产种植资源保护区的岸线和河段范围内新建排污口。</w:t>
                  </w:r>
                </w:p>
                <w:p>
                  <w:pPr>
                    <w:pStyle w:val="11"/>
                    <w:rPr>
                      <w:rFonts w:hint="default" w:ascii="Times New Roman" w:hAnsi="Times New Roman" w:eastAsia="宋体" w:cs="Times New Roman"/>
                      <w:color w:val="auto"/>
                      <w:sz w:val="18"/>
                      <w:szCs w:val="18"/>
                      <w:vertAlign w:val="baseline"/>
                    </w:rPr>
                  </w:pP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kern w:val="0"/>
                      <w:sz w:val="18"/>
                      <w:szCs w:val="18"/>
                      <w:lang w:val="en-US" w:eastAsia="zh-CN" w:bidi="ar"/>
                    </w:rPr>
                  </w:pPr>
                  <w:r>
                    <w:rPr>
                      <w:rFonts w:hint="default" w:ascii="Times New Roman" w:hAnsi="Times New Roman" w:eastAsia="宋体" w:cs="Times New Roman"/>
                      <w:color w:val="auto"/>
                      <w:kern w:val="0"/>
                      <w:sz w:val="18"/>
                      <w:szCs w:val="18"/>
                      <w:lang w:val="en-US" w:eastAsia="zh-CN" w:bidi="ar"/>
                    </w:rPr>
                    <w:t>项目选址不在水产种植资源保护区内的岸线和河段范围内</w:t>
                  </w:r>
                </w:p>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，不新增排污口 </w:t>
                  </w: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9</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禁止在水产种质资源保护区岸线和河段范围内围湖造田、围湖造地、挖沙采石。 </w:t>
                  </w:r>
                </w:p>
                <w:p>
                  <w:pPr>
                    <w:pStyle w:val="11"/>
                    <w:rPr>
                      <w:rFonts w:hint="default" w:ascii="Times New Roman" w:hAnsi="Times New Roman" w:eastAsia="宋体" w:cs="Times New Roman"/>
                      <w:color w:val="auto"/>
                      <w:sz w:val="18"/>
                      <w:szCs w:val="18"/>
                      <w:vertAlign w:val="baseline"/>
                    </w:rPr>
                  </w:pPr>
                </w:p>
              </w:tc>
              <w:tc>
                <w:tcPr>
                  <w:tcW w:w="946" w:type="pct"/>
                  <w:tcBorders>
                    <w:tl2br w:val="nil"/>
                    <w:tr2bl w:val="nil"/>
                  </w:tcBorders>
                  <w:noWrap w:val="0"/>
                  <w:vAlign w:val="top"/>
                </w:tcPr>
                <w:p>
                  <w:pPr>
                    <w:pStyle w:val="11"/>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项目选址不在水产种质资源保护区内的岸线和河段范围内</w:t>
                  </w: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10</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在国家湿地公园的岸线和河段范围内开（围）垦、填埋或者排干湿地，截断湿地水源，挖沙、采矿，倾倒有毒有害物质、废弃物、垃圾，从事房地产、度假村、高尔夫球场、风力发电、光伏发电等任何不符合主体功能定位的建设项目和开发活动，破坏野生动物栖息地和迁徙通道、鱼类洄游通道，滥采滥捕野生动植物，引入外来物种，擅自放牧、捕捞、取土、取水、排污、放生，以及其他破坏湿地及其生态功能的活动</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项目选址不在国家湿地公园保护范围内</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11</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禁止在《长江岸线保护和开发利用总体规划》划定的岸线保护区内投资建设除保障防洪安全、河势稳定、供水安全以及保护生态环境、已建重要枢纽工程以外的项目。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项目选址不在长江岸线保护区内</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12</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禁止在《长江岸线保护和开发利用总体规划》定的岸线保留区内投资建设除保障防洪安全、河势稳定、供水安全、航道稳定以及保护生态环境以外的项目。</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项目选址不在长江岸线保护区内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13</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禁止在《全国重要江河湖泊水功能区划》划定的河段保护区、保留区内投资建设不利于水资源及自然生态保护的项目。 </w:t>
                  </w:r>
                </w:p>
                <w:p>
                  <w:pPr>
                    <w:pStyle w:val="11"/>
                    <w:rPr>
                      <w:rFonts w:hint="default" w:ascii="Times New Roman" w:hAnsi="Times New Roman" w:eastAsia="宋体" w:cs="Times New Roman"/>
                      <w:color w:val="auto"/>
                      <w:sz w:val="18"/>
                      <w:szCs w:val="18"/>
                      <w:vertAlign w:val="baseline"/>
                    </w:rPr>
                  </w:pP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项目选址不在全国重要江河湖泊水功能区划保护区、保留区 </w:t>
                  </w: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65"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14</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在生态保护红线范围内投资建设除国家重大战略资源勘查项目、生态保护修复和环境治理项目、重大基础设施项目、军事国防项目以及农牧民基本生产生活等必要的民生项目以外的项目。生态保护红线原则上按禁止开发区域的要求进行管理。严禁不符合主体功能定位的各类开发活动，严禁任意改变用途。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项目选址不在生态红线范围内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eastAsia="zh-CN"/>
                    </w:rPr>
                    <w:t>1</w:t>
                  </w:r>
                  <w:r>
                    <w:rPr>
                      <w:rFonts w:hint="default" w:ascii="Times New Roman" w:hAnsi="Times New Roman" w:cs="Times New Roman"/>
                      <w:color w:val="auto"/>
                      <w:sz w:val="18"/>
                      <w:szCs w:val="18"/>
                      <w:vertAlign w:val="baseline"/>
                      <w:lang w:val="en-US" w:eastAsia="zh-CN"/>
                    </w:rPr>
                    <w:t>5</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占用永久基本农田，国家重大战略资源勘查、生态保护修复和环境治理、重大基础设施、军事国防以及农牧民基本生产生活等必要的民生项目（包括深度贫困地区、集中连片特困地区、国家扶贫开发工作重点县省级以下基础设施、易扶贫搬迁、民生发展等建设项目），选址确实难以避让永久基本农田的，按程序严格论证后依法依规报批。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项目用地不占用基本农田</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40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16</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禁止在长江干流和主要支流（包括：岷江干流、沱江干流、赤水河干流、嘉陵江干流、雅砻江干流）1 公里〔指长江干支流岸线边界（即水利部门河道管理范围边界）向陆域纵深 1 公里〕范围内新建、扩建化工园区和化工项目。</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kern w:val="0"/>
                      <w:sz w:val="18"/>
                      <w:szCs w:val="18"/>
                      <w:lang w:val="en-US" w:eastAsia="zh-CN" w:bidi="ar"/>
                    </w:rPr>
                  </w:pPr>
                  <w:r>
                    <w:rPr>
                      <w:rFonts w:hint="default" w:ascii="Times New Roman" w:hAnsi="Times New Roman" w:eastAsia="宋体" w:cs="Times New Roman"/>
                      <w:color w:val="auto"/>
                      <w:kern w:val="0"/>
                      <w:sz w:val="18"/>
                      <w:szCs w:val="18"/>
                      <w:lang w:val="en-US" w:eastAsia="zh-CN" w:bidi="ar"/>
                    </w:rPr>
                    <w:t xml:space="preserve">项目不属于化工项目，项目距离嘉陵江105m </w:t>
                  </w:r>
                </w:p>
                <w:p>
                  <w:pPr>
                    <w:keepNext w:val="0"/>
                    <w:keepLines w:val="0"/>
                    <w:widowControl/>
                    <w:suppressLineNumbers w:val="0"/>
                    <w:jc w:val="left"/>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17</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禁止在合规园区外新建、扩建钢铁、石化、化工、焦化、建材、有色等高污染项目。合规园区指列入《中国开发区审核公告目录（2018 年版）》或是由省级人民政府批准设立的园区。高污染项目应严格按照《环境保护综合名录（2017 年版）》“高污染”产品 名录执行。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lang w:eastAsia="zh-CN"/>
                    </w:rPr>
                  </w:pPr>
                  <w:r>
                    <w:rPr>
                      <w:rFonts w:hint="default" w:ascii="Times New Roman" w:hAnsi="Times New Roman" w:eastAsia="宋体" w:cs="Times New Roman"/>
                      <w:color w:val="auto"/>
                      <w:sz w:val="18"/>
                      <w:szCs w:val="18"/>
                      <w:vertAlign w:val="baseline"/>
                      <w:lang w:eastAsia="zh-CN"/>
                    </w:rPr>
                    <w:t>项目</w:t>
                  </w:r>
                  <w:r>
                    <w:rPr>
                      <w:rFonts w:hint="eastAsia" w:ascii="Times New Roman" w:hAnsi="Times New Roman" w:cs="Times New Roman"/>
                      <w:color w:val="auto"/>
                      <w:sz w:val="18"/>
                      <w:szCs w:val="18"/>
                      <w:vertAlign w:val="baseline"/>
                      <w:lang w:eastAsia="zh-CN"/>
                    </w:rPr>
                    <w:t>为宠物医院服务</w:t>
                  </w:r>
                  <w:r>
                    <w:rPr>
                      <w:rFonts w:hint="default" w:ascii="Times New Roman" w:hAnsi="Times New Roman" w:eastAsia="宋体" w:cs="Times New Roman"/>
                      <w:color w:val="auto"/>
                      <w:kern w:val="0"/>
                      <w:sz w:val="18"/>
                      <w:szCs w:val="18"/>
                      <w:lang w:val="en-US" w:eastAsia="zh-CN" w:bidi="ar"/>
                    </w:rPr>
                    <w:t>，</w:t>
                  </w:r>
                  <w:r>
                    <w:rPr>
                      <w:rFonts w:hint="eastAsia" w:ascii="Times New Roman" w:hAnsi="Times New Roman" w:cs="Times New Roman"/>
                      <w:color w:val="auto"/>
                      <w:kern w:val="0"/>
                      <w:sz w:val="18"/>
                      <w:szCs w:val="18"/>
                      <w:lang w:val="en-US" w:eastAsia="zh-CN" w:bidi="ar"/>
                    </w:rPr>
                    <w:t>不属于</w:t>
                  </w:r>
                  <w:r>
                    <w:rPr>
                      <w:rFonts w:hint="default" w:ascii="Times New Roman" w:hAnsi="Times New Roman" w:eastAsia="宋体" w:cs="Times New Roman"/>
                      <w:color w:val="auto"/>
                      <w:kern w:val="0"/>
                      <w:sz w:val="18"/>
                      <w:szCs w:val="18"/>
                      <w:lang w:val="en-US" w:eastAsia="zh-CN" w:bidi="ar"/>
                    </w:rPr>
                    <w:t>钢铁、石化、化工、焦化、建材、有色等高污染项目</w:t>
                  </w: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18</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禁止新建、扩建不符合国家石化、现代煤化工等产业 布局规划（包括但不限于《石化产业规划布局方案（修订版）》《现代煤化工产业创新发展布局方案》）的项目。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项目不属于煤化工产业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40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19</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新建乙烯、对二甲苯（PX）、二苯基甲烷二异氰酸酯（MDI）项目由省政府投资主管部门按照国家批准的石化产业规划布局方案核准。未列入国家批准的相关规划的新建乙烯、对二甲苯（PX）、二苯基甲烷二异氰酸酯（MDI）项目，禁止建设。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项目不属于石化产业</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40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20</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新建、扩建法律法规和相关政策明令禁止的落后产能项目。对《产业结构调整指导目录》中淘汰类项目，禁止投资；限制类的新建项目，禁止投资，对属于限制类的现有生产能力，允许企业在一定期限内采取措施改造升级。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项目属于《产业结构调整指导目录》（2019）允许类项目 </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21</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 xml:space="preserve">禁止新建、扩建不符合国家产能置换要求的严重过剩产能行业的项目。对于不符合国家产能置换要求的严重过剩产能行业，不得以其他任何名义、任何方式备案新增产能项目。 </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项目不属于产能过剩产业</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22</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禁止新建和改扩建后产能低于 30 万吨/年的煤矿</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项目不属于煤矿项目</w:t>
                  </w: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91" w:hRule="atLeast"/>
              </w:trPr>
              <w:tc>
                <w:tcPr>
                  <w:tcW w:w="488" w:type="pct"/>
                  <w:tcBorders>
                    <w:tl2br w:val="nil"/>
                    <w:tr2bl w:val="nil"/>
                  </w:tcBorders>
                  <w:noWrap w:val="0"/>
                  <w:vAlign w:val="top"/>
                </w:tcPr>
                <w:p>
                  <w:pPr>
                    <w:pStyle w:val="11"/>
                    <w:jc w:val="center"/>
                    <w:rPr>
                      <w:rFonts w:hint="default" w:ascii="Times New Roman" w:hAnsi="Times New Roman" w:eastAsia="宋体" w:cs="Times New Roman"/>
                      <w:color w:val="auto"/>
                      <w:sz w:val="18"/>
                      <w:szCs w:val="18"/>
                      <w:vertAlign w:val="baseline"/>
                      <w:lang w:val="en-US" w:eastAsia="zh-CN"/>
                    </w:rPr>
                  </w:pPr>
                  <w:r>
                    <w:rPr>
                      <w:rFonts w:hint="default" w:ascii="Times New Roman" w:hAnsi="Times New Roman" w:cs="Times New Roman"/>
                      <w:color w:val="auto"/>
                      <w:sz w:val="18"/>
                      <w:szCs w:val="18"/>
                      <w:vertAlign w:val="baseline"/>
                      <w:lang w:val="en-US" w:eastAsia="zh-CN"/>
                    </w:rPr>
                    <w:t>23</w:t>
                  </w:r>
                </w:p>
              </w:tc>
              <w:tc>
                <w:tcPr>
                  <w:tcW w:w="280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禁止建设以下燃油汽车投资项目（不在中国境内销售 产品的投资项目除外）： </w:t>
                  </w:r>
                </w:p>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（一）新建独立燃油汽车企业； </w:t>
                  </w:r>
                </w:p>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（二）现有汽车企业跨乘用车、商用车类别建设燃油 汽车生产能力； </w:t>
                  </w:r>
                </w:p>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 xml:space="preserve">（三）外省现有燃油汽车企业整体搬迁至本省（列入 国家级区域发展规划或不改变企业股权结构的项目除外）； </w:t>
                  </w:r>
                </w:p>
                <w:p>
                  <w:pPr>
                    <w:keepNext w:val="0"/>
                    <w:keepLines w:val="0"/>
                    <w:widowControl/>
                    <w:suppressLineNumbers w:val="0"/>
                    <w:jc w:val="left"/>
                    <w:rPr>
                      <w:rFonts w:hint="default" w:ascii="Times New Roman" w:hAnsi="Times New Roman" w:eastAsia="宋体" w:cs="Times New Roman"/>
                      <w:color w:val="auto"/>
                      <w:sz w:val="18"/>
                      <w:szCs w:val="18"/>
                      <w:vertAlign w:val="baseline"/>
                    </w:rPr>
                  </w:pPr>
                  <w:r>
                    <w:rPr>
                      <w:rFonts w:hint="default" w:ascii="Times New Roman" w:hAnsi="Times New Roman" w:eastAsia="宋体" w:cs="Times New Roman"/>
                      <w:color w:val="auto"/>
                      <w:kern w:val="0"/>
                      <w:sz w:val="18"/>
                      <w:szCs w:val="18"/>
                      <w:lang w:val="en-US" w:eastAsia="zh-CN" w:bidi="ar"/>
                    </w:rPr>
                    <w:t>（四）对行业管理部门特别公示的燃油汽车企业进行投资（企业原有股东投资或将该企业转为非独立法人的投资项目除外）。</w:t>
                  </w:r>
                </w:p>
              </w:tc>
              <w:tc>
                <w:tcPr>
                  <w:tcW w:w="946" w:type="pct"/>
                  <w:tcBorders>
                    <w:tl2br w:val="nil"/>
                    <w:tr2bl w:val="nil"/>
                  </w:tcBorders>
                  <w:noWrap w:val="0"/>
                  <w:vAlign w:val="top"/>
                </w:tcPr>
                <w:p>
                  <w:pPr>
                    <w:keepNext w:val="0"/>
                    <w:keepLines w:val="0"/>
                    <w:widowControl/>
                    <w:suppressLineNumbers w:val="0"/>
                    <w:jc w:val="left"/>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kern w:val="0"/>
                      <w:sz w:val="18"/>
                      <w:szCs w:val="18"/>
                      <w:lang w:val="en-US" w:eastAsia="zh-CN" w:bidi="ar"/>
                    </w:rPr>
                    <w:t>项目不属于燃油汽车项目</w:t>
                  </w:r>
                </w:p>
                <w:p>
                  <w:pPr>
                    <w:pStyle w:val="11"/>
                    <w:rPr>
                      <w:rFonts w:hint="default" w:ascii="Times New Roman" w:hAnsi="Times New Roman" w:eastAsia="宋体" w:cs="Times New Roman"/>
                      <w:color w:val="auto"/>
                      <w:sz w:val="18"/>
                      <w:szCs w:val="18"/>
                      <w:vertAlign w:val="baseline"/>
                    </w:rPr>
                  </w:pPr>
                </w:p>
              </w:tc>
              <w:tc>
                <w:tcPr>
                  <w:tcW w:w="759" w:type="pct"/>
                  <w:tcBorders>
                    <w:tl2br w:val="nil"/>
                    <w:tr2bl w:val="nil"/>
                  </w:tcBorders>
                  <w:noWrap w:val="0"/>
                  <w:vAlign w:val="top"/>
                </w:tcPr>
                <w:p>
                  <w:pPr>
                    <w:rPr>
                      <w:rFonts w:hint="default" w:ascii="Times New Roman" w:hAnsi="Times New Roman" w:eastAsia="宋体" w:cs="Times New Roman"/>
                      <w:color w:val="auto"/>
                      <w:sz w:val="18"/>
                      <w:szCs w:val="18"/>
                      <w:vertAlign w:val="baseline"/>
                    </w:rPr>
                  </w:pPr>
                  <w:r>
                    <w:rPr>
                      <w:rFonts w:hint="default" w:ascii="Times New Roman" w:hAnsi="Times New Roman" w:cs="Times New Roman"/>
                      <w:color w:val="auto"/>
                      <w:sz w:val="18"/>
                      <w:szCs w:val="18"/>
                      <w:vertAlign w:val="baseline"/>
                      <w:lang w:eastAsia="zh-CN"/>
                    </w:rPr>
                    <w:t>符合</w:t>
                  </w:r>
                </w:p>
              </w:tc>
            </w:tr>
          </w:tbl>
          <w:p>
            <w:pPr>
              <w:pStyle w:val="52"/>
              <w:ind w:left="0" w:leftChars="0" w:firstLine="422" w:firstLineChars="200"/>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7、</w:t>
            </w:r>
            <w:r>
              <w:rPr>
                <w:rFonts w:hint="eastAsia" w:ascii="Times New Roman" w:hAnsi="Times New Roman" w:eastAsia="宋体" w:cs="Times New Roman"/>
                <w:b/>
                <w:bCs/>
                <w:color w:val="auto"/>
                <w:kern w:val="2"/>
                <w:sz w:val="21"/>
                <w:szCs w:val="21"/>
                <w:highlight w:val="none"/>
                <w:lang w:val="en-US" w:eastAsia="zh-CN" w:bidi="ar-SA"/>
              </w:rPr>
              <w:t>项目与大气污染防治相关规划及方案的符合性分析</w:t>
            </w:r>
          </w:p>
          <w:p>
            <w:pPr>
              <w:spacing w:line="360" w:lineRule="auto"/>
              <w:ind w:firstLine="420" w:firstLineChars="200"/>
              <w:rPr>
                <w:rFonts w:hint="eastAsia" w:ascii="Times New Roman" w:hAnsi="Times New Roman" w:eastAsia="宋体" w:cs="Times New Roman"/>
                <w:b/>
                <w:color w:val="auto"/>
                <w:sz w:val="18"/>
                <w:szCs w:val="18"/>
                <w:highlight w:val="none"/>
                <w:lang w:val="en-US" w:eastAsia="zh-CN"/>
              </w:rPr>
            </w:pPr>
            <w:r>
              <w:rPr>
                <w:color w:val="auto"/>
              </w:rPr>
              <w:t>项目与大气防治行动计划的符合性分析情况见下表。根据分析，项目建设符合《大气污染防治行动计划》、《中华人民共和国大气污染防治法》、四川省“十四五”生态环境保护规划》（川府发〔2022〕2号）的要求。</w:t>
            </w:r>
          </w:p>
          <w:p>
            <w:pPr>
              <w:adjustRightInd w:val="0"/>
              <w:snapToGrid w:val="0"/>
              <w:ind w:firstLine="723" w:firstLineChars="400"/>
              <w:jc w:val="both"/>
              <w:rPr>
                <w:rFonts w:hint="eastAsia" w:ascii="Times New Roman" w:hAnsi="Times New Roman" w:eastAsia="宋体" w:cs="Times New Roman"/>
                <w:b/>
                <w:color w:val="auto"/>
                <w:sz w:val="18"/>
                <w:szCs w:val="18"/>
                <w:highlight w:val="none"/>
                <w:lang w:val="en-US" w:eastAsia="zh-CN"/>
              </w:rPr>
            </w:pPr>
            <w:r>
              <w:rPr>
                <w:rFonts w:hint="eastAsia" w:ascii="Times New Roman" w:hAnsi="Times New Roman" w:eastAsia="宋体" w:cs="Times New Roman"/>
                <w:b/>
                <w:color w:val="auto"/>
                <w:sz w:val="18"/>
                <w:szCs w:val="18"/>
                <w:highlight w:val="none"/>
                <w:lang w:val="en-US" w:eastAsia="zh-CN"/>
              </w:rPr>
              <w:t>表1-</w:t>
            </w:r>
            <w:r>
              <w:rPr>
                <w:rFonts w:hint="eastAsia" w:cs="Times New Roman"/>
                <w:b/>
                <w:color w:val="auto"/>
                <w:sz w:val="18"/>
                <w:szCs w:val="18"/>
                <w:highlight w:val="none"/>
                <w:lang w:val="en-US" w:eastAsia="zh-CN"/>
              </w:rPr>
              <w:t>7</w:t>
            </w:r>
            <w:r>
              <w:rPr>
                <w:rFonts w:hint="eastAsia" w:ascii="Times New Roman" w:hAnsi="Times New Roman" w:eastAsia="宋体" w:cs="Times New Roman"/>
                <w:b/>
                <w:color w:val="auto"/>
                <w:sz w:val="18"/>
                <w:szCs w:val="18"/>
                <w:highlight w:val="none"/>
                <w:lang w:val="en-US" w:eastAsia="zh-CN"/>
              </w:rPr>
              <w:t xml:space="preserve">  项目与大气环境保护相关规划的符合性分析表</w:t>
            </w:r>
          </w:p>
          <w:tbl>
            <w:tblPr>
              <w:tblStyle w:val="21"/>
              <w:tblW w:w="4998"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953"/>
              <w:gridCol w:w="2973"/>
              <w:gridCol w:w="1766"/>
              <w:gridCol w:w="566"/>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508" w:hRule="exact"/>
                <w:jc w:val="center"/>
              </w:trPr>
              <w:tc>
                <w:tcPr>
                  <w:tcW w:w="762" w:type="pct"/>
                  <w:tcBorders>
                    <w:tl2br w:val="nil"/>
                    <w:tr2bl w:val="nil"/>
                  </w:tcBorders>
                  <w:noWrap w:val="0"/>
                  <w:vAlign w:val="center"/>
                </w:tcPr>
                <w:p>
                  <w:pPr>
                    <w:widowControl/>
                    <w:autoSpaceDE w:val="0"/>
                    <w:autoSpaceDN w:val="0"/>
                    <w:adjustRightInd w:val="0"/>
                    <w:jc w:val="left"/>
                    <w:rPr>
                      <w:rFonts w:hint="eastAsia" w:ascii="宋体" w:hAnsi="宋体" w:cs="宋体"/>
                      <w:b/>
                      <w:bCs/>
                      <w:color w:val="auto"/>
                      <w:sz w:val="18"/>
                      <w:szCs w:val="18"/>
                    </w:rPr>
                  </w:pPr>
                  <w:r>
                    <w:rPr>
                      <w:rFonts w:hint="eastAsia" w:ascii="宋体" w:hAnsi="宋体" w:cs="宋体"/>
                      <w:b/>
                      <w:bCs/>
                      <w:color w:val="auto"/>
                      <w:sz w:val="18"/>
                      <w:szCs w:val="18"/>
                    </w:rPr>
                    <w:t>大气污染防治</w:t>
                  </w:r>
                </w:p>
                <w:p>
                  <w:pPr>
                    <w:widowControl/>
                    <w:autoSpaceDE w:val="0"/>
                    <w:autoSpaceDN w:val="0"/>
                    <w:adjustRightInd w:val="0"/>
                    <w:jc w:val="left"/>
                    <w:rPr>
                      <w:rFonts w:hint="eastAsia" w:ascii="宋体" w:hAnsi="宋体" w:cs="宋体"/>
                      <w:b/>
                      <w:bCs/>
                      <w:color w:val="auto"/>
                      <w:sz w:val="18"/>
                      <w:szCs w:val="18"/>
                    </w:rPr>
                  </w:pPr>
                  <w:r>
                    <w:rPr>
                      <w:rFonts w:hint="eastAsia" w:ascii="宋体" w:hAnsi="宋体" w:cs="宋体"/>
                      <w:b/>
                      <w:bCs/>
                      <w:color w:val="auto"/>
                      <w:sz w:val="18"/>
                      <w:szCs w:val="18"/>
                    </w:rPr>
                    <w:t>规划文件</w:t>
                  </w:r>
                </w:p>
              </w:tc>
              <w:tc>
                <w:tcPr>
                  <w:tcW w:w="2374" w:type="pct"/>
                  <w:tcBorders>
                    <w:tl2br w:val="nil"/>
                    <w:tr2bl w:val="nil"/>
                  </w:tcBorders>
                  <w:noWrap w:val="0"/>
                  <w:vAlign w:val="center"/>
                </w:tcPr>
                <w:p>
                  <w:pPr>
                    <w:widowControl/>
                    <w:autoSpaceDE w:val="0"/>
                    <w:autoSpaceDN w:val="0"/>
                    <w:adjustRightInd w:val="0"/>
                    <w:jc w:val="left"/>
                    <w:rPr>
                      <w:rFonts w:hint="eastAsia" w:ascii="宋体" w:hAnsi="宋体" w:cs="宋体"/>
                      <w:b/>
                      <w:bCs/>
                      <w:color w:val="auto"/>
                      <w:sz w:val="18"/>
                      <w:szCs w:val="18"/>
                    </w:rPr>
                  </w:pPr>
                  <w:r>
                    <w:rPr>
                      <w:rFonts w:hint="eastAsia" w:ascii="宋体" w:hAnsi="宋体" w:cs="宋体"/>
                      <w:b/>
                      <w:bCs/>
                      <w:color w:val="auto"/>
                      <w:sz w:val="18"/>
                      <w:szCs w:val="18"/>
                    </w:rPr>
                    <w:t>规划要求</w:t>
                  </w:r>
                </w:p>
              </w:tc>
              <w:tc>
                <w:tcPr>
                  <w:tcW w:w="1410" w:type="pct"/>
                  <w:tcBorders>
                    <w:tl2br w:val="nil"/>
                    <w:tr2bl w:val="nil"/>
                  </w:tcBorders>
                  <w:noWrap w:val="0"/>
                  <w:vAlign w:val="center"/>
                </w:tcPr>
                <w:p>
                  <w:pPr>
                    <w:widowControl/>
                    <w:autoSpaceDE w:val="0"/>
                    <w:autoSpaceDN w:val="0"/>
                    <w:adjustRightInd w:val="0"/>
                    <w:jc w:val="left"/>
                    <w:rPr>
                      <w:rFonts w:hint="eastAsia" w:ascii="宋体" w:hAnsi="宋体" w:cs="宋体"/>
                      <w:b/>
                      <w:bCs/>
                      <w:color w:val="auto"/>
                      <w:sz w:val="18"/>
                      <w:szCs w:val="18"/>
                    </w:rPr>
                  </w:pPr>
                  <w:r>
                    <w:rPr>
                      <w:rFonts w:hint="eastAsia" w:ascii="宋体" w:hAnsi="宋体" w:cs="宋体"/>
                      <w:b/>
                      <w:bCs/>
                      <w:color w:val="auto"/>
                      <w:sz w:val="18"/>
                      <w:szCs w:val="18"/>
                    </w:rPr>
                    <w:t>本项目情况</w:t>
                  </w:r>
                </w:p>
              </w:tc>
              <w:tc>
                <w:tcPr>
                  <w:tcW w:w="452" w:type="pct"/>
                  <w:tcBorders>
                    <w:tl2br w:val="nil"/>
                    <w:tr2bl w:val="nil"/>
                  </w:tcBorders>
                  <w:noWrap w:val="0"/>
                  <w:vAlign w:val="center"/>
                </w:tcPr>
                <w:p>
                  <w:pPr>
                    <w:widowControl/>
                    <w:autoSpaceDE w:val="0"/>
                    <w:autoSpaceDN w:val="0"/>
                    <w:adjustRightInd w:val="0"/>
                    <w:jc w:val="left"/>
                    <w:rPr>
                      <w:rFonts w:hint="eastAsia" w:ascii="宋体" w:hAnsi="宋体" w:cs="宋体"/>
                      <w:b/>
                      <w:bCs/>
                      <w:color w:val="auto"/>
                      <w:sz w:val="18"/>
                      <w:szCs w:val="18"/>
                    </w:rPr>
                  </w:pPr>
                  <w:r>
                    <w:rPr>
                      <w:rFonts w:hint="eastAsia" w:ascii="宋体" w:hAnsi="宋体" w:cs="宋体"/>
                      <w:b/>
                      <w:bCs/>
                      <w:color w:val="auto"/>
                      <w:sz w:val="18"/>
                      <w:szCs w:val="18"/>
                    </w:rPr>
                    <w:t>符合性</w:t>
                  </w:r>
                </w:p>
                <w:p>
                  <w:pPr>
                    <w:widowControl/>
                    <w:autoSpaceDE w:val="0"/>
                    <w:autoSpaceDN w:val="0"/>
                    <w:adjustRightInd w:val="0"/>
                    <w:jc w:val="left"/>
                    <w:rPr>
                      <w:rFonts w:hint="eastAsia" w:ascii="宋体" w:hAnsi="宋体" w:cs="宋体"/>
                      <w:b/>
                      <w:bCs/>
                      <w:color w:val="auto"/>
                      <w:sz w:val="18"/>
                      <w:szCs w:val="18"/>
                    </w:rPr>
                  </w:pPr>
                  <w:r>
                    <w:rPr>
                      <w:rFonts w:hint="eastAsia" w:ascii="宋体" w:hAnsi="宋体" w:cs="宋体"/>
                      <w:b/>
                      <w:bCs/>
                      <w:color w:val="auto"/>
                      <w:sz w:val="18"/>
                      <w:szCs w:val="18"/>
                    </w:rPr>
                    <w:t>结论</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400" w:hRule="atLeast"/>
                <w:jc w:val="center"/>
              </w:trPr>
              <w:tc>
                <w:tcPr>
                  <w:tcW w:w="76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《大气污染防治行动计划》</w:t>
                  </w:r>
                </w:p>
              </w:tc>
              <w:tc>
                <w:tcPr>
                  <w:tcW w:w="2374"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一、加大综合治理力度，减少多污染物排放</w:t>
                  </w:r>
                </w:p>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一）加强工业企业大气污染综合治理。全面整治燃煤小锅炉。加快推进集中供热、“煤改气”、“煤改电”工程建设，到2017年，除必要保留的以外，地级及以上城市建成区基本淘汰每小时10蒸吨及以下的燃煤锅炉，禁止新建每小时20蒸吨以下的燃煤锅炉；其他地区原则上不再新建每小时10蒸吨以下的燃煤锅炉。在供热供气管网不能覆盖的地区，改用电、新能源或洁净煤，推广应用高效节能环保型锅炉。在化工、造纸、印染、制革、制药等产业集聚区，通过集中建设热电联产机组逐步淘汰分散燃煤锅炉。</w:t>
                  </w:r>
                </w:p>
              </w:tc>
              <w:tc>
                <w:tcPr>
                  <w:tcW w:w="1410"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项目废气达标排放；</w:t>
                  </w:r>
                </w:p>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本项目不涉及燃煤等高污燃料。</w:t>
                  </w:r>
                </w:p>
              </w:tc>
              <w:tc>
                <w:tcPr>
                  <w:tcW w:w="45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62" w:type="pct"/>
                  <w:vMerge w:val="restar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《中华人民共</w:t>
                  </w:r>
                </w:p>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和国大气污染</w:t>
                  </w:r>
                </w:p>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防治法》</w:t>
                  </w:r>
                </w:p>
              </w:tc>
              <w:tc>
                <w:tcPr>
                  <w:tcW w:w="2374"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“第四十五条 产生含挥发性有机物废气的生产和服务活动，应当在密闭空间或者设备中进行，并按照规定安装、使用污染防治设施；无法密闭的，应当采取措施减少废气排放。</w:t>
                  </w:r>
                </w:p>
              </w:tc>
              <w:tc>
                <w:tcPr>
                  <w:tcW w:w="1410"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项目不涉及挥发性有机物的产生。</w:t>
                  </w:r>
                </w:p>
              </w:tc>
              <w:tc>
                <w:tcPr>
                  <w:tcW w:w="45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1310" w:hRule="atLeast"/>
                <w:jc w:val="center"/>
              </w:trPr>
              <w:tc>
                <w:tcPr>
                  <w:tcW w:w="762" w:type="pct"/>
                  <w:vMerge w:val="continue"/>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p>
              </w:tc>
              <w:tc>
                <w:tcPr>
                  <w:tcW w:w="2374"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第四十三条　钢铁、建材、有色金属、石油、化工等企业生产过程中排放粉尘、硫化物和氮氧化物的，应当采用清洁生产工艺，配套建设除尘、脱硫、脱硝等装置，或者采取技术改造等其他控制大气污染物排放的措施。</w:t>
                  </w:r>
                </w:p>
              </w:tc>
              <w:tc>
                <w:tcPr>
                  <w:tcW w:w="1410" w:type="pct"/>
                  <w:vMerge w:val="restar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项目</w:t>
                  </w:r>
                  <w:r>
                    <w:rPr>
                      <w:rFonts w:hint="eastAsia" w:ascii="宋体" w:hAnsi="宋体" w:cs="宋体"/>
                      <w:color w:val="auto"/>
                      <w:sz w:val="18"/>
                      <w:szCs w:val="18"/>
                      <w:lang w:eastAsia="zh-CN"/>
                    </w:rPr>
                    <w:t>施工期</w:t>
                  </w:r>
                  <w:r>
                    <w:rPr>
                      <w:rFonts w:hint="eastAsia" w:ascii="宋体" w:hAnsi="宋体" w:cs="宋体"/>
                      <w:color w:val="auto"/>
                      <w:sz w:val="18"/>
                      <w:szCs w:val="18"/>
                    </w:rPr>
                    <w:t>针对生产过程中产生的粉尘，均采取了有效治理措施；能达标排放。</w:t>
                  </w:r>
                </w:p>
              </w:tc>
              <w:tc>
                <w:tcPr>
                  <w:tcW w:w="45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PrEx>
              <w:trPr>
                <w:trHeight w:val="1730" w:hRule="atLeast"/>
                <w:jc w:val="center"/>
              </w:trPr>
              <w:tc>
                <w:tcPr>
                  <w:tcW w:w="762" w:type="pct"/>
                  <w:vMerge w:val="continue"/>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p>
              </w:tc>
              <w:tc>
                <w:tcPr>
                  <w:tcW w:w="2374"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第四十八条　钢铁、建材、有色金属、石油、化工、制药、矿产开采等企业，应当加强精细化管理，采取集中收集处理等措施，严格控制粉尘和气态污染物的排放。工业生产企业应当采取密闭、围挡、遮盖、清扫、洒水等措施，减少内部物料的堆存、传输、装卸等环节产生的粉尘和气态污染物的排放。</w:t>
                  </w:r>
                </w:p>
              </w:tc>
              <w:tc>
                <w:tcPr>
                  <w:tcW w:w="1410" w:type="pct"/>
                  <w:vMerge w:val="continue"/>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p>
              </w:tc>
              <w:tc>
                <w:tcPr>
                  <w:tcW w:w="45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4767" w:hRule="exact"/>
                <w:jc w:val="center"/>
              </w:trPr>
              <w:tc>
                <w:tcPr>
                  <w:tcW w:w="76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四川省“十四五”生态环境保护规划》（川府发〔2022〕2号）</w:t>
                  </w:r>
                </w:p>
              </w:tc>
              <w:tc>
                <w:tcPr>
                  <w:tcW w:w="2374"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强化重点行业污染治理。加快火电、钢铁、水泥、焦化及燃煤工业锅炉超低排放改造。推进平板玻璃、陶瓷、铁合金、有色等重点行业深度治理。深化工业炉窑大气污染综合治理,基本完成使用高污染燃料的燃料类工业炉窑清洁能源替代。 全面淘汰 10 蒸吨 / 小时及以下燃煤锅炉,县级及以上城市建成区原则上不再新建35 蒸吨 / 小时以下的燃煤锅炉,65 蒸吨 / 小时及以上燃煤锅炉(含电力)全面实现超低排放改造,加快推进燃气锅炉低氮燃烧改造。推动取消石油化工、平板玻璃、建筑陶瓷等行业非必要烟气旁路。</w:t>
                  </w:r>
                </w:p>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强化治理设施运行监管,确保按照超低排放限值及相关标准要求运行,减少非正常工况排放。持续推进川西北地区城镇清洁能源供暖。强化钢铁、水泥、矿山等行业无组织排放整治。</w:t>
                  </w:r>
                </w:p>
              </w:tc>
              <w:tc>
                <w:tcPr>
                  <w:tcW w:w="1410" w:type="pct"/>
                  <w:tcBorders>
                    <w:tl2br w:val="nil"/>
                    <w:tr2bl w:val="nil"/>
                  </w:tcBorders>
                  <w:noWrap w:val="0"/>
                  <w:vAlign w:val="top"/>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项目废气达标排放；</w:t>
                  </w:r>
                </w:p>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本项目不涉及燃煤等高污燃料。</w:t>
                  </w:r>
                </w:p>
              </w:tc>
              <w:tc>
                <w:tcPr>
                  <w:tcW w:w="452" w:type="pct"/>
                  <w:tcBorders>
                    <w:tl2br w:val="nil"/>
                    <w:tr2bl w:val="nil"/>
                  </w:tcBorders>
                  <w:noWrap w:val="0"/>
                  <w:vAlign w:val="center"/>
                </w:tcPr>
                <w:p>
                  <w:pPr>
                    <w:widowControl/>
                    <w:autoSpaceDE w:val="0"/>
                    <w:autoSpaceDN w:val="0"/>
                    <w:adjustRightInd w:val="0"/>
                    <w:jc w:val="left"/>
                    <w:rPr>
                      <w:rFonts w:hint="eastAsia" w:ascii="宋体" w:hAnsi="宋体" w:cs="宋体"/>
                      <w:color w:val="auto"/>
                      <w:sz w:val="18"/>
                      <w:szCs w:val="18"/>
                    </w:rPr>
                  </w:pPr>
                  <w:r>
                    <w:rPr>
                      <w:rFonts w:hint="eastAsia" w:ascii="宋体" w:hAnsi="宋体" w:cs="宋体"/>
                      <w:color w:val="auto"/>
                      <w:sz w:val="18"/>
                      <w:szCs w:val="18"/>
                    </w:rPr>
                    <w:t>符合</w:t>
                  </w:r>
                </w:p>
              </w:tc>
            </w:tr>
          </w:tbl>
          <w:p>
            <w:pPr>
              <w:pStyle w:val="52"/>
              <w:ind w:left="0" w:leftChars="0" w:firstLine="420" w:firstLineChars="200"/>
              <w:rPr>
                <w:color w:val="auto"/>
                <w:sz w:val="21"/>
                <w:szCs w:val="21"/>
              </w:rPr>
            </w:pPr>
            <w:r>
              <w:rPr>
                <w:color w:val="auto"/>
                <w:sz w:val="21"/>
                <w:szCs w:val="21"/>
              </w:rPr>
              <w:t>由上表可知，项目与</w:t>
            </w:r>
            <w:r>
              <w:rPr>
                <w:rFonts w:hint="eastAsia"/>
                <w:color w:val="auto"/>
                <w:sz w:val="21"/>
                <w:szCs w:val="21"/>
              </w:rPr>
              <w:t>大气污染防治相关规划及方案</w:t>
            </w:r>
            <w:r>
              <w:rPr>
                <w:color w:val="auto"/>
                <w:sz w:val="21"/>
                <w:szCs w:val="21"/>
              </w:rPr>
              <w:t>要求相符。</w:t>
            </w:r>
          </w:p>
          <w:p>
            <w:pPr>
              <w:pStyle w:val="52"/>
              <w:ind w:left="0" w:leftChars="0" w:firstLine="422" w:firstLineChars="200"/>
              <w:rPr>
                <w:rFonts w:hint="default" w:ascii="Times New Roman" w:hAnsi="Times New Roman" w:eastAsia="宋体" w:cs="Times New Roman"/>
                <w:b/>
                <w:color w:val="auto"/>
                <w:sz w:val="21"/>
                <w:szCs w:val="21"/>
                <w:highlight w:val="none"/>
                <w:lang w:val="en-US" w:eastAsia="zh-CN"/>
              </w:rPr>
            </w:pPr>
            <w:r>
              <w:rPr>
                <w:rFonts w:hint="eastAsia" w:cs="Times New Roman"/>
                <w:b/>
                <w:color w:val="auto"/>
                <w:sz w:val="21"/>
                <w:szCs w:val="21"/>
                <w:highlight w:val="none"/>
                <w:lang w:val="en-US" w:eastAsia="zh-CN"/>
              </w:rPr>
              <w:t>8、</w:t>
            </w:r>
            <w:r>
              <w:rPr>
                <w:rFonts w:hint="default" w:ascii="Times New Roman" w:hAnsi="Times New Roman" w:eastAsia="宋体" w:cs="Times New Roman"/>
                <w:b/>
                <w:color w:val="auto"/>
                <w:sz w:val="21"/>
                <w:szCs w:val="21"/>
                <w:highlight w:val="none"/>
                <w:lang w:val="en-US" w:eastAsia="zh-CN"/>
              </w:rPr>
              <w:t>与《〈水污染防治行动计划〉四川省工作方案》符合性分析</w:t>
            </w:r>
          </w:p>
          <w:p>
            <w:pPr>
              <w:pStyle w:val="31"/>
              <w:spacing w:line="360" w:lineRule="auto"/>
              <w:ind w:firstLine="420" w:firstLineChars="200"/>
              <w:rPr>
                <w:rFonts w:hint="default" w:ascii="Times New Roman" w:hAnsi="Times New Roman" w:eastAsia="宋体" w:cs="Times New Roman"/>
                <w:color w:val="auto"/>
                <w:kern w:val="2"/>
                <w:sz w:val="21"/>
                <w:szCs w:val="21"/>
                <w:highlight w:val="none"/>
              </w:rPr>
            </w:pPr>
            <w:r>
              <w:rPr>
                <w:rFonts w:hint="default" w:ascii="Times New Roman" w:hAnsi="Times New Roman" w:eastAsia="宋体" w:cs="Times New Roman"/>
                <w:color w:val="auto"/>
                <w:kern w:val="2"/>
                <w:sz w:val="21"/>
                <w:szCs w:val="21"/>
                <w:highlight w:val="none"/>
              </w:rPr>
              <w:t>本项目与《〈水污染防治行动计划〉</w:t>
            </w:r>
            <w:r>
              <w:rPr>
                <w:rFonts w:hint="default" w:ascii="Times New Roman" w:hAnsi="Times New Roman" w:eastAsia="宋体" w:cs="Times New Roman"/>
                <w:color w:val="auto"/>
                <w:kern w:val="2"/>
                <w:sz w:val="21"/>
                <w:szCs w:val="21"/>
                <w:highlight w:val="none"/>
                <w:lang w:eastAsia="zh-CN"/>
              </w:rPr>
              <w:t>广元市</w:t>
            </w:r>
            <w:r>
              <w:rPr>
                <w:rFonts w:hint="default" w:ascii="Times New Roman" w:hAnsi="Times New Roman" w:eastAsia="宋体" w:cs="Times New Roman"/>
                <w:color w:val="auto"/>
                <w:kern w:val="2"/>
                <w:sz w:val="21"/>
                <w:szCs w:val="21"/>
                <w:highlight w:val="none"/>
              </w:rPr>
              <w:t>工作方案》具体符合性分析见</w:t>
            </w:r>
            <w:r>
              <w:rPr>
                <w:rFonts w:hint="default" w:ascii="Times New Roman" w:hAnsi="Times New Roman" w:eastAsia="宋体" w:cs="Times New Roman"/>
                <w:color w:val="auto"/>
                <w:kern w:val="2"/>
                <w:sz w:val="21"/>
                <w:szCs w:val="21"/>
                <w:highlight w:val="none"/>
                <w:lang w:eastAsia="zh-CN"/>
              </w:rPr>
              <w:t>下</w:t>
            </w:r>
            <w:r>
              <w:rPr>
                <w:rFonts w:hint="default" w:ascii="Times New Roman" w:hAnsi="Times New Roman" w:eastAsia="宋体" w:cs="Times New Roman"/>
                <w:color w:val="auto"/>
                <w:kern w:val="2"/>
                <w:sz w:val="21"/>
                <w:szCs w:val="21"/>
                <w:highlight w:val="none"/>
              </w:rPr>
              <w:t>表。</w:t>
            </w:r>
          </w:p>
          <w:p>
            <w:pPr>
              <w:adjustRightInd w:val="0"/>
              <w:snapToGrid w:val="0"/>
              <w:ind w:firstLine="181" w:firstLineChars="100"/>
              <w:jc w:val="both"/>
              <w:rPr>
                <w:rFonts w:hint="default" w:ascii="Times New Roman" w:hAnsi="Times New Roman" w:eastAsia="宋体" w:cs="Times New Roman"/>
                <w:b/>
                <w:color w:val="auto"/>
                <w:sz w:val="18"/>
                <w:szCs w:val="18"/>
                <w:highlight w:val="none"/>
              </w:rPr>
            </w:pPr>
            <w:r>
              <w:rPr>
                <w:rFonts w:hint="default" w:ascii="Times New Roman" w:hAnsi="Times New Roman" w:eastAsia="宋体" w:cs="Times New Roman"/>
                <w:b/>
                <w:color w:val="auto"/>
                <w:sz w:val="18"/>
                <w:szCs w:val="18"/>
                <w:highlight w:val="none"/>
              </w:rPr>
              <w:t>表1-</w:t>
            </w:r>
            <w:r>
              <w:rPr>
                <w:rFonts w:hint="eastAsia" w:cs="Times New Roman"/>
                <w:b/>
                <w:color w:val="auto"/>
                <w:sz w:val="18"/>
                <w:szCs w:val="18"/>
                <w:highlight w:val="none"/>
                <w:lang w:val="en-US" w:eastAsia="zh-CN"/>
              </w:rPr>
              <w:t>8</w:t>
            </w:r>
            <w:r>
              <w:rPr>
                <w:rFonts w:hint="default" w:ascii="Times New Roman" w:hAnsi="Times New Roman" w:eastAsia="宋体" w:cs="Times New Roman"/>
                <w:b/>
                <w:color w:val="auto"/>
                <w:sz w:val="18"/>
                <w:szCs w:val="18"/>
                <w:highlight w:val="none"/>
              </w:rPr>
              <w:t>与《〈水污染防治行动计划〉四川省工作方案》符合性分析一览表</w:t>
            </w:r>
          </w:p>
          <w:tbl>
            <w:tblPr>
              <w:tblStyle w:val="21"/>
              <w:tblW w:w="4997"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73"/>
              <w:gridCol w:w="3056"/>
              <w:gridCol w:w="1335"/>
              <w:gridCol w:w="79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857" w:type="pct"/>
                  <w:tcBorders>
                    <w:tl2br w:val="nil"/>
                    <w:tr2bl w:val="nil"/>
                  </w:tcBorders>
                  <w:noWrap w:val="0"/>
                  <w:vAlign w:val="top"/>
                </w:tcPr>
                <w:p>
                  <w:pPr>
                    <w:rPr>
                      <w:rFonts w:hint="eastAsia" w:ascii="宋体" w:hAnsi="宋体" w:cs="宋体"/>
                      <w:b/>
                      <w:color w:val="auto"/>
                      <w:sz w:val="18"/>
                      <w:szCs w:val="18"/>
                    </w:rPr>
                  </w:pPr>
                  <w:r>
                    <w:rPr>
                      <w:rFonts w:hint="eastAsia" w:ascii="宋体" w:hAnsi="宋体" w:cs="宋体"/>
                      <w:b/>
                      <w:color w:val="auto"/>
                      <w:sz w:val="18"/>
                      <w:szCs w:val="18"/>
                    </w:rPr>
                    <w:t>规划文</w:t>
                  </w:r>
                </w:p>
                <w:p>
                  <w:pPr>
                    <w:rPr>
                      <w:rFonts w:hint="eastAsia" w:ascii="宋体" w:hAnsi="宋体" w:cs="宋体"/>
                      <w:b/>
                      <w:color w:val="auto"/>
                      <w:sz w:val="18"/>
                      <w:szCs w:val="18"/>
                    </w:rPr>
                  </w:pPr>
                  <w:r>
                    <w:rPr>
                      <w:rFonts w:hint="eastAsia" w:ascii="宋体" w:hAnsi="宋体" w:cs="宋体"/>
                      <w:b/>
                      <w:color w:val="auto"/>
                      <w:sz w:val="18"/>
                      <w:szCs w:val="18"/>
                    </w:rPr>
                    <w:t>件名称</w:t>
                  </w:r>
                </w:p>
              </w:tc>
              <w:tc>
                <w:tcPr>
                  <w:tcW w:w="2441" w:type="pct"/>
                  <w:tcBorders>
                    <w:tl2br w:val="nil"/>
                    <w:tr2bl w:val="nil"/>
                  </w:tcBorders>
                  <w:noWrap w:val="0"/>
                  <w:vAlign w:val="top"/>
                </w:tcPr>
                <w:p>
                  <w:pPr>
                    <w:rPr>
                      <w:rFonts w:hint="eastAsia" w:ascii="宋体" w:hAnsi="宋体" w:cs="宋体"/>
                      <w:b/>
                      <w:color w:val="auto"/>
                      <w:sz w:val="18"/>
                      <w:szCs w:val="18"/>
                    </w:rPr>
                  </w:pPr>
                  <w:r>
                    <w:rPr>
                      <w:rFonts w:hint="eastAsia" w:ascii="宋体" w:hAnsi="宋体" w:cs="宋体"/>
                      <w:b/>
                      <w:color w:val="auto"/>
                      <w:sz w:val="18"/>
                      <w:szCs w:val="18"/>
                    </w:rPr>
                    <w:t>规范要求</w:t>
                  </w:r>
                </w:p>
              </w:tc>
              <w:tc>
                <w:tcPr>
                  <w:tcW w:w="1066" w:type="pct"/>
                  <w:tcBorders>
                    <w:tl2br w:val="nil"/>
                    <w:tr2bl w:val="nil"/>
                  </w:tcBorders>
                  <w:noWrap w:val="0"/>
                  <w:vAlign w:val="top"/>
                </w:tcPr>
                <w:p>
                  <w:pPr>
                    <w:rPr>
                      <w:rFonts w:hint="eastAsia" w:ascii="宋体" w:hAnsi="宋体" w:cs="宋体"/>
                      <w:b/>
                      <w:color w:val="auto"/>
                      <w:sz w:val="18"/>
                      <w:szCs w:val="18"/>
                    </w:rPr>
                  </w:pPr>
                  <w:r>
                    <w:rPr>
                      <w:rFonts w:hint="eastAsia" w:ascii="宋体" w:hAnsi="宋体" w:cs="宋体"/>
                      <w:b/>
                      <w:color w:val="auto"/>
                      <w:sz w:val="18"/>
                      <w:szCs w:val="18"/>
                    </w:rPr>
                    <w:t>项目情况</w:t>
                  </w:r>
                </w:p>
              </w:tc>
              <w:tc>
                <w:tcPr>
                  <w:tcW w:w="634" w:type="pct"/>
                  <w:tcBorders>
                    <w:tl2br w:val="nil"/>
                    <w:tr2bl w:val="nil"/>
                  </w:tcBorders>
                  <w:noWrap w:val="0"/>
                  <w:vAlign w:val="top"/>
                </w:tcPr>
                <w:p>
                  <w:pPr>
                    <w:rPr>
                      <w:rFonts w:hint="eastAsia" w:ascii="宋体" w:hAnsi="宋体" w:cs="宋体"/>
                      <w:b/>
                      <w:color w:val="auto"/>
                      <w:sz w:val="18"/>
                      <w:szCs w:val="18"/>
                    </w:rPr>
                  </w:pPr>
                  <w:r>
                    <w:rPr>
                      <w:rFonts w:hint="eastAsia" w:ascii="宋体" w:hAnsi="宋体" w:cs="宋体"/>
                      <w:b/>
                      <w:color w:val="auto"/>
                      <w:sz w:val="18"/>
                      <w:szCs w:val="18"/>
                    </w:rPr>
                    <w:t>符合性</w:t>
                  </w:r>
                </w:p>
                <w:p>
                  <w:pPr>
                    <w:rPr>
                      <w:rFonts w:hint="eastAsia" w:ascii="宋体" w:hAnsi="宋体" w:cs="宋体"/>
                      <w:b/>
                      <w:color w:val="auto"/>
                      <w:sz w:val="18"/>
                      <w:szCs w:val="18"/>
                    </w:rPr>
                  </w:pPr>
                  <w:r>
                    <w:rPr>
                      <w:rFonts w:hint="eastAsia" w:ascii="宋体" w:hAnsi="宋体" w:cs="宋体"/>
                      <w:b/>
                      <w:color w:val="auto"/>
                      <w:sz w:val="18"/>
                      <w:szCs w:val="18"/>
                    </w:rPr>
                    <w:t>分析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vMerge w:val="restar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bCs/>
                      <w:color w:val="auto"/>
                      <w:kern w:val="0"/>
                      <w:sz w:val="18"/>
                      <w:szCs w:val="18"/>
                      <w:lang w:bidi="ar"/>
                    </w:rPr>
                    <w:t xml:space="preserve">水污染防治行动计划 </w:t>
                  </w:r>
                </w:p>
                <w:p>
                  <w:pP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全面排查装备水平低、环保设施差的小型工业企业。2016年底前，按照水污染防治法律法规要求，全部取缔不符合国家产业政策的小型造纸、制革、印染、染料、炼焦、炼硫、炼砷、炼油、电镀、农药等严重污染水环境的生产项目。 </w:t>
                  </w:r>
                </w:p>
              </w:tc>
              <w:tc>
                <w:tcPr>
                  <w:tcW w:w="1066" w:type="pct"/>
                  <w:tcBorders>
                    <w:tl2br w:val="nil"/>
                    <w:tr2bl w:val="nil"/>
                  </w:tcBorders>
                  <w:noWrap w:val="0"/>
                  <w:vAlign w:val="top"/>
                </w:tcPr>
                <w:p>
                  <w:pPr>
                    <w:widowControl/>
                    <w:jc w:val="left"/>
                    <w:rPr>
                      <w:color w:val="auto"/>
                      <w:sz w:val="18"/>
                      <w:szCs w:val="18"/>
                    </w:rPr>
                  </w:pPr>
                  <w:r>
                    <w:rPr>
                      <w:rFonts w:hint="eastAsia" w:ascii="宋体" w:hAnsi="宋体" w:cs="宋体"/>
                      <w:color w:val="auto"/>
                      <w:kern w:val="0"/>
                      <w:sz w:val="18"/>
                      <w:szCs w:val="18"/>
                      <w:lang w:bidi="ar"/>
                    </w:rPr>
                    <w:t xml:space="preserve">项目不属于 “十小”企业。 </w:t>
                  </w:r>
                </w:p>
                <w:p>
                  <w:pPr>
                    <w:rPr>
                      <w:rFonts w:hint="eastAsia" w:ascii="宋体" w:hAnsi="宋体" w:cs="宋体"/>
                      <w:bCs/>
                      <w:color w:val="auto"/>
                      <w:sz w:val="18"/>
                      <w:szCs w:val="18"/>
                    </w:rPr>
                  </w:pP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vMerge w:val="continue"/>
                  <w:tcBorders>
                    <w:tl2br w:val="nil"/>
                    <w:tr2bl w:val="nil"/>
                  </w:tcBorders>
                  <w:noWrap w:val="0"/>
                  <w:vAlign w:val="top"/>
                </w:tcPr>
                <w:p>
                  <w:pPr>
                    <w:jc w:val="cente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制定造纸、焦化、氮肥、有色金属、印染、农副食品加工、原料药制造、制革、农药、电镀等行业专项治理方案，实施清洁化改造。新建、改建、扩建上述行业建设项目实行主要污染物排放等量或减量置换。 </w:t>
                  </w:r>
                </w:p>
              </w:tc>
              <w:tc>
                <w:tcPr>
                  <w:tcW w:w="1066"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项目不涉及废水总量控制指标。 </w:t>
                  </w: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vMerge w:val="continue"/>
                  <w:tcBorders>
                    <w:tl2br w:val="nil"/>
                    <w:tr2bl w:val="nil"/>
                  </w:tcBorders>
                  <w:noWrap w:val="0"/>
                  <w:vAlign w:val="top"/>
                </w:tcPr>
                <w:p>
                  <w:pPr>
                    <w:jc w:val="cente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集聚区内工业废水必须经预处理达到集中处理要求，方可进入污水集中处理设施。新建、升级工业集聚区应同步规划、建设污水、垃圾集中处理等污染治理设施。 </w:t>
                  </w:r>
                </w:p>
              </w:tc>
              <w:tc>
                <w:tcPr>
                  <w:tcW w:w="1066" w:type="pct"/>
                  <w:tcBorders>
                    <w:tl2br w:val="nil"/>
                    <w:tr2bl w:val="nil"/>
                  </w:tcBorders>
                  <w:noWrap w:val="0"/>
                  <w:vAlign w:val="top"/>
                </w:tcPr>
                <w:p>
                  <w:pPr>
                    <w:keepNext w:val="0"/>
                    <w:keepLines w:val="0"/>
                    <w:pageBreakBefore w:val="0"/>
                    <w:widowControl/>
                    <w:kinsoku/>
                    <w:wordWrap w:val="0"/>
                    <w:overflowPunct/>
                    <w:topLinePunct/>
                    <w:autoSpaceDE/>
                    <w:autoSpaceDN/>
                    <w:bidi w:val="0"/>
                    <w:adjustRightInd/>
                    <w:snapToGrid/>
                    <w:jc w:val="left"/>
                    <w:textAlignment w:val="auto"/>
                    <w:rPr>
                      <w:rFonts w:hint="eastAsia" w:ascii="宋体" w:hAnsi="宋体" w:cs="宋体"/>
                      <w:bCs/>
                      <w:color w:val="auto"/>
                      <w:kern w:val="0"/>
                      <w:sz w:val="18"/>
                      <w:szCs w:val="18"/>
                      <w:lang w:bidi="ar"/>
                    </w:rPr>
                  </w:pPr>
                  <w:r>
                    <w:rPr>
                      <w:rFonts w:hint="default" w:ascii="Times New Roman" w:hAnsi="Times New Roman" w:cs="Times New Roman"/>
                      <w:color w:val="auto"/>
                      <w:kern w:val="0"/>
                      <w:sz w:val="18"/>
                      <w:szCs w:val="18"/>
                      <w:lang w:bidi="ar"/>
                    </w:rPr>
                    <w:t>项目废水宠物治疗废水、</w:t>
                  </w:r>
                  <w:r>
                    <w:rPr>
                      <w:rFonts w:hint="eastAsia" w:cs="Times New Roman"/>
                      <w:color w:val="auto"/>
                      <w:kern w:val="0"/>
                      <w:sz w:val="18"/>
                      <w:szCs w:val="18"/>
                      <w:lang w:eastAsia="zh-CN" w:bidi="ar"/>
                    </w:rPr>
                    <w:t>宠物做手术器械和</w:t>
                  </w:r>
                  <w:r>
                    <w:rPr>
                      <w:rFonts w:hint="default" w:ascii="Times New Roman" w:hAnsi="Times New Roman" w:cs="Times New Roman"/>
                      <w:color w:val="auto"/>
                      <w:kern w:val="0"/>
                      <w:sz w:val="18"/>
                      <w:szCs w:val="18"/>
                      <w:lang w:bidi="ar"/>
                    </w:rPr>
                    <w:t>地面</w:t>
                  </w:r>
                  <w:r>
                    <w:rPr>
                      <w:rFonts w:hint="eastAsia" w:cs="Times New Roman"/>
                      <w:color w:val="auto"/>
                      <w:kern w:val="0"/>
                      <w:sz w:val="18"/>
                      <w:szCs w:val="18"/>
                      <w:lang w:eastAsia="zh-CN" w:bidi="ar"/>
                    </w:rPr>
                    <w:t>、</w:t>
                  </w:r>
                  <w:r>
                    <w:rPr>
                      <w:rFonts w:hint="eastAsia" w:eastAsia="宋体" w:cs="Times New Roman"/>
                      <w:color w:val="auto"/>
                      <w:sz w:val="18"/>
                      <w:szCs w:val="18"/>
                      <w:lang w:eastAsia="zh-CN"/>
                    </w:rPr>
                    <w:t>宠物笼</w:t>
                  </w:r>
                  <w:r>
                    <w:rPr>
                      <w:rFonts w:hint="default" w:ascii="Times New Roman" w:hAnsi="Times New Roman" w:cs="Times New Roman"/>
                      <w:color w:val="auto"/>
                      <w:kern w:val="0"/>
                      <w:sz w:val="18"/>
                      <w:szCs w:val="18"/>
                      <w:lang w:bidi="ar"/>
                    </w:rPr>
                    <w:t>清洁废水收集至污水消毒池进行处理，处理后达到《医疗机构水污染物排放标准》（GB18466-2005）表2中“预处理标准”标准限值要求再和工作人员污水排至已建的预处理池进行处理，经预处理池处理达到《污水综合排放标准》（GB8978-1998）三级排放标准后排入市政污水管网，最终进入</w:t>
                  </w:r>
                  <w:r>
                    <w:rPr>
                      <w:rFonts w:hint="default" w:ascii="Times New Roman" w:hAnsi="Times New Roman" w:cs="Times New Roman"/>
                      <w:color w:val="auto"/>
                      <w:kern w:val="0"/>
                      <w:sz w:val="18"/>
                      <w:szCs w:val="18"/>
                      <w:lang w:eastAsia="zh-CN" w:bidi="ar"/>
                    </w:rPr>
                    <w:t>苍溪县石家坝城市污水处理厂处理。</w:t>
                  </w:r>
                  <w:r>
                    <w:rPr>
                      <w:rFonts w:hint="eastAsia" w:ascii="宋体" w:hAnsi="宋体" w:cs="宋体"/>
                      <w:color w:val="auto"/>
                      <w:kern w:val="0"/>
                      <w:sz w:val="18"/>
                      <w:szCs w:val="18"/>
                      <w:lang w:bidi="ar"/>
                    </w:rPr>
                    <w:t xml:space="preserve"> </w:t>
                  </w: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vMerge w:val="restart"/>
                  <w:tcBorders>
                    <w:tl2br w:val="nil"/>
                    <w:tr2bl w:val="nil"/>
                  </w:tcBorders>
                  <w:noWrap w:val="0"/>
                  <w:vAlign w:val="top"/>
                </w:tcPr>
                <w:p>
                  <w:pPr>
                    <w:widowControl/>
                    <w:jc w:val="left"/>
                    <w:rPr>
                      <w:color w:val="auto"/>
                      <w:sz w:val="18"/>
                      <w:szCs w:val="18"/>
                    </w:rPr>
                  </w:pPr>
                  <w:r>
                    <w:rPr>
                      <w:rFonts w:hint="eastAsia" w:ascii="宋体" w:hAnsi="宋体" w:cs="宋体"/>
                      <w:color w:val="auto"/>
                      <w:kern w:val="0"/>
                      <w:sz w:val="18"/>
                      <w:szCs w:val="18"/>
                      <w:lang w:bidi="ar"/>
                    </w:rPr>
                    <w:t xml:space="preserve">水污染防治行动计划四川省工作方案 </w:t>
                  </w:r>
                </w:p>
                <w:p>
                  <w:pP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环境保护、经济和信息化部门联合制定造纸、焦化、氮肥、有色金属、印染、农副食品加工、原料药制造、制革、农药、电镀和磷化工等行业专项治理方案并组织实施；新建、改建、扩建上述行业的建设项目执行氨氮、化学需氧量等量或减量置换。 </w:t>
                  </w:r>
                </w:p>
              </w:tc>
              <w:tc>
                <w:tcPr>
                  <w:tcW w:w="1066"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项目不属于“十小” 企业。 </w:t>
                  </w: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vMerge w:val="continue"/>
                  <w:tcBorders>
                    <w:tl2br w:val="nil"/>
                    <w:tr2bl w:val="nil"/>
                  </w:tcBorders>
                  <w:noWrap w:val="0"/>
                  <w:vAlign w:val="top"/>
                </w:tcPr>
                <w:p>
                  <w:pP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sz w:val="18"/>
                      <w:szCs w:val="18"/>
                    </w:rPr>
                  </w:pPr>
                  <w:r>
                    <w:rPr>
                      <w:rFonts w:hint="eastAsia" w:ascii="宋体" w:hAnsi="宋体" w:cs="宋体"/>
                      <w:color w:val="auto"/>
                      <w:kern w:val="0"/>
                      <w:sz w:val="18"/>
                      <w:szCs w:val="18"/>
                      <w:lang w:bidi="ar"/>
                    </w:rPr>
                    <w:t xml:space="preserve">从严控制新建、改建、扩建涉磷行业的项目建设，总磷超标地方执行总磷排放减量置换，2017 年底前，所有涉磷重点工业企业应完善厂区冲洗水和初期雨水收集系统，落实涉磷矿山渣场和尾矿库的防渗、防风、防洪措施，建设规范的雨水收集池、回水池、渗滤液收集池和应急污水处理系统，并推进安装总磷在线监控装置。 </w:t>
                  </w:r>
                </w:p>
              </w:tc>
              <w:tc>
                <w:tcPr>
                  <w:tcW w:w="1066" w:type="pct"/>
                  <w:tcBorders>
                    <w:tl2br w:val="nil"/>
                    <w:tr2bl w:val="nil"/>
                  </w:tcBorders>
                  <w:noWrap w:val="0"/>
                  <w:vAlign w:val="top"/>
                </w:tcPr>
                <w:p>
                  <w:pPr>
                    <w:keepNext w:val="0"/>
                    <w:keepLines w:val="0"/>
                    <w:pageBreakBefore w:val="0"/>
                    <w:widowControl/>
                    <w:kinsoku/>
                    <w:wordWrap w:val="0"/>
                    <w:overflowPunct/>
                    <w:topLinePunct/>
                    <w:autoSpaceDE/>
                    <w:autoSpaceDN/>
                    <w:bidi w:val="0"/>
                    <w:adjustRightInd/>
                    <w:snapToGrid/>
                    <w:jc w:val="left"/>
                    <w:textAlignment w:val="auto"/>
                    <w:rPr>
                      <w:rFonts w:hint="eastAsia" w:ascii="宋体" w:hAnsi="宋体" w:cs="宋体"/>
                      <w:bCs/>
                      <w:color w:val="auto"/>
                      <w:kern w:val="0"/>
                      <w:sz w:val="18"/>
                      <w:szCs w:val="18"/>
                      <w:lang w:bidi="ar"/>
                    </w:rPr>
                  </w:pPr>
                  <w:r>
                    <w:rPr>
                      <w:rFonts w:hint="default" w:ascii="Times New Roman" w:hAnsi="Times New Roman" w:cs="Times New Roman"/>
                      <w:color w:val="auto"/>
                      <w:kern w:val="0"/>
                      <w:sz w:val="18"/>
                      <w:szCs w:val="18"/>
                      <w:lang w:bidi="ar"/>
                    </w:rPr>
                    <w:t>项目废水宠物治疗废水、物手术器械</w:t>
                  </w:r>
                  <w:r>
                    <w:rPr>
                      <w:rFonts w:hint="eastAsia" w:cs="Times New Roman"/>
                      <w:color w:val="auto"/>
                      <w:kern w:val="0"/>
                      <w:sz w:val="18"/>
                      <w:szCs w:val="18"/>
                      <w:lang w:eastAsia="zh-CN" w:bidi="ar"/>
                    </w:rPr>
                    <w:t>和</w:t>
                  </w:r>
                  <w:r>
                    <w:rPr>
                      <w:rFonts w:hint="default" w:ascii="Times New Roman" w:hAnsi="Times New Roman" w:cs="Times New Roman"/>
                      <w:color w:val="auto"/>
                      <w:kern w:val="0"/>
                      <w:sz w:val="18"/>
                      <w:szCs w:val="18"/>
                      <w:lang w:bidi="ar"/>
                    </w:rPr>
                    <w:t>地面</w:t>
                  </w:r>
                  <w:r>
                    <w:rPr>
                      <w:rFonts w:hint="eastAsia" w:cs="Times New Roman"/>
                      <w:color w:val="auto"/>
                      <w:kern w:val="0"/>
                      <w:sz w:val="18"/>
                      <w:szCs w:val="18"/>
                      <w:lang w:eastAsia="zh-CN" w:bidi="ar"/>
                    </w:rPr>
                    <w:t>、</w:t>
                  </w:r>
                  <w:r>
                    <w:rPr>
                      <w:rFonts w:hint="eastAsia" w:eastAsia="宋体" w:cs="Times New Roman"/>
                      <w:color w:val="auto"/>
                      <w:sz w:val="18"/>
                      <w:szCs w:val="18"/>
                      <w:lang w:eastAsia="zh-CN"/>
                    </w:rPr>
                    <w:t>宠物笼</w:t>
                  </w:r>
                  <w:r>
                    <w:rPr>
                      <w:rFonts w:hint="default" w:ascii="Times New Roman" w:hAnsi="Times New Roman" w:cs="Times New Roman"/>
                      <w:color w:val="auto"/>
                      <w:kern w:val="0"/>
                      <w:sz w:val="18"/>
                      <w:szCs w:val="18"/>
                      <w:lang w:bidi="ar"/>
                    </w:rPr>
                    <w:t>清洁废水收集至污水消毒池进行处理，处理后达到《医疗机构水污染物排放标准》（GB18466-2005）表2中“预处理标准”标准限值要求再和工作人员污水排至已建的预处理池进行处理，经预处理池处理达到《污水综合排放标准》（GB8978-1998）三级排放标准后排入市政污水管网，最终进入</w:t>
                  </w:r>
                  <w:r>
                    <w:rPr>
                      <w:rFonts w:hint="default" w:ascii="Times New Roman" w:hAnsi="Times New Roman" w:cs="Times New Roman"/>
                      <w:color w:val="auto"/>
                      <w:kern w:val="0"/>
                      <w:sz w:val="18"/>
                      <w:szCs w:val="18"/>
                      <w:lang w:eastAsia="zh-CN" w:bidi="ar"/>
                    </w:rPr>
                    <w:t>苍溪县石家坝城市污水处理厂处理。</w:t>
                  </w: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vMerge w:val="continue"/>
                  <w:tcBorders>
                    <w:tl2br w:val="nil"/>
                    <w:tr2bl w:val="nil"/>
                  </w:tcBorders>
                  <w:noWrap w:val="0"/>
                  <w:vAlign w:val="top"/>
                </w:tcPr>
                <w:p>
                  <w:pP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kern w:val="0"/>
                      <w:sz w:val="18"/>
                      <w:szCs w:val="18"/>
                      <w:lang w:bidi="ar"/>
                    </w:rPr>
                  </w:pPr>
                  <w:r>
                    <w:rPr>
                      <w:rFonts w:hint="eastAsia" w:ascii="宋体" w:hAnsi="宋体" w:cs="宋体"/>
                      <w:color w:val="auto"/>
                      <w:kern w:val="0"/>
                      <w:sz w:val="18"/>
                      <w:szCs w:val="18"/>
                      <w:lang w:bidi="ar"/>
                    </w:rPr>
                    <w:t>新建、升级工业集聚区应严格执行环境影响评价和环境保护“三同时”制度，同步规划、建设和运行污水集中处理设施，集聚区内的工业废水必须经预处理达到集中处理要求后，方可排入集中污水处理设施。</w:t>
                  </w:r>
                </w:p>
              </w:tc>
              <w:tc>
                <w:tcPr>
                  <w:tcW w:w="1066" w:type="pct"/>
                  <w:tcBorders>
                    <w:tl2br w:val="nil"/>
                    <w:tr2bl w:val="nil"/>
                  </w:tcBorders>
                  <w:noWrap w:val="0"/>
                  <w:vAlign w:val="top"/>
                </w:tcPr>
                <w:p>
                  <w:pPr>
                    <w:keepNext w:val="0"/>
                    <w:keepLines w:val="0"/>
                    <w:pageBreakBefore w:val="0"/>
                    <w:widowControl/>
                    <w:kinsoku/>
                    <w:wordWrap w:val="0"/>
                    <w:overflowPunct/>
                    <w:topLinePunct/>
                    <w:autoSpaceDE/>
                    <w:autoSpaceDN/>
                    <w:bidi w:val="0"/>
                    <w:adjustRightInd/>
                    <w:snapToGrid/>
                    <w:jc w:val="left"/>
                    <w:textAlignment w:val="auto"/>
                    <w:rPr>
                      <w:rFonts w:hint="eastAsia" w:ascii="宋体" w:hAnsi="宋体" w:cs="宋体"/>
                      <w:bCs/>
                      <w:color w:val="auto"/>
                      <w:kern w:val="0"/>
                      <w:sz w:val="18"/>
                      <w:szCs w:val="18"/>
                      <w:lang w:bidi="ar"/>
                    </w:rPr>
                  </w:pPr>
                  <w:r>
                    <w:rPr>
                      <w:rFonts w:hint="eastAsia" w:ascii="宋体" w:hAnsi="宋体" w:cs="宋体"/>
                      <w:color w:val="auto"/>
                      <w:kern w:val="0"/>
                      <w:sz w:val="18"/>
                      <w:szCs w:val="18"/>
                      <w:lang w:bidi="ar"/>
                    </w:rPr>
                    <w:t>项目</w:t>
                  </w:r>
                  <w:r>
                    <w:rPr>
                      <w:rFonts w:hint="default" w:ascii="Times New Roman" w:hAnsi="Times New Roman" w:cs="Times New Roman"/>
                      <w:color w:val="auto"/>
                      <w:kern w:val="0"/>
                      <w:sz w:val="18"/>
                      <w:szCs w:val="18"/>
                      <w:lang w:bidi="ar"/>
                    </w:rPr>
                    <w:t>废水宠物治疗废水、</w:t>
                  </w:r>
                  <w:r>
                    <w:rPr>
                      <w:rFonts w:hint="eastAsia" w:cs="Times New Roman"/>
                      <w:color w:val="auto"/>
                      <w:kern w:val="0"/>
                      <w:sz w:val="18"/>
                      <w:szCs w:val="18"/>
                      <w:lang w:eastAsia="zh-CN" w:bidi="ar"/>
                    </w:rPr>
                    <w:t>宠物做手术器械和</w:t>
                  </w:r>
                  <w:r>
                    <w:rPr>
                      <w:rFonts w:hint="default" w:ascii="Times New Roman" w:hAnsi="Times New Roman" w:cs="Times New Roman"/>
                      <w:color w:val="auto"/>
                      <w:kern w:val="0"/>
                      <w:sz w:val="18"/>
                      <w:szCs w:val="18"/>
                      <w:lang w:bidi="ar"/>
                    </w:rPr>
                    <w:t>地面</w:t>
                  </w:r>
                  <w:r>
                    <w:rPr>
                      <w:rFonts w:hint="eastAsia" w:cs="Times New Roman"/>
                      <w:color w:val="auto"/>
                      <w:kern w:val="0"/>
                      <w:sz w:val="18"/>
                      <w:szCs w:val="18"/>
                      <w:lang w:eastAsia="zh-CN" w:bidi="ar"/>
                    </w:rPr>
                    <w:t>、</w:t>
                  </w:r>
                  <w:r>
                    <w:rPr>
                      <w:rFonts w:hint="eastAsia" w:eastAsia="宋体" w:cs="Times New Roman"/>
                      <w:color w:val="auto"/>
                      <w:sz w:val="18"/>
                      <w:szCs w:val="18"/>
                      <w:lang w:eastAsia="zh-CN"/>
                    </w:rPr>
                    <w:t>宠物笼</w:t>
                  </w:r>
                  <w:r>
                    <w:rPr>
                      <w:rFonts w:hint="default" w:ascii="Times New Roman" w:hAnsi="Times New Roman" w:cs="Times New Roman"/>
                      <w:color w:val="auto"/>
                      <w:kern w:val="0"/>
                      <w:sz w:val="18"/>
                      <w:szCs w:val="18"/>
                      <w:lang w:bidi="ar"/>
                    </w:rPr>
                    <w:t>清洁废水收集至污水消毒池进行处理，处理后达到《医疗机构水污染物排放标准》（GB18466-2005）表2中“预处理标准”标准限值要求再和工作人员污水排至已建的预处理池进行处理，经预处理池处理达到《污水综合排放标准》（GB8978-1998）三级排放标准后排入市政污水管网，最终进入</w:t>
                  </w:r>
                  <w:r>
                    <w:rPr>
                      <w:rFonts w:hint="default" w:ascii="Times New Roman" w:hAnsi="Times New Roman" w:cs="Times New Roman"/>
                      <w:color w:val="auto"/>
                      <w:kern w:val="0"/>
                      <w:sz w:val="18"/>
                      <w:szCs w:val="18"/>
                      <w:lang w:eastAsia="zh-CN" w:bidi="ar"/>
                    </w:rPr>
                    <w:t>苍溪县石家坝城市污水处理厂处理。</w:t>
                  </w: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57" w:type="pct"/>
                  <w:tcBorders>
                    <w:tl2br w:val="nil"/>
                    <w:tr2bl w:val="nil"/>
                  </w:tcBorders>
                  <w:noWrap w:val="0"/>
                  <w:vAlign w:val="top"/>
                </w:tcPr>
                <w:p>
                  <w:pPr>
                    <w:widowControl/>
                    <w:jc w:val="left"/>
                    <w:rPr>
                      <w:color w:val="auto"/>
                      <w:sz w:val="18"/>
                      <w:szCs w:val="18"/>
                    </w:rPr>
                  </w:pPr>
                  <w:r>
                    <w:rPr>
                      <w:rFonts w:hint="eastAsia" w:ascii="宋体" w:hAnsi="宋体" w:cs="宋体"/>
                      <w:color w:val="auto"/>
                      <w:kern w:val="0"/>
                      <w:sz w:val="18"/>
                      <w:szCs w:val="18"/>
                      <w:lang w:bidi="ar"/>
                    </w:rPr>
                    <w:t xml:space="preserve">关于加强长江黄金水道环境污染防控治理的指导 </w:t>
                  </w:r>
                </w:p>
                <w:p>
                  <w:pPr>
                    <w:widowControl/>
                    <w:jc w:val="left"/>
                    <w:rPr>
                      <w:color w:val="auto"/>
                      <w:sz w:val="18"/>
                      <w:szCs w:val="18"/>
                    </w:rPr>
                  </w:pPr>
                  <w:r>
                    <w:rPr>
                      <w:rFonts w:hint="eastAsia" w:ascii="宋体" w:hAnsi="宋体" w:cs="宋体"/>
                      <w:color w:val="auto"/>
                      <w:kern w:val="0"/>
                      <w:sz w:val="18"/>
                      <w:szCs w:val="18"/>
                      <w:lang w:bidi="ar"/>
                    </w:rPr>
                    <w:t xml:space="preserve">意见 </w:t>
                  </w:r>
                </w:p>
                <w:p>
                  <w:pPr>
                    <w:rPr>
                      <w:rFonts w:hint="eastAsia" w:ascii="宋体" w:hAnsi="宋体" w:cs="宋体"/>
                      <w:bCs/>
                      <w:color w:val="auto"/>
                      <w:sz w:val="18"/>
                      <w:szCs w:val="18"/>
                    </w:rPr>
                  </w:pPr>
                </w:p>
              </w:tc>
              <w:tc>
                <w:tcPr>
                  <w:tcW w:w="2441" w:type="pct"/>
                  <w:tcBorders>
                    <w:tl2br w:val="nil"/>
                    <w:tr2bl w:val="nil"/>
                  </w:tcBorders>
                  <w:noWrap w:val="0"/>
                  <w:vAlign w:val="top"/>
                </w:tcPr>
                <w:p>
                  <w:pPr>
                    <w:widowControl/>
                    <w:jc w:val="left"/>
                    <w:rPr>
                      <w:rFonts w:hint="eastAsia" w:ascii="宋体" w:hAnsi="宋体" w:cs="宋体"/>
                      <w:bCs/>
                      <w:color w:val="auto"/>
                      <w:kern w:val="0"/>
                      <w:sz w:val="18"/>
                      <w:szCs w:val="18"/>
                      <w:lang w:bidi="ar"/>
                    </w:rPr>
                  </w:pPr>
                  <w:r>
                    <w:rPr>
                      <w:rFonts w:hint="eastAsia" w:ascii="宋体" w:hAnsi="宋体" w:cs="宋体"/>
                      <w:color w:val="auto"/>
                      <w:kern w:val="0"/>
                      <w:sz w:val="18"/>
                      <w:szCs w:val="18"/>
                      <w:lang w:bidi="ar"/>
                    </w:rPr>
                    <w:t>落实主体功能区战略，实施差别化的区域产业政策。科学划定岸线功能分区边界，严格分区管理和用途管制。坚持“以水定发展”，统筹规划沿江岸线资源，严控下游高污染、高排放企业向上游转移。除在建项目外，严禁在干流及主要支流岸线 1 公里范围内新建布局重化工园区，严控在中上游沿岸地区新建石油化工和煤化工项目。</w:t>
                  </w:r>
                </w:p>
              </w:tc>
              <w:tc>
                <w:tcPr>
                  <w:tcW w:w="1066" w:type="pct"/>
                  <w:tcBorders>
                    <w:tl2br w:val="nil"/>
                    <w:tr2bl w:val="nil"/>
                  </w:tcBorders>
                  <w:noWrap w:val="0"/>
                  <w:vAlign w:val="top"/>
                </w:tcPr>
                <w:p>
                  <w:pPr>
                    <w:keepNext w:val="0"/>
                    <w:keepLines w:val="0"/>
                    <w:pageBreakBefore w:val="0"/>
                    <w:widowControl/>
                    <w:kinsoku/>
                    <w:wordWrap w:val="0"/>
                    <w:overflowPunct/>
                    <w:topLinePunct/>
                    <w:autoSpaceDE/>
                    <w:autoSpaceDN/>
                    <w:bidi w:val="0"/>
                    <w:adjustRightInd/>
                    <w:snapToGrid/>
                    <w:jc w:val="left"/>
                    <w:textAlignment w:val="auto"/>
                    <w:rPr>
                      <w:rFonts w:hint="eastAsia" w:ascii="宋体" w:hAnsi="宋体" w:cs="宋体"/>
                      <w:bCs/>
                      <w:color w:val="auto"/>
                      <w:kern w:val="0"/>
                      <w:sz w:val="18"/>
                      <w:szCs w:val="18"/>
                      <w:lang w:bidi="ar"/>
                    </w:rPr>
                  </w:pPr>
                  <w:r>
                    <w:rPr>
                      <w:rFonts w:hint="eastAsia" w:ascii="宋体" w:hAnsi="宋体" w:cs="宋体"/>
                      <w:color w:val="auto"/>
                      <w:kern w:val="0"/>
                      <w:sz w:val="18"/>
                      <w:szCs w:val="18"/>
                      <w:lang w:bidi="ar"/>
                    </w:rPr>
                    <w:t>项目不属于重化工项目，项目废水</w:t>
                  </w:r>
                  <w:r>
                    <w:rPr>
                      <w:rFonts w:hint="default" w:ascii="Times New Roman" w:hAnsi="Times New Roman" w:cs="Times New Roman"/>
                      <w:color w:val="auto"/>
                      <w:kern w:val="0"/>
                      <w:sz w:val="18"/>
                      <w:szCs w:val="18"/>
                      <w:lang w:bidi="ar"/>
                    </w:rPr>
                    <w:t>宠物治疗废水、</w:t>
                  </w:r>
                  <w:r>
                    <w:rPr>
                      <w:rFonts w:hint="eastAsia" w:cs="Times New Roman"/>
                      <w:color w:val="auto"/>
                      <w:kern w:val="0"/>
                      <w:sz w:val="18"/>
                      <w:szCs w:val="18"/>
                      <w:lang w:eastAsia="zh-CN" w:bidi="ar"/>
                    </w:rPr>
                    <w:t>宠物做手术器械和</w:t>
                  </w:r>
                  <w:r>
                    <w:rPr>
                      <w:rFonts w:hint="default" w:ascii="Times New Roman" w:hAnsi="Times New Roman" w:cs="Times New Roman"/>
                      <w:color w:val="auto"/>
                      <w:kern w:val="0"/>
                      <w:sz w:val="18"/>
                      <w:szCs w:val="18"/>
                      <w:lang w:bidi="ar"/>
                    </w:rPr>
                    <w:t>地面</w:t>
                  </w:r>
                  <w:r>
                    <w:rPr>
                      <w:rFonts w:hint="eastAsia" w:eastAsia="宋体" w:cs="Times New Roman"/>
                      <w:color w:val="auto"/>
                      <w:sz w:val="18"/>
                      <w:szCs w:val="18"/>
                      <w:lang w:eastAsia="zh-CN"/>
                    </w:rPr>
                    <w:t>、宠物笼</w:t>
                  </w:r>
                  <w:r>
                    <w:rPr>
                      <w:rFonts w:hint="default" w:ascii="Times New Roman" w:hAnsi="Times New Roman" w:cs="Times New Roman"/>
                      <w:color w:val="auto"/>
                      <w:kern w:val="0"/>
                      <w:sz w:val="18"/>
                      <w:szCs w:val="18"/>
                      <w:lang w:bidi="ar"/>
                    </w:rPr>
                    <w:t>清洁废水收集至污水消毒池进行处理，处理后达到《医疗机构水污染物排放标准》（GB18466-2005）表2中“预处理标准”标准限值要求再和工作人员污水排至已建的预处理池进行处理，经预处理池处理达到《污水综合排放标准》（GB8978-1998）三级排放标准后排入市政污水管网，最终进入</w:t>
                  </w:r>
                  <w:r>
                    <w:rPr>
                      <w:rFonts w:hint="default" w:ascii="Times New Roman" w:hAnsi="Times New Roman" w:cs="Times New Roman"/>
                      <w:color w:val="auto"/>
                      <w:kern w:val="0"/>
                      <w:sz w:val="18"/>
                      <w:szCs w:val="18"/>
                      <w:lang w:eastAsia="zh-CN" w:bidi="ar"/>
                    </w:rPr>
                    <w:t>苍溪县石家坝城市污水处理厂处理。</w:t>
                  </w:r>
                </w:p>
              </w:tc>
              <w:tc>
                <w:tcPr>
                  <w:tcW w:w="634" w:type="pct"/>
                  <w:tcBorders>
                    <w:tl2br w:val="nil"/>
                    <w:tr2bl w:val="nil"/>
                  </w:tcBorders>
                  <w:noWrap w:val="0"/>
                  <w:vAlign w:val="top"/>
                </w:tcPr>
                <w:p>
                  <w:pPr>
                    <w:rPr>
                      <w:rFonts w:hint="eastAsia" w:ascii="宋体" w:hAnsi="宋体" w:cs="宋体"/>
                      <w:bCs/>
                      <w:color w:val="auto"/>
                      <w:sz w:val="18"/>
                      <w:szCs w:val="18"/>
                    </w:rPr>
                  </w:pPr>
                  <w:r>
                    <w:rPr>
                      <w:rFonts w:hint="eastAsia" w:ascii="宋体" w:hAnsi="宋体" w:cs="宋体"/>
                      <w:bCs/>
                      <w:color w:val="auto"/>
                      <w:sz w:val="18"/>
                      <w:szCs w:val="18"/>
                    </w:rPr>
                    <w:t>符合</w:t>
                  </w:r>
                </w:p>
              </w:tc>
            </w:tr>
          </w:tbl>
          <w:p>
            <w:pPr>
              <w:pStyle w:val="2"/>
              <w:widowControl/>
              <w:wordWrap w:val="0"/>
              <w:topLinePunct/>
              <w:spacing w:line="360" w:lineRule="auto"/>
              <w:ind w:left="0" w:leftChars="0" w:firstLine="420" w:firstLineChars="200"/>
              <w:rPr>
                <w:rFonts w:hint="default"/>
                <w:color w:val="auto"/>
                <w:vertAlign w:val="baseline"/>
                <w:lang w:val="en-US" w:eastAsia="zh-CN"/>
              </w:rPr>
            </w:pPr>
            <w:r>
              <w:rPr>
                <w:rFonts w:hint="default" w:ascii="Times New Roman" w:hAnsi="Times New Roman" w:eastAsia="宋体" w:cs="Times New Roman"/>
                <w:color w:val="auto"/>
                <w:kern w:val="0"/>
                <w:sz w:val="21"/>
                <w:szCs w:val="21"/>
                <w:highlight w:val="none"/>
                <w:lang w:val="en-US" w:eastAsia="zh-CN" w:bidi="ar-SA"/>
              </w:rPr>
              <w:t>综上所述，本项目符合《〈水污染防治行动计划〉四川省工作方案》相关政策及要求。</w:t>
            </w:r>
            <w:r>
              <w:rPr>
                <w:rFonts w:hint="eastAsia" w:ascii="Times New Roman" w:hAnsi="Times New Roman" w:eastAsia="宋体" w:cs="Times New Roman"/>
                <w:color w:val="auto"/>
                <w:kern w:val="0"/>
                <w:sz w:val="21"/>
                <w:szCs w:val="21"/>
                <w:highlight w:val="none"/>
                <w:lang w:val="en-US" w:eastAsia="zh-CN" w:bidi="ar-SA"/>
              </w:rPr>
              <w:t xml:space="preserve">                                          </w:t>
            </w:r>
            <w:r>
              <w:rPr>
                <w:rFonts w:hint="eastAsia" w:eastAsia="宋体" w:cs="Times New Roman"/>
                <w:color w:val="auto"/>
                <w:kern w:val="0"/>
                <w:sz w:val="21"/>
                <w:szCs w:val="21"/>
                <w:highlight w:val="none"/>
                <w:lang w:val="en-US" w:eastAsia="zh-CN" w:bidi="ar-SA"/>
              </w:rPr>
              <w:t xml:space="preserve"> 9、</w:t>
            </w:r>
            <w:r>
              <w:rPr>
                <w:rFonts w:hint="eastAsia" w:ascii="Times New Roman" w:hAnsi="Times New Roman" w:eastAsia="宋体" w:cs="Times New Roman"/>
                <w:b/>
                <w:color w:val="auto"/>
                <w:kern w:val="2"/>
                <w:sz w:val="21"/>
                <w:szCs w:val="21"/>
                <w:highlight w:val="none"/>
                <w:lang w:val="en-US" w:eastAsia="zh-CN" w:bidi="ar-SA"/>
              </w:rPr>
              <w:t xml:space="preserve">项目与《四川省嘉陵江流域生态环境保护条例》符合性分析 </w:t>
            </w:r>
            <w:r>
              <w:rPr>
                <w:rFonts w:hint="eastAsia" w:ascii="Times New Roman" w:hAnsi="Times New Roman" w:eastAsia="宋体" w:cs="Times New Roman"/>
                <w:color w:val="auto"/>
                <w:kern w:val="0"/>
                <w:sz w:val="21"/>
                <w:szCs w:val="21"/>
                <w:highlight w:val="none"/>
                <w:lang w:val="en-US" w:eastAsia="zh-CN" w:bidi="ar-SA"/>
              </w:rPr>
              <w:t xml:space="preserve">    本项目与《四川省嘉陵江流域生态环境保护条例》符合性分析见下表。                                                           </w:t>
            </w:r>
            <w:r>
              <w:rPr>
                <w:rFonts w:hint="eastAsia" w:ascii="Times New Roman" w:hAnsi="Times New Roman" w:eastAsia="宋体" w:cs="Times New Roman"/>
                <w:b/>
                <w:color w:val="auto"/>
                <w:kern w:val="2"/>
                <w:sz w:val="18"/>
                <w:szCs w:val="18"/>
                <w:highlight w:val="none"/>
                <w:lang w:val="en-US" w:eastAsia="zh-CN" w:bidi="ar-SA"/>
              </w:rPr>
              <w:t>表1-</w:t>
            </w:r>
            <w:r>
              <w:rPr>
                <w:rFonts w:hint="eastAsia" w:eastAsia="宋体" w:cs="Times New Roman"/>
                <w:b/>
                <w:color w:val="auto"/>
                <w:kern w:val="2"/>
                <w:sz w:val="18"/>
                <w:szCs w:val="18"/>
                <w:highlight w:val="none"/>
                <w:lang w:val="en-US" w:eastAsia="zh-CN" w:bidi="ar-SA"/>
              </w:rPr>
              <w:t>9</w:t>
            </w:r>
            <w:r>
              <w:rPr>
                <w:rFonts w:hint="eastAsia" w:ascii="Times New Roman" w:hAnsi="Times New Roman" w:eastAsia="宋体" w:cs="Times New Roman"/>
                <w:b/>
                <w:color w:val="auto"/>
                <w:kern w:val="2"/>
                <w:sz w:val="18"/>
                <w:szCs w:val="18"/>
                <w:highlight w:val="none"/>
                <w:lang w:val="en-US" w:eastAsia="zh-CN" w:bidi="ar-SA"/>
              </w:rPr>
              <w:t xml:space="preserve"> 项目与《四川省嘉陵江流域生态环境保护条例》分析结果表 </w:t>
            </w:r>
          </w:p>
          <w:tbl>
            <w:tblPr>
              <w:tblStyle w:val="22"/>
              <w:tblW w:w="6272"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369"/>
              <w:gridCol w:w="2022"/>
              <w:gridCol w:w="88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3369" w:type="dxa"/>
                  <w:tcBorders>
                    <w:tl2br w:val="nil"/>
                    <w:tr2bl w:val="nil"/>
                  </w:tcBorders>
                  <w:noWrap w:val="0"/>
                  <w:vAlign w:val="top"/>
                </w:tcPr>
                <w:p>
                  <w:pPr>
                    <w:pStyle w:val="2"/>
                    <w:widowControl/>
                    <w:wordWrap w:val="0"/>
                    <w:topLinePunct/>
                    <w:spacing w:line="240" w:lineRule="auto"/>
                    <w:ind w:left="0" w:leftChars="0" w:firstLine="0" w:firstLineChars="0"/>
                    <w:rPr>
                      <w:rFonts w:hint="default"/>
                      <w:color w:val="auto"/>
                      <w:sz w:val="18"/>
                      <w:szCs w:val="18"/>
                      <w:vertAlign w:val="baseline"/>
                      <w:lang w:val="en-US" w:eastAsia="zh-CN"/>
                    </w:rPr>
                  </w:pPr>
                  <w:r>
                    <w:rPr>
                      <w:rFonts w:hint="default" w:ascii="Times New Roman" w:hAnsi="Times New Roman" w:eastAsia="宋体" w:cs="Times New Roman"/>
                      <w:color w:val="auto"/>
                      <w:kern w:val="0"/>
                      <w:sz w:val="18"/>
                      <w:szCs w:val="18"/>
                      <w:highlight w:val="none"/>
                      <w:lang w:val="en-US" w:eastAsia="zh-CN" w:bidi="ar-SA"/>
                    </w:rPr>
                    <w:t>《四川省嘉陵江流域生态环境保护条例》</w:t>
                  </w:r>
                  <w:r>
                    <w:rPr>
                      <w:rFonts w:hint="eastAsia" w:ascii="Times New Roman" w:hAnsi="Times New Roman" w:eastAsia="宋体" w:cs="Times New Roman"/>
                      <w:color w:val="auto"/>
                      <w:kern w:val="0"/>
                      <w:sz w:val="18"/>
                      <w:szCs w:val="18"/>
                      <w:highlight w:val="none"/>
                      <w:lang w:val="en-US" w:eastAsia="zh-CN" w:bidi="ar-SA"/>
                    </w:rPr>
                    <w:t>中要求</w:t>
                  </w:r>
                </w:p>
              </w:tc>
              <w:tc>
                <w:tcPr>
                  <w:tcW w:w="2022" w:type="dxa"/>
                  <w:tcBorders>
                    <w:tl2br w:val="nil"/>
                    <w:tr2bl w:val="nil"/>
                  </w:tcBorders>
                  <w:noWrap w:val="0"/>
                  <w:vAlign w:val="top"/>
                </w:tcPr>
                <w:p>
                  <w:pPr>
                    <w:pStyle w:val="2"/>
                    <w:widowControl/>
                    <w:wordWrap w:val="0"/>
                    <w:topLinePunct/>
                    <w:spacing w:line="360" w:lineRule="auto"/>
                    <w:ind w:left="0" w:leftChars="0" w:firstLine="360" w:firstLineChars="200"/>
                    <w:rPr>
                      <w:rFonts w:hint="default"/>
                      <w:color w:val="auto"/>
                      <w:sz w:val="18"/>
                      <w:szCs w:val="18"/>
                      <w:vertAlign w:val="baseline"/>
                      <w:lang w:val="en-US" w:eastAsia="zh-CN"/>
                    </w:rPr>
                  </w:pPr>
                  <w:r>
                    <w:rPr>
                      <w:rFonts w:hint="eastAsia" w:ascii="Times New Roman" w:hAnsi="Times New Roman" w:eastAsia="宋体" w:cs="Times New Roman"/>
                      <w:color w:val="auto"/>
                      <w:kern w:val="0"/>
                      <w:sz w:val="18"/>
                      <w:szCs w:val="18"/>
                      <w:highlight w:val="none"/>
                      <w:lang w:val="en-US" w:eastAsia="zh-CN" w:bidi="ar-SA"/>
                    </w:rPr>
                    <w:t>本项目情况</w:t>
                  </w:r>
                </w:p>
              </w:tc>
              <w:tc>
                <w:tcPr>
                  <w:tcW w:w="881" w:type="dxa"/>
                  <w:tcBorders>
                    <w:tl2br w:val="nil"/>
                    <w:tr2bl w:val="nil"/>
                  </w:tcBorders>
                  <w:noWrap w:val="0"/>
                  <w:vAlign w:val="top"/>
                </w:tcPr>
                <w:p>
                  <w:pPr>
                    <w:pStyle w:val="2"/>
                    <w:widowControl/>
                    <w:wordWrap w:val="0"/>
                    <w:topLinePunct/>
                    <w:spacing w:line="240" w:lineRule="auto"/>
                    <w:ind w:left="0" w:leftChars="0" w:firstLine="0" w:firstLineChars="0"/>
                    <w:jc w:val="center"/>
                    <w:rPr>
                      <w:rFonts w:hint="default"/>
                      <w:color w:val="auto"/>
                      <w:sz w:val="18"/>
                      <w:szCs w:val="18"/>
                      <w:vertAlign w:val="baseline"/>
                      <w:lang w:val="en-US" w:eastAsia="zh-CN"/>
                    </w:rPr>
                  </w:pPr>
                  <w:r>
                    <w:rPr>
                      <w:rFonts w:hint="eastAsia" w:ascii="Times New Roman" w:hAnsi="Times New Roman" w:eastAsia="宋体" w:cs="Times New Roman"/>
                      <w:color w:val="auto"/>
                      <w:kern w:val="0"/>
                      <w:sz w:val="18"/>
                      <w:szCs w:val="18"/>
                      <w:highlight w:val="none"/>
                      <w:lang w:val="en-US" w:eastAsia="zh-CN" w:bidi="ar-SA"/>
                    </w:rPr>
                    <w:t>符合性分析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3369" w:type="dxa"/>
                  <w:tcBorders>
                    <w:tl2br w:val="nil"/>
                    <w:tr2bl w:val="nil"/>
                  </w:tcBorders>
                  <w:noWrap w:val="0"/>
                  <w:vAlign w:val="top"/>
                </w:tcPr>
                <w:p>
                  <w:pPr>
                    <w:pStyle w:val="2"/>
                    <w:widowControl/>
                    <w:wordWrap w:val="0"/>
                    <w:topLinePunct/>
                    <w:spacing w:line="240" w:lineRule="auto"/>
                    <w:ind w:left="0" w:leftChars="0" w:firstLine="0" w:firstLineChars="0"/>
                    <w:rPr>
                      <w:rFonts w:hint="default"/>
                      <w:color w:val="auto"/>
                      <w:sz w:val="18"/>
                      <w:szCs w:val="18"/>
                      <w:vertAlign w:val="baseline"/>
                      <w:lang w:val="en-US" w:eastAsia="zh-CN"/>
                    </w:rPr>
                  </w:pPr>
                  <w:r>
                    <w:rPr>
                      <w:rFonts w:hint="eastAsia" w:ascii="Times New Roman" w:hAnsi="Times New Roman" w:eastAsia="宋体" w:cs="Times New Roman"/>
                      <w:color w:val="auto"/>
                      <w:kern w:val="0"/>
                      <w:sz w:val="18"/>
                      <w:szCs w:val="18"/>
                      <w:highlight w:val="none"/>
                      <w:lang w:val="en-US" w:eastAsia="zh-CN" w:bidi="ar-SA"/>
                    </w:rPr>
                    <w:t>第十七条 编制嘉陵江流域生态环境保护规划应当遵守生态保护红线、环境质量底线、资源利用上线和生态环境准入清单，符合国土空间规划、生态环境保护规划。岸线保护和开发利用规划等相关规划。编制其他有关专项规划或者方案，应当与国土空间规划和流域生态环境保护规划相衔接。禁止在嘉陵江干支流岸线一公里范围内新建、扩建化工园区和化工项目</w:t>
                  </w:r>
                </w:p>
              </w:tc>
              <w:tc>
                <w:tcPr>
                  <w:tcW w:w="2022" w:type="dxa"/>
                  <w:tcBorders>
                    <w:tl2br w:val="nil"/>
                    <w:tr2bl w:val="nil"/>
                  </w:tcBorders>
                  <w:noWrap w:val="0"/>
                  <w:vAlign w:val="top"/>
                </w:tcPr>
                <w:p>
                  <w:pPr>
                    <w:pStyle w:val="2"/>
                    <w:widowControl/>
                    <w:wordWrap w:val="0"/>
                    <w:topLinePunct/>
                    <w:spacing w:line="240" w:lineRule="auto"/>
                    <w:ind w:left="0" w:leftChars="0" w:firstLine="0" w:firstLineChars="0"/>
                    <w:rPr>
                      <w:rFonts w:hint="default"/>
                      <w:color w:val="auto"/>
                      <w:sz w:val="18"/>
                      <w:szCs w:val="18"/>
                      <w:vertAlign w:val="baseline"/>
                      <w:lang w:val="en-US" w:eastAsia="zh-CN"/>
                    </w:rPr>
                  </w:pPr>
                  <w:r>
                    <w:rPr>
                      <w:rFonts w:hint="eastAsia" w:ascii="Times New Roman" w:hAnsi="Times New Roman" w:eastAsia="宋体" w:cs="Times New Roman"/>
                      <w:color w:val="auto"/>
                      <w:kern w:val="0"/>
                      <w:sz w:val="18"/>
                      <w:szCs w:val="18"/>
                      <w:highlight w:val="none"/>
                      <w:lang w:val="en-US" w:eastAsia="zh-CN" w:bidi="ar-SA"/>
                    </w:rPr>
                    <w:t>本项目属于宠物医院服务，不属于化工项目</w:t>
                  </w:r>
                </w:p>
              </w:tc>
              <w:tc>
                <w:tcPr>
                  <w:tcW w:w="881" w:type="dxa"/>
                  <w:tcBorders>
                    <w:tl2br w:val="nil"/>
                    <w:tr2bl w:val="nil"/>
                  </w:tcBorders>
                  <w:noWrap w:val="0"/>
                  <w:vAlign w:val="top"/>
                </w:tcPr>
                <w:p>
                  <w:pPr>
                    <w:pStyle w:val="2"/>
                    <w:widowControl/>
                    <w:wordWrap w:val="0"/>
                    <w:topLinePunct/>
                    <w:spacing w:line="360" w:lineRule="auto"/>
                    <w:ind w:left="0" w:leftChars="0" w:firstLine="180" w:firstLineChars="100"/>
                    <w:rPr>
                      <w:rFonts w:hint="default"/>
                      <w:color w:val="auto"/>
                      <w:sz w:val="18"/>
                      <w:szCs w:val="18"/>
                      <w:vertAlign w:val="baseline"/>
                      <w:lang w:val="en-US" w:eastAsia="zh-CN"/>
                    </w:rPr>
                  </w:pPr>
                  <w:r>
                    <w:rPr>
                      <w:rFonts w:hint="eastAsia" w:ascii="Times New Roman" w:hAnsi="Times New Roman" w:eastAsia="宋体" w:cs="Times New Roman"/>
                      <w:color w:val="auto"/>
                      <w:kern w:val="0"/>
                      <w:sz w:val="18"/>
                      <w:szCs w:val="18"/>
                      <w:highlight w:val="none"/>
                      <w:lang w:val="en-US" w:eastAsia="zh-CN" w:bidi="ar-SA"/>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3369" w:type="dxa"/>
                  <w:tcBorders>
                    <w:tl2br w:val="nil"/>
                    <w:tr2bl w:val="nil"/>
                  </w:tcBorders>
                  <w:noWrap w:val="0"/>
                  <w:vAlign w:val="top"/>
                </w:tcPr>
                <w:p>
                  <w:pPr>
                    <w:pStyle w:val="2"/>
                    <w:widowControl/>
                    <w:wordWrap w:val="0"/>
                    <w:topLinePunct/>
                    <w:spacing w:line="240" w:lineRule="auto"/>
                    <w:ind w:left="0" w:leftChars="0" w:firstLine="0" w:firstLineChars="0"/>
                    <w:rPr>
                      <w:rFonts w:hint="default"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第十九条 嘉陵江流域实行重点水污染物排放总量控制制度</w:t>
                  </w:r>
                </w:p>
              </w:tc>
              <w:tc>
                <w:tcPr>
                  <w:tcW w:w="2022"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本项目废水处理后外排污水处理厂，因此本项目不单独下达废水总量</w:t>
                  </w:r>
                </w:p>
              </w:tc>
              <w:tc>
                <w:tcPr>
                  <w:tcW w:w="881" w:type="dxa"/>
                  <w:tcBorders>
                    <w:tl2br w:val="nil"/>
                    <w:tr2bl w:val="nil"/>
                  </w:tcBorders>
                  <w:noWrap w:val="0"/>
                  <w:vAlign w:val="top"/>
                </w:tcPr>
                <w:p>
                  <w:pPr>
                    <w:pStyle w:val="2"/>
                    <w:widowControl/>
                    <w:wordWrap w:val="0"/>
                    <w:topLinePunct/>
                    <w:spacing w:line="360" w:lineRule="auto"/>
                    <w:ind w:left="0" w:leftChars="0" w:firstLine="180" w:firstLineChars="10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3369"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第二十条嘉陵江流域实行流域和区域用水总量控制和消耗强度控制管理制度。加强相关规划和项目建设布局水资源论证工作，国民经济和社会发展规划以及国土空间规划的编制、重大建设项目的布局，应当与当地水资源条件和防洪要求相适应。严格规范取水许可审批管理，对取用水总量 已达到或者超过流域或者区域控制指标的地区，水行政主管部门应当暂停审批建设项目新增取水；对取用水总量接近控制指标的地区，水行政主管部门应当限制审批建设项目新增取水</w:t>
                  </w:r>
                </w:p>
              </w:tc>
              <w:tc>
                <w:tcPr>
                  <w:tcW w:w="2022"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本项目用水来自于自来水管网， 不从地表水体取水。新鲜水主要用于 工作人员生活用水、宠物医疗用水以及地面、宠物笼清洁用水，耗水量较小。</w:t>
                  </w:r>
                </w:p>
              </w:tc>
              <w:tc>
                <w:tcPr>
                  <w:tcW w:w="881" w:type="dxa"/>
                  <w:tcBorders>
                    <w:tl2br w:val="nil"/>
                    <w:tr2bl w:val="nil"/>
                  </w:tcBorders>
                  <w:noWrap w:val="0"/>
                  <w:vAlign w:val="top"/>
                </w:tcPr>
                <w:p>
                  <w:pPr>
                    <w:pStyle w:val="2"/>
                    <w:widowControl/>
                    <w:wordWrap w:val="0"/>
                    <w:topLinePunct/>
                    <w:spacing w:line="360" w:lineRule="auto"/>
                    <w:ind w:left="0" w:leftChars="0" w:firstLine="180" w:firstLineChars="10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3369"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第二十一条排污单位排放污染物不得超过国家和省污染物排放标准，不得超过重点水污染物排放总量控制指标按照国家规定实行排污许可管理的企业事业单位和其他生产经营者，应当依法向设区的市级以上地方人民政府生态环境主管部门申请取得排污许可证，按照排污许可证的规定排放污染物；禁止未取得排污许可证或者违反排污许可证的规定排放污染物。</w:t>
                  </w:r>
                </w:p>
              </w:tc>
              <w:tc>
                <w:tcPr>
                  <w:tcW w:w="2022"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本项目各项污染物经处理后，达到国家和地方污染物排放标准。环评要求建设单位严格落实排污许可证制度，依 法申领排污许可证。</w:t>
                  </w:r>
                </w:p>
              </w:tc>
              <w:tc>
                <w:tcPr>
                  <w:tcW w:w="881" w:type="dxa"/>
                  <w:tcBorders>
                    <w:tl2br w:val="nil"/>
                    <w:tr2bl w:val="nil"/>
                  </w:tcBorders>
                  <w:noWrap w:val="0"/>
                  <w:vAlign w:val="top"/>
                </w:tcPr>
                <w:p>
                  <w:pPr>
                    <w:pStyle w:val="2"/>
                    <w:widowControl/>
                    <w:wordWrap w:val="0"/>
                    <w:topLinePunct/>
                    <w:spacing w:line="360" w:lineRule="auto"/>
                    <w:ind w:left="0" w:leftChars="0" w:firstLine="180" w:firstLineChars="10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3369"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第二十二条一嘉陵江流域县级以上地方人民政府生态环境主管部门应当依法加强流域入河排污口的监督管理。企业事业单位和其他生产经营者向嘉陵江流域排放污水的，应当按照生态环境主管部门的规定建设规范化污染物排放口，并设置标志牌。重点排污单位应当安装水污染物排放自动监测设备，与生态环境主管部门的监控设备联网，并保证监测设备正常运行。</w:t>
                  </w:r>
                </w:p>
              </w:tc>
              <w:tc>
                <w:tcPr>
                  <w:tcW w:w="2022" w:type="dxa"/>
                  <w:tcBorders>
                    <w:tl2br w:val="nil"/>
                    <w:tr2bl w:val="nil"/>
                  </w:tcBorders>
                  <w:noWrap w:val="0"/>
                  <w:vAlign w:val="top"/>
                </w:tcPr>
                <w:p>
                  <w:pPr>
                    <w:pStyle w:val="2"/>
                    <w:widowControl/>
                    <w:wordWrap w:val="0"/>
                    <w:topLinePunct/>
                    <w:spacing w:line="240" w:lineRule="auto"/>
                    <w:ind w:left="0" w:leftChars="0" w:firstLine="0" w:firstLineChars="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本项目不设置入河排污口</w:t>
                  </w:r>
                </w:p>
              </w:tc>
              <w:tc>
                <w:tcPr>
                  <w:tcW w:w="881" w:type="dxa"/>
                  <w:tcBorders>
                    <w:tl2br w:val="nil"/>
                    <w:tr2bl w:val="nil"/>
                  </w:tcBorders>
                  <w:noWrap w:val="0"/>
                  <w:vAlign w:val="top"/>
                </w:tcPr>
                <w:p>
                  <w:pPr>
                    <w:pStyle w:val="2"/>
                    <w:widowControl/>
                    <w:wordWrap w:val="0"/>
                    <w:topLinePunct/>
                    <w:spacing w:line="360" w:lineRule="auto"/>
                    <w:ind w:left="0" w:leftChars="0" w:firstLine="180" w:firstLineChars="100"/>
                    <w:rPr>
                      <w:rFonts w:hint="eastAsia" w:ascii="Times New Roman" w:hAnsi="Times New Roman" w:eastAsia="宋体" w:cs="Times New Roman"/>
                      <w:color w:val="auto"/>
                      <w:kern w:val="0"/>
                      <w:sz w:val="18"/>
                      <w:szCs w:val="18"/>
                      <w:highlight w:val="none"/>
                      <w:lang w:val="en-US" w:eastAsia="zh-CN" w:bidi="ar-SA"/>
                    </w:rPr>
                  </w:pPr>
                  <w:r>
                    <w:rPr>
                      <w:rFonts w:hint="eastAsia" w:ascii="Times New Roman" w:hAnsi="Times New Roman" w:eastAsia="宋体" w:cs="Times New Roman"/>
                      <w:color w:val="auto"/>
                      <w:kern w:val="0"/>
                      <w:sz w:val="18"/>
                      <w:szCs w:val="18"/>
                      <w:highlight w:val="none"/>
                      <w:lang w:val="en-US" w:eastAsia="zh-CN" w:bidi="ar-SA"/>
                    </w:rPr>
                    <w:t>符合</w:t>
                  </w:r>
                </w:p>
              </w:tc>
            </w:tr>
          </w:tbl>
          <w:p>
            <w:pPr>
              <w:spacing w:line="360" w:lineRule="auto"/>
              <w:ind w:firstLine="422" w:firstLineChars="200"/>
              <w:rPr>
                <w:rFonts w:hint="eastAsia"/>
                <w:b/>
                <w:bCs/>
                <w:color w:val="auto"/>
                <w:sz w:val="21"/>
                <w:szCs w:val="21"/>
              </w:rPr>
            </w:pPr>
            <w:r>
              <w:rPr>
                <w:rFonts w:hint="eastAsia"/>
                <w:b/>
                <w:bCs/>
                <w:color w:val="auto"/>
                <w:sz w:val="21"/>
                <w:szCs w:val="21"/>
                <w:lang w:val="en-US" w:eastAsia="zh-CN"/>
              </w:rPr>
              <w:t>10、</w:t>
            </w:r>
            <w:r>
              <w:rPr>
                <w:rFonts w:hint="eastAsia"/>
                <w:b/>
                <w:bCs/>
                <w:color w:val="auto"/>
                <w:sz w:val="21"/>
                <w:szCs w:val="21"/>
                <w:lang w:eastAsia="zh-CN"/>
              </w:rPr>
              <w:t>与四川省“三线一单”符合性分析</w:t>
            </w:r>
          </w:p>
          <w:p>
            <w:pPr>
              <w:spacing w:line="360" w:lineRule="auto"/>
              <w:rPr>
                <w:rFonts w:hint="eastAsia"/>
                <w:b w:val="0"/>
                <w:bCs w:val="0"/>
                <w:color w:val="auto"/>
                <w:sz w:val="21"/>
                <w:szCs w:val="21"/>
                <w:lang w:val="en-US" w:eastAsia="zh-CN"/>
              </w:rPr>
            </w:pPr>
            <w:r>
              <w:rPr>
                <w:rFonts w:hint="eastAsia"/>
                <w:b/>
                <w:bCs/>
                <w:color w:val="auto"/>
                <w:sz w:val="21"/>
                <w:szCs w:val="21"/>
                <w:lang w:val="en-US" w:eastAsia="zh-CN"/>
              </w:rPr>
              <w:t xml:space="preserve"> </w:t>
            </w:r>
            <w:r>
              <w:rPr>
                <w:rFonts w:hint="eastAsia"/>
                <w:b w:val="0"/>
                <w:bCs w:val="0"/>
                <w:color w:val="auto"/>
                <w:sz w:val="21"/>
                <w:szCs w:val="21"/>
                <w:lang w:val="en-US" w:eastAsia="zh-CN"/>
              </w:rPr>
              <w:t xml:space="preserve">  </w:t>
            </w:r>
            <w:r>
              <w:rPr>
                <w:rFonts w:hint="default" w:ascii="Times New Roman" w:hAnsi="Times New Roman" w:cs="Times New Roman"/>
                <w:color w:val="auto"/>
                <w:sz w:val="21"/>
                <w:szCs w:val="21"/>
                <w:lang w:val="en-US" w:eastAsia="zh-CN"/>
              </w:rPr>
              <w:t xml:space="preserve"> 2021年12月27日</w:t>
            </w:r>
            <w:r>
              <w:rPr>
                <w:rFonts w:hint="eastAsia" w:ascii="Times New Roman" w:hAnsi="Times New Roman" w:cs="Times New Roman"/>
                <w:color w:val="auto"/>
                <w:sz w:val="21"/>
                <w:szCs w:val="21"/>
                <w:lang w:val="en-US" w:eastAsia="zh-CN"/>
              </w:rPr>
              <w:t>，四川省生态环境厅发布了“关于印发《产业园区规划环评“三线一单”符合性分析技术要点（试行）》和《项目环评“三线一单”符合性分析技术要求（试行）》的通知”（川环办函【2021】469号），根据该文件要求，结合四川省“三线一单”符合性分析平台，输入本项目相关信息后，“三线一单”分析情况如下</w:t>
            </w:r>
          </w:p>
          <w:p>
            <w:pPr>
              <w:spacing w:line="360" w:lineRule="auto"/>
              <w:ind w:firstLine="420" w:firstLineChars="200"/>
              <w:rPr>
                <w:rFonts w:hint="eastAsia"/>
                <w:b/>
                <w:bCs/>
                <w:color w:val="auto"/>
                <w:sz w:val="18"/>
                <w:szCs w:val="18"/>
              </w:rPr>
            </w:pPr>
            <w:r>
              <w:rPr>
                <w:rFonts w:hint="eastAsia"/>
                <w:b w:val="0"/>
                <w:bCs w:val="0"/>
                <w:color w:val="auto"/>
                <w:sz w:val="21"/>
                <w:szCs w:val="21"/>
                <w:lang w:val="en-US" w:eastAsia="zh-CN"/>
              </w:rPr>
              <w:t>1）本项目所在环境管控单元</w:t>
            </w:r>
          </w:p>
          <w:p>
            <w:pPr>
              <w:spacing w:line="360" w:lineRule="auto"/>
              <w:rPr>
                <w:rFonts w:hint="eastAsia"/>
                <w:b w:val="0"/>
                <w:bCs w:val="0"/>
                <w:color w:val="auto"/>
                <w:sz w:val="21"/>
                <w:szCs w:val="21"/>
                <w:lang w:val="en-US" w:eastAsia="zh-CN"/>
              </w:rPr>
            </w:pPr>
            <w:r>
              <w:rPr>
                <w:rFonts w:hint="eastAsia"/>
                <w:color w:val="auto"/>
                <w:lang w:eastAsia="zh-CN"/>
              </w:rPr>
              <w:drawing>
                <wp:inline distT="0" distB="0" distL="114300" distR="114300">
                  <wp:extent cx="3967480" cy="3005455"/>
                  <wp:effectExtent l="0" t="0" r="13970" b="4445"/>
                  <wp:docPr id="56" name="图片 56" descr="QQ截图20230621113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QQ截图20230621113458"/>
                          <pic:cNvPicPr>
                            <a:picLocks noChangeAspect="1"/>
                          </pic:cNvPicPr>
                        </pic:nvPicPr>
                        <pic:blipFill>
                          <a:blip r:embed="rId10"/>
                          <a:stretch>
                            <a:fillRect/>
                          </a:stretch>
                        </pic:blipFill>
                        <pic:spPr>
                          <a:xfrm>
                            <a:off x="0" y="0"/>
                            <a:ext cx="3967480" cy="3005455"/>
                          </a:xfrm>
                          <a:prstGeom prst="rect">
                            <a:avLst/>
                          </a:prstGeom>
                        </pic:spPr>
                      </pic:pic>
                    </a:graphicData>
                  </a:graphic>
                </wp:inline>
              </w:drawing>
            </w:r>
          </w:p>
          <w:p>
            <w:pPr>
              <w:spacing w:line="360" w:lineRule="auto"/>
              <w:ind w:firstLine="420" w:firstLineChars="200"/>
              <w:rPr>
                <w:rFonts w:hint="eastAsia"/>
                <w:color w:val="auto"/>
                <w:lang w:eastAsia="zh-CN"/>
              </w:rPr>
            </w:pPr>
            <w:r>
              <w:rPr>
                <w:color w:val="auto"/>
                <w:sz w:val="21"/>
                <w:szCs w:val="21"/>
              </w:rPr>
              <mc:AlternateContent>
                <mc:Choice Requires="wps">
                  <w:drawing>
                    <wp:anchor distT="0" distB="0" distL="114300" distR="114300" simplePos="0" relativeHeight="251778048" behindDoc="0" locked="0" layoutInCell="1" allowOverlap="1">
                      <wp:simplePos x="0" y="0"/>
                      <wp:positionH relativeFrom="column">
                        <wp:posOffset>3454400</wp:posOffset>
                      </wp:positionH>
                      <wp:positionV relativeFrom="paragraph">
                        <wp:posOffset>581660</wp:posOffset>
                      </wp:positionV>
                      <wp:extent cx="105410" cy="76200"/>
                      <wp:effectExtent l="8890" t="4445" r="19050" b="14605"/>
                      <wp:wrapNone/>
                      <wp:docPr id="57" name="等腰三角形 57"/>
                      <wp:cNvGraphicFramePr/>
                      <a:graphic xmlns:a="http://schemas.openxmlformats.org/drawingml/2006/main">
                        <a:graphicData uri="http://schemas.microsoft.com/office/word/2010/wordprocessingShape">
                          <wps:wsp>
                            <wps:cNvSpPr/>
                            <wps:spPr>
                              <a:xfrm rot="10800000">
                                <a:off x="0" y="0"/>
                                <a:ext cx="105410" cy="76200"/>
                              </a:xfrm>
                              <a:prstGeom prst="triangle">
                                <a:avLst>
                                  <a:gd name="adj" fmla="val 50000"/>
                                </a:avLst>
                              </a:prstGeom>
                              <a:solidFill>
                                <a:srgbClr val="00B0F0"/>
                              </a:solidFill>
                              <a:ln w="9525" cap="flat" cmpd="sng">
                                <a:solidFill>
                                  <a:srgbClr val="00B0F0"/>
                                </a:solidFill>
                                <a:prstDash val="solid"/>
                                <a:miter/>
                                <a:headEnd type="none" w="med" len="med"/>
                                <a:tailEnd type="none" w="med" len="med"/>
                              </a:ln>
                            </wps:spPr>
                            <wps:bodyPr upright="1"/>
                          </wps:wsp>
                        </a:graphicData>
                      </a:graphic>
                    </wp:anchor>
                  </w:drawing>
                </mc:Choice>
                <mc:Fallback>
                  <w:pict>
                    <v:shape id="_x0000_s1026" o:spid="_x0000_s1026" o:spt="5" type="#_x0000_t5" style="position:absolute;left:0pt;margin-left:272pt;margin-top:45.8pt;height:6pt;width:8.3pt;rotation:11796480f;z-index:251778048;mso-width-relative:page;mso-height-relative:page;" fillcolor="#00B0F0" filled="t" stroked="t" coordsize="21600,21600" o:gfxdata="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Kp5+Y9sAAAAKAQAADwAAAAAAAAABACAAAAAiAAAAZHJzL2Rvd25yZXYueG1sUEsB&#10;AhQAFAAAAAgAh07iQHEBxWQrAgAAZgQAAA4AAAAAAAAAAQAgAAAAKgEAAGRycy9lMm9Eb2MueG1s&#10;UEsFBgAAAAAGAAYAWQEAAMcFAAAAAA==&#10;" adj="10800">
                      <v:fill on="t" focussize="0,0"/>
                      <v:stroke color="#00B0F0" joinstyle="miter"/>
                      <v:imagedata o:title=""/>
                      <o:lock v:ext="edit" aspectratio="f"/>
                    </v:shape>
                  </w:pict>
                </mc:Fallback>
              </mc:AlternateContent>
            </w:r>
            <w:r>
              <w:rPr>
                <w:rFonts w:hint="eastAsia"/>
                <w:color w:val="auto"/>
                <w:lang w:eastAsia="zh-CN"/>
              </w:rPr>
              <w:t>项目位于广元市苍溪县环境综合管控单元城镇重点管控单元（管控单元名称：苍溪县中心城区，管控单元编号：ZH51082420001）。</w:t>
            </w:r>
            <w:r>
              <w:rPr>
                <w:color w:val="auto"/>
                <w:sz w:val="21"/>
                <w:szCs w:val="21"/>
              </w:rPr>
              <w:t>项目与所在区域环境管控单元</w:t>
            </w:r>
            <w:r>
              <w:rPr>
                <w:rFonts w:hint="eastAsia"/>
                <w:color w:val="auto"/>
                <w:sz w:val="21"/>
                <w:szCs w:val="21"/>
              </w:rPr>
              <w:t>的</w:t>
            </w:r>
            <w:r>
              <w:rPr>
                <w:color w:val="auto"/>
                <w:sz w:val="21"/>
                <w:szCs w:val="21"/>
              </w:rPr>
              <w:t>位置关系如下图所示（图中</w:t>
            </w:r>
            <w:r>
              <w:rPr>
                <w:rFonts w:hint="eastAsia"/>
                <w:color w:val="auto"/>
                <w:sz w:val="21"/>
                <w:szCs w:val="21"/>
              </w:rPr>
              <w:t xml:space="preserve">  </w:t>
            </w:r>
            <w:r>
              <w:rPr>
                <w:color w:val="auto"/>
                <w:sz w:val="21"/>
                <w:szCs w:val="21"/>
              </w:rPr>
              <w:t>表示项目位置）</w:t>
            </w:r>
            <w:r>
              <w:rPr>
                <w:rFonts w:hint="eastAsia"/>
                <w:color w:val="auto"/>
                <w:sz w:val="21"/>
                <w:szCs w:val="21"/>
              </w:rPr>
              <w:t>。</w:t>
            </w:r>
          </w:p>
          <w:p>
            <w:pPr>
              <w:spacing w:line="360" w:lineRule="auto"/>
              <w:rPr>
                <w:rFonts w:hint="eastAsia"/>
                <w:b w:val="0"/>
                <w:bCs w:val="0"/>
                <w:color w:val="auto"/>
                <w:sz w:val="21"/>
                <w:szCs w:val="21"/>
                <w:lang w:val="en-US" w:eastAsia="zh-CN"/>
              </w:rPr>
            </w:pPr>
            <w:r>
              <w:rPr>
                <w:rFonts w:hint="default" w:ascii="Helvetica" w:hAnsi="Helvetica" w:eastAsia="Helvetica"/>
                <w:color w:val="auto"/>
                <w:sz w:val="28"/>
                <w:szCs w:val="24"/>
              </w:rPr>
              <w:drawing>
                <wp:inline distT="0" distB="0" distL="114300" distR="114300">
                  <wp:extent cx="3997960" cy="2399665"/>
                  <wp:effectExtent l="0" t="0" r="2540" b="635"/>
                  <wp:docPr id="177" name="图片 1" descr="C:\Users\Administrator\Desktop\微信图片_20230621100526.png微信图片_20230621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 descr="C:\Users\Administrator\Desktop\微信图片_20230621100526.png微信图片_20230621100526"/>
                          <pic:cNvPicPr>
                            <a:picLocks noChangeAspect="1"/>
                          </pic:cNvPicPr>
                        </pic:nvPicPr>
                        <pic:blipFill>
                          <a:blip r:embed="rId11"/>
                          <a:srcRect/>
                          <a:stretch>
                            <a:fillRect/>
                          </a:stretch>
                        </pic:blipFill>
                        <pic:spPr>
                          <a:xfrm>
                            <a:off x="0" y="0"/>
                            <a:ext cx="3997960" cy="2399665"/>
                          </a:xfrm>
                          <a:prstGeom prst="rect">
                            <a:avLst/>
                          </a:prstGeom>
                          <a:noFill/>
                          <a:ln>
                            <a:noFill/>
                          </a:ln>
                        </pic:spPr>
                      </pic:pic>
                    </a:graphicData>
                  </a:graphic>
                </wp:inline>
              </w:drawing>
            </w:r>
          </w:p>
          <w:p>
            <w:pPr>
              <w:pStyle w:val="7"/>
              <w:rPr>
                <w:rFonts w:hint="eastAsia"/>
                <w:b w:val="0"/>
                <w:bCs w:val="0"/>
                <w:color w:val="auto"/>
                <w:sz w:val="21"/>
                <w:szCs w:val="21"/>
                <w:lang w:val="en-US" w:eastAsia="zh-CN"/>
              </w:rPr>
            </w:pPr>
            <w:r>
              <w:rPr>
                <w:color w:val="auto"/>
                <w:sz w:val="21"/>
              </w:rPr>
              <mc:AlternateContent>
                <mc:Choice Requires="wps">
                  <w:drawing>
                    <wp:anchor distT="0" distB="0" distL="114300" distR="114300" simplePos="0" relativeHeight="251779072" behindDoc="0" locked="0" layoutInCell="1" allowOverlap="1">
                      <wp:simplePos x="0" y="0"/>
                      <wp:positionH relativeFrom="column">
                        <wp:posOffset>291465</wp:posOffset>
                      </wp:positionH>
                      <wp:positionV relativeFrom="paragraph">
                        <wp:posOffset>52705</wp:posOffset>
                      </wp:positionV>
                      <wp:extent cx="3638550" cy="280035"/>
                      <wp:effectExtent l="0" t="0" r="0" b="5715"/>
                      <wp:wrapNone/>
                      <wp:docPr id="181" name="文本框 181"/>
                      <wp:cNvGraphicFramePr/>
                      <a:graphic xmlns:a="http://schemas.openxmlformats.org/drawingml/2006/main">
                        <a:graphicData uri="http://schemas.microsoft.com/office/word/2010/wordprocessingShape">
                          <wps:wsp>
                            <wps:cNvSpPr txBox="1"/>
                            <wps:spPr>
                              <a:xfrm>
                                <a:off x="0" y="0"/>
                                <a:ext cx="3638550" cy="28003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360" w:lineRule="auto"/>
                                    <w:ind w:firstLine="723" w:firstLineChars="400"/>
                                    <w:rPr>
                                      <w:rFonts w:hint="eastAsia" w:eastAsia="宋体"/>
                                      <w:b/>
                                      <w:bCs/>
                                      <w:sz w:val="18"/>
                                      <w:szCs w:val="18"/>
                                      <w:lang w:eastAsia="zh-CN"/>
                                    </w:rPr>
                                  </w:pPr>
                                  <w:r>
                                    <w:rPr>
                                      <w:rFonts w:hint="eastAsia"/>
                                      <w:b/>
                                      <w:bCs/>
                                      <w:sz w:val="18"/>
                                      <w:szCs w:val="18"/>
                                    </w:rPr>
                                    <w:t>图1-</w:t>
                                  </w:r>
                                  <w:r>
                                    <w:rPr>
                                      <w:b/>
                                      <w:bCs/>
                                      <w:sz w:val="18"/>
                                      <w:szCs w:val="18"/>
                                    </w:rPr>
                                    <w:t xml:space="preserve">1 </w:t>
                                  </w:r>
                                  <w:r>
                                    <w:rPr>
                                      <w:rFonts w:hint="eastAsia"/>
                                      <w:b/>
                                      <w:bCs/>
                                      <w:sz w:val="18"/>
                                      <w:szCs w:val="18"/>
                                      <w:lang w:eastAsia="zh-CN"/>
                                    </w:rPr>
                                    <w:t>项目与管控单元相对位置关系图</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95pt;margin-top:4.15pt;height:22.05pt;width:286.5pt;z-index:251779072;mso-width-relative:page;mso-height-relative:page;" fillcolor="#FFFFFF [3201]" filled="t" stroked="f" coordsize="21600,21600" o:gfxdata="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k9PgO9IAAAAHAQAADwAAAAAAAAAB&#10;ACAAAAAiAAAAZHJzL2Rvd25yZXYueG1sUEsBAhQAFAAAAAgAh07iQHMF8UNPAgAAkwQAAA4AAAAA&#10;AAAAAQAgAAAAIQEAAGRycy9lMm9Eb2MueG1sUEsFBgAAAAAGAAYAWQEAAOIFAAAAAA==&#10;">
                      <v:fill on="t" focussize="0,0"/>
                      <v:stroke on="f" weight="0.5pt"/>
                      <v:imagedata o:title=""/>
                      <o:lock v:ext="edit" aspectratio="f"/>
                      <v:textbox>
                        <w:txbxContent>
                          <w:p>
                            <w:pPr>
                              <w:spacing w:line="360" w:lineRule="auto"/>
                              <w:ind w:firstLine="723" w:firstLineChars="400"/>
                              <w:rPr>
                                <w:rFonts w:hint="eastAsia" w:eastAsia="宋体"/>
                                <w:b/>
                                <w:bCs/>
                                <w:sz w:val="18"/>
                                <w:szCs w:val="18"/>
                                <w:lang w:eastAsia="zh-CN"/>
                              </w:rPr>
                            </w:pPr>
                            <w:r>
                              <w:rPr>
                                <w:rFonts w:hint="eastAsia"/>
                                <w:b/>
                                <w:bCs/>
                                <w:sz w:val="18"/>
                                <w:szCs w:val="18"/>
                              </w:rPr>
                              <w:t>图1-</w:t>
                            </w:r>
                            <w:r>
                              <w:rPr>
                                <w:b/>
                                <w:bCs/>
                                <w:sz w:val="18"/>
                                <w:szCs w:val="18"/>
                              </w:rPr>
                              <w:t xml:space="preserve">1 </w:t>
                            </w:r>
                            <w:r>
                              <w:rPr>
                                <w:rFonts w:hint="eastAsia"/>
                                <w:b/>
                                <w:bCs/>
                                <w:sz w:val="18"/>
                                <w:szCs w:val="18"/>
                                <w:lang w:eastAsia="zh-CN"/>
                              </w:rPr>
                              <w:t>项目与管控单元相对位置关系图</w:t>
                            </w:r>
                          </w:p>
                          <w:p/>
                        </w:txbxContent>
                      </v:textbox>
                    </v:shape>
                  </w:pict>
                </mc:Fallback>
              </mc:AlternateContent>
            </w:r>
          </w:p>
          <w:p>
            <w:pPr>
              <w:rPr>
                <w:rFonts w:hint="eastAsia"/>
                <w:b w:val="0"/>
                <w:bCs w:val="0"/>
                <w:color w:val="auto"/>
                <w:sz w:val="21"/>
                <w:szCs w:val="21"/>
                <w:lang w:val="en-US" w:eastAsia="zh-CN"/>
              </w:rPr>
            </w:pPr>
          </w:p>
          <w:p>
            <w:pPr>
              <w:pStyle w:val="3"/>
              <w:numPr>
                <w:ilvl w:val="0"/>
                <w:numId w:val="3"/>
              </w:numPr>
              <w:spacing w:line="240" w:lineRule="auto"/>
              <w:jc w:val="both"/>
              <w:rPr>
                <w:rFonts w:hint="eastAsia" w:ascii="Times New Roman" w:hAnsi="Times New Roman" w:eastAsia="宋体" w:cs="Times New Roman"/>
                <w:b w:val="0"/>
                <w:bCs w:val="0"/>
                <w:color w:val="auto"/>
                <w:kern w:val="2"/>
                <w:sz w:val="21"/>
                <w:szCs w:val="24"/>
                <w:lang w:val="en-US" w:eastAsia="zh-CN" w:bidi="ar-SA"/>
              </w:rPr>
            </w:pPr>
            <w:bookmarkStart w:id="3" w:name="_Toc82003159"/>
            <w:r>
              <w:rPr>
                <w:rFonts w:hint="eastAsia" w:ascii="Times New Roman" w:hAnsi="Times New Roman" w:eastAsia="宋体" w:cs="Times New Roman"/>
                <w:b w:val="0"/>
                <w:bCs w:val="0"/>
                <w:color w:val="auto"/>
                <w:kern w:val="2"/>
                <w:sz w:val="21"/>
                <w:szCs w:val="24"/>
                <w:lang w:val="en-US" w:eastAsia="zh-CN" w:bidi="ar-SA"/>
              </w:rPr>
              <w:t>生态环境准入清单</w:t>
            </w:r>
          </w:p>
          <w:p>
            <w:pPr>
              <w:pStyle w:val="40"/>
              <w:spacing w:line="240" w:lineRule="auto"/>
              <w:ind w:left="0" w:leftChars="0" w:firstLine="542" w:firstLineChars="300"/>
              <w:jc w:val="both"/>
              <w:rPr>
                <w:rFonts w:hint="eastAsia" w:ascii="Times New Roman" w:hAnsi="Times New Roman" w:eastAsia="宋体" w:cs="Times New Roman"/>
                <w:b/>
                <w:bCs/>
                <w:color w:val="auto"/>
                <w:sz w:val="18"/>
                <w:szCs w:val="18"/>
                <w:lang w:val="en-US" w:eastAsia="zh-CN"/>
              </w:rPr>
            </w:pPr>
            <w:r>
              <w:rPr>
                <w:rFonts w:hint="eastAsia" w:ascii="Times New Roman" w:hAnsi="Times New Roman" w:eastAsia="宋体" w:cs="Times New Roman"/>
                <w:b/>
                <w:bCs/>
                <w:color w:val="auto"/>
                <w:sz w:val="18"/>
                <w:szCs w:val="18"/>
              </w:rPr>
              <w:t>表1-</w:t>
            </w:r>
            <w:r>
              <w:rPr>
                <w:rFonts w:hint="eastAsia" w:eastAsia="宋体" w:cs="Times New Roman"/>
                <w:b/>
                <w:bCs/>
                <w:color w:val="auto"/>
                <w:sz w:val="18"/>
                <w:szCs w:val="18"/>
                <w:lang w:val="en-US" w:eastAsia="zh-CN"/>
              </w:rPr>
              <w:t>10</w:t>
            </w:r>
            <w:r>
              <w:rPr>
                <w:rFonts w:hint="eastAsia" w:ascii="Times New Roman" w:hAnsi="Times New Roman" w:eastAsia="宋体" w:cs="Times New Roman"/>
                <w:b/>
                <w:bCs/>
                <w:color w:val="auto"/>
                <w:sz w:val="18"/>
                <w:szCs w:val="18"/>
              </w:rPr>
              <w:t xml:space="preserve"> </w:t>
            </w:r>
            <w:r>
              <w:rPr>
                <w:rFonts w:hint="eastAsia" w:ascii="Times New Roman" w:hAnsi="Times New Roman" w:eastAsia="宋体" w:cs="Times New Roman"/>
                <w:b/>
                <w:bCs/>
                <w:color w:val="auto"/>
                <w:sz w:val="18"/>
                <w:szCs w:val="18"/>
                <w:lang w:val="en-US" w:eastAsia="zh-CN"/>
              </w:rPr>
              <w:t xml:space="preserve"> 生态环境准入清单符合性分析（各管控单元）</w:t>
            </w:r>
            <w:bookmarkEnd w:id="3"/>
          </w:p>
          <w:tbl>
            <w:tblPr>
              <w:tblStyle w:val="22"/>
              <w:tblW w:w="62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52"/>
              <w:gridCol w:w="936"/>
              <w:gridCol w:w="1568"/>
              <w:gridCol w:w="1709"/>
              <w:gridCol w:w="79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tcBorders>
                    <w:tl2br w:val="nil"/>
                    <w:tr2bl w:val="nil"/>
                  </w:tcBorders>
                  <w:vAlign w:val="center"/>
                </w:tcPr>
                <w:p>
                  <w:pPr>
                    <w:widowControl/>
                    <w:jc w:val="center"/>
                    <w:rPr>
                      <w:rFonts w:hint="eastAsia"/>
                      <w:b w:val="0"/>
                      <w:bCs w:val="0"/>
                      <w:color w:val="auto"/>
                      <w:sz w:val="21"/>
                      <w:szCs w:val="21"/>
                      <w:vertAlign w:val="baseline"/>
                      <w:lang w:val="en-US" w:eastAsia="zh-CN"/>
                    </w:rPr>
                  </w:pPr>
                  <w:r>
                    <w:rPr>
                      <w:rFonts w:hint="eastAsia" w:hAnsi="宋体"/>
                      <w:b/>
                      <w:color w:val="auto"/>
                      <w:sz w:val="18"/>
                      <w:szCs w:val="18"/>
                    </w:rPr>
                    <w:t>环境管控单元编号及名称</w:t>
                  </w:r>
                </w:p>
              </w:tc>
              <w:tc>
                <w:tcPr>
                  <w:tcW w:w="936" w:type="dxa"/>
                  <w:tcBorders>
                    <w:tl2br w:val="nil"/>
                    <w:tr2bl w:val="nil"/>
                  </w:tcBorders>
                  <w:vAlign w:val="top"/>
                </w:tcPr>
                <w:p>
                  <w:pPr>
                    <w:widowControl/>
                    <w:rPr>
                      <w:rFonts w:hint="eastAsia"/>
                      <w:b w:val="0"/>
                      <w:bCs w:val="0"/>
                      <w:color w:val="auto"/>
                      <w:sz w:val="21"/>
                      <w:szCs w:val="21"/>
                      <w:vertAlign w:val="baseline"/>
                      <w:lang w:val="en-US" w:eastAsia="zh-CN"/>
                    </w:rPr>
                  </w:pPr>
                  <w:r>
                    <w:rPr>
                      <w:rFonts w:hint="eastAsia" w:ascii="宋体" w:hAnsi="宋体" w:cs="宋体"/>
                      <w:b/>
                      <w:bCs/>
                      <w:color w:val="auto"/>
                      <w:kern w:val="0"/>
                      <w:sz w:val="18"/>
                      <w:szCs w:val="18"/>
                    </w:rPr>
                    <w:t>管控类别</w:t>
                  </w:r>
                </w:p>
              </w:tc>
              <w:tc>
                <w:tcPr>
                  <w:tcW w:w="1568" w:type="dxa"/>
                  <w:tcBorders>
                    <w:tl2br w:val="nil"/>
                    <w:tr2bl w:val="nil"/>
                  </w:tcBorders>
                  <w:vAlign w:val="center"/>
                </w:tcPr>
                <w:p>
                  <w:pPr>
                    <w:widowControl/>
                    <w:jc w:val="center"/>
                    <w:rPr>
                      <w:rFonts w:hint="eastAsia"/>
                      <w:b w:val="0"/>
                      <w:bCs w:val="0"/>
                      <w:color w:val="auto"/>
                      <w:sz w:val="21"/>
                      <w:szCs w:val="21"/>
                      <w:vertAlign w:val="baseline"/>
                      <w:lang w:val="en-US" w:eastAsia="zh-CN"/>
                    </w:rPr>
                  </w:pPr>
                  <w:r>
                    <w:rPr>
                      <w:rFonts w:hint="eastAsia" w:ascii="宋体" w:hAnsi="宋体" w:cs="宋体"/>
                      <w:b/>
                      <w:bCs/>
                      <w:color w:val="auto"/>
                      <w:kern w:val="0"/>
                      <w:sz w:val="18"/>
                      <w:szCs w:val="18"/>
                    </w:rPr>
                    <w:t>单元特性管控要求</w:t>
                  </w:r>
                </w:p>
              </w:tc>
              <w:tc>
                <w:tcPr>
                  <w:tcW w:w="1709" w:type="dxa"/>
                  <w:tcBorders>
                    <w:tl2br w:val="nil"/>
                    <w:tr2bl w:val="nil"/>
                  </w:tcBorders>
                  <w:vAlign w:val="center"/>
                </w:tcPr>
                <w:p>
                  <w:pPr>
                    <w:widowControl/>
                    <w:jc w:val="center"/>
                    <w:rPr>
                      <w:rFonts w:hint="eastAsia"/>
                      <w:b w:val="0"/>
                      <w:bCs w:val="0"/>
                      <w:color w:val="auto"/>
                      <w:sz w:val="21"/>
                      <w:szCs w:val="21"/>
                      <w:vertAlign w:val="baseline"/>
                      <w:lang w:val="en-US" w:eastAsia="zh-CN"/>
                    </w:rPr>
                  </w:pPr>
                  <w:r>
                    <w:rPr>
                      <w:rFonts w:hint="eastAsia" w:ascii="宋体" w:hAnsi="宋体" w:cs="宋体"/>
                      <w:b/>
                      <w:bCs/>
                      <w:color w:val="auto"/>
                      <w:kern w:val="0"/>
                      <w:sz w:val="18"/>
                      <w:szCs w:val="18"/>
                    </w:rPr>
                    <w:t>本项目情况</w:t>
                  </w:r>
                </w:p>
              </w:tc>
              <w:tc>
                <w:tcPr>
                  <w:tcW w:w="796" w:type="dxa"/>
                  <w:tcBorders>
                    <w:tl2br w:val="nil"/>
                    <w:tr2bl w:val="nil"/>
                  </w:tcBorders>
                  <w:vAlign w:val="center"/>
                </w:tcPr>
                <w:p>
                  <w:pPr>
                    <w:widowControl/>
                    <w:jc w:val="center"/>
                    <w:rPr>
                      <w:rFonts w:hint="eastAsia" w:ascii="宋体" w:hAnsi="宋体" w:cs="宋体"/>
                      <w:b/>
                      <w:bCs/>
                      <w:color w:val="auto"/>
                      <w:kern w:val="0"/>
                      <w:sz w:val="18"/>
                      <w:szCs w:val="18"/>
                    </w:rPr>
                  </w:pPr>
                  <w:r>
                    <w:rPr>
                      <w:rFonts w:hint="eastAsia" w:ascii="宋体" w:hAnsi="宋体" w:cs="宋体"/>
                      <w:b/>
                      <w:bCs/>
                      <w:color w:val="auto"/>
                      <w:kern w:val="0"/>
                      <w:sz w:val="18"/>
                      <w:szCs w:val="18"/>
                    </w:rPr>
                    <w:t>符合性</w:t>
                  </w:r>
                </w:p>
                <w:p>
                  <w:pPr>
                    <w:widowControl/>
                    <w:jc w:val="center"/>
                    <w:rPr>
                      <w:rFonts w:hint="eastAsia"/>
                      <w:b w:val="0"/>
                      <w:bCs w:val="0"/>
                      <w:color w:val="auto"/>
                      <w:sz w:val="21"/>
                      <w:szCs w:val="21"/>
                      <w:vertAlign w:val="baseline"/>
                      <w:lang w:val="en-US" w:eastAsia="zh-CN"/>
                    </w:rPr>
                  </w:pPr>
                  <w:r>
                    <w:rPr>
                      <w:rFonts w:hint="eastAsia" w:ascii="宋体" w:hAnsi="宋体" w:cs="宋体"/>
                      <w:b/>
                      <w:bCs/>
                      <w:color w:val="auto"/>
                      <w:kern w:val="0"/>
                      <w:sz w:val="18"/>
                      <w:szCs w:val="18"/>
                    </w:rPr>
                    <w:t>结论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restart"/>
                  <w:tcBorders>
                    <w:tl2br w:val="nil"/>
                    <w:tr2bl w:val="nil"/>
                  </w:tcBorders>
                  <w:vAlign w:val="center"/>
                </w:tcPr>
                <w:p>
                  <w:pPr>
                    <w:pStyle w:val="46"/>
                    <w:widowControl/>
                    <w:spacing w:line="240" w:lineRule="auto"/>
                    <w:ind w:firstLine="0" w:firstLineChars="0"/>
                    <w:jc w:val="left"/>
                    <w:rPr>
                      <w:rFonts w:eastAsia="宋体"/>
                      <w:color w:val="auto"/>
                      <w:sz w:val="18"/>
                      <w:szCs w:val="18"/>
                    </w:rPr>
                  </w:pPr>
                  <w:r>
                    <w:rPr>
                      <w:rFonts w:hint="eastAsia" w:eastAsia="宋体"/>
                      <w:color w:val="auto"/>
                      <w:sz w:val="18"/>
                      <w:szCs w:val="18"/>
                      <w:lang w:val="en-US" w:eastAsia="zh-CN"/>
                    </w:rPr>
                    <w:t>ZH51082420001</w:t>
                  </w:r>
                  <w:r>
                    <w:rPr>
                      <w:rStyle w:val="23"/>
                      <w:rFonts w:hint="eastAsia" w:ascii="宋体" w:hAnsi="宋体" w:eastAsia="宋体" w:cs="Times New Roman"/>
                      <w:color w:val="auto"/>
                      <w:kern w:val="2"/>
                      <w:sz w:val="18"/>
                      <w:szCs w:val="18"/>
                      <w:lang w:val="en-US" w:eastAsia="zh-CN" w:bidi="ar-SA"/>
                    </w:rPr>
                    <w:t>苍溪县中心城区</w:t>
                  </w:r>
                </w:p>
                <w:p>
                  <w:pPr>
                    <w:pStyle w:val="46"/>
                    <w:widowControl/>
                    <w:spacing w:line="240" w:lineRule="auto"/>
                    <w:ind w:firstLine="0" w:firstLineChars="0"/>
                    <w:jc w:val="left"/>
                    <w:rPr>
                      <w:rFonts w:eastAsia="宋体"/>
                      <w:color w:val="auto"/>
                      <w:sz w:val="18"/>
                      <w:szCs w:val="18"/>
                    </w:rPr>
                  </w:pPr>
                </w:p>
                <w:p>
                  <w:pPr>
                    <w:pStyle w:val="46"/>
                    <w:widowControl/>
                    <w:spacing w:line="240" w:lineRule="auto"/>
                    <w:ind w:firstLine="0" w:firstLineChars="0"/>
                    <w:jc w:val="left"/>
                    <w:rPr>
                      <w:rFonts w:eastAsia="宋体"/>
                      <w:color w:val="auto"/>
                      <w:sz w:val="18"/>
                      <w:szCs w:val="18"/>
                    </w:rPr>
                  </w:pPr>
                </w:p>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s="宋体"/>
                      <w:color w:val="auto"/>
                      <w:kern w:val="0"/>
                      <w:sz w:val="18"/>
                      <w:szCs w:val="18"/>
                    </w:rPr>
                    <w:t>空间布局约束</w:t>
                  </w:r>
                </w:p>
              </w:tc>
              <w:tc>
                <w:tcPr>
                  <w:tcW w:w="1568" w:type="dxa"/>
                  <w:tcBorders>
                    <w:tl2br w:val="nil"/>
                    <w:tr2bl w:val="nil"/>
                  </w:tcBorders>
                  <w:vAlign w:val="top"/>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禁止开发建设活动的要求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同城镇空间重点管控单元总体准入要求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限制开发建设活动的要求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合理规划布局商业、居住、科教等功能区块，严格控制噪声、恶臭、油烟等污染排放较大的建设项目部局严控建设用地占用绿色空间；城镇空间与邻近的工业园区之间应建设合理的绿色生态隔离带；推进城镇绿廊建设，建立城镇生态空间与区域生态空间的有机联系建议区外现有机械零部件加工、食品加工企业维持现状，不得扩大规模，并逐步迁入园区其他同城镇空间重点管控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允许开发建设活动的要求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同城镇空间重点管控单元总体准入要求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不符合空间布局要求活动的退出要求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同城镇空间重点管控单元总体准入要求</w:t>
                  </w:r>
                </w:p>
                <w:p>
                  <w:pPr>
                    <w:pStyle w:val="46"/>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其他空间布局约束要求</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default" w:ascii="Times New Roman" w:hAnsi="Times New Roman" w:eastAsia="宋体" w:cs="Times New Roman"/>
                      <w:color w:val="auto"/>
                      <w:sz w:val="18"/>
                      <w:szCs w:val="18"/>
                    </w:rPr>
                    <w:t>本项目位于四川省广元市</w:t>
                  </w:r>
                  <w:r>
                    <w:rPr>
                      <w:rFonts w:hint="default" w:ascii="Times New Roman" w:hAnsi="Times New Roman" w:eastAsia="宋体" w:cs="Times New Roman"/>
                      <w:color w:val="auto"/>
                      <w:sz w:val="18"/>
                      <w:szCs w:val="18"/>
                      <w:lang w:eastAsia="zh-CN"/>
                    </w:rPr>
                    <w:t>苍溪县陵江镇江南二环路</w:t>
                  </w:r>
                  <w:r>
                    <w:rPr>
                      <w:rFonts w:hint="default" w:ascii="Times New Roman" w:hAnsi="Times New Roman" w:eastAsia="宋体" w:cs="Times New Roman"/>
                      <w:color w:val="auto"/>
                      <w:sz w:val="18"/>
                      <w:szCs w:val="18"/>
                      <w:lang w:val="en-US" w:eastAsia="zh-CN"/>
                    </w:rPr>
                    <w:t>1栋1单元1-3号</w:t>
                  </w:r>
                  <w:r>
                    <w:rPr>
                      <w:rFonts w:hint="eastAsia" w:ascii="宋体" w:hAnsi="宋体" w:eastAsia="宋体"/>
                      <w:color w:val="auto"/>
                      <w:sz w:val="18"/>
                      <w:szCs w:val="18"/>
                    </w:rPr>
                    <w:t>，为宠物医院服务</w:t>
                  </w:r>
                  <w:r>
                    <w:rPr>
                      <w:rFonts w:hint="eastAsia" w:ascii="宋体" w:hAnsi="宋体" w:eastAsia="宋体"/>
                      <w:color w:val="auto"/>
                      <w:sz w:val="18"/>
                      <w:szCs w:val="18"/>
                      <w:lang w:eastAsia="zh-CN"/>
                    </w:rPr>
                    <w:t>项目</w:t>
                  </w:r>
                  <w:r>
                    <w:rPr>
                      <w:rFonts w:hint="eastAsia" w:ascii="宋体" w:hAnsi="宋体" w:eastAsia="宋体"/>
                      <w:color w:val="auto"/>
                      <w:sz w:val="18"/>
                      <w:szCs w:val="18"/>
                    </w:rPr>
                    <w:t>，</w:t>
                  </w:r>
                  <w:r>
                    <w:rPr>
                      <w:rFonts w:hint="eastAsia" w:ascii="宋体" w:hAnsi="宋体" w:eastAsia="宋体"/>
                      <w:color w:val="auto"/>
                      <w:sz w:val="18"/>
                      <w:szCs w:val="18"/>
                      <w:lang w:eastAsia="zh-CN"/>
                    </w:rPr>
                    <w:t>宠物散发的异味</w:t>
                  </w:r>
                  <w:r>
                    <w:rPr>
                      <w:rFonts w:hint="eastAsia" w:ascii="宋体" w:hAnsi="宋体" w:eastAsia="宋体"/>
                      <w:color w:val="auto"/>
                      <w:sz w:val="18"/>
                      <w:szCs w:val="18"/>
                    </w:rPr>
                    <w:t>通过设置抽排风系统，并使用紫外灯消毒装置和活性炭吸附装置处理后通过排风口外排，排风口位于1楼大门处，排口朝向</w:t>
                  </w:r>
                  <w:r>
                    <w:rPr>
                      <w:rFonts w:hint="eastAsia" w:ascii="宋体" w:hAnsi="宋体" w:eastAsia="宋体"/>
                      <w:color w:val="auto"/>
                      <w:sz w:val="18"/>
                      <w:szCs w:val="18"/>
                      <w:lang w:eastAsia="zh-CN"/>
                    </w:rPr>
                    <w:t>公路一侧；医疗废物暂存间产生的恶臭通过医疗废物的密封、清运和消毒工作，加强管理，定期进行医疗废物暂存间储存设施、设备的清洁和消毒工作，并喷洒生物除臭剂；污水处理设施产生的恶臭：污水处理设施密封，定期对设备进行消毒；建筑隔声，选用低噪声设备，距离衰减，设备维护保养。</w:t>
                  </w: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符合</w:t>
                  </w:r>
                </w:p>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污染物排放管控</w:t>
                  </w:r>
                </w:p>
              </w:tc>
              <w:tc>
                <w:tcPr>
                  <w:tcW w:w="1568" w:type="dxa"/>
                  <w:tcBorders>
                    <w:tl2br w:val="nil"/>
                    <w:tr2bl w:val="nil"/>
                  </w:tcBorders>
                  <w:vAlign w:val="top"/>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现有源提标升级改造</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现有家具企业、胶合板制造企业提高VOCs治理水平，确保达到《四川省固定污染源大气挥发性有机物排放标准》中相应标准限值要求。汽修企业提高VOC收集处理效率。限时完成中心城区内现有油库、加油站和油罐车的油气回收改造工作。现有水泥制品、砖瓦制造等提高除尘、脱硫治理效率。其他同城镇空间重点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新增源等量或倍量替代</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同城镇空间重点管控单元总体准入要求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新增源排放标准限值</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污染物排放绩效水平准入要求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同城镇空间重点管控单元总体准入要求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其他污染物排放管控要求</w:t>
                  </w:r>
                </w:p>
                <w:p>
                  <w:pPr>
                    <w:pStyle w:val="46"/>
                    <w:widowControl/>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同城镇空间重点管控单元总体准入要求</w:t>
                  </w:r>
                </w:p>
              </w:tc>
              <w:tc>
                <w:tcPr>
                  <w:tcW w:w="1709" w:type="dxa"/>
                  <w:tcBorders>
                    <w:tl2br w:val="nil"/>
                    <w:tr2bl w:val="nil"/>
                  </w:tcBorders>
                  <w:vAlign w:val="center"/>
                </w:tcPr>
                <w:p>
                  <w:pPr>
                    <w:pStyle w:val="46"/>
                    <w:widowControl/>
                    <w:shd w:val="clear" w:color="auto" w:fill="FFFFFF"/>
                    <w:wordWrap w:val="0"/>
                    <w:topLinePunct/>
                    <w:spacing w:line="240" w:lineRule="auto"/>
                    <w:ind w:firstLine="0" w:firstLineChars="0"/>
                    <w:jc w:val="left"/>
                    <w:rPr>
                      <w:rFonts w:hint="eastAsia"/>
                      <w:b w:val="0"/>
                      <w:bCs w:val="0"/>
                      <w:color w:val="auto"/>
                      <w:sz w:val="21"/>
                      <w:szCs w:val="21"/>
                      <w:vertAlign w:val="baseline"/>
                      <w:lang w:val="en-US" w:eastAsia="zh-CN"/>
                    </w:rPr>
                  </w:pPr>
                  <w:r>
                    <w:rPr>
                      <w:rFonts w:hint="default" w:ascii="Times New Roman" w:hAnsi="Times New Roman" w:eastAsia="宋体" w:cs="Times New Roman"/>
                      <w:color w:val="auto"/>
                      <w:sz w:val="18"/>
                      <w:szCs w:val="18"/>
                    </w:rPr>
                    <w:t>本项目位于四川省广元市</w:t>
                  </w:r>
                  <w:r>
                    <w:rPr>
                      <w:rFonts w:hint="default" w:ascii="Times New Roman" w:hAnsi="Times New Roman" w:eastAsia="宋体" w:cs="Times New Roman"/>
                      <w:color w:val="auto"/>
                      <w:sz w:val="18"/>
                      <w:szCs w:val="18"/>
                      <w:lang w:eastAsia="zh-CN"/>
                    </w:rPr>
                    <w:t>苍溪县陵江镇江南二环路</w:t>
                  </w:r>
                  <w:r>
                    <w:rPr>
                      <w:rFonts w:hint="default" w:ascii="Times New Roman" w:hAnsi="Times New Roman" w:eastAsia="宋体" w:cs="Times New Roman"/>
                      <w:color w:val="auto"/>
                      <w:sz w:val="18"/>
                      <w:szCs w:val="18"/>
                      <w:lang w:val="en-US" w:eastAsia="zh-CN"/>
                    </w:rPr>
                    <w:t>1栋1单元1-3号</w:t>
                  </w:r>
                  <w:r>
                    <w:rPr>
                      <w:rFonts w:hint="eastAsia" w:ascii="宋体" w:hAnsi="宋体" w:eastAsia="宋体"/>
                      <w:color w:val="auto"/>
                      <w:sz w:val="18"/>
                      <w:szCs w:val="18"/>
                    </w:rPr>
                    <w:t>，为宠物医院服务</w:t>
                  </w:r>
                  <w:r>
                    <w:rPr>
                      <w:rFonts w:hint="eastAsia" w:ascii="宋体" w:hAnsi="宋体" w:eastAsia="宋体"/>
                      <w:color w:val="auto"/>
                      <w:sz w:val="18"/>
                      <w:szCs w:val="18"/>
                      <w:lang w:eastAsia="zh-CN"/>
                    </w:rPr>
                    <w:t>项目</w:t>
                  </w:r>
                  <w:r>
                    <w:rPr>
                      <w:rFonts w:hint="eastAsia" w:ascii="宋体" w:hAnsi="宋体" w:eastAsia="宋体"/>
                      <w:color w:val="auto"/>
                      <w:sz w:val="18"/>
                      <w:szCs w:val="18"/>
                    </w:rPr>
                    <w:t>，</w:t>
                  </w:r>
                  <w:r>
                    <w:rPr>
                      <w:rFonts w:hint="eastAsia" w:ascii="宋体" w:hAnsi="宋体" w:eastAsia="宋体"/>
                      <w:color w:val="auto"/>
                      <w:sz w:val="18"/>
                      <w:szCs w:val="18"/>
                      <w:lang w:eastAsia="zh-CN"/>
                    </w:rPr>
                    <w:t>符合</w:t>
                  </w:r>
                  <w:r>
                    <w:rPr>
                      <w:rStyle w:val="23"/>
                      <w:rFonts w:hint="eastAsia" w:ascii="宋体" w:hAnsi="宋体" w:eastAsia="宋体" w:cs="Times New Roman"/>
                      <w:color w:val="auto"/>
                      <w:kern w:val="2"/>
                      <w:sz w:val="18"/>
                      <w:szCs w:val="18"/>
                      <w:lang w:val="en-US" w:eastAsia="zh-CN" w:bidi="ar-SA"/>
                    </w:rPr>
                    <w:t>城镇空间重点单元总体准入要求。</w:t>
                  </w:r>
                </w:p>
              </w:tc>
              <w:tc>
                <w:tcPr>
                  <w:tcW w:w="796" w:type="dxa"/>
                  <w:tcBorders>
                    <w:tl2br w:val="nil"/>
                    <w:tr2bl w:val="nil"/>
                  </w:tcBorders>
                  <w:vAlign w:val="center"/>
                </w:tcPr>
                <w:p>
                  <w:pPr>
                    <w:ind w:left="-63" w:leftChars="-30" w:right="-63" w:rightChars="-30"/>
                    <w:jc w:val="left"/>
                    <w:rPr>
                      <w:rFonts w:hint="eastAsia"/>
                      <w:b w:val="0"/>
                      <w:bCs w:val="0"/>
                      <w:color w:val="auto"/>
                      <w:sz w:val="21"/>
                      <w:szCs w:val="21"/>
                      <w:vertAlign w:val="baseline"/>
                      <w:lang w:val="en-US" w:eastAsia="zh-CN"/>
                    </w:rPr>
                  </w:pPr>
                  <w:r>
                    <w:rPr>
                      <w:rFonts w:hint="eastAsia" w:ascii="宋体" w:hAnsi="宋体" w:cs="宋体"/>
                      <w:bCs/>
                      <w:color w:val="auto"/>
                      <w:spacing w:val="-11"/>
                      <w:kern w:val="0"/>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1252" w:type="dxa"/>
                  <w:vMerge w:val="continue"/>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环境风险防控</w:t>
                  </w:r>
                </w:p>
              </w:tc>
              <w:tc>
                <w:tcPr>
                  <w:tcW w:w="1568" w:type="dxa"/>
                  <w:tcBorders>
                    <w:tl2br w:val="nil"/>
                    <w:tr2bl w:val="nil"/>
                  </w:tcBorders>
                  <w:vAlign w:val="top"/>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严格管控类农用地管控要求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同广元市城镇重点单元总体准入要求。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安全利用类农用地管控要求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污染地块管控要求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园区环境风险防控要求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企业环境风险防控要求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同城镇空间重点管控单元总体准入要求</w:t>
                  </w:r>
                </w:p>
                <w:p>
                  <w:pPr>
                    <w:pStyle w:val="46"/>
                    <w:widowControl/>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其他环境风险防控要求</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本项目位于四川省广元市苍溪县陵江镇江南二环路1栋1单元1-3号，为宠物医院服务项目，</w:t>
                  </w:r>
                  <w:r>
                    <w:rPr>
                      <w:rFonts w:hint="eastAsia" w:ascii="宋体" w:hAnsi="宋体" w:eastAsia="宋体"/>
                      <w:color w:val="auto"/>
                      <w:sz w:val="18"/>
                      <w:szCs w:val="18"/>
                      <w:lang w:eastAsia="zh-CN"/>
                    </w:rPr>
                    <w:t>符合</w:t>
                  </w:r>
                  <w:r>
                    <w:rPr>
                      <w:rStyle w:val="23"/>
                      <w:rFonts w:hint="eastAsia" w:ascii="宋体" w:hAnsi="宋体" w:eastAsia="宋体" w:cs="Times New Roman"/>
                      <w:color w:val="auto"/>
                      <w:kern w:val="2"/>
                      <w:sz w:val="18"/>
                      <w:szCs w:val="18"/>
                      <w:lang w:val="en-US" w:eastAsia="zh-CN" w:bidi="ar-SA"/>
                    </w:rPr>
                    <w:t>城镇空间重点管控单元总体准入要求</w:t>
                  </w:r>
                </w:p>
                <w:p>
                  <w:pPr>
                    <w:bidi w:val="0"/>
                    <w:rPr>
                      <w:rFonts w:hint="eastAsia"/>
                      <w:color w:val="auto"/>
                      <w:sz w:val="18"/>
                      <w:szCs w:val="18"/>
                    </w:rPr>
                  </w:pPr>
                </w:p>
                <w:p>
                  <w:pPr>
                    <w:bidi w:val="0"/>
                    <w:rPr>
                      <w:rFonts w:hint="eastAsia"/>
                      <w:color w:val="auto"/>
                      <w:sz w:val="18"/>
                      <w:szCs w:val="18"/>
                    </w:rPr>
                  </w:pPr>
                </w:p>
                <w:p>
                  <w:pPr>
                    <w:bidi w:val="0"/>
                    <w:rPr>
                      <w:rFonts w:hint="eastAsia"/>
                      <w:color w:val="auto"/>
                      <w:sz w:val="18"/>
                      <w:szCs w:val="18"/>
                    </w:rPr>
                  </w:pPr>
                </w:p>
                <w:p>
                  <w:pPr>
                    <w:tabs>
                      <w:tab w:val="left" w:pos="954"/>
                    </w:tabs>
                    <w:bidi w:val="0"/>
                    <w:jc w:val="left"/>
                    <w:rPr>
                      <w:rFonts w:hint="eastAsia"/>
                      <w:b w:val="0"/>
                      <w:bCs w:val="0"/>
                      <w:color w:val="auto"/>
                      <w:sz w:val="21"/>
                      <w:szCs w:val="21"/>
                      <w:vertAlign w:val="baseline"/>
                      <w:lang w:val="en-US" w:eastAsia="zh-CN"/>
                    </w:rPr>
                  </w:pPr>
                  <w:r>
                    <w:rPr>
                      <w:rFonts w:hint="eastAsia"/>
                      <w:color w:val="auto"/>
                      <w:sz w:val="18"/>
                      <w:szCs w:val="18"/>
                      <w:lang w:eastAsia="zh-CN"/>
                    </w:rPr>
                    <w:tab/>
                  </w: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资源开发效率要求</w:t>
                  </w:r>
                </w:p>
              </w:tc>
              <w:tc>
                <w:tcPr>
                  <w:tcW w:w="1568" w:type="dxa"/>
                  <w:tcBorders>
                    <w:tl2br w:val="nil"/>
                    <w:tr2bl w:val="nil"/>
                  </w:tcBorders>
                  <w:vAlign w:val="top"/>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水资源利用效率要求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同广元市、苍溪县总体准入要求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地下水开采要求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同广元市、利州区总体准入要求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能源利用效率要求</w:t>
                  </w:r>
                </w:p>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其他资源利用效率要求</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Style w:val="23"/>
                      <w:rFonts w:hint="default" w:ascii="Times New Roman" w:hAnsi="Times New Roman" w:eastAsia="宋体" w:cs="Times New Roman"/>
                      <w:color w:val="auto"/>
                      <w:kern w:val="2"/>
                      <w:sz w:val="18"/>
                      <w:szCs w:val="18"/>
                      <w:lang w:val="en-US" w:eastAsia="zh-CN" w:bidi="ar-SA"/>
                    </w:rPr>
                  </w:pPr>
                  <w:r>
                    <w:rPr>
                      <w:rStyle w:val="23"/>
                      <w:rFonts w:hint="default" w:ascii="Times New Roman" w:hAnsi="Times New Roman" w:eastAsia="宋体" w:cs="Times New Roman"/>
                      <w:color w:val="auto"/>
                      <w:kern w:val="2"/>
                      <w:sz w:val="18"/>
                      <w:szCs w:val="18"/>
                      <w:lang w:val="en-US" w:eastAsia="zh-CN" w:bidi="ar-SA"/>
                    </w:rPr>
                    <w:t>本项目位于四川省广元市苍溪县陵江镇江南二环路1栋1单元1-3号，为宠物医院服务项目，符合广元市、苍溪县总体准入要求</w:t>
                  </w:r>
                </w:p>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restart"/>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沙溪-苍溪县-中心城区-管控单元YS5108242220001</w:t>
                  </w:r>
                </w:p>
              </w:tc>
              <w:tc>
                <w:tcPr>
                  <w:tcW w:w="936"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eastAsia="宋体"/>
                      <w:color w:val="auto"/>
                      <w:sz w:val="18"/>
                      <w:szCs w:val="18"/>
                    </w:rPr>
                  </w:pPr>
                </w:p>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空间布局约束</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禁止开发建设活动的要求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限制开发建设活动的要求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允许开发建设活动的要求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不符合空间布局要求活动的退出要求</w:t>
                  </w:r>
                </w:p>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其他空间布局约束要求</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default" w:ascii="Times New Roman" w:hAnsi="Times New Roman" w:eastAsia="宋体" w:cs="Times New Roman"/>
                      <w:color w:val="auto"/>
                      <w:sz w:val="18"/>
                      <w:szCs w:val="18"/>
                    </w:rPr>
                    <w:t xml:space="preserve">  </w:t>
                  </w:r>
                  <w:r>
                    <w:rPr>
                      <w:rStyle w:val="23"/>
                      <w:rFonts w:hint="default" w:ascii="Times New Roman" w:hAnsi="Times New Roman" w:eastAsia="宋体" w:cs="Times New Roman"/>
                      <w:color w:val="auto"/>
                      <w:kern w:val="2"/>
                      <w:sz w:val="18"/>
                      <w:szCs w:val="18"/>
                      <w:lang w:val="en-US" w:eastAsia="zh-CN" w:bidi="ar-SA"/>
                    </w:rPr>
                    <w:t>本项目位于四川省广元市苍溪县陵江镇江南二环路1栋1单元1-3号，为宠物医院服务项目，允许开发建设活动的要求</w:t>
                  </w:r>
                </w:p>
              </w:tc>
              <w:tc>
                <w:tcPr>
                  <w:tcW w:w="796" w:type="dxa"/>
                  <w:tcBorders>
                    <w:tl2br w:val="nil"/>
                    <w:tr2bl w:val="nil"/>
                  </w:tcBorders>
                  <w:vAlign w:val="center"/>
                </w:tcPr>
                <w:p>
                  <w:pPr>
                    <w:pStyle w:val="46"/>
                    <w:widowControl/>
                    <w:shd w:val="clear" w:color="auto" w:fill="FFFFFF"/>
                    <w:spacing w:line="240" w:lineRule="auto"/>
                    <w:ind w:firstLine="180" w:firstLineChars="10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污染物排放管控</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城镇污水污染控制措施要求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提升城镇生活污水处理能力，完善城镇生活污水收集系统，推进城镇生活污水处理设施提标改造</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工业废水污染控制措施要求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重点实施总磷总量控制和重点污染物减排，从严控制新建、扩建涉磷行业的项目建设；集中治理工业集聚区水污染，形成较为完善的工业集聚区废水处理体系，实现超标废水零排放；对于枯水期等易发生水质超标的时段，实施排污大户企业限产限排等应急措施</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农业面源水污染控制措施要求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推进化肥、农药使用量“零增长”，提升畜禽养殖养殖废物资源化利用率</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船舶港口水污染控制措施要求</w:t>
                  </w:r>
                </w:p>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饮用水水源和其它特殊水体保护要求</w:t>
                  </w:r>
                </w:p>
              </w:tc>
              <w:tc>
                <w:tcPr>
                  <w:tcW w:w="1709" w:type="dxa"/>
                  <w:tcBorders>
                    <w:tl2br w:val="nil"/>
                    <w:tr2bl w:val="nil"/>
                  </w:tcBorders>
                  <w:vAlign w:val="center"/>
                </w:tcPr>
                <w:p>
                  <w:pPr>
                    <w:pStyle w:val="46"/>
                    <w:keepNext w:val="0"/>
                    <w:keepLines w:val="0"/>
                    <w:pageBreakBefore w:val="0"/>
                    <w:widowControl/>
                    <w:shd w:val="clear" w:color="auto" w:fill="FFFFFF"/>
                    <w:kinsoku/>
                    <w:wordWrap w:val="0"/>
                    <w:overflowPunct/>
                    <w:topLinePunct/>
                    <w:autoSpaceDE/>
                    <w:autoSpaceDN/>
                    <w:bidi w:val="0"/>
                    <w:adjustRightInd/>
                    <w:snapToGrid/>
                    <w:spacing w:line="240" w:lineRule="auto"/>
                    <w:ind w:firstLine="0" w:firstLineChars="0"/>
                    <w:jc w:val="left"/>
                    <w:textAlignment w:val="auto"/>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sz w:val="18"/>
                      <w:szCs w:val="18"/>
                    </w:rPr>
                    <w:t>宠物治疗废水、</w:t>
                  </w:r>
                  <w:r>
                    <w:rPr>
                      <w:rFonts w:hint="eastAsia" w:eastAsia="宋体" w:cs="Times New Roman"/>
                      <w:color w:val="auto"/>
                      <w:sz w:val="18"/>
                      <w:szCs w:val="18"/>
                      <w:lang w:eastAsia="zh-CN"/>
                    </w:rPr>
                    <w:t>宠物做手术器械和</w:t>
                  </w:r>
                  <w:r>
                    <w:rPr>
                      <w:rFonts w:hint="default" w:ascii="Times New Roman" w:hAnsi="Times New Roman" w:eastAsia="宋体" w:cs="Times New Roman"/>
                      <w:color w:val="auto"/>
                      <w:sz w:val="18"/>
                      <w:szCs w:val="18"/>
                    </w:rPr>
                    <w:t>地面</w:t>
                  </w:r>
                  <w:r>
                    <w:rPr>
                      <w:rFonts w:hint="eastAsia" w:eastAsia="宋体" w:cs="Times New Roman"/>
                      <w:color w:val="auto"/>
                      <w:sz w:val="18"/>
                      <w:szCs w:val="18"/>
                      <w:lang w:eastAsia="zh-CN"/>
                    </w:rPr>
                    <w:t>、宠物笼</w:t>
                  </w:r>
                  <w:r>
                    <w:rPr>
                      <w:rFonts w:hint="default" w:ascii="Times New Roman" w:hAnsi="Times New Roman" w:eastAsia="宋体" w:cs="Times New Roman"/>
                      <w:color w:val="auto"/>
                      <w:sz w:val="18"/>
                      <w:szCs w:val="18"/>
                    </w:rPr>
                    <w:t>清洁废水收集至污水消毒池进行处理，处理后达到《医疗机构水污染物排放标准》（GB18466-2005）表2中“预处理标准”标准限值要求再和工作人员污水排至已建的预处理池进行处理，经预处理池处理达到《污水综合排放标准》（GB8978-1998）三级排放标准后排入市政污水管网，最终进入</w:t>
                  </w:r>
                  <w:r>
                    <w:rPr>
                      <w:rFonts w:hint="default" w:ascii="Times New Roman" w:hAnsi="Times New Roman" w:eastAsia="宋体" w:cs="Times New Roman"/>
                      <w:color w:val="auto"/>
                      <w:sz w:val="18"/>
                      <w:szCs w:val="18"/>
                      <w:lang w:eastAsia="zh-CN"/>
                    </w:rPr>
                    <w:t>苍溪县石家坝城市污水处理厂</w:t>
                  </w:r>
                  <w:r>
                    <w:rPr>
                      <w:rFonts w:hint="default" w:ascii="Times New Roman" w:hAnsi="Times New Roman" w:eastAsia="宋体" w:cs="Times New Roman"/>
                      <w:color w:val="auto"/>
                      <w:sz w:val="18"/>
                      <w:szCs w:val="18"/>
                    </w:rPr>
                    <w:t>处理达到《城镇污水处理厂污染物综合排放标准》（GB18918-2002）中一级A标后排入嘉陵江</w:t>
                  </w:r>
                </w:p>
                <w:p>
                  <w:pPr>
                    <w:pStyle w:val="46"/>
                    <w:keepNext w:val="0"/>
                    <w:keepLines w:val="0"/>
                    <w:pageBreakBefore w:val="0"/>
                    <w:widowControl/>
                    <w:shd w:val="clear" w:color="auto" w:fill="FFFFFF"/>
                    <w:kinsoku/>
                    <w:wordWrap w:val="0"/>
                    <w:overflowPunct/>
                    <w:topLinePunct/>
                    <w:autoSpaceDE/>
                    <w:autoSpaceDN/>
                    <w:bidi w:val="0"/>
                    <w:adjustRightInd/>
                    <w:snapToGrid/>
                    <w:spacing w:line="240" w:lineRule="auto"/>
                    <w:ind w:firstLine="0" w:firstLineChars="0"/>
                    <w:jc w:val="left"/>
                    <w:textAlignment w:val="auto"/>
                    <w:rPr>
                      <w:rFonts w:hint="eastAsia"/>
                      <w:b w:val="0"/>
                      <w:bCs w:val="0"/>
                      <w:color w:val="auto"/>
                      <w:sz w:val="21"/>
                      <w:szCs w:val="21"/>
                      <w:vertAlign w:val="baseline"/>
                      <w:lang w:val="en-US" w:eastAsia="zh-CN"/>
                    </w:rPr>
                  </w:pP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环境风险防控</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加强环境风险防范，坚持预防为主，构建以企业为主体的环境风险防控体系，优化产业布局，加强协调联动，提升应急救援能力；严格环境风险源头防控，加强涉重金属、危险废物、危化品等重点企业环境风险评估；强化工业、企业集中分布区环境风险管控，建设相应的防护工程。</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加强环境风险防范，坚持预防为主，构建以企业为主体的环境风险防控体系，优化产业布局，加强协调联动，提升应急救援能力；严格环境风险源头防控，加强涉重金属、危险废物、危化品等重点企业环境风险评估；强化工业、企业集中分布区环境风险管控，建设相应的防护工程。</w:t>
                  </w: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hd w:val="clear" w:color="auto" w:fill="FFFFFF"/>
                    <w:spacing w:line="240" w:lineRule="auto"/>
                    <w:ind w:firstLine="0" w:firstLineChars="0"/>
                    <w:jc w:val="left"/>
                    <w:rPr>
                      <w:rFonts w:hint="eastAsia"/>
                      <w:b w:val="0"/>
                      <w:bCs w:val="0"/>
                      <w:color w:val="auto"/>
                      <w:sz w:val="21"/>
                      <w:szCs w:val="21"/>
                      <w:vertAlign w:val="baseline"/>
                      <w:lang w:val="en-US" w:eastAsia="zh-CN"/>
                    </w:rPr>
                  </w:pPr>
                  <w:r>
                    <w:rPr>
                      <w:rFonts w:hint="eastAsia" w:ascii="宋体" w:hAnsi="宋体" w:eastAsia="宋体"/>
                      <w:color w:val="auto"/>
                      <w:sz w:val="18"/>
                      <w:szCs w:val="18"/>
                    </w:rPr>
                    <w:t>资源开发效率要求</w:t>
                  </w:r>
                </w:p>
              </w:tc>
              <w:tc>
                <w:tcPr>
                  <w:tcW w:w="1568" w:type="dxa"/>
                  <w:tcBorders>
                    <w:tl2br w:val="nil"/>
                    <w:tr2bl w:val="nil"/>
                  </w:tcBorders>
                  <w:vAlign w:val="center"/>
                </w:tcPr>
                <w:p>
                  <w:pPr>
                    <w:pStyle w:val="46"/>
                    <w:widowControl/>
                    <w:shd w:val="clear" w:color="auto" w:fill="FFFFFF"/>
                    <w:spacing w:line="240" w:lineRule="auto"/>
                    <w:ind w:left="357" w:leftChars="170" w:firstLine="1800" w:firstLineChars="1000"/>
                    <w:jc w:val="left"/>
                    <w:rPr>
                      <w:rFonts w:hint="eastAsia"/>
                      <w:b w:val="0"/>
                      <w:bCs w:val="0"/>
                      <w:color w:val="auto"/>
                      <w:sz w:val="21"/>
                      <w:szCs w:val="21"/>
                      <w:vertAlign w:val="baseline"/>
                      <w:lang w:val="en-US" w:eastAsia="zh-CN"/>
                    </w:rPr>
                  </w:pPr>
                  <w:r>
                    <w:rPr>
                      <w:rFonts w:hint="eastAsia" w:ascii="宋体" w:hAnsi="宋体"/>
                      <w:color w:val="auto"/>
                      <w:sz w:val="18"/>
                      <w:szCs w:val="18"/>
                    </w:rPr>
                    <w:t>/</w:t>
                  </w:r>
                  <w:r>
                    <w:rPr>
                      <w:rFonts w:hint="eastAsia" w:ascii="宋体" w:hAnsi="宋体" w:eastAsia="宋体"/>
                      <w:color w:val="auto"/>
                      <w:sz w:val="18"/>
                      <w:szCs w:val="18"/>
                    </w:rPr>
                    <w:t>/</w:t>
                  </w:r>
                </w:p>
              </w:tc>
              <w:tc>
                <w:tcPr>
                  <w:tcW w:w="1709" w:type="dxa"/>
                  <w:tcBorders>
                    <w:tl2br w:val="nil"/>
                    <w:tr2bl w:val="nil"/>
                  </w:tcBorders>
                  <w:vAlign w:val="center"/>
                </w:tcPr>
                <w:p>
                  <w:pPr>
                    <w:widowControl/>
                    <w:shd w:val="clear" w:color="auto" w:fill="FFFFFF"/>
                    <w:ind w:left="178" w:leftChars="85" w:firstLine="1080" w:firstLineChars="600"/>
                    <w:jc w:val="left"/>
                    <w:rPr>
                      <w:rFonts w:hint="eastAsia"/>
                      <w:b w:val="0"/>
                      <w:bCs w:val="0"/>
                      <w:color w:val="auto"/>
                      <w:sz w:val="21"/>
                      <w:szCs w:val="21"/>
                      <w:vertAlign w:val="baseline"/>
                      <w:lang w:val="en-US" w:eastAsia="zh-CN"/>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ind w:firstLine="360" w:firstLineChars="200"/>
                    <w:jc w:val="left"/>
                    <w:rPr>
                      <w:rFonts w:hint="eastAsia"/>
                      <w:b w:val="0"/>
                      <w:bCs w:val="0"/>
                      <w:color w:val="auto"/>
                      <w:sz w:val="21"/>
                      <w:szCs w:val="21"/>
                      <w:vertAlign w:val="baseline"/>
                      <w:lang w:val="en-US" w:eastAsia="zh-CN"/>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restart"/>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YS5108242540001苍溪县建成区及城乡结合部</w:t>
                  </w: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空间布局约束</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Style w:val="23"/>
                      <w:rFonts w:hint="eastAsia" w:ascii="宋体" w:hAnsi="宋体" w:eastAsia="宋体" w:cs="Times New Roman"/>
                      <w:color w:val="auto"/>
                      <w:kern w:val="2"/>
                      <w:sz w:val="18"/>
                      <w:szCs w:val="18"/>
                      <w:lang w:val="en-US" w:eastAsia="zh-CN" w:bidi="ar-SA"/>
                    </w:rPr>
                    <w:t>按照广元市及各区县划定的高污染燃料禁燃区方案执行</w:t>
                  </w:r>
                </w:p>
              </w:tc>
              <w:tc>
                <w:tcPr>
                  <w:tcW w:w="1709" w:type="dxa"/>
                  <w:tcBorders>
                    <w:tl2br w:val="nil"/>
                    <w:tr2bl w:val="nil"/>
                  </w:tcBorders>
                  <w:vAlign w:val="center"/>
                </w:tcPr>
                <w:p>
                  <w:pPr>
                    <w:widowControl/>
                    <w:shd w:val="clear" w:color="auto" w:fill="FFFFFF"/>
                    <w:jc w:val="left"/>
                    <w:rPr>
                      <w:rFonts w:hint="eastAsia" w:ascii="宋体" w:hAnsi="宋体"/>
                      <w:color w:val="auto"/>
                      <w:sz w:val="18"/>
                      <w:szCs w:val="18"/>
                    </w:rPr>
                  </w:pPr>
                  <w:r>
                    <w:rPr>
                      <w:rStyle w:val="23"/>
                      <w:rFonts w:hint="eastAsia" w:ascii="宋体" w:hAnsi="宋体" w:eastAsia="宋体" w:cs="Times New Roman"/>
                      <w:color w:val="auto"/>
                      <w:kern w:val="2"/>
                      <w:sz w:val="18"/>
                      <w:szCs w:val="18"/>
                      <w:lang w:val="en-US" w:eastAsia="zh-CN" w:bidi="ar-SA"/>
                    </w:rPr>
                    <w:t>按照广元市及各区县划定的高污染燃料禁燃区方案执行</w:t>
                  </w:r>
                </w:p>
              </w:tc>
              <w:tc>
                <w:tcPr>
                  <w:tcW w:w="796" w:type="dxa"/>
                  <w:tcBorders>
                    <w:tl2br w:val="nil"/>
                    <w:tr2bl w:val="nil"/>
                  </w:tcBorders>
                  <w:vAlign w:val="center"/>
                </w:tcPr>
                <w:p>
                  <w:pPr>
                    <w:widowControl/>
                    <w:shd w:val="clear" w:color="auto" w:fill="FFFFFF"/>
                    <w:jc w:val="left"/>
                    <w:rPr>
                      <w:rFonts w:hint="eastAsia" w:ascii="宋体" w:hAnsi="宋体"/>
                      <w:color w:val="auto"/>
                      <w:sz w:val="18"/>
                      <w:szCs w:val="18"/>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污染物排放管控</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Fonts w:hint="eastAsia" w:ascii="宋体" w:hAnsi="宋体" w:eastAsia="宋体"/>
                      <w:color w:val="auto"/>
                      <w:sz w:val="18"/>
                      <w:szCs w:val="18"/>
                    </w:rPr>
                    <w:t xml:space="preserve"> </w:t>
                  </w:r>
                  <w:r>
                    <w:rPr>
                      <w:rFonts w:hint="eastAsia" w:ascii="宋体" w:hAnsi="宋体" w:eastAsia="宋体"/>
                      <w:color w:val="auto"/>
                      <w:sz w:val="18"/>
                      <w:szCs w:val="18"/>
                      <w:lang w:val="en-US" w:eastAsia="zh-CN"/>
                    </w:rPr>
                    <w:t xml:space="preserve">                      </w:t>
                  </w:r>
                  <w:r>
                    <w:rPr>
                      <w:rFonts w:hint="eastAsia" w:ascii="宋体" w:hAnsi="宋体" w:eastAsia="宋体"/>
                      <w:color w:val="auto"/>
                      <w:sz w:val="18"/>
                      <w:szCs w:val="18"/>
                    </w:rPr>
                    <w:t>/</w:t>
                  </w:r>
                </w:p>
              </w:tc>
              <w:tc>
                <w:tcPr>
                  <w:tcW w:w="1709" w:type="dxa"/>
                  <w:tcBorders>
                    <w:tl2br w:val="nil"/>
                    <w:tr2bl w:val="nil"/>
                  </w:tcBorders>
                  <w:vAlign w:val="center"/>
                </w:tcPr>
                <w:p>
                  <w:pPr>
                    <w:widowControl/>
                    <w:shd w:val="clear" w:color="auto" w:fill="FFFFFF"/>
                    <w:ind w:firstLine="1260" w:firstLineChars="700"/>
                    <w:jc w:val="left"/>
                    <w:rPr>
                      <w:rFonts w:hint="eastAsia" w:ascii="宋体" w:hAnsi="宋体"/>
                      <w:color w:val="auto"/>
                      <w:sz w:val="18"/>
                      <w:szCs w:val="18"/>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ind w:firstLine="180" w:firstLineChars="100"/>
                    <w:jc w:val="left"/>
                    <w:rPr>
                      <w:rFonts w:hint="eastAsia" w:ascii="宋体" w:hAnsi="宋体"/>
                      <w:color w:val="auto"/>
                      <w:sz w:val="18"/>
                      <w:szCs w:val="18"/>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环境风险防控</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Fonts w:hint="eastAsia" w:ascii="宋体" w:hAnsi="宋体" w:eastAsia="宋体"/>
                      <w:color w:val="auto"/>
                      <w:sz w:val="18"/>
                      <w:szCs w:val="18"/>
                    </w:rPr>
                    <w:t xml:space="preserve">  </w:t>
                  </w:r>
                  <w:r>
                    <w:rPr>
                      <w:rFonts w:hint="eastAsia" w:ascii="宋体" w:hAnsi="宋体" w:eastAsia="宋体"/>
                      <w:color w:val="auto"/>
                      <w:sz w:val="18"/>
                      <w:szCs w:val="18"/>
                      <w:lang w:val="en-US" w:eastAsia="zh-CN"/>
                    </w:rPr>
                    <w:t xml:space="preserve">       </w:t>
                  </w:r>
                  <w:r>
                    <w:rPr>
                      <w:rFonts w:hint="eastAsia" w:ascii="宋体" w:hAnsi="宋体" w:eastAsia="宋体"/>
                      <w:color w:val="auto"/>
                      <w:sz w:val="18"/>
                      <w:szCs w:val="18"/>
                    </w:rPr>
                    <w:t xml:space="preserve"> </w:t>
                  </w:r>
                  <w:r>
                    <w:rPr>
                      <w:rFonts w:hint="eastAsia" w:ascii="宋体" w:hAnsi="宋体" w:eastAsia="宋体"/>
                      <w:color w:val="auto"/>
                      <w:sz w:val="18"/>
                      <w:szCs w:val="18"/>
                      <w:lang w:val="en-US" w:eastAsia="zh-CN"/>
                    </w:rPr>
                    <w:t xml:space="preserve">             </w:t>
                  </w:r>
                  <w:r>
                    <w:rPr>
                      <w:rFonts w:hint="eastAsia" w:ascii="宋体" w:hAnsi="宋体" w:eastAsia="宋体"/>
                      <w:color w:val="auto"/>
                      <w:sz w:val="18"/>
                      <w:szCs w:val="18"/>
                    </w:rPr>
                    <w:t>/</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Fonts w:hint="eastAsia" w:ascii="宋体" w:hAnsi="宋体" w:eastAsia="宋体"/>
                      <w:color w:val="auto"/>
                      <w:sz w:val="18"/>
                      <w:szCs w:val="18"/>
                    </w:rPr>
                    <w:t xml:space="preserve">  </w:t>
                  </w:r>
                  <w:r>
                    <w:rPr>
                      <w:rFonts w:hint="eastAsia" w:ascii="宋体" w:hAnsi="宋体" w:eastAsia="宋体"/>
                      <w:color w:val="auto"/>
                      <w:sz w:val="18"/>
                      <w:szCs w:val="18"/>
                      <w:lang w:val="en-US" w:eastAsia="zh-CN"/>
                    </w:rPr>
                    <w:t xml:space="preserve">      </w:t>
                  </w:r>
                  <w:r>
                    <w:rPr>
                      <w:rFonts w:hint="eastAsia" w:ascii="宋体" w:hAnsi="宋体" w:eastAsia="宋体"/>
                      <w:color w:val="auto"/>
                      <w:sz w:val="18"/>
                      <w:szCs w:val="18"/>
                    </w:rPr>
                    <w:t xml:space="preserve"> </w:t>
                  </w:r>
                  <w:r>
                    <w:rPr>
                      <w:rFonts w:hint="eastAsia" w:ascii="宋体" w:hAnsi="宋体" w:eastAsia="宋体"/>
                      <w:color w:val="auto"/>
                      <w:sz w:val="18"/>
                      <w:szCs w:val="18"/>
                      <w:lang w:val="en-US" w:eastAsia="zh-CN"/>
                    </w:rPr>
                    <w:t xml:space="preserve">    </w:t>
                  </w:r>
                  <w:r>
                    <w:rPr>
                      <w:rFonts w:hint="eastAsia" w:ascii="宋体" w:hAnsi="宋体" w:eastAsia="宋体"/>
                      <w:color w:val="auto"/>
                      <w:sz w:val="18"/>
                      <w:szCs w:val="18"/>
                    </w:rPr>
                    <w:t>/</w:t>
                  </w: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Fonts w:hint="eastAsia" w:ascii="宋体" w:hAnsi="宋体" w:eastAsia="宋体"/>
                      <w:color w:val="auto"/>
                      <w:sz w:val="18"/>
                      <w:szCs w:val="18"/>
                    </w:rPr>
                    <w:t xml:space="preserve">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资源开发效率要求</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土地资源开发效率要求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能源资源开发效率要求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高污染燃料禁燃区内禁止使用、销售高污染燃料，不得新建、改建和扩建任何燃用高污染燃料的设施设备能源消耗、污染物排放不得超过能源利用上线控制性指标</w:t>
                  </w:r>
                </w:p>
                <w:p>
                  <w:pPr>
                    <w:pStyle w:val="46"/>
                    <w:widowControl/>
                    <w:shd w:val="clear" w:color="auto" w:fill="FFFFFF"/>
                    <w:spacing w:line="240" w:lineRule="auto"/>
                    <w:ind w:firstLine="0" w:firstLineChars="0"/>
                    <w:jc w:val="left"/>
                    <w:rPr>
                      <w:rFonts w:hint="eastAsia" w:ascii="宋体" w:hAnsi="宋体"/>
                      <w:color w:val="auto"/>
                      <w:sz w:val="18"/>
                      <w:szCs w:val="18"/>
                    </w:rPr>
                  </w:pPr>
                  <w:r>
                    <w:rPr>
                      <w:rStyle w:val="23"/>
                      <w:rFonts w:hint="eastAsia" w:ascii="宋体" w:hAnsi="宋体" w:eastAsia="宋体" w:cs="Times New Roman"/>
                      <w:color w:val="auto"/>
                      <w:kern w:val="2"/>
                      <w:sz w:val="18"/>
                      <w:szCs w:val="18"/>
                      <w:lang w:val="en-US" w:eastAsia="zh-CN" w:bidi="ar-SA"/>
                    </w:rPr>
                    <w:t>其他资源开发效率要求</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Style w:val="23"/>
                      <w:rFonts w:hint="default" w:ascii="Times New Roman" w:hAnsi="Times New Roman" w:eastAsia="宋体" w:cs="Times New Roman"/>
                      <w:color w:val="auto"/>
                      <w:kern w:val="2"/>
                      <w:sz w:val="18"/>
                      <w:szCs w:val="18"/>
                      <w:lang w:val="en-US" w:eastAsia="zh-CN" w:bidi="ar-SA"/>
                    </w:rPr>
                    <w:t>本项目位于四川省广元市苍溪县陵江镇江南二环路1栋1单元1-3号，为宠物医院服务项目，</w:t>
                  </w:r>
                  <w:r>
                    <w:rPr>
                      <w:rStyle w:val="23"/>
                      <w:rFonts w:hint="eastAsia" w:ascii="Times New Roman" w:hAnsi="Times New Roman" w:eastAsia="宋体" w:cs="Times New Roman"/>
                      <w:color w:val="auto"/>
                      <w:kern w:val="2"/>
                      <w:sz w:val="18"/>
                      <w:szCs w:val="18"/>
                      <w:lang w:val="en-US" w:eastAsia="zh-CN" w:bidi="ar-SA"/>
                    </w:rPr>
                    <w:t>不属于高污染燃料行业</w:t>
                  </w:r>
                </w:p>
              </w:tc>
              <w:tc>
                <w:tcPr>
                  <w:tcW w:w="796" w:type="dxa"/>
                  <w:tcBorders>
                    <w:tl2br w:val="nil"/>
                    <w:tr2bl w:val="nil"/>
                  </w:tcBorders>
                  <w:vAlign w:val="center"/>
                </w:tcPr>
                <w:p>
                  <w:pPr>
                    <w:pStyle w:val="46"/>
                    <w:widowControl/>
                    <w:shd w:val="clear" w:color="auto" w:fill="FFFFFF"/>
                    <w:spacing w:line="240" w:lineRule="auto"/>
                    <w:ind w:firstLine="0" w:firstLineChars="0"/>
                    <w:jc w:val="left"/>
                    <w:rPr>
                      <w:rFonts w:hint="eastAsia" w:ascii="宋体" w:hAnsi="宋体"/>
                      <w:color w:val="auto"/>
                      <w:sz w:val="18"/>
                      <w:szCs w:val="18"/>
                    </w:rPr>
                  </w:pPr>
                  <w:r>
                    <w:rPr>
                      <w:rFonts w:hint="eastAsia" w:ascii="宋体" w:hAnsi="宋体" w:eastAsia="宋体"/>
                      <w:color w:val="auto"/>
                      <w:sz w:val="18"/>
                      <w:szCs w:val="18"/>
                    </w:rPr>
                    <w:t xml:space="preserve"> 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restart"/>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YS5108242550001苍溪县自然资源重点管控区</w:t>
                  </w: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空间布局约束</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合理开发高效利用水资源，建设节水型社会；优化土地利用布局与结构；优化产业空间布局，构建清洁能源体系</w:t>
                  </w:r>
                </w:p>
              </w:tc>
              <w:tc>
                <w:tcPr>
                  <w:tcW w:w="1709" w:type="dxa"/>
                  <w:tcBorders>
                    <w:tl2br w:val="nil"/>
                    <w:tr2bl w:val="nil"/>
                  </w:tcBorders>
                  <w:vAlign w:val="center"/>
                </w:tcPr>
                <w:p>
                  <w:pPr>
                    <w:pStyle w:val="46"/>
                    <w:widowControl/>
                    <w:shd w:val="clear" w:color="auto" w:fill="FFFFFF"/>
                    <w:spacing w:line="240" w:lineRule="auto"/>
                    <w:ind w:firstLine="0" w:firstLineChars="0"/>
                    <w:jc w:val="left"/>
                    <w:rPr>
                      <w:rStyle w:val="23"/>
                      <w:rFonts w:hint="default" w:ascii="Times New Roman" w:hAnsi="Times New Roman"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合理开发高效利用水资源，建设节水型社会；优化土地利用布局与结构；优化产业空间布局，构建清洁能源体系</w:t>
                  </w:r>
                </w:p>
              </w:tc>
              <w:tc>
                <w:tcPr>
                  <w:tcW w:w="796" w:type="dxa"/>
                  <w:tcBorders>
                    <w:tl2br w:val="nil"/>
                    <w:tr2bl w:val="nil"/>
                  </w:tcBorders>
                  <w:vAlign w:val="center"/>
                </w:tcPr>
                <w:p>
                  <w:pPr>
                    <w:pStyle w:val="46"/>
                    <w:widowControl/>
                    <w:shd w:val="clear" w:color="auto" w:fill="FFFFFF"/>
                    <w:spacing w:line="240" w:lineRule="auto"/>
                    <w:ind w:firstLine="180" w:firstLineChars="100"/>
                    <w:jc w:val="left"/>
                    <w:rPr>
                      <w:rFonts w:hint="eastAsia" w:ascii="宋体" w:hAnsi="宋体" w:eastAsia="宋体"/>
                      <w:color w:val="auto"/>
                      <w:sz w:val="18"/>
                      <w:szCs w:val="18"/>
                    </w:rPr>
                  </w:pPr>
                  <w:r>
                    <w:rPr>
                      <w:rFonts w:hint="eastAsia" w:ascii="宋体" w:hAnsi="宋体" w:eastAsia="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污染物排放管控</w:t>
                  </w:r>
                </w:p>
              </w:tc>
              <w:tc>
                <w:tcPr>
                  <w:tcW w:w="1568" w:type="dxa"/>
                  <w:vMerge w:val="restart"/>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Fonts w:hint="eastAsia" w:ascii="宋体" w:hAnsi="宋体" w:eastAsia="宋体"/>
                      <w:color w:val="auto"/>
                      <w:sz w:val="18"/>
                      <w:szCs w:val="18"/>
                    </w:rPr>
                    <w:t>/</w:t>
                  </w:r>
                </w:p>
              </w:tc>
              <w:tc>
                <w:tcPr>
                  <w:tcW w:w="1709" w:type="dxa"/>
                  <w:tcBorders>
                    <w:tl2br w:val="nil"/>
                    <w:tr2bl w:val="nil"/>
                  </w:tcBorders>
                  <w:vAlign w:val="center"/>
                </w:tcPr>
                <w:p>
                  <w:pPr>
                    <w:widowControl/>
                    <w:shd w:val="clear" w:color="auto" w:fill="FFFFFF"/>
                    <w:ind w:firstLine="720" w:firstLineChars="400"/>
                    <w:jc w:val="left"/>
                    <w:rPr>
                      <w:rStyle w:val="23"/>
                      <w:rFonts w:hint="default" w:ascii="Times New Roman" w:hAnsi="Times New Roman" w:eastAsia="宋体" w:cs="Times New Roman"/>
                      <w:color w:val="auto"/>
                      <w:kern w:val="2"/>
                      <w:sz w:val="18"/>
                      <w:szCs w:val="18"/>
                      <w:lang w:val="en-US" w:eastAsia="zh-CN" w:bidi="ar-SA"/>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环境风险防控</w:t>
                  </w:r>
                </w:p>
              </w:tc>
              <w:tc>
                <w:tcPr>
                  <w:tcW w:w="1568" w:type="dxa"/>
                  <w:vMerge w:val="continue"/>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p>
              </w:tc>
              <w:tc>
                <w:tcPr>
                  <w:tcW w:w="1709" w:type="dxa"/>
                  <w:tcBorders>
                    <w:tl2br w:val="nil"/>
                    <w:tr2bl w:val="nil"/>
                  </w:tcBorders>
                  <w:vAlign w:val="center"/>
                </w:tcPr>
                <w:p>
                  <w:pPr>
                    <w:widowControl/>
                    <w:shd w:val="clear" w:color="auto" w:fill="FFFFFF"/>
                    <w:ind w:firstLine="900" w:firstLineChars="500"/>
                    <w:jc w:val="left"/>
                    <w:rPr>
                      <w:rStyle w:val="23"/>
                      <w:rFonts w:hint="default" w:ascii="Times New Roman" w:hAnsi="Times New Roman" w:eastAsia="宋体" w:cs="Times New Roman"/>
                      <w:color w:val="auto"/>
                      <w:kern w:val="2"/>
                      <w:sz w:val="18"/>
                      <w:szCs w:val="18"/>
                      <w:lang w:val="en-US" w:eastAsia="zh-CN" w:bidi="ar-SA"/>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资源开发效率要求</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土地资源开发效率要求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能源资源开发效率要求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其他资源开发效率要求</w:t>
                  </w:r>
                </w:p>
              </w:tc>
              <w:tc>
                <w:tcPr>
                  <w:tcW w:w="1709" w:type="dxa"/>
                  <w:tcBorders>
                    <w:tl2br w:val="nil"/>
                    <w:tr2bl w:val="nil"/>
                  </w:tcBorders>
                  <w:vAlign w:val="center"/>
                </w:tcPr>
                <w:p>
                  <w:pPr>
                    <w:widowControl/>
                    <w:shd w:val="clear" w:color="auto" w:fill="FFFFFF"/>
                    <w:ind w:firstLine="900" w:firstLineChars="500"/>
                    <w:jc w:val="left"/>
                    <w:rPr>
                      <w:rStyle w:val="23"/>
                      <w:rFonts w:hint="default" w:ascii="Times New Roman" w:hAnsi="Times New Roman" w:eastAsia="宋体" w:cs="Times New Roman"/>
                      <w:color w:val="auto"/>
                      <w:kern w:val="2"/>
                      <w:sz w:val="18"/>
                      <w:szCs w:val="18"/>
                      <w:lang w:val="en-US" w:eastAsia="zh-CN" w:bidi="ar-SA"/>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restart"/>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r>
                    <w:rPr>
                      <w:rStyle w:val="23"/>
                      <w:rFonts w:hint="eastAsia" w:ascii="宋体" w:hAnsi="宋体" w:eastAsia="宋体" w:cs="Times New Roman"/>
                      <w:color w:val="auto"/>
                      <w:kern w:val="2"/>
                      <w:sz w:val="18"/>
                      <w:szCs w:val="18"/>
                      <w:lang w:val="en-US" w:eastAsia="zh-CN" w:bidi="ar-SA"/>
                    </w:rPr>
                    <w:t>YS5108242340001苍溪县大气环境受体敏感重点管控区</w:t>
                  </w: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空间布局约束</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禁止开发建设活动的要求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限制开发建设活动的要求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允许开发建设活动的要求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不符合空间布局要求活动的退出要求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其他空间布局约束要求</w:t>
                  </w:r>
                </w:p>
              </w:tc>
              <w:tc>
                <w:tcPr>
                  <w:tcW w:w="1709" w:type="dxa"/>
                  <w:tcBorders>
                    <w:tl2br w:val="nil"/>
                    <w:tr2bl w:val="nil"/>
                  </w:tcBorders>
                  <w:vAlign w:val="center"/>
                </w:tcPr>
                <w:p>
                  <w:pPr>
                    <w:widowControl/>
                    <w:shd w:val="clear" w:color="auto" w:fill="FFFFFF"/>
                    <w:jc w:val="left"/>
                    <w:rPr>
                      <w:rFonts w:hint="eastAsia" w:ascii="宋体" w:hAnsi="宋体"/>
                      <w:color w:val="auto"/>
                      <w:sz w:val="18"/>
                      <w:szCs w:val="18"/>
                    </w:rPr>
                  </w:pPr>
                  <w:r>
                    <w:rPr>
                      <w:rFonts w:hint="default" w:ascii="Times New Roman" w:hAnsi="Times New Roman" w:eastAsia="宋体" w:cs="Times New Roman"/>
                      <w:color w:val="auto"/>
                      <w:sz w:val="18"/>
                      <w:szCs w:val="18"/>
                    </w:rPr>
                    <w:t xml:space="preserve"> </w:t>
                  </w:r>
                  <w:r>
                    <w:rPr>
                      <w:rStyle w:val="23"/>
                      <w:rFonts w:hint="default" w:ascii="Times New Roman" w:hAnsi="Times New Roman" w:eastAsia="宋体" w:cs="Times New Roman"/>
                      <w:color w:val="auto"/>
                      <w:kern w:val="2"/>
                      <w:sz w:val="18"/>
                      <w:szCs w:val="18"/>
                      <w:lang w:val="en-US" w:eastAsia="zh-CN" w:bidi="ar-SA"/>
                    </w:rPr>
                    <w:t>本项目位于四川省广元市苍溪县陵江镇江南二环路1栋1单元1-3号，为宠物医院服务项目，允许开发建设活动的要求</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污染物排放管控</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大气环境质量执行标准</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《环境空气质量标准》（GB3095-2012）：二级区域大气污染物削减/替代要求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新增大气污染物排放的建设项目实施总量削减替代。</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燃煤和其他能源大气污染控制要求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优化能源结构，持续减少工业煤炭消费，提高能源利用效率。</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工业废气污染控制要求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机动车船大气污染控制要求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大力发展绿色交通，优化路网结构，加快步行和自行车交通系统建设。实施公交优先战略，加快公共交通一体化发展，大幅提高公共交通出行分担比例，建立公众出行信息服务平台。通过调整停车费、智能交通管理和服务等手段，提高机动车通行效率。鼓励燃油机动车驾驶人在不影响道路通行且需停车三分钟以上的情况下熄灭发动机。严格管控在用车污染排放，禁止冒黑烟车辆上路行驶。加强非道路移动机械的管控。推进货物运输节能减排，做好普通干线公路绕城规划和项目建设，完善货运车辆绕城通道建设，完善城区环路通行条件。发展绿色货运，优化货运结构。推进大型客货运输车辆的污染防治。大力推广新能源车辆和非道路移动机械。</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扬尘污染控制要求</w:t>
                  </w:r>
                </w:p>
                <w:p>
                  <w:pPr>
                    <w:pStyle w:val="46"/>
                    <w:widowControl/>
                    <w:shd w:val="clear" w:color="auto" w:fill="FFFFFF"/>
                    <w:spacing w:line="240" w:lineRule="auto"/>
                    <w:ind w:firstLine="0" w:firstLineChars="0"/>
                    <w:jc w:val="left"/>
                    <w:rPr>
                      <w:rStyle w:val="23"/>
                      <w:rFonts w:hint="default" w:ascii="Times New Roman" w:hAnsi="Times New Roman" w:eastAsia="宋体" w:cs="Times New Roman"/>
                      <w:color w:val="auto"/>
                      <w:kern w:val="2"/>
                      <w:sz w:val="18"/>
                      <w:szCs w:val="18"/>
                      <w:lang w:val="en-US" w:eastAsia="zh-CN" w:bidi="ar-SA"/>
                    </w:rPr>
                  </w:pPr>
                  <w:r>
                    <w:rPr>
                      <w:rStyle w:val="23"/>
                      <w:rFonts w:hint="default" w:ascii="Times New Roman" w:hAnsi="Times New Roman" w:eastAsia="宋体" w:cs="Times New Roman"/>
                      <w:color w:val="auto"/>
                      <w:kern w:val="2"/>
                      <w:sz w:val="18"/>
                      <w:szCs w:val="18"/>
                      <w:lang w:val="en-US" w:eastAsia="zh-CN" w:bidi="ar-SA"/>
                    </w:rPr>
                    <w:t>严格执行《四川省施工场地扬尘排放标准》，严格落实《四川省建筑工程扬尘污染防治技术导则》要求，房屋建筑和市政工程应按规定使用散装水泥、预拌砂浆和预拌混凝土。混凝土搅拌站应按《预拌混凝土绿色生产及管理技术规程》（JGJ/T 328-2015）等要求进行绿色生产。施工现场应成立由建设、施工、监理和土方及运输等单位共同组成的项目施工扬尘防治工作机构，各司其职，协同共治。严格执行环卫保洁质量评价标准，提高道路机械化清扫车、洒水车、冲洗车、人员配备。加大重点路段机扫和洒水作业频次。加强道路两侧绿化，减少裸露地面。增加绿化带洒水除尘力度，加强城市森林、湿地、绿化带建设。加大扬尘污染的智能化监管和执法检查。</w:t>
                  </w:r>
                </w:p>
                <w:p>
                  <w:pPr>
                    <w:pStyle w:val="46"/>
                    <w:widowControl/>
                    <w:shd w:val="clear" w:color="auto" w:fill="FFFFFF"/>
                    <w:spacing w:line="240" w:lineRule="auto"/>
                    <w:ind w:firstLine="0" w:firstLineChars="0"/>
                    <w:jc w:val="left"/>
                    <w:rPr>
                      <w:rStyle w:val="23"/>
                      <w:rFonts w:hint="default" w:ascii="Times New Roman" w:hAnsi="Times New Roman" w:eastAsia="宋体" w:cs="Times New Roman"/>
                      <w:color w:val="auto"/>
                      <w:kern w:val="2"/>
                      <w:sz w:val="18"/>
                      <w:szCs w:val="18"/>
                      <w:lang w:val="en-US" w:eastAsia="zh-CN" w:bidi="ar-SA"/>
                    </w:rPr>
                  </w:pPr>
                  <w:r>
                    <w:rPr>
                      <w:rStyle w:val="23"/>
                      <w:rFonts w:hint="default" w:ascii="Times New Roman" w:hAnsi="Times New Roman" w:eastAsia="宋体" w:cs="Times New Roman"/>
                      <w:color w:val="auto"/>
                      <w:kern w:val="2"/>
                      <w:sz w:val="18"/>
                      <w:szCs w:val="18"/>
                      <w:lang w:val="en-US" w:eastAsia="zh-CN" w:bidi="ar-SA"/>
                    </w:rPr>
                    <w:t>农业生产经营活动大气污染控制要求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重点行业企业专项治理要求</w:t>
                  </w:r>
                </w:p>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其他大气污染物排放管控要求</w:t>
                  </w:r>
                </w:p>
                <w:p>
                  <w:pPr>
                    <w:pStyle w:val="46"/>
                    <w:widowControl/>
                    <w:shd w:val="clear" w:color="auto" w:fill="FFFFFF"/>
                    <w:spacing w:line="240" w:lineRule="auto"/>
                    <w:ind w:left="0" w:leftChars="0"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全面加强餐饮油烟污染控制。不断优化城市餐饮产业规划布局，强化餐饮服务企业油烟排放规范化整治，督促企业安装高效净化设施并稳定运行，实现污染物达标排放。优化居民楼烟道合理化设置，加强居民家庭油烟排放环保宣传，推广使用高效净化型家用吸油烟机。加强汽修行业规范化整治，有喷涂作业的汽车维修企业必须布设密闭喷漆室、烘干室，并配套建设高效治污设施，加强维护和管理，确保排放达到《四川省固定污染源大气挥发性有机物排放标准》(DB51/2377-2017)要求。加强干洗行业整治，全面淘汰开启式干洗机，定期进行干洗机及干洗剂输送管道、阀门的检查，防止干洗剂泄露。倡导文明绿色祭祀，绿色低碳过节。科学管控烟花爆竹燃放。</w:t>
                  </w:r>
                </w:p>
              </w:tc>
              <w:tc>
                <w:tcPr>
                  <w:tcW w:w="1709" w:type="dxa"/>
                  <w:tcBorders>
                    <w:tl2br w:val="nil"/>
                    <w:tr2bl w:val="nil"/>
                  </w:tcBorders>
                  <w:vAlign w:val="center"/>
                </w:tcPr>
                <w:p>
                  <w:pPr>
                    <w:keepNext w:val="0"/>
                    <w:keepLines w:val="0"/>
                    <w:pageBreakBefore w:val="0"/>
                    <w:widowControl/>
                    <w:shd w:val="clear" w:color="auto" w:fill="FFFFFF"/>
                    <w:kinsoku/>
                    <w:wordWrap w:val="0"/>
                    <w:overflowPunct/>
                    <w:topLinePunct/>
                    <w:autoSpaceDE/>
                    <w:autoSpaceDN/>
                    <w:bidi w:val="0"/>
                    <w:adjustRightInd/>
                    <w:snapToGrid/>
                    <w:jc w:val="left"/>
                    <w:textAlignment w:val="auto"/>
                    <w:rPr>
                      <w:rFonts w:hint="eastAsia" w:ascii="宋体" w:hAnsi="宋体"/>
                      <w:color w:val="auto"/>
                      <w:sz w:val="18"/>
                      <w:szCs w:val="18"/>
                    </w:rPr>
                  </w:pPr>
                  <w:r>
                    <w:rPr>
                      <w:rStyle w:val="23"/>
                      <w:rFonts w:hint="default" w:ascii="Times New Roman" w:hAnsi="Times New Roman" w:eastAsia="宋体" w:cs="Times New Roman"/>
                      <w:color w:val="auto"/>
                      <w:kern w:val="2"/>
                      <w:sz w:val="18"/>
                      <w:szCs w:val="18"/>
                      <w:lang w:val="en-US" w:eastAsia="zh-CN" w:bidi="ar-SA"/>
                    </w:rPr>
                    <w:t>本项目位于四川省广元市苍溪县陵江镇江南二环路1栋1单元1-3号，为宠物医院服务项目</w:t>
                  </w:r>
                  <w:r>
                    <w:rPr>
                      <w:rStyle w:val="23"/>
                      <w:rFonts w:hint="eastAsia" w:ascii="Times New Roman" w:hAnsi="Times New Roman" w:eastAsia="宋体" w:cs="Times New Roman"/>
                      <w:color w:val="auto"/>
                      <w:kern w:val="2"/>
                      <w:sz w:val="18"/>
                      <w:szCs w:val="18"/>
                      <w:lang w:val="en-US" w:eastAsia="zh-CN" w:bidi="ar-SA"/>
                    </w:rPr>
                    <w:t>，不属于</w:t>
                  </w:r>
                  <w:r>
                    <w:rPr>
                      <w:rStyle w:val="23"/>
                      <w:rFonts w:hint="eastAsia" w:ascii="宋体" w:hAnsi="宋体" w:eastAsia="宋体" w:cs="Times New Roman"/>
                      <w:color w:val="auto"/>
                      <w:kern w:val="2"/>
                      <w:sz w:val="18"/>
                      <w:szCs w:val="18"/>
                      <w:lang w:val="en-US" w:eastAsia="zh-CN" w:bidi="ar-SA"/>
                    </w:rPr>
                    <w:t>机动车船行业、房屋建筑和市政工程、汽修行业、干洗行业；</w:t>
                  </w:r>
                  <w:r>
                    <w:rPr>
                      <w:rFonts w:hint="default" w:ascii="Times New Roman" w:hAnsi="Times New Roman" w:cs="Times New Roman"/>
                      <w:color w:val="auto"/>
                      <w:sz w:val="18"/>
                      <w:szCs w:val="18"/>
                      <w:lang w:val="en-US" w:eastAsia="zh-CN"/>
                    </w:rPr>
                    <w:t>大气环境质量执行标准《环境空气质量标准》（GB3095-2012）</w:t>
                  </w:r>
                  <w:r>
                    <w:rPr>
                      <w:rFonts w:hint="eastAsia" w:ascii="Times New Roman" w:hAnsi="Times New Roman" w:cs="Times New Roman"/>
                      <w:color w:val="auto"/>
                      <w:sz w:val="18"/>
                      <w:szCs w:val="18"/>
                      <w:lang w:val="en-US" w:eastAsia="zh-CN"/>
                    </w:rPr>
                    <w:t>，</w:t>
                  </w:r>
                  <w:r>
                    <w:rPr>
                      <w:color w:val="auto"/>
                      <w:kern w:val="0"/>
                      <w:sz w:val="18"/>
                      <w:szCs w:val="18"/>
                    </w:rPr>
                    <w:t>项目无二氧化硫、氮氧化物、有机废气的排放</w:t>
                  </w:r>
                  <w:r>
                    <w:rPr>
                      <w:rFonts w:hint="eastAsia"/>
                      <w:color w:val="auto"/>
                      <w:kern w:val="0"/>
                      <w:sz w:val="18"/>
                      <w:szCs w:val="18"/>
                      <w:lang w:eastAsia="zh-CN"/>
                    </w:rPr>
                    <w:t>，</w:t>
                  </w:r>
                  <w:r>
                    <w:rPr>
                      <w:color w:val="auto"/>
                      <w:kern w:val="0"/>
                      <w:sz w:val="18"/>
                      <w:szCs w:val="18"/>
                    </w:rPr>
                    <w:t>因此不涉及废气总量控制指标</w:t>
                  </w:r>
                  <w:r>
                    <w:rPr>
                      <w:rFonts w:hint="eastAsia"/>
                      <w:color w:val="auto"/>
                      <w:kern w:val="0"/>
                      <w:sz w:val="18"/>
                      <w:szCs w:val="18"/>
                      <w:lang w:eastAsia="zh-CN"/>
                    </w:rPr>
                    <w:t>；能源主要是水电，无燃煤；</w:t>
                  </w:r>
                  <w:r>
                    <w:rPr>
                      <w:rFonts w:hint="eastAsia" w:ascii="宋体" w:hAnsi="宋体" w:eastAsia="宋体"/>
                      <w:color w:val="auto"/>
                      <w:sz w:val="18"/>
                      <w:szCs w:val="18"/>
                      <w:lang w:eastAsia="zh-CN"/>
                    </w:rPr>
                    <w:t>废气主要是医疗废物暂存间产生的恶臭、污水处理设施产生的恶臭、</w:t>
                  </w:r>
                  <w:r>
                    <w:rPr>
                      <w:rFonts w:hint="eastAsia" w:ascii="宋体" w:hAnsi="宋体"/>
                      <w:color w:val="auto"/>
                      <w:sz w:val="18"/>
                      <w:szCs w:val="18"/>
                      <w:lang w:eastAsia="zh-CN"/>
                    </w:rPr>
                    <w:t>宠物散发的异味</w:t>
                  </w:r>
                  <w:r>
                    <w:rPr>
                      <w:rFonts w:hint="eastAsia" w:ascii="宋体" w:hAnsi="宋体" w:eastAsia="宋体"/>
                      <w:color w:val="auto"/>
                      <w:sz w:val="18"/>
                      <w:szCs w:val="18"/>
                      <w:lang w:eastAsia="zh-CN"/>
                    </w:rPr>
                    <w:t>，无</w:t>
                  </w:r>
                  <w:r>
                    <w:rPr>
                      <w:rFonts w:hint="eastAsia" w:ascii="宋体" w:hAnsi="宋体" w:eastAsia="宋体"/>
                      <w:color w:val="auto"/>
                      <w:sz w:val="18"/>
                      <w:szCs w:val="18"/>
                      <w:lang w:val="en-US" w:eastAsia="zh-CN"/>
                    </w:rPr>
                    <w:t>餐饮油烟废气。</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环境风险防控</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同总体准入要求</w:t>
                  </w:r>
                </w:p>
              </w:tc>
              <w:tc>
                <w:tcPr>
                  <w:tcW w:w="1709" w:type="dxa"/>
                  <w:tcBorders>
                    <w:tl2br w:val="nil"/>
                    <w:tr2bl w:val="nil"/>
                  </w:tcBorders>
                  <w:vAlign w:val="center"/>
                </w:tcPr>
                <w:p>
                  <w:pPr>
                    <w:widowControl/>
                    <w:shd w:val="clear" w:color="auto" w:fill="FFFFFF"/>
                    <w:jc w:val="left"/>
                    <w:rPr>
                      <w:rFonts w:hint="eastAsia" w:ascii="宋体" w:hAnsi="宋体"/>
                      <w:color w:val="auto"/>
                      <w:sz w:val="18"/>
                      <w:szCs w:val="18"/>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252" w:type="dxa"/>
                  <w:vMerge w:val="continue"/>
                  <w:tcBorders>
                    <w:tl2br w:val="nil"/>
                    <w:tr2bl w:val="nil"/>
                  </w:tcBorders>
                  <w:vAlign w:val="center"/>
                </w:tcPr>
                <w:p>
                  <w:pPr>
                    <w:pStyle w:val="46"/>
                    <w:widowControl/>
                    <w:spacing w:line="240" w:lineRule="auto"/>
                    <w:ind w:firstLine="0" w:firstLineChars="0"/>
                    <w:jc w:val="left"/>
                    <w:rPr>
                      <w:rFonts w:hint="eastAsia"/>
                      <w:b w:val="0"/>
                      <w:bCs w:val="0"/>
                      <w:color w:val="auto"/>
                      <w:sz w:val="21"/>
                      <w:szCs w:val="21"/>
                      <w:vertAlign w:val="baseline"/>
                      <w:lang w:val="en-US" w:eastAsia="zh-CN"/>
                    </w:rPr>
                  </w:pPr>
                </w:p>
              </w:tc>
              <w:tc>
                <w:tcPr>
                  <w:tcW w:w="936" w:type="dxa"/>
                  <w:tcBorders>
                    <w:tl2br w:val="nil"/>
                    <w:tr2bl w:val="nil"/>
                  </w:tcBorders>
                  <w:vAlign w:val="center"/>
                </w:tcPr>
                <w:p>
                  <w:pPr>
                    <w:pStyle w:val="46"/>
                    <w:widowControl/>
                    <w:spacing w:line="240" w:lineRule="auto"/>
                    <w:ind w:firstLine="0" w:firstLineChars="0"/>
                    <w:jc w:val="left"/>
                    <w:rPr>
                      <w:rFonts w:hint="eastAsia" w:ascii="宋体" w:hAnsi="宋体" w:eastAsia="宋体"/>
                      <w:color w:val="auto"/>
                      <w:sz w:val="18"/>
                      <w:szCs w:val="18"/>
                    </w:rPr>
                  </w:pPr>
                  <w:r>
                    <w:rPr>
                      <w:rFonts w:hint="eastAsia" w:ascii="宋体" w:hAnsi="宋体" w:eastAsia="宋体"/>
                      <w:color w:val="auto"/>
                      <w:sz w:val="18"/>
                      <w:szCs w:val="18"/>
                    </w:rPr>
                    <w:t>资源开发效率要求</w:t>
                  </w:r>
                </w:p>
              </w:tc>
              <w:tc>
                <w:tcPr>
                  <w:tcW w:w="1568" w:type="dxa"/>
                  <w:tcBorders>
                    <w:tl2br w:val="nil"/>
                    <w:tr2bl w:val="nil"/>
                  </w:tcBorders>
                  <w:vAlign w:val="center"/>
                </w:tcPr>
                <w:p>
                  <w:pPr>
                    <w:pStyle w:val="46"/>
                    <w:widowControl/>
                    <w:shd w:val="clear" w:color="auto" w:fill="FFFFFF"/>
                    <w:spacing w:line="240" w:lineRule="auto"/>
                    <w:ind w:firstLine="0" w:firstLineChars="0"/>
                    <w:jc w:val="left"/>
                    <w:rPr>
                      <w:rStyle w:val="23"/>
                      <w:rFonts w:hint="eastAsia" w:ascii="宋体" w:hAnsi="宋体" w:eastAsia="宋体" w:cs="Times New Roman"/>
                      <w:color w:val="auto"/>
                      <w:kern w:val="2"/>
                      <w:sz w:val="18"/>
                      <w:szCs w:val="18"/>
                      <w:lang w:val="en-US" w:eastAsia="zh-CN" w:bidi="ar-SA"/>
                    </w:rPr>
                  </w:pPr>
                  <w:r>
                    <w:rPr>
                      <w:rStyle w:val="23"/>
                      <w:rFonts w:hint="eastAsia" w:ascii="宋体" w:hAnsi="宋体" w:eastAsia="宋体" w:cs="Times New Roman"/>
                      <w:color w:val="auto"/>
                      <w:kern w:val="2"/>
                      <w:sz w:val="18"/>
                      <w:szCs w:val="18"/>
                      <w:lang w:val="en-US" w:eastAsia="zh-CN" w:bidi="ar-SA"/>
                    </w:rPr>
                    <w:t>/</w:t>
                  </w:r>
                </w:p>
              </w:tc>
              <w:tc>
                <w:tcPr>
                  <w:tcW w:w="1709" w:type="dxa"/>
                  <w:tcBorders>
                    <w:tl2br w:val="nil"/>
                    <w:tr2bl w:val="nil"/>
                  </w:tcBorders>
                  <w:vAlign w:val="center"/>
                </w:tcPr>
                <w:p>
                  <w:pPr>
                    <w:widowControl/>
                    <w:shd w:val="clear" w:color="auto" w:fill="FFFFFF"/>
                    <w:jc w:val="left"/>
                    <w:rPr>
                      <w:rFonts w:hint="eastAsia" w:ascii="宋体" w:hAnsi="宋体"/>
                      <w:color w:val="auto"/>
                      <w:sz w:val="18"/>
                      <w:szCs w:val="18"/>
                    </w:rPr>
                  </w:pPr>
                  <w:r>
                    <w:rPr>
                      <w:rFonts w:hint="eastAsia" w:ascii="宋体" w:hAnsi="宋体"/>
                      <w:color w:val="auto"/>
                      <w:sz w:val="18"/>
                      <w:szCs w:val="18"/>
                    </w:rPr>
                    <w:t>/</w:t>
                  </w:r>
                </w:p>
              </w:tc>
              <w:tc>
                <w:tcPr>
                  <w:tcW w:w="796" w:type="dxa"/>
                  <w:tcBorders>
                    <w:tl2br w:val="nil"/>
                    <w:tr2bl w:val="nil"/>
                  </w:tcBorders>
                  <w:vAlign w:val="center"/>
                </w:tcPr>
                <w:p>
                  <w:pPr>
                    <w:widowControl/>
                    <w:shd w:val="clear" w:color="auto" w:fill="FFFFFF"/>
                    <w:jc w:val="left"/>
                    <w:rPr>
                      <w:rFonts w:hint="eastAsia" w:ascii="宋体" w:hAnsi="宋体" w:eastAsia="宋体"/>
                      <w:color w:val="auto"/>
                      <w:sz w:val="18"/>
                      <w:szCs w:val="18"/>
                    </w:rPr>
                  </w:pPr>
                  <w:r>
                    <w:rPr>
                      <w:rFonts w:hint="eastAsia" w:ascii="宋体" w:hAnsi="宋体"/>
                      <w:color w:val="auto"/>
                      <w:sz w:val="18"/>
                      <w:szCs w:val="18"/>
                    </w:rPr>
                    <w:t>/</w:t>
                  </w:r>
                </w:p>
              </w:tc>
            </w:tr>
          </w:tbl>
          <w:p>
            <w:pPr>
              <w:spacing w:line="360" w:lineRule="auto"/>
              <w:ind w:firstLine="420" w:firstLineChars="200"/>
              <w:rPr>
                <w:rFonts w:hint="eastAsia"/>
                <w:color w:val="auto"/>
                <w:lang w:val="en-US" w:eastAsia="zh-CN"/>
              </w:rPr>
            </w:pPr>
            <w:r>
              <w:rPr>
                <w:rFonts w:hint="eastAsia"/>
                <w:color w:val="auto"/>
                <w:lang w:val="en-US" w:eastAsia="zh-CN"/>
              </w:rPr>
              <w:t>综上分析，本项目建设符合四川省“三线一单”相关要求。</w:t>
            </w:r>
          </w:p>
          <w:p>
            <w:pPr>
              <w:spacing w:line="360" w:lineRule="auto"/>
              <w:ind w:firstLine="422" w:firstLineChars="200"/>
              <w:rPr>
                <w:rFonts w:hint="eastAsia" w:ascii="Times New Roman" w:hAnsi="Times New Roman" w:eastAsia="宋体" w:cs="Times New Roman"/>
                <w:b/>
                <w:bCs/>
                <w:color w:val="auto"/>
                <w:sz w:val="21"/>
                <w:szCs w:val="21"/>
                <w:lang w:val="en-US" w:eastAsia="zh-CN"/>
              </w:rPr>
            </w:pPr>
            <w:r>
              <w:rPr>
                <w:rFonts w:hint="eastAsia" w:ascii="Times New Roman" w:hAnsi="Times New Roman" w:eastAsia="宋体" w:cs="Times New Roman"/>
                <w:b/>
                <w:bCs/>
                <w:color w:val="auto"/>
                <w:sz w:val="21"/>
                <w:szCs w:val="21"/>
                <w:lang w:val="en-US" w:eastAsia="zh-CN"/>
              </w:rPr>
              <w:t>1</w:t>
            </w:r>
            <w:r>
              <w:rPr>
                <w:rFonts w:hint="eastAsia" w:cs="Times New Roman"/>
                <w:b/>
                <w:bCs/>
                <w:color w:val="auto"/>
                <w:sz w:val="21"/>
                <w:szCs w:val="21"/>
                <w:lang w:val="en-US" w:eastAsia="zh-CN"/>
              </w:rPr>
              <w:t>1、</w:t>
            </w:r>
            <w:r>
              <w:rPr>
                <w:rFonts w:hint="eastAsia" w:ascii="Times New Roman" w:hAnsi="Times New Roman" w:eastAsia="宋体" w:cs="Times New Roman"/>
                <w:b/>
                <w:bCs/>
                <w:color w:val="auto"/>
                <w:sz w:val="21"/>
                <w:szCs w:val="21"/>
                <w:lang w:eastAsia="zh-CN"/>
              </w:rPr>
              <w:t>与广元市“三线一单”成果符合性分析</w:t>
            </w:r>
          </w:p>
          <w:p>
            <w:pPr>
              <w:spacing w:line="360" w:lineRule="auto"/>
              <w:ind w:firstLine="420" w:firstLineChars="200"/>
              <w:rPr>
                <w:rFonts w:hint="default"/>
                <w:b w:val="0"/>
                <w:bCs w:val="0"/>
                <w:color w:val="auto"/>
                <w:sz w:val="21"/>
                <w:szCs w:val="21"/>
                <w:lang w:val="en-US" w:eastAsia="zh-CN"/>
              </w:rPr>
            </w:pPr>
            <w:r>
              <w:rPr>
                <w:rFonts w:hint="eastAsia"/>
                <w:b w:val="0"/>
                <w:bCs w:val="0"/>
                <w:color w:val="auto"/>
                <w:sz w:val="21"/>
                <w:szCs w:val="21"/>
                <w:lang w:val="en-US" w:eastAsia="zh-CN"/>
              </w:rPr>
              <w:t>广元市人民政府于2021年6月28日发布《关于落实生态保护红线、环境质量底线、资源利用上线和生态环境准入清单要求实施生态环境分区管控的通知》（广府发【2021】4号）。广元市划分为优先保护、重点管控、一般管控三大类共66个环境管控单元。</w:t>
            </w:r>
          </w:p>
          <w:p>
            <w:pPr>
              <w:spacing w:line="360" w:lineRule="auto"/>
              <w:ind w:firstLine="420" w:firstLineChars="200"/>
              <w:rPr>
                <w:rFonts w:hint="default" w:ascii="Times New Roman" w:hAnsi="Times New Roman" w:eastAsia="宋体" w:cs="Times New Roman"/>
                <w:b w:val="0"/>
                <w:bCs w:val="0"/>
                <w:color w:val="auto"/>
                <w:sz w:val="21"/>
                <w:szCs w:val="21"/>
                <w:lang w:val="en-US" w:eastAsia="zh-CN"/>
              </w:rPr>
            </w:pPr>
            <w:r>
              <w:rPr>
                <w:rFonts w:hint="eastAsia" w:cs="Times New Roman"/>
                <w:b w:val="0"/>
                <w:bCs w:val="0"/>
                <w:color w:val="auto"/>
                <w:sz w:val="21"/>
                <w:szCs w:val="21"/>
                <w:lang w:val="en-US" w:eastAsia="zh-CN"/>
              </w:rPr>
              <w:t>1、</w:t>
            </w:r>
            <w:r>
              <w:rPr>
                <w:rFonts w:hint="default" w:ascii="Times New Roman" w:hAnsi="Times New Roman" w:cs="Times New Roman"/>
                <w:b w:val="0"/>
                <w:bCs w:val="0"/>
                <w:color w:val="auto"/>
                <w:sz w:val="21"/>
                <w:szCs w:val="21"/>
                <w:lang w:val="en-US" w:eastAsia="zh-CN"/>
              </w:rPr>
              <w:t>优先保护单元。以生态环境保护为主的区域，全市划分优先保护单元26个。主要包括生态保护红线、饮用水水源保护区、国家公园、湿地公园</w:t>
            </w:r>
            <w:r>
              <w:rPr>
                <w:rFonts w:hint="eastAsia" w:ascii="Times New Roman" w:hAnsi="Times New Roman" w:cs="Times New Roman"/>
                <w:b w:val="0"/>
                <w:bCs w:val="0"/>
                <w:color w:val="auto"/>
                <w:sz w:val="21"/>
                <w:szCs w:val="21"/>
                <w:lang w:val="en-US" w:eastAsia="zh-CN"/>
              </w:rPr>
              <w:t>、自然保护区等。</w:t>
            </w:r>
          </w:p>
          <w:p>
            <w:pPr>
              <w:spacing w:line="360" w:lineRule="auto"/>
              <w:ind w:firstLine="420" w:firstLineChars="200"/>
              <w:rPr>
                <w:rFonts w:hint="default" w:ascii="Times New Roman" w:hAnsi="Times New Roman" w:eastAsia="宋体" w:cs="Times New Roman"/>
                <w:b w:val="0"/>
                <w:bCs w:val="0"/>
                <w:color w:val="auto"/>
                <w:sz w:val="21"/>
                <w:szCs w:val="21"/>
                <w:lang w:val="en-US" w:eastAsia="zh-CN"/>
              </w:rPr>
            </w:pPr>
            <w:r>
              <w:rPr>
                <w:rFonts w:hint="eastAsia" w:eastAsia="宋体" w:cs="Times New Roman"/>
                <w:b w:val="0"/>
                <w:bCs w:val="0"/>
                <w:color w:val="auto"/>
                <w:sz w:val="21"/>
                <w:szCs w:val="21"/>
                <w:lang w:val="en-US" w:eastAsia="zh-CN"/>
              </w:rPr>
              <w:t>2、重点管控单元。涉及水、大气、土壤、自然资源等资源环境要素重点管控的区域，全市划分重点管控单元33个。其中：城镇重点单元7个，工业重点单元23个，环境要素重点单元3个。主要包括人口密集的城镇规划区和产业集聚的工业园区（集聚区）等。</w:t>
            </w:r>
          </w:p>
          <w:p>
            <w:pPr>
              <w:spacing w:line="360" w:lineRule="auto"/>
              <w:ind w:firstLine="420" w:firstLineChars="200"/>
              <w:rPr>
                <w:rFonts w:hint="eastAsia" w:eastAsia="宋体" w:cs="Times New Roman"/>
                <w:b w:val="0"/>
                <w:bCs w:val="0"/>
                <w:color w:val="auto"/>
                <w:sz w:val="21"/>
                <w:szCs w:val="21"/>
                <w:lang w:val="en-US" w:eastAsia="zh-CN"/>
              </w:rPr>
            </w:pPr>
            <w:r>
              <w:rPr>
                <w:rFonts w:hint="eastAsia" w:eastAsia="宋体" w:cs="Times New Roman"/>
                <w:b w:val="0"/>
                <w:bCs w:val="0"/>
                <w:color w:val="auto"/>
                <w:sz w:val="21"/>
                <w:szCs w:val="21"/>
                <w:lang w:val="en-US" w:eastAsia="zh-CN"/>
              </w:rPr>
              <w:t>3、一般管控单元。除优先保护单元和重点管控单元之外的其他区域，全市划分一般管控单元7个。根据广元市环境管控单元分布图，本项目属于一般管控单元。</w:t>
            </w:r>
          </w:p>
          <w:p>
            <w:pPr>
              <w:pStyle w:val="2"/>
              <w:rPr>
                <w:rFonts w:hint="eastAsia" w:eastAsia="宋体" w:cs="Times New Roman"/>
                <w:b w:val="0"/>
                <w:bCs w:val="0"/>
                <w:color w:val="auto"/>
                <w:sz w:val="21"/>
                <w:szCs w:val="21"/>
                <w:lang w:val="en-US" w:eastAsia="zh-CN"/>
              </w:rPr>
            </w:pPr>
          </w:p>
          <w:p>
            <w:pPr>
              <w:rPr>
                <w:rFonts w:hint="eastAsia" w:eastAsia="宋体" w:cs="Times New Roman"/>
                <w:b w:val="0"/>
                <w:bCs w:val="0"/>
                <w:color w:val="auto"/>
                <w:sz w:val="21"/>
                <w:szCs w:val="21"/>
                <w:lang w:val="en-US" w:eastAsia="zh-CN"/>
              </w:rPr>
            </w:pPr>
          </w:p>
          <w:p>
            <w:pPr>
              <w:pStyle w:val="2"/>
              <w:rPr>
                <w:rFonts w:hint="eastAsia" w:eastAsia="宋体" w:cs="Times New Roman"/>
                <w:b w:val="0"/>
                <w:bCs w:val="0"/>
                <w:color w:val="auto"/>
                <w:sz w:val="21"/>
                <w:szCs w:val="21"/>
                <w:lang w:val="en-US" w:eastAsia="zh-CN"/>
              </w:rPr>
            </w:pPr>
          </w:p>
          <w:p>
            <w:pPr>
              <w:rPr>
                <w:rFonts w:hint="eastAsia" w:eastAsia="宋体" w:cs="Times New Roman"/>
                <w:b w:val="0"/>
                <w:bCs w:val="0"/>
                <w:color w:val="auto"/>
                <w:sz w:val="21"/>
                <w:szCs w:val="21"/>
                <w:lang w:val="en-US" w:eastAsia="zh-CN"/>
              </w:rPr>
            </w:pPr>
          </w:p>
          <w:p>
            <w:pPr>
              <w:pStyle w:val="2"/>
              <w:rPr>
                <w:rFonts w:hint="eastAsia" w:eastAsia="宋体" w:cs="Times New Roman"/>
                <w:b w:val="0"/>
                <w:bCs w:val="0"/>
                <w:color w:val="auto"/>
                <w:sz w:val="21"/>
                <w:szCs w:val="21"/>
                <w:lang w:val="en-US" w:eastAsia="zh-CN"/>
              </w:rPr>
            </w:pPr>
          </w:p>
          <w:p>
            <w:pPr>
              <w:rPr>
                <w:rFonts w:hint="eastAsia" w:eastAsia="宋体" w:cs="Times New Roman"/>
                <w:b w:val="0"/>
                <w:bCs w:val="0"/>
                <w:color w:val="auto"/>
                <w:sz w:val="21"/>
                <w:szCs w:val="21"/>
                <w:lang w:val="en-US" w:eastAsia="zh-CN"/>
              </w:rPr>
            </w:pPr>
          </w:p>
          <w:p>
            <w:pPr>
              <w:pStyle w:val="2"/>
              <w:rPr>
                <w:rFonts w:hint="eastAsia" w:eastAsia="宋体" w:cs="Times New Roman"/>
                <w:b w:val="0"/>
                <w:bCs w:val="0"/>
                <w:color w:val="auto"/>
                <w:sz w:val="21"/>
                <w:szCs w:val="21"/>
                <w:lang w:val="en-US" w:eastAsia="zh-CN"/>
              </w:rPr>
            </w:pPr>
          </w:p>
          <w:p>
            <w:pPr>
              <w:rPr>
                <w:rFonts w:hint="eastAsia" w:eastAsia="宋体" w:cs="Times New Roman"/>
                <w:b w:val="0"/>
                <w:bCs w:val="0"/>
                <w:color w:val="auto"/>
                <w:sz w:val="21"/>
                <w:szCs w:val="21"/>
                <w:lang w:val="en-US" w:eastAsia="zh-CN"/>
              </w:rPr>
            </w:pPr>
          </w:p>
          <w:p>
            <w:pPr>
              <w:pStyle w:val="2"/>
              <w:rPr>
                <w:rFonts w:hint="eastAsia" w:eastAsia="宋体" w:cs="Times New Roman"/>
                <w:b w:val="0"/>
                <w:bCs w:val="0"/>
                <w:color w:val="auto"/>
                <w:sz w:val="21"/>
                <w:szCs w:val="21"/>
                <w:lang w:val="en-US" w:eastAsia="zh-CN"/>
              </w:rPr>
            </w:pPr>
          </w:p>
          <w:p>
            <w:pPr>
              <w:rPr>
                <w:rFonts w:hint="eastAsia" w:eastAsia="宋体" w:cs="Times New Roman"/>
                <w:b w:val="0"/>
                <w:bCs w:val="0"/>
                <w:color w:val="auto"/>
                <w:sz w:val="21"/>
                <w:szCs w:val="21"/>
                <w:lang w:val="en-US" w:eastAsia="zh-CN"/>
              </w:rPr>
            </w:pPr>
          </w:p>
          <w:p>
            <w:pPr>
              <w:pStyle w:val="2"/>
              <w:rPr>
                <w:rFonts w:hint="eastAsia" w:eastAsia="宋体" w:cs="Times New Roman"/>
                <w:b w:val="0"/>
                <w:bCs w:val="0"/>
                <w:color w:val="auto"/>
                <w:sz w:val="21"/>
                <w:szCs w:val="21"/>
                <w:lang w:val="en-US" w:eastAsia="zh-CN"/>
              </w:rPr>
            </w:pPr>
          </w:p>
          <w:p>
            <w:pPr>
              <w:rPr>
                <w:rFonts w:hint="eastAsia"/>
                <w:color w:val="auto"/>
                <w:lang w:val="en-US" w:eastAsia="zh-CN"/>
              </w:rPr>
            </w:pPr>
          </w:p>
          <w:p>
            <w:pPr>
              <w:pStyle w:val="7"/>
              <w:rPr>
                <w:rFonts w:hint="eastAsia" w:eastAsia="宋体" w:cs="Times New Roman"/>
                <w:b w:val="0"/>
                <w:bCs w:val="0"/>
                <w:color w:val="auto"/>
                <w:sz w:val="21"/>
                <w:szCs w:val="21"/>
                <w:lang w:val="en-US" w:eastAsia="zh-CN"/>
              </w:rPr>
            </w:pPr>
            <w:r>
              <w:rPr>
                <w:color w:val="auto"/>
                <w:sz w:val="24"/>
              </w:rPr>
              <mc:AlternateContent>
                <mc:Choice Requires="wps">
                  <w:drawing>
                    <wp:anchor distT="0" distB="0" distL="114300" distR="114300" simplePos="0" relativeHeight="251780096" behindDoc="0" locked="0" layoutInCell="1" allowOverlap="1">
                      <wp:simplePos x="0" y="0"/>
                      <wp:positionH relativeFrom="column">
                        <wp:posOffset>-70485</wp:posOffset>
                      </wp:positionH>
                      <wp:positionV relativeFrom="paragraph">
                        <wp:posOffset>-1270</wp:posOffset>
                      </wp:positionV>
                      <wp:extent cx="4103370" cy="2790190"/>
                      <wp:effectExtent l="4445" t="4445" r="6985" b="5715"/>
                      <wp:wrapNone/>
                      <wp:docPr id="108" name="文本框 108"/>
                      <wp:cNvGraphicFramePr/>
                      <a:graphic xmlns:a="http://schemas.openxmlformats.org/drawingml/2006/main">
                        <a:graphicData uri="http://schemas.microsoft.com/office/word/2010/wordprocessingShape">
                          <wps:wsp>
                            <wps:cNvSpPr txBox="1"/>
                            <wps:spPr>
                              <a:xfrm>
                                <a:off x="0" y="0"/>
                                <a:ext cx="4103370" cy="2790190"/>
                              </a:xfrm>
                              <a:prstGeom prst="rect">
                                <a:avLst/>
                              </a:prstGeom>
                              <a:solidFill>
                                <a:srgbClr val="FFFFFF"/>
                              </a:solidFill>
                              <a:ln w="9525" cap="flat" cmpd="sng">
                                <a:solidFill>
                                  <a:srgbClr val="000000"/>
                                </a:solidFill>
                                <a:prstDash val="solid"/>
                                <a:miter/>
                                <a:headEnd type="none" w="med" len="med"/>
                                <a:tailEnd type="none" w="med" len="med"/>
                              </a:ln>
                            </wps:spPr>
                            <wps:txbx>
                              <w:txbxContent>
                                <w:p>
                                  <w:r>
                                    <w:drawing>
                                      <wp:inline distT="0" distB="0" distL="114300" distR="114300">
                                        <wp:extent cx="4018280" cy="2646045"/>
                                        <wp:effectExtent l="0" t="0" r="1270" b="1905"/>
                                        <wp:docPr id="10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
                                                <pic:cNvPicPr>
                                                  <a:picLocks noChangeAspect="1"/>
                                                </pic:cNvPicPr>
                                              </pic:nvPicPr>
                                              <pic:blipFill>
                                                <a:blip r:embed="rId12"/>
                                                <a:stretch>
                                                  <a:fillRect/>
                                                </a:stretch>
                                              </pic:blipFill>
                                              <pic:spPr>
                                                <a:xfrm>
                                                  <a:off x="0" y="0"/>
                                                  <a:ext cx="4018280" cy="2646045"/>
                                                </a:xfrm>
                                                <a:prstGeom prst="rect">
                                                  <a:avLst/>
                                                </a:prstGeom>
                                                <a:noFill/>
                                                <a:ln>
                                                  <a:noFill/>
                                                </a:ln>
                                              </pic:spPr>
                                            </pic:pic>
                                          </a:graphicData>
                                        </a:graphic>
                                      </wp:inline>
                                    </w:drawing>
                                  </w:r>
                                </w:p>
                              </w:txbxContent>
                            </wps:txbx>
                            <wps:bodyPr upright="1"/>
                          </wps:wsp>
                        </a:graphicData>
                      </a:graphic>
                    </wp:anchor>
                  </w:drawing>
                </mc:Choice>
                <mc:Fallback>
                  <w:pict>
                    <v:shape id="_x0000_s1026" o:spid="_x0000_s1026" o:spt="202" type="#_x0000_t202" style="position:absolute;left:0pt;margin-left:-5.55pt;margin-top:-0.1pt;height:219.7pt;width:323.1pt;z-index:251780096;mso-width-relative:page;mso-height-relative:page;" fillcolor="#FFFFFF" filled="t" stroked="t" coordsize="21600,21600" o:gfxdata="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uAiw02AAAAAkBAAAPAAAAAAAAAAEA&#10;IAAAACIAAABkcnMvZG93bnJldi54bWxQSwECFAAUAAAACACHTuJAQPbONQ8CAAA7BAAADgAAAAAA&#10;AAABACAAAAAnAQAAZHJzL2Uyb0RvYy54bWxQSwUGAAAAAAYABgBZAQAAqAUAAAAA&#10;">
                      <v:fill on="t" focussize="0,0"/>
                      <v:stroke color="#000000" joinstyle="miter"/>
                      <v:imagedata o:title=""/>
                      <o:lock v:ext="edit" aspectratio="f"/>
                      <v:textbox>
                        <w:txbxContent>
                          <w:p>
                            <w:r>
                              <w:drawing>
                                <wp:inline distT="0" distB="0" distL="114300" distR="114300">
                                  <wp:extent cx="4018280" cy="2646045"/>
                                  <wp:effectExtent l="0" t="0" r="1270" b="1905"/>
                                  <wp:docPr id="10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
                                          <pic:cNvPicPr>
                                            <a:picLocks noChangeAspect="1"/>
                                          </pic:cNvPicPr>
                                        </pic:nvPicPr>
                                        <pic:blipFill>
                                          <a:blip r:embed="rId12"/>
                                          <a:stretch>
                                            <a:fillRect/>
                                          </a:stretch>
                                        </pic:blipFill>
                                        <pic:spPr>
                                          <a:xfrm>
                                            <a:off x="0" y="0"/>
                                            <a:ext cx="4018280" cy="2646045"/>
                                          </a:xfrm>
                                          <a:prstGeom prst="rect">
                                            <a:avLst/>
                                          </a:prstGeom>
                                          <a:noFill/>
                                          <a:ln>
                                            <a:noFill/>
                                          </a:ln>
                                        </pic:spPr>
                                      </pic:pic>
                                    </a:graphicData>
                                  </a:graphic>
                                </wp:inline>
                              </w:drawing>
                            </w:r>
                          </w:p>
                        </w:txbxContent>
                      </v:textbox>
                    </v:shape>
                  </w:pict>
                </mc:Fallback>
              </mc:AlternateContent>
            </w:r>
          </w:p>
          <w:p>
            <w:pPr>
              <w:rPr>
                <w:rFonts w:hint="eastAsia" w:eastAsia="宋体" w:cs="Times New Roman"/>
                <w:b w:val="0"/>
                <w:bCs w:val="0"/>
                <w:color w:val="auto"/>
                <w:sz w:val="21"/>
                <w:szCs w:val="21"/>
                <w:lang w:val="en-US" w:eastAsia="zh-CN"/>
              </w:rPr>
            </w:pPr>
          </w:p>
          <w:p>
            <w:pPr>
              <w:pStyle w:val="7"/>
              <w:rPr>
                <w:rFonts w:hint="default"/>
                <w:color w:val="auto"/>
                <w:lang w:val="en-US" w:eastAsia="zh-CN"/>
              </w:rPr>
            </w:pPr>
          </w:p>
          <w:p>
            <w:pPr>
              <w:spacing w:line="360" w:lineRule="auto"/>
              <w:ind w:firstLine="420" w:firstLineChars="200"/>
              <w:rPr>
                <w:rFonts w:hint="eastAsia"/>
                <w:b w:val="0"/>
                <w:bCs w:val="0"/>
                <w:color w:val="auto"/>
                <w:sz w:val="21"/>
                <w:szCs w:val="21"/>
                <w:lang w:val="en-US" w:eastAsia="zh-CN"/>
              </w:rPr>
            </w:pPr>
          </w:p>
          <w:p>
            <w:pPr>
              <w:spacing w:line="360" w:lineRule="auto"/>
              <w:ind w:firstLine="420" w:firstLineChars="200"/>
              <w:rPr>
                <w:rFonts w:hint="eastAsia"/>
                <w:b w:val="0"/>
                <w:bCs w:val="0"/>
                <w:color w:val="auto"/>
                <w:sz w:val="21"/>
                <w:szCs w:val="21"/>
                <w:lang w:val="en-US" w:eastAsia="zh-CN"/>
              </w:rPr>
            </w:pPr>
            <w:r>
              <w:rPr>
                <w:color w:val="auto"/>
                <w:sz w:val="21"/>
              </w:rPr>
              <mc:AlternateContent>
                <mc:Choice Requires="wps">
                  <w:drawing>
                    <wp:anchor distT="0" distB="0" distL="114300" distR="114300" simplePos="0" relativeHeight="251781120" behindDoc="0" locked="0" layoutInCell="1" allowOverlap="1">
                      <wp:simplePos x="0" y="0"/>
                      <wp:positionH relativeFrom="column">
                        <wp:posOffset>2336165</wp:posOffset>
                      </wp:positionH>
                      <wp:positionV relativeFrom="paragraph">
                        <wp:posOffset>189865</wp:posOffset>
                      </wp:positionV>
                      <wp:extent cx="983615" cy="341630"/>
                      <wp:effectExtent l="473075" t="6350" r="10160" b="223520"/>
                      <wp:wrapNone/>
                      <wp:docPr id="122" name="矩形标注 122"/>
                      <wp:cNvGraphicFramePr/>
                      <a:graphic xmlns:a="http://schemas.openxmlformats.org/drawingml/2006/main">
                        <a:graphicData uri="http://schemas.microsoft.com/office/word/2010/wordprocessingShape">
                          <wps:wsp>
                            <wps:cNvSpPr/>
                            <wps:spPr>
                              <a:xfrm>
                                <a:off x="7847330" y="1781810"/>
                                <a:ext cx="983615" cy="341630"/>
                              </a:xfrm>
                              <a:prstGeom prst="wedgeRectCallout">
                                <a:avLst>
                                  <a:gd name="adj1" fmla="val -97449"/>
                                  <a:gd name="adj2" fmla="val 113568"/>
                                </a:avLst>
                              </a:prstGeom>
                              <a:noFill/>
                              <a:ln w="12700" cap="flat" cmpd="sng" algn="ctr">
                                <a:solidFill>
                                  <a:srgbClr val="FF0000"/>
                                </a:solidFill>
                                <a:prstDash val="solid"/>
                              </a:ln>
                              <a:effectLst/>
                            </wps:spPr>
                            <wps:txbx>
                              <w:txbxContent>
                                <w:p>
                                  <w:pPr>
                                    <w:jc w:val="center"/>
                                    <w:rPr>
                                      <w:rFonts w:hint="eastAsia"/>
                                      <w:b/>
                                      <w:bCs/>
                                      <w:color w:val="FF0000"/>
                                    </w:rPr>
                                  </w:pPr>
                                  <w:r>
                                    <w:rPr>
                                      <w:rFonts w:hint="eastAsia"/>
                                      <w:b/>
                                      <w:bCs/>
                                      <w:color w:val="FF0000"/>
                                    </w:rPr>
                                    <w:t>项目所在地</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1" type="#_x0000_t61" style="position:absolute;left:0pt;margin-left:183.95pt;margin-top:14.95pt;height:26.9pt;width:77.45pt;z-index:251781120;v-text-anchor:middle;mso-width-relative:page;mso-height-relative:page;" filled="f" stroked="t" coordsize="21600,21600" o:gfxdata="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" adj="-10249,35331">
                      <v:fill on="f" focussize="0,0"/>
                      <v:stroke weight="1pt" color="#FF0000" joinstyle="round"/>
                      <v:imagedata o:title=""/>
                      <o:lock v:ext="edit" aspectratio="f"/>
                      <v:textbox>
                        <w:txbxContent>
                          <w:p>
                            <w:pPr>
                              <w:jc w:val="center"/>
                              <w:rPr>
                                <w:rFonts w:hint="eastAsia"/>
                                <w:b/>
                                <w:bCs/>
                                <w:color w:val="FF0000"/>
                              </w:rPr>
                            </w:pPr>
                            <w:r>
                              <w:rPr>
                                <w:rFonts w:hint="eastAsia"/>
                                <w:b/>
                                <w:bCs/>
                                <w:color w:val="FF0000"/>
                              </w:rPr>
                              <w:t>项目所在地</w:t>
                            </w:r>
                          </w:p>
                        </w:txbxContent>
                      </v:textbox>
                    </v:shape>
                  </w:pict>
                </mc:Fallback>
              </mc:AlternateContent>
            </w:r>
          </w:p>
          <w:p>
            <w:pPr>
              <w:pStyle w:val="7"/>
              <w:rPr>
                <w:rFonts w:hint="eastAsia"/>
                <w:b w:val="0"/>
                <w:bCs w:val="0"/>
                <w:color w:val="auto"/>
                <w:sz w:val="21"/>
                <w:szCs w:val="21"/>
                <w:lang w:val="en-US" w:eastAsia="zh-CN"/>
              </w:rPr>
            </w:pPr>
          </w:p>
          <w:p>
            <w:pPr>
              <w:rPr>
                <w:rFonts w:hint="eastAsia"/>
                <w:b w:val="0"/>
                <w:bCs w:val="0"/>
                <w:color w:val="auto"/>
                <w:sz w:val="21"/>
                <w:szCs w:val="21"/>
                <w:lang w:val="en-US" w:eastAsia="zh-CN"/>
              </w:rPr>
            </w:pPr>
          </w:p>
          <w:p>
            <w:pPr>
              <w:pStyle w:val="7"/>
              <w:rPr>
                <w:rFonts w:hint="eastAsia"/>
                <w:b w:val="0"/>
                <w:bCs w:val="0"/>
                <w:color w:val="auto"/>
                <w:sz w:val="21"/>
                <w:szCs w:val="21"/>
                <w:lang w:val="en-US" w:eastAsia="zh-CN"/>
              </w:rPr>
            </w:pPr>
          </w:p>
          <w:p>
            <w:pPr>
              <w:rPr>
                <w:rFonts w:hint="eastAsia"/>
                <w:b w:val="0"/>
                <w:bCs w:val="0"/>
                <w:color w:val="auto"/>
                <w:sz w:val="21"/>
                <w:szCs w:val="21"/>
                <w:lang w:val="en-US" w:eastAsia="zh-CN"/>
              </w:rPr>
            </w:pPr>
          </w:p>
          <w:p>
            <w:pPr>
              <w:pStyle w:val="7"/>
              <w:rPr>
                <w:rFonts w:hint="eastAsia"/>
                <w:b w:val="0"/>
                <w:bCs w:val="0"/>
                <w:color w:val="auto"/>
                <w:sz w:val="21"/>
                <w:szCs w:val="21"/>
                <w:lang w:val="en-US" w:eastAsia="zh-CN"/>
              </w:rPr>
            </w:pPr>
          </w:p>
          <w:p>
            <w:pPr>
              <w:rPr>
                <w:rFonts w:hint="eastAsia"/>
                <w:b w:val="0"/>
                <w:bCs w:val="0"/>
                <w:color w:val="auto"/>
                <w:sz w:val="21"/>
                <w:szCs w:val="21"/>
                <w:lang w:val="en-US" w:eastAsia="zh-CN"/>
              </w:rPr>
            </w:pPr>
          </w:p>
          <w:p>
            <w:pPr>
              <w:pStyle w:val="7"/>
              <w:rPr>
                <w:rFonts w:hint="eastAsia"/>
                <w:b w:val="0"/>
                <w:bCs w:val="0"/>
                <w:color w:val="auto"/>
                <w:sz w:val="21"/>
                <w:szCs w:val="21"/>
                <w:lang w:val="en-US" w:eastAsia="zh-CN"/>
              </w:rPr>
            </w:pPr>
          </w:p>
          <w:p>
            <w:pPr>
              <w:rPr>
                <w:rFonts w:hint="eastAsia"/>
                <w:b w:val="0"/>
                <w:bCs w:val="0"/>
                <w:color w:val="auto"/>
                <w:sz w:val="21"/>
                <w:szCs w:val="21"/>
                <w:lang w:val="en-US" w:eastAsia="zh-CN"/>
              </w:rPr>
            </w:pPr>
          </w:p>
          <w:p>
            <w:pPr>
              <w:pStyle w:val="7"/>
              <w:rPr>
                <w:rFonts w:hint="eastAsia"/>
                <w:b w:val="0"/>
                <w:bCs w:val="0"/>
                <w:color w:val="auto"/>
                <w:sz w:val="21"/>
                <w:szCs w:val="21"/>
                <w:lang w:val="en-US" w:eastAsia="zh-CN"/>
              </w:rPr>
            </w:pPr>
          </w:p>
          <w:p>
            <w:pPr>
              <w:rPr>
                <w:rFonts w:hint="eastAsia"/>
                <w:color w:val="auto"/>
                <w:lang w:val="en-US" w:eastAsia="zh-CN"/>
              </w:rPr>
            </w:pPr>
          </w:p>
          <w:p>
            <w:pPr>
              <w:spacing w:line="360" w:lineRule="auto"/>
              <w:ind w:left="1793" w:leftChars="854" w:firstLine="0" w:firstLineChars="0"/>
              <w:rPr>
                <w:color w:val="auto"/>
              </w:rPr>
            </w:pPr>
            <w:r>
              <w:rPr>
                <w:rFonts w:hint="eastAsia"/>
                <w:b/>
                <w:bCs/>
                <w:color w:val="auto"/>
                <w:sz w:val="18"/>
                <w:szCs w:val="18"/>
              </w:rPr>
              <w:t>图1-2</w:t>
            </w:r>
            <w:r>
              <w:rPr>
                <w:b/>
                <w:bCs/>
                <w:color w:val="auto"/>
                <w:sz w:val="18"/>
                <w:szCs w:val="18"/>
              </w:rPr>
              <w:t xml:space="preserve"> 广元市环境管控单元图</w:t>
            </w:r>
          </w:p>
          <w:p>
            <w:pPr>
              <w:widowControl/>
              <w:spacing w:line="360" w:lineRule="auto"/>
              <w:ind w:firstLine="420" w:firstLineChars="200"/>
              <w:jc w:val="left"/>
              <w:rPr>
                <w:color w:val="auto"/>
              </w:rPr>
            </w:pPr>
            <w:r>
              <w:rPr>
                <w:rFonts w:hint="eastAsia"/>
                <w:color w:val="auto"/>
              </w:rPr>
              <w:t>②</w:t>
            </w:r>
            <w:r>
              <w:rPr>
                <w:color w:val="auto"/>
              </w:rPr>
              <w:t>环境质量底线</w:t>
            </w:r>
          </w:p>
          <w:p>
            <w:pPr>
              <w:widowControl/>
              <w:spacing w:line="360" w:lineRule="auto"/>
              <w:ind w:firstLine="420" w:firstLineChars="200"/>
              <w:rPr>
                <w:color w:val="auto"/>
                <w:szCs w:val="21"/>
              </w:rPr>
            </w:pPr>
            <w:r>
              <w:rPr>
                <w:rFonts w:hint="eastAsia"/>
                <w:color w:val="auto"/>
                <w:szCs w:val="21"/>
                <w:lang w:val="en-US" w:eastAsia="zh-CN"/>
              </w:rPr>
              <w:t>1）</w:t>
            </w:r>
            <w:r>
              <w:rPr>
                <w:color w:val="auto"/>
                <w:szCs w:val="21"/>
              </w:rPr>
              <w:t>环境空气：根据项目所在区域有</w:t>
            </w:r>
            <w:r>
              <w:rPr>
                <w:rFonts w:hint="eastAsia"/>
                <w:color w:val="auto"/>
                <w:szCs w:val="21"/>
                <w:lang w:eastAsia="zh-CN"/>
              </w:rPr>
              <w:t>苍溪县人民政府</w:t>
            </w:r>
            <w:r>
              <w:rPr>
                <w:rFonts w:hint="eastAsia"/>
                <w:color w:val="auto"/>
                <w:szCs w:val="21"/>
                <w:lang w:val="en-US" w:eastAsia="zh-CN"/>
              </w:rPr>
              <w:t>2022年6月发布的</w:t>
            </w:r>
            <w:r>
              <w:rPr>
                <w:color w:val="auto"/>
                <w:szCs w:val="21"/>
              </w:rPr>
              <w:t>《</w:t>
            </w:r>
            <w:r>
              <w:rPr>
                <w:rFonts w:hint="eastAsia"/>
                <w:color w:val="auto"/>
                <w:szCs w:val="21"/>
                <w:lang w:eastAsia="zh-CN"/>
              </w:rPr>
              <w:t>苍溪县</w:t>
            </w:r>
            <w:r>
              <w:rPr>
                <w:rFonts w:hint="eastAsia"/>
                <w:color w:val="auto"/>
                <w:szCs w:val="21"/>
                <w:lang w:val="en-US" w:eastAsia="zh-CN"/>
              </w:rPr>
              <w:t>2021年度环境状况公报</w:t>
            </w:r>
            <w:r>
              <w:rPr>
                <w:color w:val="auto"/>
                <w:szCs w:val="21"/>
              </w:rPr>
              <w:t>》。评价结果表明：SO</w:t>
            </w:r>
            <w:r>
              <w:rPr>
                <w:rFonts w:hint="eastAsia"/>
                <w:color w:val="auto"/>
                <w:szCs w:val="21"/>
                <w:vertAlign w:val="subscript"/>
              </w:rPr>
              <w:t>2</w:t>
            </w:r>
            <w:r>
              <w:rPr>
                <w:color w:val="auto"/>
                <w:szCs w:val="21"/>
              </w:rPr>
              <w:t>、NO</w:t>
            </w:r>
            <w:r>
              <w:rPr>
                <w:rFonts w:hint="eastAsia"/>
                <w:color w:val="auto"/>
                <w:szCs w:val="21"/>
                <w:vertAlign w:val="subscript"/>
              </w:rPr>
              <w:t>2</w:t>
            </w:r>
            <w:r>
              <w:rPr>
                <w:color w:val="auto"/>
                <w:szCs w:val="21"/>
              </w:rPr>
              <w:t>、PM</w:t>
            </w:r>
            <w:r>
              <w:rPr>
                <w:rFonts w:hint="eastAsia"/>
                <w:color w:val="auto"/>
                <w:szCs w:val="21"/>
                <w:vertAlign w:val="subscript"/>
              </w:rPr>
              <w:t>10</w:t>
            </w:r>
            <w:r>
              <w:rPr>
                <w:color w:val="auto"/>
                <w:szCs w:val="21"/>
              </w:rPr>
              <w:t>、PM</w:t>
            </w:r>
            <w:r>
              <w:rPr>
                <w:rFonts w:hint="eastAsia"/>
                <w:color w:val="auto"/>
                <w:szCs w:val="21"/>
                <w:vertAlign w:val="subscript"/>
              </w:rPr>
              <w:t>2.5</w:t>
            </w:r>
            <w:r>
              <w:rPr>
                <w:color w:val="auto"/>
                <w:szCs w:val="21"/>
              </w:rPr>
              <w:t>、CO和O</w:t>
            </w:r>
            <w:r>
              <w:rPr>
                <w:rFonts w:hint="eastAsia"/>
                <w:color w:val="auto"/>
                <w:szCs w:val="21"/>
                <w:vertAlign w:val="subscript"/>
              </w:rPr>
              <w:t>3</w:t>
            </w:r>
            <w:r>
              <w:rPr>
                <w:color w:val="auto"/>
                <w:szCs w:val="21"/>
              </w:rPr>
              <w:t>百分位浓度可以满足《环境空气质量标准》（GB3095-2012）中的二级标准浓度限值要求。</w:t>
            </w:r>
          </w:p>
          <w:p>
            <w:pPr>
              <w:pStyle w:val="9"/>
              <w:wordWrap w:val="0"/>
              <w:topLinePunct/>
              <w:snapToGrid/>
              <w:spacing w:before="0" w:after="0" w:line="360" w:lineRule="auto"/>
              <w:ind w:right="0" w:firstLine="420" w:firstLineChars="200"/>
              <w:rPr>
                <w:color w:val="auto"/>
                <w:sz w:val="21"/>
                <w:szCs w:val="21"/>
              </w:rPr>
            </w:pPr>
            <w:r>
              <w:rPr>
                <w:color w:val="auto"/>
                <w:sz w:val="21"/>
                <w:szCs w:val="21"/>
              </w:rPr>
              <w:t>2）地表水环境：根据城市水环境质量状况，</w:t>
            </w:r>
            <w:r>
              <w:rPr>
                <w:rFonts w:hint="eastAsia"/>
                <w:color w:val="auto"/>
                <w:sz w:val="21"/>
                <w:szCs w:val="21"/>
                <w:lang w:eastAsia="zh-CN"/>
              </w:rPr>
              <w:t>苍溪县人民政府</w:t>
            </w:r>
            <w:r>
              <w:rPr>
                <w:rFonts w:hint="eastAsia"/>
                <w:color w:val="auto"/>
                <w:sz w:val="21"/>
                <w:szCs w:val="21"/>
                <w:lang w:val="en-US" w:eastAsia="zh-CN"/>
              </w:rPr>
              <w:t>2022年6月发布的</w:t>
            </w:r>
            <w:r>
              <w:rPr>
                <w:color w:val="auto"/>
                <w:sz w:val="21"/>
                <w:szCs w:val="21"/>
              </w:rPr>
              <w:t>《</w:t>
            </w:r>
            <w:r>
              <w:rPr>
                <w:rFonts w:hint="eastAsia"/>
                <w:color w:val="auto"/>
                <w:sz w:val="21"/>
                <w:szCs w:val="21"/>
                <w:lang w:eastAsia="zh-CN"/>
              </w:rPr>
              <w:t>苍溪县</w:t>
            </w:r>
            <w:r>
              <w:rPr>
                <w:rFonts w:hint="eastAsia"/>
                <w:color w:val="auto"/>
                <w:sz w:val="21"/>
                <w:szCs w:val="21"/>
                <w:lang w:val="en-US" w:eastAsia="zh-CN"/>
              </w:rPr>
              <w:t>2021年度环境状况公报</w:t>
            </w:r>
            <w:r>
              <w:rPr>
                <w:color w:val="auto"/>
                <w:sz w:val="21"/>
                <w:szCs w:val="21"/>
              </w:rPr>
              <w:t>》</w:t>
            </w:r>
            <w:r>
              <w:rPr>
                <w:rFonts w:hint="eastAsia"/>
                <w:color w:val="auto"/>
                <w:sz w:val="21"/>
                <w:szCs w:val="21"/>
                <w:lang w:eastAsia="zh-CN"/>
              </w:rPr>
              <w:t>，</w:t>
            </w:r>
            <w:r>
              <w:rPr>
                <w:color w:val="auto"/>
                <w:sz w:val="21"/>
                <w:szCs w:val="21"/>
              </w:rPr>
              <w:t>广元市嘉陵江断面地表水环境质量满足《地表水环境质量标准》（GB3838-2002）Ⅲ类水域标准要求，地表水环境质量良好。</w:t>
            </w:r>
          </w:p>
          <w:p>
            <w:pPr>
              <w:pStyle w:val="9"/>
              <w:snapToGrid/>
              <w:spacing w:before="0" w:after="0" w:line="360" w:lineRule="auto"/>
              <w:ind w:right="0" w:firstLine="420" w:firstLineChars="200"/>
              <w:rPr>
                <w:color w:val="auto"/>
                <w:sz w:val="21"/>
                <w:szCs w:val="21"/>
              </w:rPr>
            </w:pPr>
            <w:r>
              <w:rPr>
                <w:color w:val="auto"/>
                <w:sz w:val="21"/>
                <w:szCs w:val="21"/>
              </w:rPr>
              <w:t>3）声环境：根据本次评价实测噪声监测结果可以看出，项目所在厂界昼间噪声值均能达到《声环境质量标准》（GB3096-2008）中2类标准要求，项目所在区域声环境质量良好。</w:t>
            </w:r>
          </w:p>
          <w:p>
            <w:pPr>
              <w:widowControl/>
              <w:spacing w:line="360" w:lineRule="auto"/>
              <w:ind w:firstLine="420" w:firstLineChars="200"/>
              <w:jc w:val="left"/>
              <w:rPr>
                <w:color w:val="auto"/>
              </w:rPr>
            </w:pPr>
            <w:r>
              <w:rPr>
                <w:rFonts w:hint="eastAsia"/>
                <w:color w:val="auto"/>
              </w:rPr>
              <w:t>③</w:t>
            </w:r>
            <w:r>
              <w:rPr>
                <w:color w:val="auto"/>
              </w:rPr>
              <w:t>资源利用上线</w:t>
            </w:r>
          </w:p>
          <w:p>
            <w:pPr>
              <w:widowControl/>
              <w:spacing w:line="360" w:lineRule="auto"/>
              <w:ind w:firstLine="420" w:firstLineChars="200"/>
              <w:jc w:val="left"/>
              <w:rPr>
                <w:color w:val="auto"/>
              </w:rPr>
            </w:pPr>
            <w:r>
              <w:rPr>
                <w:rFonts w:hint="eastAsia"/>
                <w:color w:val="auto"/>
              </w:rPr>
              <w:t>项目经营过程中消耗的能源主要为电、水，项目所在区域水环境、电力资源供应充足，项目资源消耗量相对较小。</w:t>
            </w:r>
          </w:p>
          <w:p>
            <w:pPr>
              <w:widowControl/>
              <w:spacing w:line="360" w:lineRule="auto"/>
              <w:ind w:firstLine="420" w:firstLineChars="200"/>
              <w:jc w:val="left"/>
              <w:rPr>
                <w:rFonts w:hint="eastAsia"/>
                <w:b w:val="0"/>
                <w:bCs w:val="0"/>
                <w:color w:val="auto"/>
                <w:sz w:val="21"/>
                <w:szCs w:val="21"/>
                <w:lang w:val="en-US" w:eastAsia="zh-CN"/>
              </w:rPr>
            </w:pPr>
            <w:r>
              <w:rPr>
                <w:rFonts w:hint="eastAsia"/>
                <w:color w:val="auto"/>
              </w:rPr>
              <w:t>④</w:t>
            </w:r>
            <w:r>
              <w:rPr>
                <w:color w:val="auto"/>
              </w:rPr>
              <w:t>环境准入负面清单</w:t>
            </w:r>
          </w:p>
          <w:p>
            <w:pPr>
              <w:spacing w:line="360" w:lineRule="auto"/>
              <w:ind w:firstLine="420" w:firstLineChars="200"/>
              <w:rPr>
                <w:rFonts w:hint="eastAsia"/>
                <w:b w:val="0"/>
                <w:bCs w:val="0"/>
                <w:color w:val="auto"/>
                <w:sz w:val="21"/>
                <w:szCs w:val="21"/>
                <w:lang w:val="en-US" w:eastAsia="zh-CN"/>
              </w:rPr>
            </w:pPr>
            <w:r>
              <w:rPr>
                <w:rFonts w:hint="eastAsia"/>
                <w:b w:val="0"/>
                <w:bCs w:val="0"/>
                <w:color w:val="auto"/>
                <w:sz w:val="21"/>
                <w:szCs w:val="21"/>
                <w:lang w:val="en-US" w:eastAsia="zh-CN"/>
              </w:rPr>
              <w:t>本项目与《广元市生态环境准入总体要求》的符合性见下表。</w:t>
            </w:r>
          </w:p>
          <w:p>
            <w:pPr>
              <w:pStyle w:val="40"/>
              <w:spacing w:line="240" w:lineRule="auto"/>
              <w:ind w:left="0" w:leftChars="0" w:firstLine="542" w:firstLineChars="300"/>
              <w:jc w:val="both"/>
              <w:rPr>
                <w:rFonts w:hint="eastAsia" w:ascii="Times New Roman" w:hAnsi="Times New Roman" w:eastAsia="宋体" w:cs="Times New Roman"/>
                <w:b/>
                <w:bCs/>
                <w:color w:val="auto"/>
                <w:sz w:val="18"/>
                <w:szCs w:val="18"/>
                <w:lang w:eastAsia="zh-CN"/>
              </w:rPr>
            </w:pPr>
            <w:r>
              <w:rPr>
                <w:rFonts w:hint="eastAsia" w:ascii="Times New Roman" w:hAnsi="Times New Roman" w:eastAsia="宋体" w:cs="Times New Roman"/>
                <w:b/>
                <w:bCs/>
                <w:color w:val="auto"/>
                <w:sz w:val="18"/>
                <w:szCs w:val="18"/>
              </w:rPr>
              <w:t>表1-</w:t>
            </w:r>
            <w:r>
              <w:rPr>
                <w:rFonts w:hint="eastAsia" w:eastAsia="宋体" w:cs="Times New Roman"/>
                <w:b/>
                <w:bCs/>
                <w:color w:val="auto"/>
                <w:sz w:val="18"/>
                <w:szCs w:val="18"/>
                <w:lang w:val="en-US" w:eastAsia="zh-CN"/>
              </w:rPr>
              <w:t>11</w:t>
            </w:r>
            <w:r>
              <w:rPr>
                <w:rFonts w:hint="eastAsia" w:eastAsia="宋体" w:cs="Times New Roman"/>
                <w:b/>
                <w:bCs/>
                <w:color w:val="auto"/>
                <w:sz w:val="18"/>
                <w:szCs w:val="18"/>
                <w:lang w:eastAsia="zh-CN"/>
              </w:rPr>
              <w:t>广元市及苍溪县总体生态环境要求及本项目符合性分析表</w:t>
            </w:r>
          </w:p>
          <w:tbl>
            <w:tblPr>
              <w:tblStyle w:val="22"/>
              <w:tblW w:w="6261"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02"/>
              <w:gridCol w:w="3077"/>
              <w:gridCol w:w="1538"/>
              <w:gridCol w:w="84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802" w:type="dxa"/>
                  <w:tcBorders>
                    <w:tl2br w:val="nil"/>
                    <w:tr2bl w:val="nil"/>
                  </w:tcBorders>
                </w:tcPr>
                <w:p>
                  <w:pPr>
                    <w:spacing w:line="360" w:lineRule="auto"/>
                    <w:rPr>
                      <w:rFonts w:hint="default"/>
                      <w:b w:val="0"/>
                      <w:bCs w:val="0"/>
                      <w:color w:val="auto"/>
                      <w:sz w:val="18"/>
                      <w:szCs w:val="18"/>
                      <w:vertAlign w:val="baseline"/>
                      <w:lang w:val="en-US" w:eastAsia="zh-CN"/>
                    </w:rPr>
                  </w:pPr>
                  <w:r>
                    <w:rPr>
                      <w:rFonts w:hint="eastAsia"/>
                      <w:b w:val="0"/>
                      <w:bCs w:val="0"/>
                      <w:color w:val="auto"/>
                      <w:sz w:val="18"/>
                      <w:szCs w:val="18"/>
                      <w:vertAlign w:val="baseline"/>
                      <w:lang w:val="en-US" w:eastAsia="zh-CN"/>
                    </w:rPr>
                    <w:t xml:space="preserve">  城市</w:t>
                  </w:r>
                </w:p>
              </w:tc>
              <w:tc>
                <w:tcPr>
                  <w:tcW w:w="3077" w:type="dxa"/>
                  <w:tcBorders>
                    <w:tl2br w:val="nil"/>
                    <w:tr2bl w:val="nil"/>
                  </w:tcBorders>
                </w:tcPr>
                <w:p>
                  <w:pPr>
                    <w:spacing w:line="360" w:lineRule="auto"/>
                    <w:rPr>
                      <w:rFonts w:hint="default"/>
                      <w:b w:val="0"/>
                      <w:bCs w:val="0"/>
                      <w:color w:val="auto"/>
                      <w:sz w:val="18"/>
                      <w:szCs w:val="18"/>
                      <w:vertAlign w:val="baseline"/>
                      <w:lang w:val="en-US" w:eastAsia="zh-CN"/>
                    </w:rPr>
                  </w:pPr>
                  <w:r>
                    <w:rPr>
                      <w:rFonts w:hint="eastAsia"/>
                      <w:b w:val="0"/>
                      <w:bCs w:val="0"/>
                      <w:color w:val="auto"/>
                      <w:sz w:val="18"/>
                      <w:szCs w:val="18"/>
                      <w:vertAlign w:val="baseline"/>
                      <w:lang w:val="en-US" w:eastAsia="zh-CN"/>
                    </w:rPr>
                    <w:t xml:space="preserve">      准入要求</w:t>
                  </w:r>
                </w:p>
              </w:tc>
              <w:tc>
                <w:tcPr>
                  <w:tcW w:w="1538" w:type="dxa"/>
                  <w:tcBorders>
                    <w:tl2br w:val="nil"/>
                    <w:tr2bl w:val="nil"/>
                  </w:tcBorders>
                </w:tcPr>
                <w:p>
                  <w:pPr>
                    <w:spacing w:line="360" w:lineRule="auto"/>
                    <w:rPr>
                      <w:rFonts w:hint="eastAsia"/>
                      <w:b w:val="0"/>
                      <w:bCs w:val="0"/>
                      <w:color w:val="auto"/>
                      <w:sz w:val="18"/>
                      <w:szCs w:val="18"/>
                      <w:vertAlign w:val="baseline"/>
                      <w:lang w:val="en-US" w:eastAsia="zh-CN"/>
                    </w:rPr>
                  </w:pPr>
                  <w:r>
                    <w:rPr>
                      <w:rFonts w:hint="eastAsia"/>
                      <w:b w:val="0"/>
                      <w:bCs w:val="0"/>
                      <w:color w:val="auto"/>
                      <w:sz w:val="18"/>
                      <w:szCs w:val="18"/>
                      <w:vertAlign w:val="baseline"/>
                      <w:lang w:val="en-US" w:eastAsia="zh-CN"/>
                    </w:rPr>
                    <w:t>本项目情况</w:t>
                  </w:r>
                </w:p>
              </w:tc>
              <w:tc>
                <w:tcPr>
                  <w:tcW w:w="844" w:type="dxa"/>
                  <w:tcBorders>
                    <w:tl2br w:val="nil"/>
                    <w:tr2bl w:val="nil"/>
                  </w:tcBorders>
                </w:tcPr>
                <w:p>
                  <w:pPr>
                    <w:spacing w:line="360" w:lineRule="auto"/>
                    <w:rPr>
                      <w:rFonts w:hint="default"/>
                      <w:b w:val="0"/>
                      <w:bCs w:val="0"/>
                      <w:color w:val="auto"/>
                      <w:sz w:val="18"/>
                      <w:szCs w:val="18"/>
                      <w:vertAlign w:val="baseline"/>
                      <w:lang w:val="en-US" w:eastAsia="zh-CN"/>
                    </w:rPr>
                  </w:pPr>
                  <w:r>
                    <w:rPr>
                      <w:rFonts w:hint="eastAsia"/>
                      <w:b w:val="0"/>
                      <w:bCs w:val="0"/>
                      <w:color w:val="auto"/>
                      <w:sz w:val="18"/>
                      <w:szCs w:val="18"/>
                      <w:vertAlign w:val="baseline"/>
                      <w:lang w:val="en-US" w:eastAsia="zh-CN"/>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02" w:type="dxa"/>
                  <w:tcBorders>
                    <w:tl2br w:val="nil"/>
                    <w:tr2bl w:val="nil"/>
                  </w:tcBorders>
                </w:tcPr>
                <w:p>
                  <w:pPr>
                    <w:spacing w:line="360" w:lineRule="auto"/>
                    <w:rPr>
                      <w:rFonts w:hint="default" w:eastAsia="宋体"/>
                      <w:b w:val="0"/>
                      <w:bCs w:val="0"/>
                      <w:color w:val="auto"/>
                      <w:sz w:val="18"/>
                      <w:szCs w:val="18"/>
                      <w:vertAlign w:val="baseline"/>
                      <w:lang w:val="en-US" w:eastAsia="zh-CN"/>
                    </w:rPr>
                  </w:pPr>
                  <w:r>
                    <w:rPr>
                      <w:rFonts w:hint="eastAsia" w:eastAsia="宋体"/>
                      <w:b w:val="0"/>
                      <w:bCs w:val="0"/>
                      <w:color w:val="auto"/>
                      <w:sz w:val="18"/>
                      <w:szCs w:val="18"/>
                      <w:vertAlign w:val="baseline"/>
                      <w:lang w:val="en-US" w:eastAsia="zh-CN"/>
                    </w:rPr>
                    <w:t>广元市</w:t>
                  </w:r>
                </w:p>
              </w:tc>
              <w:tc>
                <w:tcPr>
                  <w:tcW w:w="3077" w:type="dxa"/>
                  <w:tcBorders>
                    <w:tl2br w:val="nil"/>
                    <w:tr2bl w:val="nil"/>
                  </w:tcBorders>
                </w:tcPr>
                <w:p>
                  <w:pPr>
                    <w:spacing w:line="240" w:lineRule="auto"/>
                    <w:rPr>
                      <w:rFonts w:hint="eastAsia" w:ascii="仿宋" w:hAnsi="仿宋" w:eastAsia="仿宋" w:cs="仿宋"/>
                      <w:b w:val="0"/>
                      <w:bCs w:val="0"/>
                      <w:color w:val="auto"/>
                      <w:sz w:val="18"/>
                      <w:szCs w:val="18"/>
                      <w:vertAlign w:val="baseline"/>
                      <w:lang w:val="en-US" w:eastAsia="zh-CN"/>
                    </w:rPr>
                  </w:pPr>
                  <w:r>
                    <w:rPr>
                      <w:rFonts w:hint="eastAsia" w:eastAsia="宋体"/>
                      <w:color w:val="auto"/>
                      <w:sz w:val="18"/>
                      <w:szCs w:val="18"/>
                      <w:vertAlign w:val="baseline"/>
                      <w:lang w:val="en-US" w:eastAsia="zh-CN"/>
                    </w:rPr>
                    <w:t>①长江干支流岸线一公里范围不得新建、扩建化工园区和化工项目。长江干流岸线三公里范围内和重要支流岸线一公里范围内不得新建、改建、扩建尾矿库；但是以提升安全、生态环境保护水平为目的的改建除外。②落实《长江流域重点水域禁捕和建立补偿制度实施方案》，长江流域重点水域实施常年禁捕。③结合地区资源环境禀赋，合理布局承接产业，加强环保基础设施建设，确保环境质量不降低。承接钢铁、电解铝等产业转移地区应严格落实生态环境分区管控要求，将环境质量底线作为硬约束。④加强与嘉陵江，上游甘肃陇南市、陕西汉中市环境风险联防联控。⑤大熊猫国家公园严格按照《大熊猫国家公园总体规划(试行)》要求进行保护、管理。</w:t>
                  </w:r>
                </w:p>
              </w:tc>
              <w:tc>
                <w:tcPr>
                  <w:tcW w:w="1538" w:type="dxa"/>
                  <w:tcBorders>
                    <w:tl2br w:val="nil"/>
                    <w:tr2bl w:val="nil"/>
                  </w:tcBorders>
                </w:tcPr>
                <w:p>
                  <w:pPr>
                    <w:spacing w:line="240" w:lineRule="auto"/>
                    <w:rPr>
                      <w:rFonts w:hint="eastAsia"/>
                      <w:b w:val="0"/>
                      <w:bCs w:val="0"/>
                      <w:color w:val="auto"/>
                      <w:sz w:val="21"/>
                      <w:szCs w:val="21"/>
                      <w:vertAlign w:val="baseline"/>
                      <w:lang w:val="en-US" w:eastAsia="zh-CN"/>
                    </w:rPr>
                  </w:pPr>
                  <w:r>
                    <w:rPr>
                      <w:rFonts w:hint="eastAsia" w:eastAsia="宋体"/>
                      <w:color w:val="auto"/>
                      <w:sz w:val="18"/>
                      <w:szCs w:val="18"/>
                      <w:vertAlign w:val="baseline"/>
                      <w:lang w:val="en-US" w:eastAsia="zh-CN"/>
                    </w:rPr>
                    <w:t>本项目位于四川省苍溪县陵江镇江南二环路1栋1单元1-3商铺，</w:t>
                  </w:r>
                  <w:r>
                    <w:rPr>
                      <w:rFonts w:hint="eastAsia" w:ascii="宋体" w:hAnsi="宋体" w:eastAsia="宋体"/>
                      <w:color w:val="auto"/>
                      <w:kern w:val="2"/>
                      <w:sz w:val="18"/>
                      <w:szCs w:val="18"/>
                    </w:rPr>
                    <w:t>为</w:t>
                  </w:r>
                  <w:r>
                    <w:rPr>
                      <w:rFonts w:hint="eastAsia" w:ascii="宋体" w:hAnsi="宋体" w:eastAsia="宋体"/>
                      <w:color w:val="auto"/>
                      <w:kern w:val="2"/>
                      <w:sz w:val="18"/>
                      <w:szCs w:val="18"/>
                      <w:lang w:eastAsia="zh-CN"/>
                    </w:rPr>
                    <w:t>宠物医院服务项目</w:t>
                  </w:r>
                </w:p>
              </w:tc>
              <w:tc>
                <w:tcPr>
                  <w:tcW w:w="844" w:type="dxa"/>
                  <w:tcBorders>
                    <w:tl2br w:val="nil"/>
                    <w:tr2bl w:val="nil"/>
                  </w:tcBorders>
                </w:tcPr>
                <w:p>
                  <w:pPr>
                    <w:spacing w:line="360" w:lineRule="auto"/>
                    <w:rPr>
                      <w:rFonts w:hint="eastAsia"/>
                      <w:b w:val="0"/>
                      <w:bCs w:val="0"/>
                      <w:color w:val="auto"/>
                      <w:sz w:val="21"/>
                      <w:szCs w:val="21"/>
                      <w:vertAlign w:val="baseline"/>
                      <w:lang w:val="en-US" w:eastAsia="zh-CN"/>
                    </w:rPr>
                  </w:pPr>
                  <w:r>
                    <w:rPr>
                      <w:rFonts w:hint="eastAsia" w:eastAsia="宋体"/>
                      <w:color w:val="auto"/>
                      <w:sz w:val="18"/>
                      <w:szCs w:val="18"/>
                      <w:vertAlign w:val="baseline"/>
                      <w:lang w:val="en-US" w:eastAsia="zh-CN"/>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802" w:type="dxa"/>
                  <w:tcBorders>
                    <w:tl2br w:val="nil"/>
                    <w:tr2bl w:val="nil"/>
                  </w:tcBorders>
                </w:tcPr>
                <w:p>
                  <w:pPr>
                    <w:spacing w:line="360" w:lineRule="auto"/>
                    <w:rPr>
                      <w:rFonts w:hint="eastAsia"/>
                      <w:b w:val="0"/>
                      <w:bCs w:val="0"/>
                      <w:color w:val="auto"/>
                      <w:sz w:val="21"/>
                      <w:szCs w:val="21"/>
                      <w:vertAlign w:val="baseline"/>
                      <w:lang w:val="en-US" w:eastAsia="zh-CN"/>
                    </w:rPr>
                  </w:pPr>
                  <w:r>
                    <w:rPr>
                      <w:rFonts w:hint="eastAsia" w:eastAsia="宋体"/>
                      <w:color w:val="auto"/>
                      <w:sz w:val="18"/>
                      <w:szCs w:val="18"/>
                      <w:vertAlign w:val="baseline"/>
                      <w:lang w:val="en-US" w:eastAsia="zh-CN"/>
                    </w:rPr>
                    <w:t>苍溪县</w:t>
                  </w:r>
                </w:p>
              </w:tc>
              <w:tc>
                <w:tcPr>
                  <w:tcW w:w="3077" w:type="dxa"/>
                  <w:tcBorders>
                    <w:tl2br w:val="nil"/>
                    <w:tr2bl w:val="nil"/>
                  </w:tcBorders>
                </w:tcPr>
                <w:p>
                  <w:pPr>
                    <w:spacing w:line="240" w:lineRule="auto"/>
                    <w:rPr>
                      <w:rFonts w:hint="eastAsia"/>
                      <w:b w:val="0"/>
                      <w:bCs w:val="0"/>
                      <w:color w:val="auto"/>
                      <w:sz w:val="21"/>
                      <w:szCs w:val="21"/>
                      <w:vertAlign w:val="baseline"/>
                      <w:lang w:val="en-US" w:eastAsia="zh-CN"/>
                    </w:rPr>
                  </w:pPr>
                  <w:r>
                    <w:rPr>
                      <w:rFonts w:hint="eastAsia" w:eastAsia="宋体"/>
                      <w:color w:val="auto"/>
                      <w:sz w:val="18"/>
                      <w:szCs w:val="18"/>
                      <w:vertAlign w:val="baseline"/>
                      <w:lang w:val="en-US" w:eastAsia="zh-CN"/>
                    </w:rPr>
                    <w:t>①苍溪县是苍溪县属于国家层面限制开发区域（农产品主产区)，严格控制限制开发区域的农业发展用地、生态用地转变为工业发展和城市建设用地。</w:t>
                  </w:r>
                  <w:r>
                    <w:rPr>
                      <w:rFonts w:hint="eastAsia" w:ascii="宋体" w:hAnsi="宋体" w:eastAsia="宋体" w:cs="宋体"/>
                      <w:color w:val="auto"/>
                      <w:sz w:val="18"/>
                      <w:szCs w:val="18"/>
                      <w:vertAlign w:val="baseline"/>
                      <w:lang w:val="en-US" w:eastAsia="zh-CN"/>
                    </w:rPr>
                    <w:t>②</w:t>
                  </w:r>
                  <w:r>
                    <w:rPr>
                      <w:rFonts w:hint="eastAsia" w:eastAsia="宋体"/>
                      <w:color w:val="auto"/>
                      <w:sz w:val="18"/>
                      <w:szCs w:val="18"/>
                      <w:vertAlign w:val="baseline"/>
                      <w:lang w:val="en-US" w:eastAsia="zh-CN"/>
                    </w:rPr>
                    <w:t>提高现有化工企业风险防控水平，嘉陵江岸线一公里范围内的现有化工企业，不得进行扩建，现状长期停的企业不得复产，并于2025年前关闭。</w:t>
                  </w:r>
                  <w:r>
                    <w:rPr>
                      <w:rFonts w:hint="eastAsia" w:ascii="宋体" w:hAnsi="宋体" w:eastAsia="宋体" w:cs="宋体"/>
                      <w:color w:val="auto"/>
                      <w:sz w:val="18"/>
                      <w:szCs w:val="18"/>
                      <w:vertAlign w:val="baseline"/>
                      <w:lang w:val="en-US" w:eastAsia="zh-CN"/>
                    </w:rPr>
                    <w:t>③</w:t>
                  </w:r>
                  <w:r>
                    <w:rPr>
                      <w:rFonts w:hint="eastAsia" w:eastAsia="宋体"/>
                      <w:color w:val="auto"/>
                      <w:sz w:val="18"/>
                      <w:szCs w:val="18"/>
                      <w:vertAlign w:val="baseline"/>
                      <w:lang w:val="en-US" w:eastAsia="zh-CN"/>
                    </w:rPr>
                    <w:t>严控水土流失,保护耕地资源，促进和巩固陡坡退耕还林还草荒山荒坡营造水土保持林。</w:t>
                  </w:r>
                  <w:r>
                    <w:rPr>
                      <w:rFonts w:hint="eastAsia" w:ascii="仿宋" w:hAnsi="仿宋" w:eastAsia="仿宋" w:cs="仿宋"/>
                      <w:color w:val="auto"/>
                      <w:sz w:val="18"/>
                      <w:szCs w:val="18"/>
                      <w:vertAlign w:val="baseline"/>
                      <w:lang w:val="en-US" w:eastAsia="zh-CN"/>
                    </w:rPr>
                    <w:t>④</w:t>
                  </w:r>
                  <w:r>
                    <w:rPr>
                      <w:rFonts w:hint="eastAsia" w:eastAsia="宋体"/>
                      <w:color w:val="auto"/>
                      <w:sz w:val="18"/>
                      <w:szCs w:val="18"/>
                      <w:vertAlign w:val="baseline"/>
                      <w:lang w:val="en-US" w:eastAsia="zh-CN"/>
                    </w:rPr>
                    <w:t>提升城乡污水收集处理能力，因地制宜推进城镇生活污水处理设施提标改造工作，加快推进《广元市城镇污水处理设施建设三年推进实施方案（2021年~2023年）》</w:t>
                  </w:r>
                </w:p>
              </w:tc>
              <w:tc>
                <w:tcPr>
                  <w:tcW w:w="1538" w:type="dxa"/>
                  <w:tcBorders>
                    <w:tl2br w:val="nil"/>
                    <w:tr2bl w:val="nil"/>
                  </w:tcBorders>
                  <w:vAlign w:val="top"/>
                </w:tcPr>
                <w:p>
                  <w:pPr>
                    <w:spacing w:line="240" w:lineRule="auto"/>
                    <w:rPr>
                      <w:rFonts w:hint="eastAsia" w:eastAsia="宋体"/>
                      <w:b w:val="0"/>
                      <w:bCs w:val="0"/>
                      <w:color w:val="auto"/>
                      <w:sz w:val="21"/>
                      <w:szCs w:val="21"/>
                      <w:vertAlign w:val="baseline"/>
                      <w:lang w:val="en-US" w:eastAsia="zh-CN"/>
                    </w:rPr>
                  </w:pPr>
                  <w:r>
                    <w:rPr>
                      <w:rFonts w:hint="eastAsia" w:eastAsia="宋体"/>
                      <w:color w:val="auto"/>
                      <w:sz w:val="18"/>
                      <w:szCs w:val="18"/>
                      <w:vertAlign w:val="baseline"/>
                      <w:lang w:val="en-US" w:eastAsia="zh-CN"/>
                    </w:rPr>
                    <w:t>本项目位于四川省苍溪县陵江镇江南二环路1栋1单元1-3商铺，</w:t>
                  </w:r>
                  <w:r>
                    <w:rPr>
                      <w:rFonts w:hint="eastAsia" w:ascii="宋体" w:hAnsi="宋体" w:eastAsia="宋体"/>
                      <w:color w:val="auto"/>
                      <w:kern w:val="2"/>
                      <w:sz w:val="18"/>
                      <w:szCs w:val="18"/>
                    </w:rPr>
                    <w:t>为</w:t>
                  </w:r>
                  <w:r>
                    <w:rPr>
                      <w:rFonts w:hint="eastAsia" w:ascii="宋体" w:hAnsi="宋体" w:eastAsia="宋体"/>
                      <w:color w:val="auto"/>
                      <w:kern w:val="2"/>
                      <w:sz w:val="18"/>
                      <w:szCs w:val="18"/>
                      <w:lang w:eastAsia="zh-CN"/>
                    </w:rPr>
                    <w:t>商业用地</w:t>
                  </w:r>
                </w:p>
              </w:tc>
              <w:tc>
                <w:tcPr>
                  <w:tcW w:w="844" w:type="dxa"/>
                  <w:tcBorders>
                    <w:tl2br w:val="nil"/>
                    <w:tr2bl w:val="nil"/>
                  </w:tcBorders>
                  <w:vAlign w:val="top"/>
                </w:tcPr>
                <w:p>
                  <w:pPr>
                    <w:spacing w:line="360" w:lineRule="auto"/>
                    <w:rPr>
                      <w:rFonts w:hint="eastAsia"/>
                      <w:b w:val="0"/>
                      <w:bCs w:val="0"/>
                      <w:color w:val="auto"/>
                      <w:sz w:val="21"/>
                      <w:szCs w:val="21"/>
                      <w:vertAlign w:val="baseline"/>
                      <w:lang w:val="en-US" w:eastAsia="zh-CN"/>
                    </w:rPr>
                  </w:pPr>
                  <w:r>
                    <w:rPr>
                      <w:rFonts w:hint="eastAsia" w:eastAsia="宋体"/>
                      <w:color w:val="auto"/>
                      <w:sz w:val="18"/>
                      <w:szCs w:val="18"/>
                      <w:vertAlign w:val="baseline"/>
                      <w:lang w:val="en-US" w:eastAsia="zh-CN"/>
                    </w:rPr>
                    <w:t>符合</w:t>
                  </w:r>
                </w:p>
              </w:tc>
            </w:tr>
          </w:tbl>
          <w:p>
            <w:pPr>
              <w:spacing w:line="360" w:lineRule="auto"/>
              <w:ind w:firstLine="482"/>
              <w:rPr>
                <w:color w:val="auto"/>
              </w:rPr>
            </w:pPr>
            <w:r>
              <w:rPr>
                <w:rFonts w:hint="eastAsia"/>
                <w:color w:val="auto"/>
              </w:rPr>
              <w:t>综上所述，项目满足《广元市人民政府关于落实生态保护红线、环境质量底线、资源利用上线和生态环境准入清单要求实施生态环境分区管控的通知》（广府发〔2021〕4号）相关要求，满足区域“三线一单”相关管控要求。</w:t>
            </w:r>
          </w:p>
          <w:p>
            <w:pPr>
              <w:spacing w:line="360" w:lineRule="auto"/>
              <w:ind w:firstLine="420" w:firstLineChars="200"/>
              <w:rPr>
                <w:rFonts w:hint="eastAsia" w:ascii="宋体" w:hAnsi="宋体" w:eastAsia="宋体" w:cs="宋体"/>
                <w:b w:val="0"/>
                <w:bCs w:val="0"/>
                <w:color w:val="auto"/>
                <w:sz w:val="21"/>
                <w:szCs w:val="21"/>
                <w:lang w:val="en-US" w:eastAsia="zh-CN"/>
              </w:rPr>
            </w:pPr>
          </w:p>
          <w:p>
            <w:pPr>
              <w:spacing w:line="360" w:lineRule="auto"/>
              <w:ind w:firstLine="420" w:firstLineChars="200"/>
              <w:rPr>
                <w:rFonts w:hint="eastAsia" w:ascii="宋体" w:hAnsi="宋体" w:eastAsia="宋体" w:cs="宋体"/>
                <w:b w:val="0"/>
                <w:bCs w:val="0"/>
                <w:color w:val="auto"/>
                <w:sz w:val="21"/>
                <w:szCs w:val="21"/>
                <w:lang w:val="en-US" w:eastAsia="zh-CN"/>
              </w:rPr>
            </w:pPr>
          </w:p>
          <w:p>
            <w:pPr>
              <w:spacing w:line="360" w:lineRule="auto"/>
              <w:ind w:firstLine="420" w:firstLineChars="200"/>
              <w:rPr>
                <w:rFonts w:hint="eastAsia" w:ascii="宋体" w:hAnsi="宋体" w:eastAsia="宋体" w:cs="宋体"/>
                <w:b w:val="0"/>
                <w:bCs w:val="0"/>
                <w:color w:val="auto"/>
                <w:sz w:val="21"/>
                <w:szCs w:val="21"/>
                <w:lang w:val="en-US" w:eastAsia="zh-CN"/>
              </w:rPr>
            </w:pPr>
          </w:p>
          <w:p>
            <w:pPr>
              <w:spacing w:line="360" w:lineRule="auto"/>
              <w:ind w:firstLine="420" w:firstLineChars="200"/>
              <w:rPr>
                <w:rFonts w:hint="eastAsia" w:ascii="宋体" w:hAnsi="宋体" w:eastAsia="宋体" w:cs="宋体"/>
                <w:b w:val="0"/>
                <w:bCs w:val="0"/>
                <w:color w:val="auto"/>
                <w:sz w:val="21"/>
                <w:szCs w:val="21"/>
                <w:lang w:val="en-US" w:eastAsia="zh-CN"/>
              </w:rPr>
            </w:pPr>
          </w:p>
          <w:p>
            <w:pPr>
              <w:spacing w:line="360" w:lineRule="auto"/>
              <w:ind w:firstLine="420" w:firstLineChars="200"/>
              <w:rPr>
                <w:rFonts w:hint="eastAsia" w:ascii="宋体" w:hAnsi="宋体" w:eastAsia="宋体" w:cs="宋体"/>
                <w:b w:val="0"/>
                <w:bCs w:val="0"/>
                <w:color w:val="auto"/>
                <w:sz w:val="21"/>
                <w:szCs w:val="21"/>
                <w:lang w:val="en-US" w:eastAsia="zh-CN"/>
              </w:rPr>
            </w:pPr>
          </w:p>
          <w:p>
            <w:pPr>
              <w:spacing w:line="360" w:lineRule="auto"/>
              <w:ind w:firstLine="420" w:firstLineChars="200"/>
              <w:rPr>
                <w:rFonts w:hint="eastAsia" w:ascii="宋体" w:hAnsi="宋体" w:eastAsia="宋体" w:cs="宋体"/>
                <w:b w:val="0"/>
                <w:bCs w:val="0"/>
                <w:color w:val="auto"/>
                <w:sz w:val="21"/>
                <w:szCs w:val="21"/>
                <w:lang w:val="en-US" w:eastAsia="zh-CN"/>
              </w:rPr>
            </w:pPr>
          </w:p>
          <w:p>
            <w:pPr>
              <w:pStyle w:val="9"/>
              <w:spacing w:line="360" w:lineRule="auto"/>
              <w:rPr>
                <w:color w:val="auto"/>
              </w:rPr>
            </w:pPr>
          </w:p>
        </w:tc>
      </w:tr>
    </w:tbl>
    <w:p>
      <w:pPr>
        <w:spacing w:line="360" w:lineRule="auto"/>
        <w:outlineLvl w:val="0"/>
        <w:rPr>
          <w:rFonts w:eastAsia="黑体"/>
          <w:color w:val="auto"/>
          <w:sz w:val="30"/>
        </w:rPr>
        <w:sectPr>
          <w:footerReference r:id="rId6" w:type="default"/>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rPr>
          <w:rFonts w:hint="default"/>
          <w:color w:val="auto"/>
          <w:lang w:val="en-US" w:eastAsia="zh-CN"/>
        </w:rPr>
      </w:pP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23"/>
        <w:gridCol w:w="816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3" w:type="dxa"/>
            <w:noWrap/>
            <w:vAlign w:val="center"/>
          </w:tcPr>
          <w:p>
            <w:pPr>
              <w:pStyle w:val="19"/>
              <w:adjustRightInd w:val="0"/>
              <w:snapToGrid w:val="0"/>
              <w:spacing w:before="0" w:beforeAutospacing="0" w:after="0" w:afterAutospacing="0"/>
              <w:jc w:val="center"/>
              <w:rPr>
                <w:rFonts w:ascii="Times New Roman" w:hAnsi="Times New Roman"/>
                <w:color w:val="auto"/>
                <w:sz w:val="21"/>
                <w:szCs w:val="21"/>
              </w:rPr>
            </w:pPr>
            <w:r>
              <w:rPr>
                <w:rFonts w:ascii="Times New Roman" w:hAnsi="Times New Roman"/>
                <w:color w:val="auto"/>
                <w:sz w:val="21"/>
                <w:szCs w:val="21"/>
              </w:rPr>
              <w:t>建设内容</w:t>
            </w:r>
          </w:p>
        </w:tc>
        <w:tc>
          <w:tcPr>
            <w:tcW w:w="8161" w:type="dxa"/>
            <w:noWrap/>
          </w:tcPr>
          <w:p>
            <w:pPr>
              <w:spacing w:line="360" w:lineRule="auto"/>
              <w:rPr>
                <w:bCs/>
                <w:color w:val="auto"/>
                <w:szCs w:val="21"/>
              </w:rPr>
            </w:pPr>
            <w:r>
              <w:rPr>
                <w:color w:val="auto"/>
                <w:szCs w:val="21"/>
              </w:rPr>
              <mc:AlternateContent>
                <mc:Choice Requires="wps">
                  <w:drawing>
                    <wp:anchor distT="0" distB="0" distL="114300" distR="114300" simplePos="0" relativeHeight="251660288" behindDoc="0" locked="0" layoutInCell="1" allowOverlap="1">
                      <wp:simplePos x="0" y="0"/>
                      <wp:positionH relativeFrom="column">
                        <wp:posOffset>235585</wp:posOffset>
                      </wp:positionH>
                      <wp:positionV relativeFrom="paragraph">
                        <wp:posOffset>-512445</wp:posOffset>
                      </wp:positionV>
                      <wp:extent cx="4173855" cy="350520"/>
                      <wp:effectExtent l="0" t="0" r="17145" b="11430"/>
                      <wp:wrapNone/>
                      <wp:docPr id="34" name="文本框 34"/>
                      <wp:cNvGraphicFramePr/>
                      <a:graphic xmlns:a="http://schemas.openxmlformats.org/drawingml/2006/main">
                        <a:graphicData uri="http://schemas.microsoft.com/office/word/2010/wordprocessingShape">
                          <wps:wsp>
                            <wps:cNvSpPr txBox="1"/>
                            <wps:spPr>
                              <a:xfrm>
                                <a:off x="0" y="0"/>
                                <a:ext cx="4173855" cy="350520"/>
                              </a:xfrm>
                              <a:prstGeom prst="rect">
                                <a:avLst/>
                              </a:prstGeom>
                              <a:solidFill>
                                <a:srgbClr val="FFFFFF"/>
                              </a:solidFill>
                              <a:ln>
                                <a:noFill/>
                              </a:ln>
                              <a:effectLst/>
                            </wps:spPr>
                            <wps:txbx>
                              <w:txbxContent>
                                <w:p>
                                  <w:pPr>
                                    <w:pStyle w:val="19"/>
                                    <w:jc w:val="center"/>
                                    <w:outlineLvl w:val="0"/>
                                    <w:rPr>
                                      <w:rFonts w:ascii="黑体" w:hAnsi="黑体" w:eastAsia="黑体"/>
                                      <w:snapToGrid w:val="0"/>
                                      <w:sz w:val="30"/>
                                      <w:szCs w:val="30"/>
                                    </w:rPr>
                                  </w:pPr>
                                  <w:r>
                                    <w:rPr>
                                      <w:rFonts w:hint="eastAsia" w:ascii="黑体" w:hAnsi="黑体" w:eastAsia="黑体"/>
                                      <w:snapToGrid w:val="0"/>
                                      <w:sz w:val="30"/>
                                      <w:szCs w:val="30"/>
                                    </w:rPr>
                                    <w:t>二、建设项目工程分析</w:t>
                                  </w:r>
                                </w:p>
                                <w:p/>
                              </w:txbxContent>
                            </wps:txbx>
                            <wps:bodyPr upright="1"/>
                          </wps:wsp>
                        </a:graphicData>
                      </a:graphic>
                    </wp:anchor>
                  </w:drawing>
                </mc:Choice>
                <mc:Fallback>
                  <w:pict>
                    <v:shape id="_x0000_s1026" o:spid="_x0000_s1026" o:spt="202" type="#_x0000_t202" style="position:absolute;left:0pt;margin-left:18.55pt;margin-top:-40.35pt;height:27.6pt;width:328.65pt;z-index:251660288;mso-width-relative:page;mso-height-relative:page;" fillcolor="#FFFFFF" filled="t" stroked="f" coordsize="21600,21600" o:gfxdata="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&#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HfuUWbZAAAACgEAAA8AAAAAAAAAAQAgAAAAIgAAAGRy&#10;cy9kb3ducmV2LnhtbFBLAQIUABQAAAAIAIdO4kBWHATdywEAAIcDAAAOAAAAAAAAAAEAIAAAACgB&#10;AABkcnMvZTJvRG9jLnhtbFBLBQYAAAAABgAGAFkBAABlBQAAAAA=&#10;">
                      <v:fill on="t" focussize="0,0"/>
                      <v:stroke on="f"/>
                      <v:imagedata o:title=""/>
                      <o:lock v:ext="edit" aspectratio="f"/>
                      <v:textbox>
                        <w:txbxContent>
                          <w:p>
                            <w:pPr>
                              <w:pStyle w:val="19"/>
                              <w:jc w:val="center"/>
                              <w:outlineLvl w:val="0"/>
                              <w:rPr>
                                <w:rFonts w:ascii="黑体" w:hAnsi="黑体" w:eastAsia="黑体"/>
                                <w:snapToGrid w:val="0"/>
                                <w:sz w:val="30"/>
                                <w:szCs w:val="30"/>
                              </w:rPr>
                            </w:pPr>
                            <w:r>
                              <w:rPr>
                                <w:rFonts w:hint="eastAsia" w:ascii="黑体" w:hAnsi="黑体" w:eastAsia="黑体"/>
                                <w:snapToGrid w:val="0"/>
                                <w:sz w:val="30"/>
                                <w:szCs w:val="30"/>
                              </w:rPr>
                              <w:t>二、建设项目工程分析</w:t>
                            </w:r>
                          </w:p>
                          <w:p/>
                        </w:txbxContent>
                      </v:textbox>
                    </v:shape>
                  </w:pict>
                </mc:Fallback>
              </mc:AlternateContent>
            </w:r>
            <w:r>
              <w:rPr>
                <w:b/>
                <w:color w:val="auto"/>
                <w:szCs w:val="21"/>
              </w:rPr>
              <w:t>1、项目基本概况</w:t>
            </w:r>
          </w:p>
          <w:p>
            <w:pPr>
              <w:spacing w:line="360" w:lineRule="auto"/>
              <w:rPr>
                <w:b/>
                <w:color w:val="auto"/>
                <w:szCs w:val="21"/>
              </w:rPr>
            </w:pPr>
            <w:r>
              <w:rPr>
                <w:rFonts w:hint="eastAsia"/>
                <w:bCs/>
                <w:color w:val="auto"/>
                <w:szCs w:val="21"/>
              </w:rPr>
              <w:t>（1）项目名称：宠物医院建设项目</w:t>
            </w:r>
          </w:p>
          <w:p>
            <w:pPr>
              <w:spacing w:line="360" w:lineRule="auto"/>
              <w:rPr>
                <w:bCs/>
                <w:color w:val="auto"/>
                <w:szCs w:val="21"/>
              </w:rPr>
            </w:pPr>
            <w:r>
              <w:rPr>
                <w:rFonts w:hint="eastAsia"/>
                <w:bCs/>
                <w:color w:val="auto"/>
                <w:szCs w:val="21"/>
              </w:rPr>
              <w:t>（2）建设单位：</w:t>
            </w:r>
            <w:r>
              <w:rPr>
                <w:rFonts w:hint="eastAsia"/>
                <w:bCs/>
                <w:color w:val="auto"/>
                <w:szCs w:val="21"/>
                <w:lang w:eastAsia="zh-CN"/>
              </w:rPr>
              <w:t>广元市恒爱宠宝宠逸堂宠物医院有限责任公司</w:t>
            </w:r>
          </w:p>
          <w:p>
            <w:pPr>
              <w:spacing w:line="360" w:lineRule="auto"/>
              <w:rPr>
                <w:bCs/>
                <w:color w:val="auto"/>
                <w:szCs w:val="21"/>
              </w:rPr>
            </w:pPr>
            <w:r>
              <w:rPr>
                <w:rFonts w:hint="eastAsia"/>
                <w:bCs/>
                <w:color w:val="auto"/>
                <w:szCs w:val="21"/>
              </w:rPr>
              <w:t>（3）建设地点：四川省广元市</w:t>
            </w:r>
            <w:r>
              <w:rPr>
                <w:rFonts w:hint="eastAsia"/>
                <w:bCs/>
                <w:color w:val="auto"/>
                <w:szCs w:val="21"/>
                <w:lang w:eastAsia="zh-CN"/>
              </w:rPr>
              <w:t>苍溪县陵江镇江南二环路</w:t>
            </w:r>
            <w:r>
              <w:rPr>
                <w:rFonts w:hint="eastAsia"/>
                <w:bCs/>
                <w:color w:val="auto"/>
                <w:szCs w:val="21"/>
                <w:lang w:val="en-US" w:eastAsia="zh-CN"/>
              </w:rPr>
              <w:t>1栋1单元1-3号</w:t>
            </w:r>
          </w:p>
          <w:p>
            <w:pPr>
              <w:spacing w:line="360" w:lineRule="auto"/>
              <w:rPr>
                <w:b/>
                <w:color w:val="auto"/>
                <w:szCs w:val="21"/>
              </w:rPr>
            </w:pPr>
            <w:r>
              <w:rPr>
                <w:rFonts w:hint="eastAsia"/>
                <w:bCs/>
                <w:color w:val="auto"/>
                <w:szCs w:val="21"/>
              </w:rPr>
              <w:t>（4）建设性质：新建</w:t>
            </w:r>
          </w:p>
          <w:p>
            <w:pPr>
              <w:spacing w:line="360" w:lineRule="auto"/>
              <w:rPr>
                <w:b/>
                <w:color w:val="auto"/>
                <w:szCs w:val="21"/>
              </w:rPr>
            </w:pPr>
            <w:r>
              <w:rPr>
                <w:b/>
                <w:color w:val="auto"/>
                <w:szCs w:val="21"/>
              </w:rPr>
              <w:t>2、建设内容与规模</w:t>
            </w:r>
          </w:p>
          <w:p>
            <w:pPr>
              <w:widowControl/>
              <w:spacing w:line="360" w:lineRule="auto"/>
              <w:ind w:firstLine="420" w:firstLineChars="200"/>
              <w:jc w:val="left"/>
              <w:rPr>
                <w:color w:val="auto"/>
                <w:szCs w:val="21"/>
              </w:rPr>
            </w:pPr>
            <w:r>
              <w:rPr>
                <w:color w:val="auto"/>
                <w:kern w:val="0"/>
                <w:szCs w:val="21"/>
              </w:rPr>
              <w:t>为了更好地满足人民群众对所养宠物的医疗服务需求，202</w:t>
            </w:r>
            <w:r>
              <w:rPr>
                <w:rFonts w:hint="eastAsia"/>
                <w:color w:val="auto"/>
                <w:kern w:val="0"/>
                <w:szCs w:val="21"/>
                <w:lang w:val="en-US" w:eastAsia="zh-CN"/>
              </w:rPr>
              <w:t>3</w:t>
            </w:r>
            <w:r>
              <w:rPr>
                <w:color w:val="auto"/>
                <w:kern w:val="0"/>
                <w:szCs w:val="21"/>
              </w:rPr>
              <w:t>年</w:t>
            </w:r>
            <w:r>
              <w:rPr>
                <w:rFonts w:hint="eastAsia"/>
                <w:color w:val="auto"/>
                <w:kern w:val="0"/>
                <w:szCs w:val="21"/>
                <w:lang w:val="en-US" w:eastAsia="zh-CN"/>
              </w:rPr>
              <w:t>7</w:t>
            </w:r>
            <w:r>
              <w:rPr>
                <w:color w:val="auto"/>
                <w:kern w:val="0"/>
                <w:szCs w:val="21"/>
              </w:rPr>
              <w:t>月，</w:t>
            </w:r>
            <w:r>
              <w:rPr>
                <w:rFonts w:hint="eastAsia"/>
                <w:bCs/>
                <w:color w:val="auto"/>
                <w:szCs w:val="21"/>
                <w:lang w:eastAsia="zh-CN"/>
              </w:rPr>
              <w:t>广元市恒爱宠宝宠逸堂宠物医院有限责任公司</w:t>
            </w:r>
            <w:r>
              <w:rPr>
                <w:color w:val="auto"/>
                <w:kern w:val="0"/>
                <w:szCs w:val="21"/>
              </w:rPr>
              <w:t>拟投资</w:t>
            </w:r>
            <w:r>
              <w:rPr>
                <w:rFonts w:hint="eastAsia"/>
                <w:color w:val="auto"/>
                <w:kern w:val="0"/>
                <w:szCs w:val="21"/>
              </w:rPr>
              <w:t>60</w:t>
            </w:r>
            <w:r>
              <w:rPr>
                <w:color w:val="auto"/>
                <w:kern w:val="0"/>
                <w:szCs w:val="21"/>
              </w:rPr>
              <w:t>万元，租用</w:t>
            </w:r>
            <w:r>
              <w:rPr>
                <w:rFonts w:hint="eastAsia"/>
                <w:color w:val="auto"/>
                <w:kern w:val="0"/>
                <w:szCs w:val="21"/>
              </w:rPr>
              <w:t>四川省广元市苍溪县陵江镇江南二环路1栋1单元1-3号</w:t>
            </w:r>
            <w:r>
              <w:rPr>
                <w:color w:val="auto"/>
                <w:kern w:val="0"/>
                <w:szCs w:val="21"/>
              </w:rPr>
              <w:t>（面积</w:t>
            </w:r>
            <w:r>
              <w:rPr>
                <w:rFonts w:hint="eastAsia"/>
                <w:color w:val="auto"/>
                <w:szCs w:val="21"/>
              </w:rPr>
              <w:t>1</w:t>
            </w:r>
            <w:r>
              <w:rPr>
                <w:rFonts w:hint="eastAsia"/>
                <w:color w:val="auto"/>
                <w:szCs w:val="21"/>
                <w:lang w:val="en-US" w:eastAsia="zh-CN"/>
              </w:rPr>
              <w:t>65.78</w:t>
            </w:r>
            <w:r>
              <w:rPr>
                <w:color w:val="auto"/>
                <w:kern w:val="0"/>
                <w:szCs w:val="21"/>
              </w:rPr>
              <w:t>m</w:t>
            </w:r>
            <w:r>
              <w:rPr>
                <w:rFonts w:hint="eastAsia"/>
                <w:color w:val="auto"/>
                <w:kern w:val="0"/>
                <w:szCs w:val="21"/>
                <w:vertAlign w:val="superscript"/>
              </w:rPr>
              <w:t>2</w:t>
            </w:r>
            <w:r>
              <w:rPr>
                <w:color w:val="auto"/>
                <w:kern w:val="0"/>
                <w:szCs w:val="21"/>
              </w:rPr>
              <w:t>），项目主要为宠物提供医疗服务。其中宠物医疗主要包括对宠物进行血液的常规检查，常见疾病的诊治、骨科手术的治疗、宠物阉割以及动物颅腔、胸腔和腹腔手术。建成后项目</w:t>
            </w:r>
            <w:r>
              <w:rPr>
                <w:rFonts w:hint="eastAsia"/>
                <w:color w:val="auto"/>
                <w:kern w:val="0"/>
                <w:szCs w:val="21"/>
              </w:rPr>
              <w:t>住院室最大容纳宠物4只/</w:t>
            </w:r>
            <w:r>
              <w:rPr>
                <w:rFonts w:hint="eastAsia"/>
                <w:color w:val="auto"/>
                <w:kern w:val="0"/>
                <w:szCs w:val="21"/>
                <w:lang w:eastAsia="zh-CN"/>
              </w:rPr>
              <w:t>天</w:t>
            </w:r>
            <w:r>
              <w:rPr>
                <w:rFonts w:hint="eastAsia"/>
                <w:color w:val="auto"/>
                <w:kern w:val="0"/>
                <w:szCs w:val="21"/>
              </w:rPr>
              <w:t>，门诊最大流量3只/</w:t>
            </w:r>
            <w:r>
              <w:rPr>
                <w:rFonts w:hint="eastAsia"/>
                <w:color w:val="auto"/>
                <w:kern w:val="0"/>
                <w:szCs w:val="21"/>
                <w:lang w:eastAsia="zh-CN"/>
              </w:rPr>
              <w:t>天</w:t>
            </w:r>
            <w:r>
              <w:rPr>
                <w:color w:val="auto"/>
                <w:kern w:val="0"/>
                <w:szCs w:val="21"/>
              </w:rPr>
              <w:t xml:space="preserve">。不涉及宠物寄养服务。 </w:t>
            </w:r>
          </w:p>
          <w:p>
            <w:pPr>
              <w:widowControl/>
              <w:spacing w:line="360" w:lineRule="auto"/>
              <w:ind w:firstLine="422" w:firstLineChars="200"/>
              <w:jc w:val="left"/>
              <w:rPr>
                <w:b/>
                <w:bCs/>
                <w:color w:val="auto"/>
                <w:kern w:val="0"/>
                <w:szCs w:val="21"/>
              </w:rPr>
            </w:pPr>
            <w:r>
              <w:rPr>
                <w:b/>
                <w:bCs/>
                <w:color w:val="auto"/>
                <w:kern w:val="0"/>
                <w:szCs w:val="21"/>
              </w:rPr>
              <w:t>本项目所设的X 射线影像系统（DR室）应另行环评，按相关环保要求另行申报，办理相关手续，不在本次评价范围内。</w:t>
            </w:r>
          </w:p>
          <w:p>
            <w:pPr>
              <w:widowControl/>
              <w:spacing w:line="360" w:lineRule="auto"/>
              <w:ind w:firstLine="422" w:firstLineChars="200"/>
              <w:jc w:val="left"/>
              <w:rPr>
                <w:rFonts w:hint="eastAsia" w:eastAsia="宋体"/>
                <w:b/>
                <w:bCs/>
                <w:color w:val="auto"/>
                <w:szCs w:val="21"/>
                <w:lang w:eastAsia="zh-CN"/>
              </w:rPr>
            </w:pPr>
            <w:r>
              <w:rPr>
                <w:b/>
                <w:bCs/>
                <w:color w:val="auto"/>
                <w:kern w:val="0"/>
                <w:szCs w:val="21"/>
              </w:rPr>
              <w:t>建设单位承诺，本项目动物病防治服务范围仅针对猫、狗，不涉及动物传染病，不涉及人畜共生病治疗科目。在检查过程中如发现传染病及人畜共生病，医院将采取隔离措施并立即将患病动物转移至专业的动物传染病防治医院</w:t>
            </w:r>
            <w:r>
              <w:rPr>
                <w:rFonts w:hint="eastAsia"/>
                <w:color w:val="auto"/>
              </w:rPr>
              <w:t>。</w:t>
            </w:r>
            <w:r>
              <w:rPr>
                <w:rFonts w:hint="eastAsia"/>
                <w:b/>
                <w:bCs/>
                <w:color w:val="auto"/>
                <w:kern w:val="0"/>
                <w:szCs w:val="21"/>
                <w:lang w:eastAsia="zh-CN"/>
              </w:rPr>
              <w:t>单位责任人负责本单位动物疫情报告管理工作，建立健全疫情管理制度和疫情档案；设有门诊日志、传染病疫情登记簿，并设有传染病报告卡，住院部设有住院登记簿，传染病报告卡保留三年；配备专门人员，负责疫情信息记录和报告，定期向辖区动物防疫监督机构报告疫情情况。</w:t>
            </w:r>
          </w:p>
          <w:p>
            <w:pPr>
              <w:widowControl/>
              <w:spacing w:line="360" w:lineRule="auto"/>
              <w:jc w:val="left"/>
              <w:rPr>
                <w:b/>
                <w:color w:val="auto"/>
                <w:szCs w:val="21"/>
              </w:rPr>
            </w:pPr>
            <w:r>
              <w:rPr>
                <w:bCs/>
                <w:color w:val="auto"/>
                <w:szCs w:val="21"/>
              </w:rPr>
              <w:t>3</w:t>
            </w:r>
            <w:r>
              <w:rPr>
                <w:b/>
                <w:color w:val="auto"/>
                <w:szCs w:val="21"/>
              </w:rPr>
              <w:t>、项目组成及主要环境问题</w:t>
            </w:r>
          </w:p>
          <w:p>
            <w:pPr>
              <w:ind w:firstLine="1988" w:firstLineChars="1100"/>
              <w:rPr>
                <w:b/>
                <w:color w:val="auto"/>
                <w:sz w:val="18"/>
                <w:szCs w:val="18"/>
              </w:rPr>
            </w:pPr>
            <w:r>
              <w:rPr>
                <w:b/>
                <w:color w:val="auto"/>
                <w:sz w:val="18"/>
                <w:szCs w:val="18"/>
              </w:rPr>
              <w:t>表2-</w:t>
            </w:r>
            <w:r>
              <w:rPr>
                <w:rFonts w:hint="eastAsia"/>
                <w:b/>
                <w:color w:val="auto"/>
                <w:sz w:val="18"/>
                <w:szCs w:val="18"/>
              </w:rPr>
              <w:t>1</w:t>
            </w:r>
            <w:r>
              <w:rPr>
                <w:b/>
                <w:color w:val="auto"/>
                <w:sz w:val="18"/>
                <w:szCs w:val="18"/>
              </w:rPr>
              <w:t xml:space="preserve">    项目组成及主要环境问题</w:t>
            </w:r>
          </w:p>
          <w:tbl>
            <w:tblPr>
              <w:tblStyle w:val="21"/>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78"/>
              <w:gridCol w:w="614"/>
              <w:gridCol w:w="3941"/>
              <w:gridCol w:w="1004"/>
              <w:gridCol w:w="1006"/>
              <w:gridCol w:w="7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426" w:type="pct"/>
                  <w:vMerge w:val="restart"/>
                  <w:noWrap/>
                  <w:vAlign w:val="center"/>
                </w:tcPr>
                <w:p>
                  <w:pPr>
                    <w:adjustRightInd w:val="0"/>
                    <w:snapToGrid w:val="0"/>
                    <w:spacing w:beforeLines="20" w:afterLines="20"/>
                    <w:jc w:val="center"/>
                    <w:rPr>
                      <w:b/>
                      <w:color w:val="auto"/>
                      <w:spacing w:val="-3"/>
                      <w:sz w:val="18"/>
                      <w:szCs w:val="18"/>
                    </w:rPr>
                  </w:pPr>
                  <w:r>
                    <w:rPr>
                      <w:b/>
                      <w:color w:val="auto"/>
                      <w:spacing w:val="-3"/>
                      <w:sz w:val="18"/>
                      <w:szCs w:val="18"/>
                    </w:rPr>
                    <w:t>工程类别</w:t>
                  </w:r>
                </w:p>
              </w:tc>
              <w:tc>
                <w:tcPr>
                  <w:tcW w:w="2866" w:type="pct"/>
                  <w:gridSpan w:val="2"/>
                  <w:vMerge w:val="restart"/>
                  <w:noWrap/>
                  <w:vAlign w:val="center"/>
                </w:tcPr>
                <w:p>
                  <w:pPr>
                    <w:adjustRightInd w:val="0"/>
                    <w:snapToGrid w:val="0"/>
                    <w:spacing w:beforeLines="20" w:afterLines="20"/>
                    <w:jc w:val="center"/>
                    <w:rPr>
                      <w:b/>
                      <w:color w:val="auto"/>
                      <w:spacing w:val="-3"/>
                      <w:sz w:val="18"/>
                      <w:szCs w:val="18"/>
                    </w:rPr>
                  </w:pPr>
                  <w:r>
                    <w:rPr>
                      <w:b/>
                      <w:color w:val="auto"/>
                      <w:spacing w:val="-3"/>
                      <w:sz w:val="18"/>
                      <w:szCs w:val="18"/>
                    </w:rPr>
                    <w:t>建设内容及规模</w:t>
                  </w:r>
                </w:p>
              </w:tc>
              <w:tc>
                <w:tcPr>
                  <w:tcW w:w="1264" w:type="pct"/>
                  <w:gridSpan w:val="2"/>
                  <w:noWrap/>
                  <w:vAlign w:val="center"/>
                </w:tcPr>
                <w:p>
                  <w:pPr>
                    <w:adjustRightInd w:val="0"/>
                    <w:snapToGrid w:val="0"/>
                    <w:spacing w:beforeLines="20" w:afterLines="20"/>
                    <w:jc w:val="center"/>
                    <w:rPr>
                      <w:b/>
                      <w:color w:val="auto"/>
                      <w:spacing w:val="-3"/>
                      <w:sz w:val="18"/>
                      <w:szCs w:val="18"/>
                    </w:rPr>
                  </w:pPr>
                  <w:r>
                    <w:rPr>
                      <w:b/>
                      <w:color w:val="auto"/>
                      <w:spacing w:val="-3"/>
                      <w:sz w:val="18"/>
                      <w:szCs w:val="18"/>
                    </w:rPr>
                    <w:t>主要环境问题</w:t>
                  </w:r>
                </w:p>
              </w:tc>
              <w:tc>
                <w:tcPr>
                  <w:tcW w:w="441" w:type="pct"/>
                  <w:vMerge w:val="restart"/>
                  <w:noWrap/>
                  <w:vAlign w:val="center"/>
                </w:tcPr>
                <w:p>
                  <w:pPr>
                    <w:adjustRightInd w:val="0"/>
                    <w:snapToGrid w:val="0"/>
                    <w:spacing w:beforeLines="20" w:afterLines="20"/>
                    <w:jc w:val="center"/>
                    <w:rPr>
                      <w:b/>
                      <w:color w:val="auto"/>
                      <w:spacing w:val="-3"/>
                      <w:sz w:val="18"/>
                      <w:szCs w:val="18"/>
                    </w:rPr>
                  </w:pPr>
                  <w:r>
                    <w:rPr>
                      <w:b/>
                      <w:color w:val="auto"/>
                      <w:spacing w:val="-3"/>
                      <w:sz w:val="18"/>
                      <w:szCs w:val="18"/>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2866" w:type="pct"/>
                  <w:gridSpan w:val="2"/>
                  <w:vMerge w:val="continue"/>
                  <w:noWrap/>
                  <w:vAlign w:val="center"/>
                </w:tcPr>
                <w:p>
                  <w:pPr>
                    <w:adjustRightInd w:val="0"/>
                    <w:snapToGrid w:val="0"/>
                    <w:spacing w:beforeLines="20" w:afterLines="20"/>
                    <w:jc w:val="center"/>
                    <w:rPr>
                      <w:color w:val="auto"/>
                      <w:spacing w:val="-3"/>
                      <w:sz w:val="18"/>
                      <w:szCs w:val="18"/>
                    </w:rPr>
                  </w:pPr>
                </w:p>
              </w:tc>
              <w:tc>
                <w:tcPr>
                  <w:tcW w:w="631" w:type="pct"/>
                  <w:noWrap/>
                  <w:vAlign w:val="center"/>
                </w:tcPr>
                <w:p>
                  <w:pPr>
                    <w:adjustRightInd w:val="0"/>
                    <w:snapToGrid w:val="0"/>
                    <w:spacing w:beforeLines="20" w:afterLines="20"/>
                    <w:jc w:val="center"/>
                    <w:rPr>
                      <w:b/>
                      <w:color w:val="auto"/>
                      <w:spacing w:val="-3"/>
                      <w:sz w:val="18"/>
                      <w:szCs w:val="18"/>
                    </w:rPr>
                  </w:pPr>
                  <w:r>
                    <w:rPr>
                      <w:b/>
                      <w:color w:val="auto"/>
                      <w:spacing w:val="-3"/>
                      <w:sz w:val="18"/>
                      <w:szCs w:val="18"/>
                    </w:rPr>
                    <w:t>施工期</w:t>
                  </w:r>
                </w:p>
              </w:tc>
              <w:tc>
                <w:tcPr>
                  <w:tcW w:w="633" w:type="pct"/>
                  <w:noWrap/>
                  <w:vAlign w:val="center"/>
                </w:tcPr>
                <w:p>
                  <w:pPr>
                    <w:adjustRightInd w:val="0"/>
                    <w:snapToGrid w:val="0"/>
                    <w:spacing w:beforeLines="20" w:afterLines="20"/>
                    <w:jc w:val="center"/>
                    <w:rPr>
                      <w:b/>
                      <w:color w:val="auto"/>
                      <w:spacing w:val="-3"/>
                      <w:sz w:val="18"/>
                      <w:szCs w:val="18"/>
                    </w:rPr>
                  </w:pPr>
                  <w:r>
                    <w:rPr>
                      <w:b/>
                      <w:color w:val="auto"/>
                      <w:spacing w:val="-3"/>
                      <w:sz w:val="18"/>
                      <w:szCs w:val="18"/>
                    </w:rPr>
                    <w:t>营运期</w:t>
                  </w:r>
                </w:p>
              </w:tc>
              <w:tc>
                <w:tcPr>
                  <w:tcW w:w="441" w:type="pct"/>
                  <w:vMerge w:val="continue"/>
                  <w:noWrap/>
                </w:tcPr>
                <w:p>
                  <w:pPr>
                    <w:adjustRightInd w:val="0"/>
                    <w:snapToGrid w:val="0"/>
                    <w:spacing w:beforeLines="20" w:afterLines="20"/>
                    <w:jc w:val="center"/>
                    <w:rPr>
                      <w:b/>
                      <w:color w:val="auto"/>
                      <w:spacing w:val="-3"/>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426"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主体工程</w:t>
                  </w:r>
                </w:p>
              </w:tc>
              <w:tc>
                <w:tcPr>
                  <w:tcW w:w="386" w:type="pct"/>
                  <w:noWrap/>
                  <w:vAlign w:val="center"/>
                </w:tcPr>
                <w:p>
                  <w:pPr>
                    <w:rPr>
                      <w:color w:val="auto"/>
                      <w:sz w:val="18"/>
                      <w:szCs w:val="18"/>
                    </w:rPr>
                  </w:pPr>
                  <w:r>
                    <w:rPr>
                      <w:rFonts w:hint="eastAsia"/>
                      <w:color w:val="auto"/>
                      <w:sz w:val="18"/>
                      <w:szCs w:val="18"/>
                    </w:rPr>
                    <w:t>医院</w:t>
                  </w:r>
                </w:p>
              </w:tc>
              <w:tc>
                <w:tcPr>
                  <w:tcW w:w="2480" w:type="pct"/>
                  <w:noWrap/>
                  <w:vAlign w:val="center"/>
                </w:tcPr>
                <w:p>
                  <w:pPr>
                    <w:rPr>
                      <w:color w:val="auto"/>
                      <w:sz w:val="18"/>
                      <w:szCs w:val="18"/>
                    </w:rPr>
                  </w:pPr>
                  <w:r>
                    <w:rPr>
                      <w:rFonts w:hint="eastAsia"/>
                      <w:color w:val="auto"/>
                      <w:sz w:val="18"/>
                      <w:szCs w:val="18"/>
                    </w:rPr>
                    <w:t>建筑面积约为1</w:t>
                  </w:r>
                  <w:r>
                    <w:rPr>
                      <w:rFonts w:hint="eastAsia"/>
                      <w:color w:val="auto"/>
                      <w:sz w:val="18"/>
                      <w:szCs w:val="18"/>
                      <w:lang w:val="en-US" w:eastAsia="zh-CN"/>
                    </w:rPr>
                    <w:t>65.78</w:t>
                  </w:r>
                  <w:r>
                    <w:rPr>
                      <w:rFonts w:hint="eastAsia"/>
                      <w:color w:val="auto"/>
                      <w:sz w:val="18"/>
                      <w:szCs w:val="18"/>
                    </w:rPr>
                    <w:t>m</w:t>
                  </w:r>
                  <w:r>
                    <w:rPr>
                      <w:rFonts w:hint="eastAsia"/>
                      <w:color w:val="auto"/>
                      <w:sz w:val="18"/>
                      <w:szCs w:val="18"/>
                      <w:vertAlign w:val="superscript"/>
                    </w:rPr>
                    <w:t>2</w:t>
                  </w:r>
                  <w:r>
                    <w:rPr>
                      <w:rFonts w:hint="eastAsia"/>
                      <w:color w:val="auto"/>
                      <w:sz w:val="18"/>
                      <w:szCs w:val="18"/>
                    </w:rPr>
                    <w:t>，</w:t>
                  </w:r>
                  <w:r>
                    <w:rPr>
                      <w:rFonts w:hint="eastAsia"/>
                      <w:color w:val="auto"/>
                      <w:sz w:val="18"/>
                      <w:szCs w:val="18"/>
                      <w:lang w:val="en-US" w:eastAsia="zh-CN"/>
                    </w:rPr>
                    <w:t>1</w:t>
                  </w:r>
                  <w:r>
                    <w:rPr>
                      <w:rFonts w:hint="eastAsia"/>
                      <w:color w:val="auto"/>
                      <w:sz w:val="18"/>
                      <w:szCs w:val="18"/>
                    </w:rPr>
                    <w:t>F，设置大厅、前台、诊疗室、化验室、药房、医疗废物暂存间以及手术室、</w:t>
                  </w:r>
                  <w:r>
                    <w:rPr>
                      <w:color w:val="auto"/>
                      <w:sz w:val="18"/>
                      <w:szCs w:val="18"/>
                    </w:rPr>
                    <w:t>医疗外包装暂存间</w:t>
                  </w:r>
                  <w:r>
                    <w:rPr>
                      <w:rFonts w:hint="eastAsia"/>
                      <w:color w:val="auto"/>
                      <w:sz w:val="18"/>
                      <w:szCs w:val="18"/>
                      <w:lang w:eastAsia="zh-CN"/>
                    </w:rPr>
                    <w:t>、</w:t>
                  </w:r>
                  <w:r>
                    <w:rPr>
                      <w:rFonts w:hint="eastAsia"/>
                      <w:color w:val="auto"/>
                      <w:sz w:val="18"/>
                      <w:szCs w:val="18"/>
                    </w:rPr>
                    <w:t>休息厅、病房、厕所</w:t>
                  </w:r>
                </w:p>
              </w:tc>
              <w:tc>
                <w:tcPr>
                  <w:tcW w:w="631" w:type="pct"/>
                  <w:vMerge w:val="restart"/>
                  <w:noWrap/>
                  <w:vAlign w:val="center"/>
                </w:tcPr>
                <w:p>
                  <w:pPr>
                    <w:adjustRightInd w:val="0"/>
                    <w:snapToGrid w:val="0"/>
                    <w:spacing w:beforeLines="20" w:afterLines="20"/>
                    <w:jc w:val="center"/>
                    <w:rPr>
                      <w:color w:val="auto"/>
                      <w:spacing w:val="-3"/>
                      <w:sz w:val="18"/>
                      <w:szCs w:val="18"/>
                    </w:rPr>
                  </w:pPr>
                  <w:r>
                    <w:rPr>
                      <w:color w:val="auto"/>
                      <w:spacing w:val="-3"/>
                      <w:sz w:val="18"/>
                      <w:szCs w:val="18"/>
                    </w:rPr>
                    <w:t>施工扬尘、燃油废气、噪声、生活污水、生活垃圾</w:t>
                  </w:r>
                </w:p>
              </w:tc>
              <w:tc>
                <w:tcPr>
                  <w:tcW w:w="633" w:type="pct"/>
                  <w:noWrap/>
                  <w:vAlign w:val="center"/>
                </w:tcPr>
                <w:p>
                  <w:pPr>
                    <w:adjustRightInd w:val="0"/>
                    <w:snapToGrid w:val="0"/>
                    <w:spacing w:beforeLines="20" w:afterLines="20"/>
                    <w:rPr>
                      <w:color w:val="auto"/>
                      <w:spacing w:val="-3"/>
                      <w:sz w:val="18"/>
                      <w:szCs w:val="18"/>
                    </w:rPr>
                  </w:pPr>
                  <w:r>
                    <w:rPr>
                      <w:rFonts w:hint="eastAsia"/>
                      <w:color w:val="auto"/>
                      <w:spacing w:val="-3"/>
                      <w:sz w:val="18"/>
                      <w:szCs w:val="18"/>
                    </w:rPr>
                    <w:t>医疗废水、噪声、医疗废物、生活垃圾、废气、生活污水</w:t>
                  </w:r>
                </w:p>
              </w:tc>
              <w:tc>
                <w:tcPr>
                  <w:tcW w:w="441" w:type="pct"/>
                  <w:noWrap/>
                  <w:vAlign w:val="center"/>
                </w:tcPr>
                <w:p>
                  <w:pPr>
                    <w:adjustRightInd w:val="0"/>
                    <w:snapToGrid w:val="0"/>
                    <w:spacing w:beforeLines="20" w:afterLines="20"/>
                    <w:jc w:val="center"/>
                    <w:rPr>
                      <w:rFonts w:hint="eastAsia" w:eastAsia="宋体"/>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426" w:type="pct"/>
                  <w:vMerge w:val="restart"/>
                  <w:noWrap/>
                  <w:vAlign w:val="center"/>
                </w:tcPr>
                <w:p>
                  <w:pPr>
                    <w:adjustRightInd w:val="0"/>
                    <w:snapToGrid w:val="0"/>
                    <w:spacing w:beforeLines="20" w:afterLines="20"/>
                    <w:jc w:val="center"/>
                    <w:rPr>
                      <w:color w:val="auto"/>
                      <w:spacing w:val="-3"/>
                      <w:sz w:val="18"/>
                      <w:szCs w:val="18"/>
                    </w:rPr>
                  </w:pPr>
                  <w:r>
                    <w:rPr>
                      <w:color w:val="auto"/>
                      <w:spacing w:val="-3"/>
                      <w:sz w:val="18"/>
                      <w:szCs w:val="18"/>
                    </w:rPr>
                    <w:t>公用工程</w:t>
                  </w:r>
                </w:p>
              </w:tc>
              <w:tc>
                <w:tcPr>
                  <w:tcW w:w="386" w:type="pct"/>
                  <w:noWrap/>
                  <w:vAlign w:val="center"/>
                </w:tcPr>
                <w:p>
                  <w:pPr>
                    <w:pStyle w:val="33"/>
                    <w:spacing w:beforeLines="0" w:afterLines="0"/>
                    <w:rPr>
                      <w:rFonts w:ascii="Times New Roman"/>
                      <w:color w:val="auto"/>
                      <w:sz w:val="18"/>
                      <w:szCs w:val="18"/>
                    </w:rPr>
                  </w:pPr>
                  <w:r>
                    <w:rPr>
                      <w:rFonts w:ascii="Times New Roman"/>
                      <w:color w:val="auto"/>
                      <w:sz w:val="18"/>
                      <w:szCs w:val="18"/>
                    </w:rPr>
                    <w:t>供水</w:t>
                  </w:r>
                </w:p>
              </w:tc>
              <w:tc>
                <w:tcPr>
                  <w:tcW w:w="2480" w:type="pct"/>
                  <w:noWrap/>
                  <w:vAlign w:val="center"/>
                </w:tcPr>
                <w:p>
                  <w:pPr>
                    <w:pStyle w:val="33"/>
                    <w:spacing w:before="24" w:after="24"/>
                    <w:ind w:left="42" w:leftChars="20" w:right="42" w:rightChars="20"/>
                    <w:jc w:val="left"/>
                    <w:rPr>
                      <w:rFonts w:ascii="Times New Roman"/>
                      <w:color w:val="auto"/>
                      <w:sz w:val="18"/>
                      <w:szCs w:val="18"/>
                    </w:rPr>
                  </w:pPr>
                  <w:r>
                    <w:rPr>
                      <w:rFonts w:ascii="Times New Roman"/>
                      <w:color w:val="auto"/>
                      <w:sz w:val="18"/>
                      <w:szCs w:val="18"/>
                    </w:rPr>
                    <w:t>市政供水</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noWrap/>
                  <w:vAlign w:val="center"/>
                </w:tcPr>
                <w:p>
                  <w:pPr>
                    <w:pStyle w:val="33"/>
                    <w:spacing w:beforeLines="0" w:afterLines="0"/>
                    <w:rPr>
                      <w:rFonts w:ascii="Times New Roman"/>
                      <w:color w:val="auto"/>
                      <w:sz w:val="18"/>
                      <w:szCs w:val="18"/>
                    </w:rPr>
                  </w:pPr>
                  <w:r>
                    <w:rPr>
                      <w:rFonts w:ascii="Times New Roman"/>
                      <w:color w:val="auto"/>
                      <w:sz w:val="18"/>
                      <w:szCs w:val="18"/>
                    </w:rPr>
                    <w:t>排水</w:t>
                  </w:r>
                </w:p>
              </w:tc>
              <w:tc>
                <w:tcPr>
                  <w:tcW w:w="2480" w:type="pct"/>
                  <w:noWrap/>
                  <w:vAlign w:val="center"/>
                </w:tcPr>
                <w:p>
                  <w:pPr>
                    <w:pStyle w:val="33"/>
                    <w:wordWrap w:val="0"/>
                    <w:topLinePunct/>
                    <w:spacing w:before="24" w:after="24" w:line="260" w:lineRule="auto"/>
                    <w:ind w:right="42" w:rightChars="20"/>
                    <w:jc w:val="both"/>
                    <w:rPr>
                      <w:rFonts w:ascii="Times New Roman"/>
                      <w:color w:val="auto"/>
                      <w:sz w:val="18"/>
                      <w:szCs w:val="18"/>
                    </w:rPr>
                  </w:pPr>
                  <w:r>
                    <w:rPr>
                      <w:rFonts w:hint="eastAsia" w:ascii="Times New Roman"/>
                      <w:color w:val="auto"/>
                      <w:sz w:val="18"/>
                      <w:szCs w:val="18"/>
                    </w:rPr>
                    <w:t>项目采用雨、污分流制，设有污水管网和雨水管网。</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废水</w:t>
                  </w:r>
                </w:p>
              </w:tc>
              <w:tc>
                <w:tcPr>
                  <w:tcW w:w="441" w:type="pct"/>
                  <w:noWrap/>
                  <w:vAlign w:val="center"/>
                </w:tcPr>
                <w:p>
                  <w:pPr>
                    <w:adjustRightInd w:val="0"/>
                    <w:snapToGrid w:val="0"/>
                    <w:spacing w:beforeLines="20" w:afterLines="20"/>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noWrap/>
                  <w:vAlign w:val="center"/>
                </w:tcPr>
                <w:p>
                  <w:pPr>
                    <w:pStyle w:val="33"/>
                    <w:spacing w:beforeLines="0" w:afterLines="0"/>
                    <w:rPr>
                      <w:rFonts w:ascii="Times New Roman"/>
                      <w:color w:val="auto"/>
                      <w:sz w:val="18"/>
                      <w:szCs w:val="18"/>
                    </w:rPr>
                  </w:pPr>
                  <w:r>
                    <w:rPr>
                      <w:rFonts w:ascii="Times New Roman"/>
                      <w:color w:val="auto"/>
                      <w:sz w:val="18"/>
                      <w:szCs w:val="18"/>
                    </w:rPr>
                    <w:t>供电</w:t>
                  </w:r>
                </w:p>
              </w:tc>
              <w:tc>
                <w:tcPr>
                  <w:tcW w:w="2480" w:type="pct"/>
                  <w:noWrap/>
                  <w:vAlign w:val="center"/>
                </w:tcPr>
                <w:p>
                  <w:pPr>
                    <w:pStyle w:val="33"/>
                    <w:spacing w:beforeLines="0" w:afterLines="0"/>
                    <w:ind w:left="42" w:leftChars="20" w:right="42" w:rightChars="20"/>
                    <w:jc w:val="both"/>
                    <w:rPr>
                      <w:rFonts w:ascii="Times New Roman"/>
                      <w:color w:val="auto"/>
                      <w:sz w:val="18"/>
                      <w:szCs w:val="18"/>
                    </w:rPr>
                  </w:pPr>
                  <w:r>
                    <w:rPr>
                      <w:rFonts w:ascii="Times New Roman"/>
                      <w:color w:val="auto"/>
                      <w:sz w:val="18"/>
                      <w:szCs w:val="18"/>
                    </w:rPr>
                    <w:t>市政电网供电</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426" w:type="pct"/>
                  <w:vMerge w:val="restar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rPr>
                    <w:t>辅助工程</w:t>
                  </w:r>
                </w:p>
              </w:tc>
              <w:tc>
                <w:tcPr>
                  <w:tcW w:w="386" w:type="pct"/>
                  <w:noWrap/>
                  <w:vAlign w:val="center"/>
                </w:tcPr>
                <w:p>
                  <w:pPr>
                    <w:pStyle w:val="33"/>
                    <w:spacing w:beforeLines="0" w:afterLines="0"/>
                    <w:jc w:val="both"/>
                    <w:rPr>
                      <w:rFonts w:ascii="Times New Roman"/>
                      <w:color w:val="auto"/>
                      <w:sz w:val="18"/>
                      <w:szCs w:val="18"/>
                    </w:rPr>
                  </w:pPr>
                  <w:r>
                    <w:rPr>
                      <w:rFonts w:hint="eastAsia" w:ascii="Times New Roman"/>
                      <w:color w:val="auto"/>
                      <w:sz w:val="18"/>
                      <w:szCs w:val="18"/>
                    </w:rPr>
                    <w:t>空调系统</w:t>
                  </w:r>
                </w:p>
              </w:tc>
              <w:tc>
                <w:tcPr>
                  <w:tcW w:w="2480" w:type="pct"/>
                  <w:noWrap/>
                  <w:vAlign w:val="center"/>
                </w:tcPr>
                <w:p>
                  <w:pPr>
                    <w:pStyle w:val="33"/>
                    <w:spacing w:beforeLines="0" w:afterLines="0"/>
                    <w:ind w:left="42" w:leftChars="20" w:right="42" w:rightChars="20"/>
                    <w:jc w:val="both"/>
                    <w:rPr>
                      <w:rFonts w:ascii="Times New Roman"/>
                      <w:color w:val="auto"/>
                      <w:sz w:val="18"/>
                      <w:szCs w:val="18"/>
                    </w:rPr>
                  </w:pPr>
                  <w:r>
                    <w:rPr>
                      <w:rFonts w:hint="eastAsia" w:ascii="Times New Roman"/>
                      <w:color w:val="auto"/>
                      <w:sz w:val="18"/>
                      <w:szCs w:val="18"/>
                    </w:rPr>
                    <w:t>采用分体式挂机或柜机空调进行制冷和制热</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rPr>
                    <w:t>噪声</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noWrap/>
                  <w:vAlign w:val="center"/>
                </w:tcPr>
                <w:p>
                  <w:pPr>
                    <w:pStyle w:val="33"/>
                    <w:spacing w:beforeLines="0" w:afterLines="0"/>
                    <w:rPr>
                      <w:color w:val="auto"/>
                    </w:rPr>
                  </w:pPr>
                  <w:r>
                    <w:rPr>
                      <w:rFonts w:hint="eastAsia" w:ascii="Times New Roman"/>
                      <w:color w:val="auto"/>
                      <w:sz w:val="18"/>
                      <w:szCs w:val="18"/>
                    </w:rPr>
                    <w:t>冷藏系统</w:t>
                  </w:r>
                </w:p>
              </w:tc>
              <w:tc>
                <w:tcPr>
                  <w:tcW w:w="2480" w:type="pct"/>
                  <w:noWrap/>
                  <w:vAlign w:val="center"/>
                </w:tcPr>
                <w:p>
                  <w:pPr>
                    <w:pStyle w:val="33"/>
                    <w:spacing w:beforeLines="0" w:afterLines="0"/>
                    <w:ind w:left="42" w:leftChars="20" w:right="42" w:rightChars="20"/>
                    <w:jc w:val="both"/>
                    <w:rPr>
                      <w:rFonts w:ascii="Times New Roman"/>
                      <w:color w:val="auto"/>
                      <w:sz w:val="18"/>
                      <w:szCs w:val="18"/>
                      <w:vertAlign w:val="superscript"/>
                    </w:rPr>
                  </w:pPr>
                  <w:r>
                    <w:rPr>
                      <w:rFonts w:hint="eastAsia"/>
                      <w:color w:val="auto"/>
                      <w:sz w:val="18"/>
                      <w:szCs w:val="18"/>
                    </w:rPr>
                    <w:t>项目内设置冰箱1台，暂存病死动物及病理组织</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rPr>
                    <w:t>/</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noWrap/>
                  <w:vAlign w:val="center"/>
                </w:tcPr>
                <w:p>
                  <w:pPr>
                    <w:pStyle w:val="33"/>
                    <w:spacing w:beforeLines="0" w:afterLines="0"/>
                    <w:jc w:val="both"/>
                    <w:rPr>
                      <w:rFonts w:ascii="Times New Roman"/>
                      <w:color w:val="auto"/>
                      <w:sz w:val="18"/>
                      <w:szCs w:val="18"/>
                    </w:rPr>
                  </w:pPr>
                  <w:r>
                    <w:rPr>
                      <w:rFonts w:hint="eastAsia" w:ascii="Times New Roman"/>
                      <w:color w:val="auto"/>
                      <w:sz w:val="18"/>
                      <w:szCs w:val="18"/>
                    </w:rPr>
                    <w:t>新风系统</w:t>
                  </w:r>
                </w:p>
              </w:tc>
              <w:tc>
                <w:tcPr>
                  <w:tcW w:w="2480" w:type="pct"/>
                  <w:noWrap/>
                  <w:vAlign w:val="center"/>
                </w:tcPr>
                <w:p>
                  <w:pPr>
                    <w:pStyle w:val="33"/>
                    <w:spacing w:beforeLines="0" w:afterLines="0"/>
                    <w:ind w:left="42" w:leftChars="20" w:right="42" w:rightChars="20"/>
                    <w:jc w:val="both"/>
                    <w:rPr>
                      <w:color w:val="auto"/>
                    </w:rPr>
                  </w:pPr>
                  <w:r>
                    <w:rPr>
                      <w:rFonts w:hint="eastAsia"/>
                      <w:color w:val="auto"/>
                      <w:sz w:val="18"/>
                      <w:szCs w:val="18"/>
                    </w:rPr>
                    <w:t>项目设置1套新风系统，主体位于项目东侧处</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rPr>
                      <w:color w:val="auto"/>
                      <w:spacing w:val="-3"/>
                      <w:sz w:val="18"/>
                      <w:szCs w:val="18"/>
                    </w:rPr>
                  </w:pPr>
                  <w:r>
                    <w:rPr>
                      <w:rFonts w:hint="eastAsia"/>
                      <w:color w:val="auto"/>
                      <w:spacing w:val="-3"/>
                      <w:sz w:val="18"/>
                      <w:szCs w:val="18"/>
                    </w:rPr>
                    <w:t>废气、噪声</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restart"/>
                  <w:noWrap/>
                  <w:vAlign w:val="center"/>
                </w:tcPr>
                <w:p>
                  <w:pPr>
                    <w:adjustRightInd w:val="0"/>
                    <w:snapToGrid w:val="0"/>
                    <w:spacing w:beforeLines="20" w:afterLines="20"/>
                    <w:jc w:val="center"/>
                    <w:rPr>
                      <w:color w:val="auto"/>
                      <w:spacing w:val="-3"/>
                      <w:sz w:val="18"/>
                      <w:szCs w:val="18"/>
                    </w:rPr>
                  </w:pPr>
                  <w:r>
                    <w:rPr>
                      <w:color w:val="auto"/>
                      <w:spacing w:val="-3"/>
                      <w:sz w:val="18"/>
                      <w:szCs w:val="18"/>
                    </w:rPr>
                    <w:t>环保工程</w:t>
                  </w:r>
                </w:p>
              </w:tc>
              <w:tc>
                <w:tcPr>
                  <w:tcW w:w="386" w:type="pct"/>
                  <w:vMerge w:val="restart"/>
                  <w:noWrap/>
                  <w:vAlign w:val="center"/>
                </w:tcPr>
                <w:p>
                  <w:pPr>
                    <w:adjustRightInd w:val="0"/>
                    <w:snapToGrid w:val="0"/>
                    <w:spacing w:beforeLines="20" w:afterLines="20"/>
                    <w:jc w:val="center"/>
                    <w:rPr>
                      <w:color w:val="auto"/>
                      <w:spacing w:val="-3"/>
                      <w:sz w:val="18"/>
                      <w:szCs w:val="18"/>
                    </w:rPr>
                  </w:pPr>
                  <w:r>
                    <w:rPr>
                      <w:color w:val="auto"/>
                      <w:spacing w:val="-3"/>
                      <w:sz w:val="18"/>
                      <w:szCs w:val="18"/>
                    </w:rPr>
                    <w:t>废水</w:t>
                  </w:r>
                </w:p>
              </w:tc>
              <w:tc>
                <w:tcPr>
                  <w:tcW w:w="2480" w:type="pct"/>
                  <w:noWrap/>
                  <w:vAlign w:val="center"/>
                </w:tcPr>
                <w:p>
                  <w:pPr>
                    <w:spacing w:line="276" w:lineRule="auto"/>
                    <w:rPr>
                      <w:color w:val="auto"/>
                      <w:sz w:val="18"/>
                      <w:szCs w:val="18"/>
                    </w:rPr>
                  </w:pPr>
                  <w:r>
                    <w:rPr>
                      <w:rFonts w:hint="eastAsia"/>
                      <w:color w:val="auto"/>
                      <w:sz w:val="18"/>
                      <w:szCs w:val="18"/>
                    </w:rPr>
                    <w:t>生活污水：依托</w:t>
                  </w:r>
                  <w:r>
                    <w:rPr>
                      <w:rFonts w:hint="eastAsia"/>
                      <w:color w:val="auto"/>
                      <w:sz w:val="18"/>
                      <w:szCs w:val="18"/>
                      <w:lang w:eastAsia="zh-CN"/>
                    </w:rPr>
                    <w:t>钰恒江南</w:t>
                  </w:r>
                  <w:r>
                    <w:rPr>
                      <w:rFonts w:hint="eastAsia"/>
                      <w:color w:val="auto"/>
                      <w:sz w:val="18"/>
                      <w:szCs w:val="18"/>
                    </w:rPr>
                    <w:t>共用预处理池，1座，容积300m</w:t>
                  </w:r>
                  <w:r>
                    <w:rPr>
                      <w:rFonts w:hint="eastAsia"/>
                      <w:color w:val="auto"/>
                      <w:sz w:val="18"/>
                      <w:szCs w:val="18"/>
                      <w:vertAlign w:val="superscript"/>
                    </w:rPr>
                    <w:t>3</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vMerge w:val="restart"/>
                  <w:noWrap/>
                  <w:vAlign w:val="center"/>
                </w:tcPr>
                <w:p>
                  <w:pPr>
                    <w:adjustRightInd w:val="0"/>
                    <w:snapToGrid w:val="0"/>
                    <w:spacing w:beforeLines="20" w:afterLines="20"/>
                    <w:jc w:val="center"/>
                    <w:rPr>
                      <w:color w:val="auto"/>
                      <w:spacing w:val="-3"/>
                      <w:sz w:val="18"/>
                      <w:szCs w:val="18"/>
                    </w:rPr>
                  </w:pPr>
                  <w:r>
                    <w:rPr>
                      <w:color w:val="auto"/>
                      <w:spacing w:val="-3"/>
                      <w:sz w:val="18"/>
                      <w:szCs w:val="18"/>
                    </w:rPr>
                    <w:t>废水</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9" w:hRule="atLeast"/>
                <w:jc w:val="center"/>
              </w:trPr>
              <w:tc>
                <w:tcPr>
                  <w:tcW w:w="426" w:type="pct"/>
                  <w:vMerge w:val="continue"/>
                  <w:noWrap/>
                  <w:vAlign w:val="center"/>
                </w:tcPr>
                <w:p>
                  <w:pPr>
                    <w:rPr>
                      <w:bCs/>
                      <w:color w:val="auto"/>
                      <w:sz w:val="18"/>
                      <w:szCs w:val="18"/>
                    </w:rPr>
                  </w:pPr>
                </w:p>
              </w:tc>
              <w:tc>
                <w:tcPr>
                  <w:tcW w:w="386" w:type="pct"/>
                  <w:vMerge w:val="continue"/>
                  <w:noWrap/>
                  <w:vAlign w:val="center"/>
                </w:tcPr>
                <w:p>
                  <w:pPr>
                    <w:rPr>
                      <w:bCs/>
                      <w:color w:val="auto"/>
                      <w:sz w:val="18"/>
                      <w:szCs w:val="18"/>
                    </w:rPr>
                  </w:pPr>
                </w:p>
              </w:tc>
              <w:tc>
                <w:tcPr>
                  <w:tcW w:w="2480" w:type="pct"/>
                  <w:noWrap/>
                  <w:vAlign w:val="center"/>
                </w:tcPr>
                <w:p>
                  <w:pPr>
                    <w:rPr>
                      <w:color w:val="auto"/>
                      <w:sz w:val="18"/>
                      <w:szCs w:val="18"/>
                    </w:rPr>
                  </w:pPr>
                  <w:r>
                    <w:rPr>
                      <w:rFonts w:hint="eastAsia"/>
                      <w:color w:val="auto"/>
                      <w:sz w:val="18"/>
                      <w:szCs w:val="18"/>
                    </w:rPr>
                    <w:t>生产废水：污水消毒池位于项目1层（共1套），处理工艺为次氯酸钠消毒，</w:t>
                  </w:r>
                  <w:r>
                    <w:rPr>
                      <w:color w:val="auto"/>
                      <w:sz w:val="18"/>
                      <w:szCs w:val="18"/>
                    </w:rPr>
                    <w:t>处理规模为：</w:t>
                  </w:r>
                  <w:r>
                    <w:rPr>
                      <w:rFonts w:hint="eastAsia"/>
                      <w:color w:val="auto"/>
                      <w:sz w:val="18"/>
                      <w:szCs w:val="18"/>
                    </w:rPr>
                    <w:t>2</w:t>
                  </w:r>
                  <w:r>
                    <w:rPr>
                      <w:color w:val="auto"/>
                      <w:sz w:val="18"/>
                      <w:szCs w:val="18"/>
                    </w:rPr>
                    <w:t>m</w:t>
                  </w:r>
                  <w:r>
                    <w:rPr>
                      <w:color w:val="auto"/>
                      <w:sz w:val="18"/>
                      <w:szCs w:val="18"/>
                      <w:vertAlign w:val="superscript"/>
                    </w:rPr>
                    <w:t>3</w:t>
                  </w:r>
                  <w:r>
                    <w:rPr>
                      <w:color w:val="auto"/>
                      <w:sz w:val="18"/>
                      <w:szCs w:val="18"/>
                    </w:rPr>
                    <w:t>/d</w:t>
                  </w:r>
                </w:p>
              </w:tc>
              <w:tc>
                <w:tcPr>
                  <w:tcW w:w="631" w:type="pct"/>
                  <w:vMerge w:val="continue"/>
                  <w:noWrap/>
                  <w:vAlign w:val="center"/>
                </w:tcPr>
                <w:p>
                  <w:pPr>
                    <w:rPr>
                      <w:bCs/>
                      <w:color w:val="auto"/>
                      <w:sz w:val="18"/>
                      <w:szCs w:val="18"/>
                    </w:rPr>
                  </w:pPr>
                </w:p>
              </w:tc>
              <w:tc>
                <w:tcPr>
                  <w:tcW w:w="633" w:type="pct"/>
                  <w:vMerge w:val="continue"/>
                  <w:noWrap/>
                  <w:vAlign w:val="center"/>
                </w:tcPr>
                <w:p>
                  <w:pPr>
                    <w:rPr>
                      <w:bCs/>
                      <w:color w:val="auto"/>
                      <w:sz w:val="18"/>
                      <w:szCs w:val="18"/>
                    </w:rPr>
                  </w:pPr>
                </w:p>
              </w:tc>
              <w:tc>
                <w:tcPr>
                  <w:tcW w:w="441" w:type="pct"/>
                  <w:noWrap/>
                  <w:vAlign w:val="center"/>
                </w:tcPr>
                <w:p>
                  <w:pPr>
                    <w:rPr>
                      <w:bCs/>
                      <w:color w:val="auto"/>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restart"/>
                  <w:noWrap/>
                  <w:vAlign w:val="center"/>
                </w:tcPr>
                <w:p>
                  <w:pPr>
                    <w:adjustRightInd w:val="0"/>
                    <w:snapToGrid w:val="0"/>
                    <w:spacing w:beforeLines="20" w:afterLines="20"/>
                    <w:jc w:val="center"/>
                    <w:rPr>
                      <w:color w:val="auto"/>
                      <w:spacing w:val="-3"/>
                      <w:sz w:val="18"/>
                      <w:szCs w:val="18"/>
                    </w:rPr>
                  </w:pPr>
                  <w:r>
                    <w:rPr>
                      <w:color w:val="auto"/>
                      <w:spacing w:val="-3"/>
                      <w:sz w:val="18"/>
                      <w:szCs w:val="18"/>
                    </w:rPr>
                    <w:t>废气</w:t>
                  </w:r>
                </w:p>
              </w:tc>
              <w:tc>
                <w:tcPr>
                  <w:tcW w:w="2480" w:type="pct"/>
                  <w:noWrap/>
                  <w:vAlign w:val="center"/>
                </w:tcPr>
                <w:p>
                  <w:pPr>
                    <w:rPr>
                      <w:bCs/>
                      <w:color w:val="auto"/>
                      <w:sz w:val="18"/>
                      <w:szCs w:val="18"/>
                    </w:rPr>
                  </w:pPr>
                  <w:r>
                    <w:rPr>
                      <w:rFonts w:hint="eastAsia" w:cs="Times New Roman"/>
                      <w:color w:val="auto"/>
                      <w:sz w:val="18"/>
                      <w:szCs w:val="18"/>
                      <w:lang w:eastAsia="zh-CN"/>
                    </w:rPr>
                    <w:t>宠物散发的异味</w:t>
                  </w:r>
                  <w:r>
                    <w:rPr>
                      <w:rFonts w:hint="eastAsia" w:ascii="Times New Roman" w:hAnsi="Times New Roman" w:eastAsia="宋体" w:cs="Times New Roman"/>
                      <w:color w:val="auto"/>
                      <w:sz w:val="18"/>
                      <w:szCs w:val="18"/>
                      <w:lang w:eastAsia="zh-CN"/>
                    </w:rPr>
                    <w:t>：</w:t>
                  </w:r>
                  <w:r>
                    <w:rPr>
                      <w:color w:val="auto"/>
                      <w:sz w:val="18"/>
                      <w:szCs w:val="18"/>
                    </w:rPr>
                    <w:t>设置1套异味处理系统（排风系统+紫外灯消毒+活性炭吸附），</w:t>
                  </w:r>
                  <w:r>
                    <w:rPr>
                      <w:bCs/>
                      <w:color w:val="auto"/>
                      <w:sz w:val="18"/>
                      <w:szCs w:val="18"/>
                    </w:rPr>
                    <w:t>排风口位于1楼大门处，排口朝向</w:t>
                  </w:r>
                  <w:r>
                    <w:rPr>
                      <w:rFonts w:hint="eastAsia"/>
                      <w:bCs/>
                      <w:color w:val="auto"/>
                      <w:sz w:val="18"/>
                      <w:szCs w:val="18"/>
                      <w:lang w:eastAsia="zh-CN"/>
                    </w:rPr>
                    <w:t>公路一侧</w:t>
                  </w:r>
                  <w:r>
                    <w:rPr>
                      <w:bCs/>
                      <w:color w:val="auto"/>
                      <w:sz w:val="18"/>
                      <w:szCs w:val="18"/>
                    </w:rPr>
                    <w:t>。</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vMerge w:val="restart"/>
                  <w:noWrap/>
                  <w:vAlign w:val="center"/>
                </w:tcPr>
                <w:p>
                  <w:pPr>
                    <w:adjustRightInd w:val="0"/>
                    <w:snapToGrid w:val="0"/>
                    <w:spacing w:beforeLines="20" w:afterLines="20"/>
                    <w:ind w:firstLine="174" w:firstLineChars="100"/>
                    <w:rPr>
                      <w:color w:val="auto"/>
                      <w:spacing w:val="-3"/>
                      <w:sz w:val="18"/>
                      <w:szCs w:val="18"/>
                    </w:rPr>
                  </w:pPr>
                  <w:r>
                    <w:rPr>
                      <w:color w:val="auto"/>
                      <w:spacing w:val="-3"/>
                      <w:sz w:val="18"/>
                      <w:szCs w:val="18"/>
                    </w:rPr>
                    <w:t>废气</w:t>
                  </w:r>
                </w:p>
              </w:tc>
              <w:tc>
                <w:tcPr>
                  <w:tcW w:w="441" w:type="pct"/>
                  <w:noWrap/>
                  <w:vAlign w:val="center"/>
                </w:tcPr>
                <w:p>
                  <w:pPr>
                    <w:adjustRightInd w:val="0"/>
                    <w:snapToGrid w:val="0"/>
                    <w:spacing w:beforeLines="20" w:afterLines="20"/>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jc w:val="center"/>
                    <w:rPr>
                      <w:color w:val="auto"/>
                      <w:spacing w:val="-3"/>
                      <w:sz w:val="18"/>
                      <w:szCs w:val="18"/>
                    </w:rPr>
                  </w:pPr>
                </w:p>
              </w:tc>
              <w:tc>
                <w:tcPr>
                  <w:tcW w:w="2480" w:type="pct"/>
                  <w:noWrap/>
                  <w:vAlign w:val="center"/>
                </w:tcPr>
                <w:p>
                  <w:pPr>
                    <w:rPr>
                      <w:rFonts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医疗废物暂存间产生的恶臭</w:t>
                  </w: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rPr>
                    <w:t>医疗废物的密封、清运和消毒工作，加强管理，定期进行医疗废物暂存间储存设施、设备的清洁和消毒工作，并喷洒生物除臭剂。</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vMerge w:val="continue"/>
                  <w:noWrap/>
                  <w:vAlign w:val="center"/>
                </w:tcPr>
                <w:p>
                  <w:pPr>
                    <w:adjustRightInd w:val="0"/>
                    <w:snapToGrid w:val="0"/>
                    <w:spacing w:beforeLines="20" w:afterLines="20"/>
                    <w:ind w:firstLine="174" w:firstLineChars="100"/>
                    <w:rPr>
                      <w:color w:val="auto"/>
                      <w:spacing w:val="-3"/>
                      <w:sz w:val="18"/>
                      <w:szCs w:val="18"/>
                    </w:rPr>
                  </w:pPr>
                </w:p>
              </w:tc>
              <w:tc>
                <w:tcPr>
                  <w:tcW w:w="441" w:type="pct"/>
                  <w:noWrap/>
                  <w:vAlign w:val="center"/>
                </w:tcPr>
                <w:p>
                  <w:pPr>
                    <w:adjustRightInd w:val="0"/>
                    <w:snapToGrid w:val="0"/>
                    <w:spacing w:beforeLines="20" w:afterLines="20"/>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jc w:val="center"/>
                    <w:rPr>
                      <w:color w:val="auto"/>
                      <w:spacing w:val="-3"/>
                      <w:sz w:val="18"/>
                      <w:szCs w:val="18"/>
                    </w:rPr>
                  </w:pPr>
                </w:p>
              </w:tc>
              <w:tc>
                <w:tcPr>
                  <w:tcW w:w="2480" w:type="pct"/>
                  <w:noWrap/>
                  <w:vAlign w:val="center"/>
                </w:tcPr>
                <w:p>
                  <w:pPr>
                    <w:rPr>
                      <w:rFonts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污水处理设施产生的恶臭</w:t>
                  </w: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rPr>
                    <w:t>污水处理设施密封，定期对设备进行消毒。</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vMerge w:val="continue"/>
                  <w:noWrap/>
                  <w:vAlign w:val="center"/>
                </w:tcPr>
                <w:p>
                  <w:pPr>
                    <w:adjustRightInd w:val="0"/>
                    <w:snapToGrid w:val="0"/>
                    <w:spacing w:beforeLines="20" w:afterLines="20"/>
                    <w:ind w:firstLine="174" w:firstLineChars="100"/>
                    <w:rPr>
                      <w:color w:val="auto"/>
                      <w:spacing w:val="-3"/>
                      <w:sz w:val="18"/>
                      <w:szCs w:val="18"/>
                    </w:rPr>
                  </w:pPr>
                </w:p>
              </w:tc>
              <w:tc>
                <w:tcPr>
                  <w:tcW w:w="441" w:type="pct"/>
                  <w:noWrap/>
                  <w:vAlign w:val="center"/>
                </w:tcPr>
                <w:p>
                  <w:pPr>
                    <w:adjustRightInd w:val="0"/>
                    <w:snapToGrid w:val="0"/>
                    <w:spacing w:beforeLines="20" w:afterLines="20"/>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噪声</w:t>
                  </w:r>
                </w:p>
              </w:tc>
              <w:tc>
                <w:tcPr>
                  <w:tcW w:w="2480" w:type="pct"/>
                  <w:noWrap/>
                  <w:vAlign w:val="center"/>
                </w:tcPr>
                <w:p>
                  <w:pPr>
                    <w:rPr>
                      <w:color w:val="auto"/>
                      <w:sz w:val="18"/>
                      <w:szCs w:val="18"/>
                    </w:rPr>
                  </w:pPr>
                  <w:r>
                    <w:rPr>
                      <w:rFonts w:hint="eastAsia"/>
                      <w:color w:val="auto"/>
                      <w:sz w:val="18"/>
                      <w:szCs w:val="18"/>
                    </w:rPr>
                    <w:t>建筑隔声，选用低噪声设备，在医疗设备安装时配套安装减震垫，可有效隔离振动的传播。做好设备的安装调试，定期对设备进行维护，保持器良好的运行效果。安装静音的新风系统</w:t>
                  </w:r>
                  <w:r>
                    <w:rPr>
                      <w:rFonts w:hint="eastAsia"/>
                      <w:color w:val="auto"/>
                      <w:sz w:val="18"/>
                      <w:szCs w:val="18"/>
                      <w:lang w:eastAsia="zh-CN"/>
                    </w:rPr>
                    <w:t>和静音空调</w:t>
                  </w:r>
                  <w:r>
                    <w:rPr>
                      <w:rFonts w:hint="eastAsia"/>
                      <w:color w:val="auto"/>
                      <w:sz w:val="18"/>
                      <w:szCs w:val="18"/>
                    </w:rPr>
                    <w:t>，并请专业的</w:t>
                  </w:r>
                  <w:r>
                    <w:rPr>
                      <w:rFonts w:hint="eastAsia"/>
                      <w:color w:val="auto"/>
                      <w:sz w:val="18"/>
                      <w:szCs w:val="18"/>
                      <w:lang w:eastAsia="zh-CN"/>
                    </w:rPr>
                    <w:t>人</w:t>
                  </w:r>
                  <w:r>
                    <w:rPr>
                      <w:rFonts w:hint="eastAsia"/>
                      <w:color w:val="auto"/>
                      <w:sz w:val="18"/>
                      <w:szCs w:val="18"/>
                    </w:rPr>
                    <w:t>安装</w:t>
                  </w:r>
                  <w:r>
                    <w:rPr>
                      <w:rFonts w:hint="eastAsia"/>
                      <w:color w:val="auto"/>
                      <w:sz w:val="18"/>
                      <w:szCs w:val="18"/>
                      <w:lang w:eastAsia="zh-CN"/>
                    </w:rPr>
                    <w:t>。</w:t>
                  </w:r>
                  <w:r>
                    <w:rPr>
                      <w:rFonts w:hint="eastAsia"/>
                      <w:color w:val="auto"/>
                      <w:sz w:val="18"/>
                      <w:szCs w:val="18"/>
                    </w:rPr>
                    <w:t>为避免动物叫声的影响，建设项目方将室内治疗室、住院室等宠物活动较多的区域安装隔声门（窗）或者双层玻璃</w:t>
                  </w:r>
                  <w:r>
                    <w:rPr>
                      <w:rFonts w:hint="eastAsia"/>
                      <w:color w:val="auto"/>
                      <w:sz w:val="18"/>
                      <w:szCs w:val="18"/>
                      <w:lang w:eastAsia="zh-CN"/>
                    </w:rPr>
                    <w:t>，四周缝隙使用橡胶封条，采用硬质地板的设计</w:t>
                  </w:r>
                  <w:r>
                    <w:rPr>
                      <w:rFonts w:hint="eastAsia"/>
                      <w:color w:val="auto"/>
                      <w:sz w:val="18"/>
                      <w:szCs w:val="18"/>
                    </w:rPr>
                    <w:t>。对于留观或住院期间持续产生高噪声的宠物，尽快找到原因，尽可能通知该宠物主人陪同宠物往返多次就诊而非住院。</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噪声</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restart"/>
                  <w:noWrap/>
                  <w:vAlign w:val="center"/>
                </w:tcPr>
                <w:p>
                  <w:pPr>
                    <w:adjustRightInd w:val="0"/>
                    <w:snapToGrid w:val="0"/>
                    <w:spacing w:beforeLines="20" w:afterLines="20"/>
                    <w:rPr>
                      <w:color w:val="auto"/>
                      <w:spacing w:val="-3"/>
                      <w:sz w:val="18"/>
                      <w:szCs w:val="18"/>
                    </w:rPr>
                  </w:pPr>
                  <w:r>
                    <w:rPr>
                      <w:color w:val="auto"/>
                      <w:spacing w:val="-3"/>
                      <w:sz w:val="18"/>
                      <w:szCs w:val="18"/>
                    </w:rPr>
                    <w:t>固废</w:t>
                  </w:r>
                </w:p>
              </w:tc>
              <w:tc>
                <w:tcPr>
                  <w:tcW w:w="2480" w:type="pct"/>
                  <w:noWrap/>
                  <w:vAlign w:val="center"/>
                </w:tcPr>
                <w:p>
                  <w:pPr>
                    <w:rPr>
                      <w:bCs/>
                      <w:color w:val="auto"/>
                      <w:sz w:val="18"/>
                      <w:szCs w:val="18"/>
                    </w:rPr>
                  </w:pPr>
                  <w:r>
                    <w:rPr>
                      <w:rFonts w:hint="eastAsia"/>
                      <w:bCs/>
                      <w:color w:val="auto"/>
                      <w:sz w:val="18"/>
                      <w:szCs w:val="18"/>
                    </w:rPr>
                    <w:t>生活垃圾</w:t>
                  </w:r>
                  <w:r>
                    <w:rPr>
                      <w:bCs/>
                      <w:color w:val="auto"/>
                      <w:sz w:val="18"/>
                      <w:szCs w:val="18"/>
                    </w:rPr>
                    <w:t>：</w:t>
                  </w:r>
                  <w:r>
                    <w:rPr>
                      <w:rFonts w:hint="eastAsia"/>
                      <w:bCs/>
                      <w:color w:val="auto"/>
                      <w:sz w:val="18"/>
                      <w:szCs w:val="18"/>
                    </w:rPr>
                    <w:t>经场内垃圾桶收集后定期运送至当地市政垃圾收集点，最后由环卫部门统一清运。</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color w:val="auto"/>
                      <w:spacing w:val="-3"/>
                      <w:sz w:val="18"/>
                      <w:szCs w:val="18"/>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eastAsia="宋体"/>
                      <w:bCs/>
                      <w:color w:val="auto"/>
                      <w:sz w:val="18"/>
                      <w:szCs w:val="18"/>
                      <w:lang w:eastAsia="zh-CN"/>
                    </w:rPr>
                  </w:pPr>
                  <w:r>
                    <w:rPr>
                      <w:bCs/>
                      <w:color w:val="auto"/>
                      <w:sz w:val="18"/>
                      <w:szCs w:val="18"/>
                    </w:rPr>
                    <w:t>宠物粪污</w:t>
                  </w:r>
                  <w:r>
                    <w:rPr>
                      <w:rFonts w:hint="eastAsia"/>
                      <w:bCs/>
                      <w:color w:val="auto"/>
                      <w:sz w:val="18"/>
                      <w:szCs w:val="18"/>
                    </w:rPr>
                    <w:t>：</w:t>
                  </w:r>
                  <w:r>
                    <w:rPr>
                      <w:bCs/>
                      <w:color w:val="auto"/>
                      <w:sz w:val="18"/>
                      <w:szCs w:val="18"/>
                    </w:rPr>
                    <w:t>粪便单独收集处置委托环卫部门清运处置。</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eastAsia="宋体"/>
                      <w:bCs/>
                      <w:color w:val="auto"/>
                      <w:sz w:val="18"/>
                      <w:szCs w:val="18"/>
                      <w:lang w:eastAsia="zh-CN"/>
                    </w:rPr>
                  </w:pPr>
                  <w:r>
                    <w:rPr>
                      <w:rFonts w:hint="eastAsia"/>
                      <w:color w:val="auto"/>
                      <w:spacing w:val="-3"/>
                      <w:sz w:val="18"/>
                      <w:szCs w:val="18"/>
                    </w:rPr>
                    <w:t>废包装及输液瓶：</w:t>
                  </w:r>
                  <w:r>
                    <w:rPr>
                      <w:color w:val="auto"/>
                      <w:sz w:val="18"/>
                      <w:szCs w:val="18"/>
                    </w:rPr>
                    <w:t>暂存于医疗外包装暂存间</w:t>
                  </w:r>
                  <w:r>
                    <w:rPr>
                      <w:rFonts w:hint="eastAsia"/>
                      <w:color w:val="auto"/>
                      <w:sz w:val="18"/>
                      <w:szCs w:val="18"/>
                    </w:rPr>
                    <w:t>（建筑面积2m</w:t>
                  </w:r>
                  <w:r>
                    <w:rPr>
                      <w:rFonts w:hint="eastAsia"/>
                      <w:color w:val="auto"/>
                      <w:sz w:val="18"/>
                      <w:szCs w:val="18"/>
                      <w:vertAlign w:val="superscript"/>
                    </w:rPr>
                    <w:t>2</w:t>
                  </w:r>
                  <w:r>
                    <w:rPr>
                      <w:rFonts w:hint="eastAsia"/>
                      <w:color w:val="auto"/>
                      <w:sz w:val="18"/>
                      <w:szCs w:val="18"/>
                    </w:rPr>
                    <w:t>,位于宠物医院1楼）</w:t>
                  </w:r>
                  <w:r>
                    <w:rPr>
                      <w:color w:val="auto"/>
                      <w:sz w:val="18"/>
                      <w:szCs w:val="18"/>
                    </w:rPr>
                    <w:t>，交由</w:t>
                  </w:r>
                  <w:r>
                    <w:rPr>
                      <w:rFonts w:hint="eastAsia"/>
                      <w:color w:val="auto"/>
                      <w:sz w:val="18"/>
                      <w:szCs w:val="18"/>
                    </w:rPr>
                    <w:t>相关</w:t>
                  </w:r>
                  <w:r>
                    <w:rPr>
                      <w:color w:val="auto"/>
                      <w:sz w:val="18"/>
                      <w:szCs w:val="18"/>
                    </w:rPr>
                    <w:t>公司回收处理</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bCs/>
                      <w:color w:val="auto"/>
                      <w:sz w:val="18"/>
                      <w:szCs w:val="18"/>
                    </w:rPr>
                  </w:pPr>
                  <w:r>
                    <w:rPr>
                      <w:rFonts w:hint="eastAsia"/>
                      <w:color w:val="auto"/>
                      <w:spacing w:val="-3"/>
                      <w:sz w:val="18"/>
                      <w:szCs w:val="18"/>
                    </w:rPr>
                    <w:t>水质处理器产生的悬浮物及污泥：水质处理器产生的悬浮物及污泥为危险废物，定期清淘后贮存在医疗废物暂存间（面积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楼）交由相关资质单位处理，并签订处理处置协议。</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bCs/>
                      <w:color w:val="auto"/>
                      <w:sz w:val="18"/>
                      <w:szCs w:val="18"/>
                    </w:rPr>
                  </w:pPr>
                  <w:r>
                    <w:rPr>
                      <w:rFonts w:hint="eastAsia"/>
                      <w:color w:val="auto"/>
                      <w:spacing w:val="-3"/>
                      <w:sz w:val="18"/>
                      <w:szCs w:val="18"/>
                    </w:rPr>
                    <w:t>废紫外</w:t>
                  </w:r>
                  <w:r>
                    <w:rPr>
                      <w:rFonts w:hint="eastAsia"/>
                      <w:color w:val="auto"/>
                      <w:spacing w:val="-3"/>
                      <w:sz w:val="18"/>
                      <w:szCs w:val="18"/>
                      <w:lang w:eastAsia="zh-CN"/>
                    </w:rPr>
                    <w:t>线</w:t>
                  </w:r>
                  <w:r>
                    <w:rPr>
                      <w:rFonts w:hint="eastAsia"/>
                      <w:color w:val="auto"/>
                      <w:spacing w:val="-3"/>
                      <w:sz w:val="18"/>
                      <w:szCs w:val="18"/>
                    </w:rPr>
                    <w:t>灯管：集中收集后贮存在医疗废物暂存间（面积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楼）的收集桶内，定期由有资质企业处置</w:t>
                  </w:r>
                  <w:r>
                    <w:rPr>
                      <w:rFonts w:hint="eastAsia"/>
                      <w:color w:val="auto"/>
                      <w:spacing w:val="-3"/>
                      <w:sz w:val="18"/>
                      <w:szCs w:val="18"/>
                      <w:lang w:eastAsia="zh-CN"/>
                    </w:rPr>
                    <w:t>，</w:t>
                  </w:r>
                  <w:r>
                    <w:rPr>
                      <w:rFonts w:hint="eastAsia"/>
                      <w:color w:val="auto"/>
                      <w:spacing w:val="-3"/>
                      <w:sz w:val="18"/>
                      <w:szCs w:val="18"/>
                    </w:rPr>
                    <w:t>医疗垃圾暂存区重点防渗。</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color w:val="auto"/>
                      <w:spacing w:val="-3"/>
                      <w:sz w:val="18"/>
                      <w:szCs w:val="18"/>
                    </w:rPr>
                  </w:pPr>
                  <w:r>
                    <w:rPr>
                      <w:rFonts w:hint="eastAsia"/>
                      <w:color w:val="auto"/>
                      <w:spacing w:val="-3"/>
                      <w:sz w:val="18"/>
                      <w:szCs w:val="18"/>
                      <w:lang w:eastAsia="zh-CN"/>
                    </w:rPr>
                    <w:t>废活性炭</w:t>
                  </w:r>
                  <w:r>
                    <w:rPr>
                      <w:rFonts w:hint="eastAsia"/>
                      <w:color w:val="auto"/>
                      <w:spacing w:val="-3"/>
                      <w:sz w:val="18"/>
                      <w:szCs w:val="18"/>
                    </w:rPr>
                    <w:t>：集中收集后贮存在医疗废物暂存间（面积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楼）的收集桶内，定期由有资质企业处置</w:t>
                  </w:r>
                  <w:r>
                    <w:rPr>
                      <w:rFonts w:hint="eastAsia"/>
                      <w:color w:val="auto"/>
                      <w:spacing w:val="-3"/>
                      <w:sz w:val="18"/>
                      <w:szCs w:val="18"/>
                      <w:lang w:eastAsia="zh-CN"/>
                    </w:rPr>
                    <w:t>，</w:t>
                  </w:r>
                  <w:r>
                    <w:rPr>
                      <w:rFonts w:hint="eastAsia"/>
                      <w:color w:val="auto"/>
                      <w:spacing w:val="-3"/>
                      <w:sz w:val="18"/>
                      <w:szCs w:val="18"/>
                    </w:rPr>
                    <w:t>医疗垃圾暂存区重点防渗。</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color w:val="auto"/>
                      <w:sz w:val="18"/>
                      <w:szCs w:val="18"/>
                      <w:lang w:val="zh-CN"/>
                    </w:rPr>
                  </w:pPr>
                  <w:r>
                    <w:rPr>
                      <w:rFonts w:hint="eastAsia"/>
                      <w:color w:val="auto"/>
                      <w:spacing w:val="-3"/>
                      <w:sz w:val="18"/>
                      <w:szCs w:val="18"/>
                    </w:rPr>
                    <w:t>感染性医疗废物、损伤性医疗废物：集中收集于医疗垃圾暂存区（面积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楼），医疗垃圾暂存区重点防渗，定期委托</w:t>
                  </w:r>
                  <w:r>
                    <w:rPr>
                      <w:rFonts w:hint="eastAsia"/>
                      <w:color w:val="auto"/>
                      <w:spacing w:val="-3"/>
                      <w:sz w:val="18"/>
                      <w:szCs w:val="18"/>
                      <w:lang w:eastAsia="zh-CN"/>
                    </w:rPr>
                    <w:t>有资质单位</w:t>
                  </w:r>
                  <w:r>
                    <w:rPr>
                      <w:rFonts w:hint="eastAsia"/>
                      <w:color w:val="auto"/>
                      <w:spacing w:val="-3"/>
                      <w:sz w:val="18"/>
                      <w:szCs w:val="18"/>
                    </w:rPr>
                    <w:t>进行清运处理。</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color w:val="auto"/>
                      <w:sz w:val="18"/>
                      <w:szCs w:val="18"/>
                      <w:lang w:val="zh-CN"/>
                    </w:rPr>
                  </w:pPr>
                  <w:r>
                    <w:rPr>
                      <w:rFonts w:hint="eastAsia"/>
                      <w:color w:val="auto"/>
                      <w:spacing w:val="-3"/>
                      <w:sz w:val="18"/>
                      <w:szCs w:val="18"/>
                    </w:rPr>
                    <w:t>化学性废物</w:t>
                  </w:r>
                  <w:r>
                    <w:rPr>
                      <w:rFonts w:hint="eastAsia"/>
                      <w:color w:val="auto"/>
                      <w:spacing w:val="-3"/>
                      <w:sz w:val="18"/>
                      <w:szCs w:val="18"/>
                      <w:lang w:eastAsia="zh-CN"/>
                    </w:rPr>
                    <w:t>：</w:t>
                  </w:r>
                  <w:r>
                    <w:rPr>
                      <w:rFonts w:hint="eastAsia"/>
                      <w:color w:val="auto"/>
                      <w:spacing w:val="-3"/>
                      <w:sz w:val="18"/>
                      <w:szCs w:val="18"/>
                    </w:rPr>
                    <w:t>要求桶装收集暂存</w:t>
                  </w:r>
                  <w:r>
                    <w:rPr>
                      <w:rFonts w:hint="eastAsia"/>
                      <w:color w:val="auto"/>
                      <w:spacing w:val="-3"/>
                      <w:sz w:val="18"/>
                      <w:szCs w:val="18"/>
                      <w:lang w:eastAsia="zh-CN"/>
                    </w:rPr>
                    <w:t>于</w:t>
                  </w:r>
                  <w:r>
                    <w:rPr>
                      <w:rFonts w:hint="eastAsia"/>
                      <w:color w:val="auto"/>
                      <w:spacing w:val="-3"/>
                      <w:sz w:val="18"/>
                      <w:szCs w:val="18"/>
                    </w:rPr>
                    <w:t>医疗垃圾暂存区（面积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楼），医疗垃圾暂存区重点防渗，定期委托</w:t>
                  </w:r>
                  <w:r>
                    <w:rPr>
                      <w:rFonts w:hint="eastAsia"/>
                      <w:color w:val="auto"/>
                      <w:spacing w:val="-3"/>
                      <w:sz w:val="18"/>
                      <w:szCs w:val="18"/>
                      <w:lang w:eastAsia="zh-CN"/>
                    </w:rPr>
                    <w:t>有资质单位</w:t>
                  </w:r>
                  <w:r>
                    <w:rPr>
                      <w:rFonts w:hint="eastAsia"/>
                      <w:color w:val="auto"/>
                      <w:spacing w:val="-3"/>
                      <w:sz w:val="18"/>
                      <w:szCs w:val="18"/>
                    </w:rPr>
                    <w:t>进行清运处理。</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color w:val="auto"/>
                      <w:sz w:val="18"/>
                      <w:szCs w:val="18"/>
                      <w:lang w:val="zh-CN"/>
                    </w:rPr>
                  </w:pPr>
                  <w:r>
                    <w:rPr>
                      <w:rFonts w:hint="eastAsia"/>
                      <w:color w:val="auto"/>
                      <w:spacing w:val="-3"/>
                      <w:sz w:val="18"/>
                      <w:szCs w:val="18"/>
                    </w:rPr>
                    <w:t>病理性废物</w:t>
                  </w:r>
                  <w:r>
                    <w:rPr>
                      <w:rFonts w:hint="eastAsia"/>
                      <w:color w:val="auto"/>
                      <w:spacing w:val="-3"/>
                      <w:sz w:val="18"/>
                      <w:szCs w:val="18"/>
                      <w:lang w:eastAsia="zh-CN"/>
                    </w:rPr>
                    <w:t>：</w:t>
                  </w:r>
                  <w:r>
                    <w:rPr>
                      <w:rFonts w:hint="eastAsia"/>
                      <w:color w:val="auto"/>
                      <w:sz w:val="18"/>
                      <w:szCs w:val="18"/>
                      <w:lang w:val="zh-CN"/>
                    </w:rPr>
                    <w:t>动物切除组织暂时冷藏，交由有资质单位处置，并签订处置协议，动物尸体暂时冷藏，并于当日联系有资质的焚化站拉走处理，不过夜，并签订处置协议</w:t>
                  </w:r>
                  <w:r>
                    <w:rPr>
                      <w:rFonts w:hint="eastAsia"/>
                      <w:color w:val="auto"/>
                      <w:spacing w:val="-3"/>
                      <w:sz w:val="18"/>
                      <w:szCs w:val="18"/>
                    </w:rPr>
                    <w:t>。</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6" w:type="pct"/>
                  <w:vMerge w:val="continue"/>
                  <w:noWrap/>
                  <w:vAlign w:val="center"/>
                </w:tcPr>
                <w:p>
                  <w:pPr>
                    <w:adjustRightInd w:val="0"/>
                    <w:snapToGrid w:val="0"/>
                    <w:spacing w:beforeLines="20" w:afterLines="20"/>
                    <w:jc w:val="center"/>
                    <w:rPr>
                      <w:color w:val="auto"/>
                      <w:spacing w:val="-3"/>
                      <w:sz w:val="18"/>
                      <w:szCs w:val="18"/>
                    </w:rPr>
                  </w:pPr>
                </w:p>
              </w:tc>
              <w:tc>
                <w:tcPr>
                  <w:tcW w:w="386" w:type="pct"/>
                  <w:vMerge w:val="continue"/>
                  <w:noWrap/>
                  <w:vAlign w:val="center"/>
                </w:tcPr>
                <w:p>
                  <w:pPr>
                    <w:adjustRightInd w:val="0"/>
                    <w:snapToGrid w:val="0"/>
                    <w:spacing w:beforeLines="20" w:afterLines="20"/>
                    <w:rPr>
                      <w:color w:val="auto"/>
                      <w:spacing w:val="-3"/>
                      <w:sz w:val="18"/>
                      <w:szCs w:val="18"/>
                    </w:rPr>
                  </w:pPr>
                </w:p>
              </w:tc>
              <w:tc>
                <w:tcPr>
                  <w:tcW w:w="2480" w:type="pct"/>
                  <w:noWrap/>
                  <w:vAlign w:val="center"/>
                </w:tcPr>
                <w:p>
                  <w:pPr>
                    <w:rPr>
                      <w:rFonts w:hint="eastAsia"/>
                      <w:color w:val="auto"/>
                      <w:sz w:val="18"/>
                      <w:szCs w:val="18"/>
                      <w:lang w:val="zh-CN"/>
                    </w:rPr>
                  </w:pPr>
                  <w:r>
                    <w:rPr>
                      <w:rFonts w:hint="eastAsia"/>
                      <w:color w:val="auto"/>
                      <w:spacing w:val="-3"/>
                      <w:sz w:val="18"/>
                      <w:szCs w:val="18"/>
                    </w:rPr>
                    <w:t>药物性废物</w:t>
                  </w:r>
                  <w:r>
                    <w:rPr>
                      <w:rFonts w:hint="eastAsia"/>
                      <w:color w:val="auto"/>
                      <w:spacing w:val="-3"/>
                      <w:sz w:val="18"/>
                      <w:szCs w:val="18"/>
                      <w:lang w:eastAsia="zh-CN"/>
                    </w:rPr>
                    <w:t>：</w:t>
                  </w:r>
                  <w:r>
                    <w:rPr>
                      <w:rFonts w:hint="eastAsia"/>
                      <w:color w:val="auto"/>
                      <w:spacing w:val="-3"/>
                      <w:sz w:val="18"/>
                      <w:szCs w:val="18"/>
                    </w:rPr>
                    <w:t>医院只有少量的过期药品，收集在医疗废物暂存间（面积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楼），医疗废物暂存间重点防渗，返回厂家。</w:t>
                  </w:r>
                </w:p>
              </w:tc>
              <w:tc>
                <w:tcPr>
                  <w:tcW w:w="631" w:type="pct"/>
                  <w:vMerge w:val="continue"/>
                  <w:noWrap/>
                  <w:vAlign w:val="center"/>
                </w:tcPr>
                <w:p>
                  <w:pPr>
                    <w:adjustRightInd w:val="0"/>
                    <w:snapToGrid w:val="0"/>
                    <w:spacing w:beforeLines="20" w:afterLines="20"/>
                    <w:jc w:val="center"/>
                    <w:rPr>
                      <w:color w:val="auto"/>
                      <w:spacing w:val="-3"/>
                      <w:sz w:val="18"/>
                      <w:szCs w:val="18"/>
                    </w:rPr>
                  </w:pPr>
                </w:p>
              </w:tc>
              <w:tc>
                <w:tcPr>
                  <w:tcW w:w="633" w:type="pct"/>
                  <w:noWrap/>
                  <w:vAlign w:val="center"/>
                </w:tcPr>
                <w:p>
                  <w:pPr>
                    <w:adjustRightInd w:val="0"/>
                    <w:snapToGrid w:val="0"/>
                    <w:spacing w:beforeLines="20" w:afterLines="20"/>
                    <w:jc w:val="center"/>
                    <w:rPr>
                      <w:color w:val="auto"/>
                      <w:spacing w:val="-3"/>
                      <w:sz w:val="18"/>
                      <w:szCs w:val="18"/>
                    </w:rPr>
                  </w:pPr>
                  <w:r>
                    <w:rPr>
                      <w:color w:val="auto"/>
                      <w:spacing w:val="-3"/>
                      <w:sz w:val="18"/>
                      <w:szCs w:val="18"/>
                    </w:rPr>
                    <w:t>固废</w:t>
                  </w:r>
                </w:p>
              </w:tc>
              <w:tc>
                <w:tcPr>
                  <w:tcW w:w="441" w:type="pct"/>
                  <w:noWrap/>
                  <w:vAlign w:val="center"/>
                </w:tcPr>
                <w:p>
                  <w:pPr>
                    <w:adjustRightInd w:val="0"/>
                    <w:snapToGrid w:val="0"/>
                    <w:spacing w:beforeLines="20" w:afterLines="20"/>
                    <w:jc w:val="center"/>
                    <w:rPr>
                      <w:rFonts w:hint="eastAsia"/>
                      <w:color w:val="auto"/>
                      <w:spacing w:val="-3"/>
                      <w:sz w:val="18"/>
                      <w:szCs w:val="18"/>
                      <w:lang w:eastAsia="zh-CN"/>
                    </w:rPr>
                  </w:pPr>
                  <w:r>
                    <w:rPr>
                      <w:rFonts w:hint="eastAsia"/>
                      <w:color w:val="auto"/>
                      <w:spacing w:val="-3"/>
                      <w:sz w:val="18"/>
                      <w:szCs w:val="18"/>
                      <w:lang w:eastAsia="zh-CN"/>
                    </w:rPr>
                    <w:t>新建</w:t>
                  </w:r>
                </w:p>
              </w:tc>
            </w:tr>
          </w:tbl>
          <w:p>
            <w:pPr>
              <w:spacing w:line="360" w:lineRule="auto"/>
              <w:rPr>
                <w:b/>
                <w:bCs/>
                <w:color w:val="auto"/>
                <w:szCs w:val="21"/>
              </w:rPr>
            </w:pPr>
            <w:r>
              <w:rPr>
                <w:b/>
                <w:color w:val="auto"/>
                <w:szCs w:val="21"/>
              </w:rPr>
              <w:t>4、主要设备</w:t>
            </w:r>
          </w:p>
          <w:p>
            <w:pPr>
              <w:pStyle w:val="2"/>
              <w:spacing w:line="360" w:lineRule="auto"/>
              <w:ind w:firstLine="420" w:firstLineChars="200"/>
              <w:rPr>
                <w:rFonts w:eastAsia="宋体"/>
                <w:b/>
                <w:bCs/>
                <w:color w:val="auto"/>
                <w:sz w:val="21"/>
                <w:szCs w:val="21"/>
              </w:rPr>
            </w:pPr>
            <w:r>
              <w:rPr>
                <w:rFonts w:hint="eastAsia" w:eastAsia="宋体"/>
                <w:color w:val="auto"/>
                <w:sz w:val="21"/>
                <w:szCs w:val="21"/>
              </w:rPr>
              <w:t>根据业主提供的资料，本项目主要设备如2-2所示。</w:t>
            </w:r>
          </w:p>
          <w:p>
            <w:pPr>
              <w:pStyle w:val="2"/>
              <w:ind w:firstLine="0"/>
              <w:jc w:val="center"/>
              <w:rPr>
                <w:rFonts w:eastAsia="宋体"/>
                <w:b/>
                <w:color w:val="auto"/>
                <w:sz w:val="18"/>
                <w:szCs w:val="18"/>
              </w:rPr>
            </w:pPr>
            <w:r>
              <w:rPr>
                <w:rFonts w:eastAsia="宋体"/>
                <w:b/>
                <w:bCs/>
                <w:color w:val="auto"/>
                <w:sz w:val="18"/>
                <w:szCs w:val="18"/>
              </w:rPr>
              <w:t>表2-</w:t>
            </w:r>
            <w:r>
              <w:rPr>
                <w:rFonts w:hint="eastAsia" w:eastAsia="宋体"/>
                <w:b/>
                <w:bCs/>
                <w:color w:val="auto"/>
                <w:sz w:val="18"/>
                <w:szCs w:val="18"/>
              </w:rPr>
              <w:t>2</w:t>
            </w:r>
            <w:r>
              <w:rPr>
                <w:rFonts w:eastAsia="宋体"/>
                <w:b/>
                <w:bCs/>
                <w:color w:val="auto"/>
                <w:sz w:val="18"/>
                <w:szCs w:val="18"/>
              </w:rPr>
              <w:t xml:space="preserve">  项目主要设备清单</w:t>
            </w:r>
          </w:p>
          <w:tbl>
            <w:tblPr>
              <w:tblStyle w:val="22"/>
              <w:tblW w:w="4932"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24"/>
              <w:gridCol w:w="1918"/>
              <w:gridCol w:w="1941"/>
              <w:gridCol w:w="1212"/>
              <w:gridCol w:w="184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589" w:type="pct"/>
                  <w:noWrap/>
                  <w:vAlign w:val="center"/>
                </w:tcPr>
                <w:p>
                  <w:pPr>
                    <w:jc w:val="center"/>
                    <w:rPr>
                      <w:bCs/>
                      <w:color w:val="auto"/>
                      <w:sz w:val="18"/>
                      <w:szCs w:val="18"/>
                    </w:rPr>
                  </w:pPr>
                  <w:r>
                    <w:rPr>
                      <w:bCs/>
                      <w:color w:val="auto"/>
                      <w:sz w:val="18"/>
                      <w:szCs w:val="18"/>
                    </w:rPr>
                    <w:t>序号</w:t>
                  </w:r>
                </w:p>
              </w:tc>
              <w:tc>
                <w:tcPr>
                  <w:tcW w:w="1223" w:type="pct"/>
                  <w:noWrap/>
                  <w:vAlign w:val="center"/>
                </w:tcPr>
                <w:p>
                  <w:pPr>
                    <w:jc w:val="center"/>
                    <w:rPr>
                      <w:bCs/>
                      <w:color w:val="auto"/>
                      <w:sz w:val="18"/>
                      <w:szCs w:val="18"/>
                    </w:rPr>
                  </w:pPr>
                  <w:r>
                    <w:rPr>
                      <w:bCs/>
                      <w:color w:val="auto"/>
                      <w:sz w:val="18"/>
                      <w:szCs w:val="18"/>
                    </w:rPr>
                    <w:t>设备名称</w:t>
                  </w:r>
                </w:p>
              </w:tc>
              <w:tc>
                <w:tcPr>
                  <w:tcW w:w="1238" w:type="pct"/>
                  <w:noWrap/>
                  <w:vAlign w:val="center"/>
                </w:tcPr>
                <w:p>
                  <w:pPr>
                    <w:jc w:val="center"/>
                    <w:rPr>
                      <w:bCs/>
                      <w:color w:val="auto"/>
                      <w:sz w:val="18"/>
                      <w:szCs w:val="18"/>
                    </w:rPr>
                  </w:pPr>
                  <w:r>
                    <w:rPr>
                      <w:bCs/>
                      <w:color w:val="auto"/>
                      <w:sz w:val="18"/>
                      <w:szCs w:val="18"/>
                    </w:rPr>
                    <w:t>型号</w:t>
                  </w:r>
                </w:p>
              </w:tc>
              <w:tc>
                <w:tcPr>
                  <w:tcW w:w="773" w:type="pct"/>
                  <w:noWrap/>
                  <w:vAlign w:val="center"/>
                </w:tcPr>
                <w:p>
                  <w:pPr>
                    <w:jc w:val="center"/>
                    <w:rPr>
                      <w:bCs/>
                      <w:color w:val="auto"/>
                      <w:sz w:val="18"/>
                      <w:szCs w:val="18"/>
                    </w:rPr>
                  </w:pPr>
                  <w:r>
                    <w:rPr>
                      <w:bCs/>
                      <w:color w:val="auto"/>
                      <w:sz w:val="18"/>
                      <w:szCs w:val="18"/>
                    </w:rPr>
                    <w:t>数量</w:t>
                  </w:r>
                </w:p>
              </w:tc>
              <w:tc>
                <w:tcPr>
                  <w:tcW w:w="1175" w:type="pct"/>
                  <w:noWrap/>
                  <w:vAlign w:val="center"/>
                </w:tcPr>
                <w:p>
                  <w:pPr>
                    <w:jc w:val="center"/>
                    <w:rPr>
                      <w:bCs/>
                      <w:color w:val="auto"/>
                      <w:sz w:val="18"/>
                      <w:szCs w:val="18"/>
                    </w:rPr>
                  </w:pPr>
                  <w:r>
                    <w:rPr>
                      <w:bCs/>
                      <w:color w:val="auto"/>
                      <w:sz w:val="18"/>
                      <w:szCs w:val="18"/>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589" w:type="pct"/>
                  <w:noWrap/>
                  <w:vAlign w:val="center"/>
                </w:tcPr>
                <w:p>
                  <w:pPr>
                    <w:jc w:val="center"/>
                    <w:rPr>
                      <w:bCs/>
                      <w:color w:val="auto"/>
                      <w:sz w:val="18"/>
                      <w:szCs w:val="18"/>
                    </w:rPr>
                  </w:pPr>
                  <w:r>
                    <w:rPr>
                      <w:bCs/>
                      <w:color w:val="auto"/>
                      <w:sz w:val="18"/>
                      <w:szCs w:val="18"/>
                    </w:rPr>
                    <w:t>1</w:t>
                  </w:r>
                </w:p>
              </w:tc>
              <w:tc>
                <w:tcPr>
                  <w:tcW w:w="1223" w:type="pct"/>
                  <w:noWrap/>
                  <w:vAlign w:val="center"/>
                </w:tcPr>
                <w:p>
                  <w:pPr>
                    <w:jc w:val="center"/>
                    <w:rPr>
                      <w:bCs/>
                      <w:color w:val="auto"/>
                      <w:sz w:val="18"/>
                      <w:szCs w:val="18"/>
                    </w:rPr>
                  </w:pPr>
                  <w:r>
                    <w:rPr>
                      <w:rFonts w:hint="eastAsia"/>
                      <w:bCs/>
                      <w:color w:val="auto"/>
                      <w:sz w:val="18"/>
                      <w:szCs w:val="18"/>
                    </w:rPr>
                    <w:t>血细胞分析仪</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589" w:type="pct"/>
                  <w:noWrap/>
                  <w:vAlign w:val="center"/>
                </w:tcPr>
                <w:p>
                  <w:pPr>
                    <w:jc w:val="center"/>
                    <w:rPr>
                      <w:bCs/>
                      <w:color w:val="auto"/>
                      <w:sz w:val="18"/>
                      <w:szCs w:val="18"/>
                    </w:rPr>
                  </w:pPr>
                  <w:r>
                    <w:rPr>
                      <w:bCs/>
                      <w:color w:val="auto"/>
                      <w:sz w:val="18"/>
                      <w:szCs w:val="18"/>
                    </w:rPr>
                    <w:t>2</w:t>
                  </w:r>
                </w:p>
              </w:tc>
              <w:tc>
                <w:tcPr>
                  <w:tcW w:w="1223" w:type="pct"/>
                  <w:noWrap/>
                  <w:vAlign w:val="center"/>
                </w:tcPr>
                <w:p>
                  <w:pPr>
                    <w:jc w:val="center"/>
                    <w:rPr>
                      <w:bCs/>
                      <w:color w:val="auto"/>
                      <w:sz w:val="18"/>
                      <w:szCs w:val="18"/>
                    </w:rPr>
                  </w:pPr>
                  <w:r>
                    <w:rPr>
                      <w:rFonts w:hint="eastAsia"/>
                      <w:bCs/>
                      <w:color w:val="auto"/>
                      <w:sz w:val="18"/>
                      <w:szCs w:val="18"/>
                    </w:rPr>
                    <w:t>生化仪</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w:t>
                  </w:r>
                  <w:r>
                    <w:rPr>
                      <w:bCs/>
                      <w:color w:val="auto"/>
                      <w:sz w:val="18"/>
                      <w:szCs w:val="18"/>
                    </w:rPr>
                    <w:t>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589" w:type="pct"/>
                  <w:noWrap/>
                  <w:vAlign w:val="center"/>
                </w:tcPr>
                <w:p>
                  <w:pPr>
                    <w:jc w:val="center"/>
                    <w:rPr>
                      <w:bCs/>
                      <w:color w:val="auto"/>
                      <w:sz w:val="18"/>
                      <w:szCs w:val="18"/>
                    </w:rPr>
                  </w:pPr>
                  <w:r>
                    <w:rPr>
                      <w:bCs/>
                      <w:color w:val="auto"/>
                      <w:sz w:val="18"/>
                      <w:szCs w:val="18"/>
                    </w:rPr>
                    <w:t>3</w:t>
                  </w:r>
                </w:p>
              </w:tc>
              <w:tc>
                <w:tcPr>
                  <w:tcW w:w="1223" w:type="pct"/>
                  <w:noWrap/>
                  <w:vAlign w:val="center"/>
                </w:tcPr>
                <w:p>
                  <w:pPr>
                    <w:jc w:val="center"/>
                    <w:rPr>
                      <w:bCs/>
                      <w:color w:val="auto"/>
                      <w:sz w:val="18"/>
                      <w:szCs w:val="18"/>
                    </w:rPr>
                  </w:pPr>
                  <w:r>
                    <w:rPr>
                      <w:rFonts w:hint="eastAsia"/>
                      <w:bCs/>
                      <w:color w:val="auto"/>
                      <w:sz w:val="18"/>
                      <w:szCs w:val="18"/>
                    </w:rPr>
                    <w:t>离心机</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w:t>
                  </w:r>
                  <w:r>
                    <w:rPr>
                      <w:bCs/>
                      <w:color w:val="auto"/>
                      <w:sz w:val="18"/>
                      <w:szCs w:val="18"/>
                    </w:rPr>
                    <w:t>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589" w:type="pct"/>
                  <w:noWrap/>
                  <w:vAlign w:val="center"/>
                </w:tcPr>
                <w:p>
                  <w:pPr>
                    <w:jc w:val="center"/>
                    <w:rPr>
                      <w:bCs/>
                      <w:color w:val="auto"/>
                      <w:sz w:val="18"/>
                      <w:szCs w:val="18"/>
                    </w:rPr>
                  </w:pPr>
                  <w:r>
                    <w:rPr>
                      <w:bCs/>
                      <w:color w:val="auto"/>
                      <w:sz w:val="18"/>
                      <w:szCs w:val="18"/>
                    </w:rPr>
                    <w:t>4</w:t>
                  </w:r>
                </w:p>
              </w:tc>
              <w:tc>
                <w:tcPr>
                  <w:tcW w:w="1223" w:type="pct"/>
                  <w:noWrap/>
                  <w:vAlign w:val="center"/>
                </w:tcPr>
                <w:p>
                  <w:pPr>
                    <w:jc w:val="center"/>
                    <w:rPr>
                      <w:bCs/>
                      <w:color w:val="auto"/>
                      <w:sz w:val="18"/>
                      <w:szCs w:val="18"/>
                    </w:rPr>
                  </w:pPr>
                  <w:r>
                    <w:rPr>
                      <w:rFonts w:hint="eastAsia"/>
                      <w:bCs/>
                      <w:color w:val="auto"/>
                      <w:sz w:val="18"/>
                      <w:szCs w:val="18"/>
                    </w:rPr>
                    <w:t>心电监护仪</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w:t>
                  </w:r>
                  <w:r>
                    <w:rPr>
                      <w:bCs/>
                      <w:color w:val="auto"/>
                      <w:sz w:val="18"/>
                      <w:szCs w:val="18"/>
                    </w:rPr>
                    <w:t>个</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589" w:type="pct"/>
                  <w:noWrap/>
                  <w:vAlign w:val="center"/>
                </w:tcPr>
                <w:p>
                  <w:pPr>
                    <w:jc w:val="center"/>
                    <w:rPr>
                      <w:bCs/>
                      <w:color w:val="auto"/>
                      <w:sz w:val="18"/>
                      <w:szCs w:val="18"/>
                    </w:rPr>
                  </w:pPr>
                  <w:r>
                    <w:rPr>
                      <w:bCs/>
                      <w:color w:val="auto"/>
                      <w:sz w:val="18"/>
                      <w:szCs w:val="18"/>
                    </w:rPr>
                    <w:t>5</w:t>
                  </w:r>
                </w:p>
              </w:tc>
              <w:tc>
                <w:tcPr>
                  <w:tcW w:w="1223" w:type="pct"/>
                  <w:noWrap/>
                  <w:vAlign w:val="center"/>
                </w:tcPr>
                <w:p>
                  <w:pPr>
                    <w:jc w:val="center"/>
                    <w:rPr>
                      <w:bCs/>
                      <w:color w:val="auto"/>
                      <w:sz w:val="18"/>
                      <w:szCs w:val="18"/>
                    </w:rPr>
                  </w:pPr>
                  <w:r>
                    <w:rPr>
                      <w:rFonts w:hint="eastAsia"/>
                      <w:bCs/>
                      <w:color w:val="auto"/>
                      <w:sz w:val="18"/>
                      <w:szCs w:val="18"/>
                    </w:rPr>
                    <w:t>手术台</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589" w:type="pct"/>
                  <w:noWrap/>
                  <w:vAlign w:val="center"/>
                </w:tcPr>
                <w:p>
                  <w:pPr>
                    <w:jc w:val="center"/>
                    <w:rPr>
                      <w:bCs/>
                      <w:color w:val="auto"/>
                      <w:sz w:val="18"/>
                      <w:szCs w:val="18"/>
                    </w:rPr>
                  </w:pPr>
                  <w:r>
                    <w:rPr>
                      <w:bCs/>
                      <w:color w:val="auto"/>
                      <w:sz w:val="18"/>
                      <w:szCs w:val="18"/>
                    </w:rPr>
                    <w:t>6</w:t>
                  </w:r>
                </w:p>
              </w:tc>
              <w:tc>
                <w:tcPr>
                  <w:tcW w:w="1223" w:type="pct"/>
                  <w:noWrap/>
                  <w:vAlign w:val="center"/>
                </w:tcPr>
                <w:p>
                  <w:pPr>
                    <w:rPr>
                      <w:bCs/>
                      <w:color w:val="auto"/>
                      <w:sz w:val="18"/>
                      <w:szCs w:val="18"/>
                    </w:rPr>
                  </w:pPr>
                  <w:r>
                    <w:rPr>
                      <w:rFonts w:hint="eastAsia"/>
                      <w:bCs/>
                      <w:color w:val="auto"/>
                      <w:sz w:val="18"/>
                      <w:szCs w:val="18"/>
                    </w:rPr>
                    <w:t xml:space="preserve">       喉镜</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589" w:type="pct"/>
                  <w:noWrap/>
                  <w:vAlign w:val="center"/>
                </w:tcPr>
                <w:p>
                  <w:pPr>
                    <w:jc w:val="center"/>
                    <w:rPr>
                      <w:bCs/>
                      <w:color w:val="auto"/>
                      <w:sz w:val="18"/>
                      <w:szCs w:val="18"/>
                    </w:rPr>
                  </w:pPr>
                  <w:r>
                    <w:rPr>
                      <w:bCs/>
                      <w:color w:val="auto"/>
                      <w:sz w:val="18"/>
                      <w:szCs w:val="18"/>
                    </w:rPr>
                    <w:t>7</w:t>
                  </w:r>
                </w:p>
              </w:tc>
              <w:tc>
                <w:tcPr>
                  <w:tcW w:w="1223" w:type="pct"/>
                  <w:noWrap/>
                  <w:vAlign w:val="center"/>
                </w:tcPr>
                <w:p>
                  <w:pPr>
                    <w:jc w:val="center"/>
                    <w:rPr>
                      <w:bCs/>
                      <w:color w:val="auto"/>
                      <w:sz w:val="18"/>
                      <w:szCs w:val="18"/>
                    </w:rPr>
                  </w:pPr>
                  <w:r>
                    <w:rPr>
                      <w:rFonts w:hint="eastAsia"/>
                      <w:bCs/>
                      <w:color w:val="auto"/>
                      <w:sz w:val="18"/>
                      <w:szCs w:val="18"/>
                    </w:rPr>
                    <w:t>输液泵</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bCs/>
                      <w:color w:val="auto"/>
                      <w:sz w:val="18"/>
                      <w:szCs w:val="18"/>
                    </w:rPr>
                    <w:t>4</w:t>
                  </w:r>
                  <w:r>
                    <w:rPr>
                      <w:rFonts w:hint="eastAsia"/>
                      <w:bCs/>
                      <w:color w:val="auto"/>
                      <w:sz w:val="18"/>
                      <w:szCs w:val="18"/>
                    </w:rPr>
                    <w:t>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589" w:type="pct"/>
                  <w:noWrap/>
                  <w:vAlign w:val="center"/>
                </w:tcPr>
                <w:p>
                  <w:pPr>
                    <w:jc w:val="center"/>
                    <w:rPr>
                      <w:bCs/>
                      <w:color w:val="auto"/>
                      <w:sz w:val="18"/>
                      <w:szCs w:val="18"/>
                    </w:rPr>
                  </w:pPr>
                  <w:r>
                    <w:rPr>
                      <w:bCs/>
                      <w:color w:val="auto"/>
                      <w:sz w:val="18"/>
                      <w:szCs w:val="18"/>
                    </w:rPr>
                    <w:t>8</w:t>
                  </w:r>
                </w:p>
              </w:tc>
              <w:tc>
                <w:tcPr>
                  <w:tcW w:w="1223" w:type="pct"/>
                  <w:noWrap/>
                  <w:vAlign w:val="center"/>
                </w:tcPr>
                <w:p>
                  <w:pPr>
                    <w:jc w:val="center"/>
                    <w:rPr>
                      <w:bCs/>
                      <w:color w:val="auto"/>
                      <w:sz w:val="18"/>
                      <w:szCs w:val="18"/>
                    </w:rPr>
                  </w:pPr>
                  <w:r>
                    <w:rPr>
                      <w:rFonts w:hint="eastAsia"/>
                      <w:bCs/>
                      <w:color w:val="auto"/>
                      <w:sz w:val="18"/>
                      <w:szCs w:val="18"/>
                    </w:rPr>
                    <w:t>伍德氏灯</w:t>
                  </w:r>
                </w:p>
              </w:tc>
              <w:tc>
                <w:tcPr>
                  <w:tcW w:w="1238" w:type="pct"/>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w:t>
                  </w:r>
                  <w:r>
                    <w:rPr>
                      <w:bCs/>
                      <w:color w:val="auto"/>
                      <w:sz w:val="18"/>
                      <w:szCs w:val="18"/>
                    </w:rPr>
                    <w:t>个</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589" w:type="pct"/>
                  <w:noWrap/>
                  <w:vAlign w:val="center"/>
                </w:tcPr>
                <w:p>
                  <w:pPr>
                    <w:jc w:val="center"/>
                    <w:rPr>
                      <w:bCs/>
                      <w:color w:val="auto"/>
                      <w:sz w:val="18"/>
                      <w:szCs w:val="18"/>
                    </w:rPr>
                  </w:pPr>
                  <w:r>
                    <w:rPr>
                      <w:bCs/>
                      <w:color w:val="auto"/>
                      <w:sz w:val="18"/>
                      <w:szCs w:val="18"/>
                    </w:rPr>
                    <w:t>9</w:t>
                  </w:r>
                </w:p>
              </w:tc>
              <w:tc>
                <w:tcPr>
                  <w:tcW w:w="1223" w:type="pct"/>
                  <w:noWrap/>
                  <w:vAlign w:val="center"/>
                </w:tcPr>
                <w:p>
                  <w:pPr>
                    <w:jc w:val="center"/>
                    <w:rPr>
                      <w:bCs/>
                      <w:color w:val="auto"/>
                      <w:sz w:val="18"/>
                      <w:szCs w:val="18"/>
                    </w:rPr>
                  </w:pPr>
                  <w:r>
                    <w:rPr>
                      <w:rFonts w:hint="eastAsia"/>
                      <w:bCs/>
                      <w:color w:val="auto"/>
                      <w:sz w:val="18"/>
                      <w:szCs w:val="18"/>
                    </w:rPr>
                    <w:t>显微镜</w:t>
                  </w:r>
                </w:p>
              </w:tc>
              <w:tc>
                <w:tcPr>
                  <w:tcW w:w="1941" w:type="dxa"/>
                  <w:noWrap/>
                  <w:vAlign w:val="center"/>
                </w:tcPr>
                <w:p>
                  <w:pPr>
                    <w:jc w:val="center"/>
                    <w:rPr>
                      <w:bCs/>
                      <w:color w:val="auto"/>
                      <w:sz w:val="18"/>
                      <w:szCs w:val="18"/>
                    </w:rPr>
                  </w:pPr>
                  <w:r>
                    <w:rPr>
                      <w:bCs/>
                      <w:color w:val="auto"/>
                      <w:sz w:val="18"/>
                      <w:szCs w:val="18"/>
                    </w:rPr>
                    <w:t>——</w:t>
                  </w:r>
                </w:p>
              </w:tc>
              <w:tc>
                <w:tcPr>
                  <w:tcW w:w="773" w:type="pct"/>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589" w:type="pct"/>
                  <w:noWrap/>
                  <w:vAlign w:val="center"/>
                </w:tcPr>
                <w:p>
                  <w:pPr>
                    <w:jc w:val="center"/>
                    <w:rPr>
                      <w:bCs/>
                      <w:color w:val="auto"/>
                      <w:sz w:val="18"/>
                      <w:szCs w:val="18"/>
                    </w:rPr>
                  </w:pPr>
                  <w:r>
                    <w:rPr>
                      <w:bCs/>
                      <w:color w:val="auto"/>
                      <w:sz w:val="18"/>
                      <w:szCs w:val="18"/>
                    </w:rPr>
                    <w:t>10</w:t>
                  </w:r>
                </w:p>
              </w:tc>
              <w:tc>
                <w:tcPr>
                  <w:tcW w:w="1223" w:type="pct"/>
                  <w:noWrap/>
                  <w:vAlign w:val="center"/>
                </w:tcPr>
                <w:p>
                  <w:pPr>
                    <w:jc w:val="center"/>
                    <w:rPr>
                      <w:bCs/>
                      <w:color w:val="auto"/>
                      <w:sz w:val="18"/>
                      <w:szCs w:val="18"/>
                    </w:rPr>
                  </w:pPr>
                  <w:r>
                    <w:rPr>
                      <w:rFonts w:hint="eastAsia"/>
                      <w:bCs/>
                      <w:color w:val="auto"/>
                      <w:sz w:val="18"/>
                      <w:szCs w:val="18"/>
                    </w:rPr>
                    <w:t>超声波牙仪</w:t>
                  </w:r>
                </w:p>
              </w:tc>
              <w:tc>
                <w:tcPr>
                  <w:tcW w:w="1941" w:type="dxa"/>
                  <w:noWrap/>
                  <w:vAlign w:val="center"/>
                </w:tcPr>
                <w:p>
                  <w:pPr>
                    <w:jc w:val="center"/>
                    <w:rPr>
                      <w:bCs/>
                      <w:color w:val="auto"/>
                      <w:sz w:val="18"/>
                      <w:szCs w:val="18"/>
                    </w:rPr>
                  </w:pPr>
                  <w:r>
                    <w:rPr>
                      <w:bCs/>
                      <w:color w:val="auto"/>
                      <w:sz w:val="18"/>
                      <w:szCs w:val="18"/>
                    </w:rPr>
                    <w:t>——</w:t>
                  </w:r>
                </w:p>
              </w:tc>
              <w:tc>
                <w:tcPr>
                  <w:tcW w:w="1213" w:type="dxa"/>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bCs/>
                      <w:color w:val="auto"/>
                      <w:sz w:val="18"/>
                      <w:szCs w:val="18"/>
                    </w:rPr>
                  </w:pPr>
                  <w:r>
                    <w:rPr>
                      <w:bCs/>
                      <w:color w:val="auto"/>
                      <w:sz w:val="18"/>
                      <w:szCs w:val="18"/>
                    </w:rPr>
                    <w:t>11</w:t>
                  </w:r>
                </w:p>
              </w:tc>
              <w:tc>
                <w:tcPr>
                  <w:tcW w:w="1223" w:type="pct"/>
                  <w:noWrap/>
                  <w:vAlign w:val="center"/>
                </w:tcPr>
                <w:p>
                  <w:pPr>
                    <w:jc w:val="center"/>
                    <w:rPr>
                      <w:bCs/>
                      <w:color w:val="auto"/>
                      <w:sz w:val="18"/>
                      <w:szCs w:val="18"/>
                    </w:rPr>
                  </w:pPr>
                  <w:r>
                    <w:rPr>
                      <w:rFonts w:hint="eastAsia"/>
                      <w:bCs/>
                      <w:color w:val="auto"/>
                      <w:sz w:val="18"/>
                      <w:szCs w:val="18"/>
                    </w:rPr>
                    <w:t>呼吸麻醉机</w:t>
                  </w:r>
                </w:p>
              </w:tc>
              <w:tc>
                <w:tcPr>
                  <w:tcW w:w="1941" w:type="dxa"/>
                  <w:noWrap/>
                  <w:vAlign w:val="center"/>
                </w:tcPr>
                <w:p>
                  <w:pPr>
                    <w:jc w:val="center"/>
                    <w:rPr>
                      <w:bCs/>
                      <w:color w:val="auto"/>
                      <w:sz w:val="18"/>
                      <w:szCs w:val="18"/>
                    </w:rPr>
                  </w:pPr>
                  <w:r>
                    <w:rPr>
                      <w:bCs/>
                      <w:color w:val="auto"/>
                      <w:sz w:val="18"/>
                      <w:szCs w:val="18"/>
                    </w:rPr>
                    <w:t>——</w:t>
                  </w:r>
                </w:p>
              </w:tc>
              <w:tc>
                <w:tcPr>
                  <w:tcW w:w="1213" w:type="dxa"/>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bCs/>
                      <w:color w:val="auto"/>
                      <w:sz w:val="18"/>
                      <w:szCs w:val="18"/>
                    </w:rPr>
                  </w:pPr>
                  <w:r>
                    <w:rPr>
                      <w:bCs/>
                      <w:color w:val="auto"/>
                      <w:sz w:val="18"/>
                      <w:szCs w:val="18"/>
                    </w:rPr>
                    <w:t>12</w:t>
                  </w:r>
                </w:p>
              </w:tc>
              <w:tc>
                <w:tcPr>
                  <w:tcW w:w="1223" w:type="pct"/>
                  <w:noWrap/>
                  <w:vAlign w:val="center"/>
                </w:tcPr>
                <w:p>
                  <w:pPr>
                    <w:jc w:val="center"/>
                    <w:rPr>
                      <w:bCs/>
                      <w:color w:val="auto"/>
                      <w:sz w:val="18"/>
                      <w:szCs w:val="18"/>
                    </w:rPr>
                  </w:pPr>
                  <w:r>
                    <w:rPr>
                      <w:rFonts w:hint="eastAsia"/>
                      <w:bCs/>
                      <w:color w:val="auto"/>
                      <w:sz w:val="18"/>
                      <w:szCs w:val="18"/>
                    </w:rPr>
                    <w:t>高压蒸汽灭菌锅</w:t>
                  </w:r>
                </w:p>
              </w:tc>
              <w:tc>
                <w:tcPr>
                  <w:tcW w:w="1941" w:type="dxa"/>
                  <w:noWrap/>
                  <w:vAlign w:val="center"/>
                </w:tcPr>
                <w:p>
                  <w:pPr>
                    <w:jc w:val="center"/>
                    <w:rPr>
                      <w:bCs/>
                      <w:color w:val="auto"/>
                      <w:sz w:val="18"/>
                      <w:szCs w:val="18"/>
                    </w:rPr>
                  </w:pPr>
                  <w:r>
                    <w:rPr>
                      <w:bCs/>
                      <w:color w:val="auto"/>
                      <w:sz w:val="18"/>
                      <w:szCs w:val="18"/>
                    </w:rPr>
                    <w:t>——</w:t>
                  </w:r>
                </w:p>
              </w:tc>
              <w:tc>
                <w:tcPr>
                  <w:tcW w:w="1213" w:type="dxa"/>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bCs/>
                      <w:color w:val="auto"/>
                      <w:sz w:val="18"/>
                      <w:szCs w:val="18"/>
                    </w:rPr>
                  </w:pPr>
                  <w:r>
                    <w:rPr>
                      <w:bCs/>
                      <w:color w:val="auto"/>
                      <w:sz w:val="18"/>
                      <w:szCs w:val="18"/>
                    </w:rPr>
                    <w:t>13</w:t>
                  </w:r>
                </w:p>
              </w:tc>
              <w:tc>
                <w:tcPr>
                  <w:tcW w:w="1223" w:type="pct"/>
                  <w:noWrap/>
                  <w:vAlign w:val="center"/>
                </w:tcPr>
                <w:p>
                  <w:pPr>
                    <w:jc w:val="center"/>
                    <w:rPr>
                      <w:bCs/>
                      <w:color w:val="auto"/>
                      <w:sz w:val="18"/>
                      <w:szCs w:val="18"/>
                    </w:rPr>
                  </w:pPr>
                  <w:r>
                    <w:rPr>
                      <w:rFonts w:hint="eastAsia"/>
                      <w:bCs/>
                      <w:color w:val="auto"/>
                      <w:sz w:val="18"/>
                      <w:szCs w:val="18"/>
                    </w:rPr>
                    <w:t>软组织手术器械</w:t>
                  </w:r>
                </w:p>
              </w:tc>
              <w:tc>
                <w:tcPr>
                  <w:tcW w:w="1941" w:type="dxa"/>
                  <w:noWrap/>
                  <w:vAlign w:val="center"/>
                </w:tcPr>
                <w:p>
                  <w:pPr>
                    <w:jc w:val="center"/>
                    <w:rPr>
                      <w:bCs/>
                      <w:color w:val="auto"/>
                      <w:sz w:val="18"/>
                      <w:szCs w:val="18"/>
                    </w:rPr>
                  </w:pPr>
                  <w:r>
                    <w:rPr>
                      <w:bCs/>
                      <w:color w:val="auto"/>
                      <w:sz w:val="18"/>
                      <w:szCs w:val="18"/>
                    </w:rPr>
                    <w:t>——</w:t>
                  </w:r>
                </w:p>
              </w:tc>
              <w:tc>
                <w:tcPr>
                  <w:tcW w:w="1213" w:type="dxa"/>
                  <w:noWrap/>
                  <w:vAlign w:val="center"/>
                </w:tcPr>
                <w:p>
                  <w:pPr>
                    <w:jc w:val="center"/>
                    <w:rPr>
                      <w:bCs/>
                      <w:color w:val="auto"/>
                      <w:sz w:val="18"/>
                      <w:szCs w:val="18"/>
                    </w:rPr>
                  </w:pPr>
                  <w:r>
                    <w:rPr>
                      <w:rFonts w:hint="eastAsia"/>
                      <w:bCs/>
                      <w:color w:val="auto"/>
                      <w:sz w:val="18"/>
                      <w:szCs w:val="18"/>
                    </w:rPr>
                    <w:t>1套</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bCs/>
                      <w:color w:val="auto"/>
                      <w:sz w:val="18"/>
                      <w:szCs w:val="18"/>
                    </w:rPr>
                  </w:pPr>
                  <w:r>
                    <w:rPr>
                      <w:bCs/>
                      <w:color w:val="auto"/>
                      <w:sz w:val="18"/>
                      <w:szCs w:val="18"/>
                    </w:rPr>
                    <w:t>14</w:t>
                  </w:r>
                </w:p>
              </w:tc>
              <w:tc>
                <w:tcPr>
                  <w:tcW w:w="1223" w:type="pct"/>
                  <w:noWrap/>
                  <w:vAlign w:val="center"/>
                </w:tcPr>
                <w:p>
                  <w:pPr>
                    <w:jc w:val="center"/>
                    <w:rPr>
                      <w:bCs/>
                      <w:color w:val="auto"/>
                      <w:sz w:val="18"/>
                      <w:szCs w:val="18"/>
                    </w:rPr>
                  </w:pPr>
                  <w:r>
                    <w:rPr>
                      <w:rFonts w:hint="eastAsia"/>
                      <w:bCs/>
                      <w:color w:val="auto"/>
                      <w:sz w:val="18"/>
                      <w:szCs w:val="18"/>
                    </w:rPr>
                    <w:t>冰箱</w:t>
                  </w:r>
                </w:p>
              </w:tc>
              <w:tc>
                <w:tcPr>
                  <w:tcW w:w="1941" w:type="dxa"/>
                  <w:noWrap/>
                  <w:vAlign w:val="center"/>
                </w:tcPr>
                <w:p>
                  <w:pPr>
                    <w:jc w:val="center"/>
                    <w:rPr>
                      <w:bCs/>
                      <w:color w:val="auto"/>
                      <w:sz w:val="18"/>
                      <w:szCs w:val="18"/>
                    </w:rPr>
                  </w:pPr>
                  <w:r>
                    <w:rPr>
                      <w:bCs/>
                      <w:color w:val="auto"/>
                      <w:sz w:val="18"/>
                      <w:szCs w:val="18"/>
                    </w:rPr>
                    <w:t>——</w:t>
                  </w:r>
                </w:p>
              </w:tc>
              <w:tc>
                <w:tcPr>
                  <w:tcW w:w="1213" w:type="dxa"/>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bCs/>
                      <w:color w:val="auto"/>
                      <w:sz w:val="18"/>
                      <w:szCs w:val="18"/>
                    </w:rPr>
                  </w:pPr>
                  <w:r>
                    <w:rPr>
                      <w:bCs/>
                      <w:color w:val="auto"/>
                      <w:sz w:val="18"/>
                      <w:szCs w:val="18"/>
                    </w:rPr>
                    <w:t>15</w:t>
                  </w:r>
                </w:p>
              </w:tc>
              <w:tc>
                <w:tcPr>
                  <w:tcW w:w="1223" w:type="pct"/>
                  <w:noWrap/>
                  <w:vAlign w:val="center"/>
                </w:tcPr>
                <w:p>
                  <w:pPr>
                    <w:jc w:val="center"/>
                    <w:rPr>
                      <w:bCs/>
                      <w:color w:val="auto"/>
                      <w:sz w:val="18"/>
                      <w:szCs w:val="18"/>
                    </w:rPr>
                  </w:pPr>
                  <w:r>
                    <w:rPr>
                      <w:rFonts w:hint="eastAsia"/>
                      <w:bCs/>
                      <w:color w:val="auto"/>
                      <w:sz w:val="18"/>
                      <w:szCs w:val="18"/>
                    </w:rPr>
                    <w:t>抗体检测仪</w:t>
                  </w:r>
                </w:p>
              </w:tc>
              <w:tc>
                <w:tcPr>
                  <w:tcW w:w="1941" w:type="dxa"/>
                  <w:noWrap/>
                  <w:vAlign w:val="center"/>
                </w:tcPr>
                <w:p>
                  <w:pPr>
                    <w:jc w:val="center"/>
                    <w:rPr>
                      <w:bCs/>
                      <w:color w:val="auto"/>
                      <w:sz w:val="18"/>
                      <w:szCs w:val="18"/>
                    </w:rPr>
                  </w:pPr>
                  <w:r>
                    <w:rPr>
                      <w:bCs/>
                      <w:color w:val="auto"/>
                      <w:sz w:val="18"/>
                      <w:szCs w:val="18"/>
                    </w:rPr>
                    <w:t>——</w:t>
                  </w:r>
                </w:p>
              </w:tc>
              <w:tc>
                <w:tcPr>
                  <w:tcW w:w="1213" w:type="dxa"/>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bCs/>
                      <w:color w:val="auto"/>
                      <w:sz w:val="18"/>
                      <w:szCs w:val="18"/>
                    </w:rPr>
                  </w:pPr>
                  <w:r>
                    <w:rPr>
                      <w:bCs/>
                      <w:color w:val="auto"/>
                      <w:sz w:val="18"/>
                      <w:szCs w:val="18"/>
                    </w:rPr>
                    <w:t>16</w:t>
                  </w:r>
                </w:p>
              </w:tc>
              <w:tc>
                <w:tcPr>
                  <w:tcW w:w="1223" w:type="pct"/>
                  <w:noWrap/>
                  <w:vAlign w:val="center"/>
                </w:tcPr>
                <w:p>
                  <w:pPr>
                    <w:jc w:val="center"/>
                    <w:rPr>
                      <w:rFonts w:hint="eastAsia" w:eastAsia="宋体"/>
                      <w:bCs/>
                      <w:color w:val="auto"/>
                      <w:sz w:val="18"/>
                      <w:szCs w:val="18"/>
                      <w:lang w:eastAsia="zh-CN"/>
                    </w:rPr>
                  </w:pPr>
                  <w:r>
                    <w:rPr>
                      <w:rFonts w:hint="eastAsia"/>
                      <w:bCs/>
                      <w:color w:val="auto"/>
                      <w:sz w:val="18"/>
                      <w:szCs w:val="18"/>
                    </w:rPr>
                    <w:t>污水</w:t>
                  </w:r>
                  <w:r>
                    <w:rPr>
                      <w:rFonts w:hint="eastAsia"/>
                      <w:bCs/>
                      <w:color w:val="auto"/>
                      <w:sz w:val="18"/>
                      <w:szCs w:val="18"/>
                      <w:lang w:eastAsia="zh-CN"/>
                    </w:rPr>
                    <w:t>消毒池</w:t>
                  </w:r>
                </w:p>
              </w:tc>
              <w:tc>
                <w:tcPr>
                  <w:tcW w:w="1238" w:type="pct"/>
                  <w:noWrap/>
                  <w:vAlign w:val="center"/>
                </w:tcPr>
                <w:p>
                  <w:pPr>
                    <w:ind w:firstLine="720" w:firstLineChars="400"/>
                    <w:jc w:val="both"/>
                    <w:rPr>
                      <w:bCs/>
                      <w:color w:val="auto"/>
                      <w:sz w:val="18"/>
                      <w:szCs w:val="18"/>
                    </w:rPr>
                  </w:pPr>
                  <w:r>
                    <w:rPr>
                      <w:rFonts w:hint="eastAsia"/>
                      <w:bCs/>
                      <w:color w:val="auto"/>
                      <w:sz w:val="18"/>
                      <w:szCs w:val="18"/>
                    </w:rPr>
                    <w:t>SY-50</w:t>
                  </w:r>
                </w:p>
              </w:tc>
              <w:tc>
                <w:tcPr>
                  <w:tcW w:w="773" w:type="pct"/>
                  <w:noWrap/>
                  <w:vAlign w:val="center"/>
                </w:tcPr>
                <w:p>
                  <w:pPr>
                    <w:jc w:val="center"/>
                    <w:rPr>
                      <w:bCs/>
                      <w:color w:val="auto"/>
                      <w:sz w:val="18"/>
                      <w:szCs w:val="18"/>
                    </w:rPr>
                  </w:pPr>
                  <w:r>
                    <w:rPr>
                      <w:rFonts w:hint="eastAsia"/>
                      <w:bCs/>
                      <w:color w:val="auto"/>
                      <w:sz w:val="18"/>
                      <w:szCs w:val="18"/>
                    </w:rPr>
                    <w:t>1台</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rFonts w:hint="default" w:eastAsia="宋体"/>
                      <w:bCs/>
                      <w:color w:val="auto"/>
                      <w:sz w:val="18"/>
                      <w:szCs w:val="18"/>
                      <w:lang w:val="en-US" w:eastAsia="zh-CN"/>
                    </w:rPr>
                  </w:pPr>
                  <w:r>
                    <w:rPr>
                      <w:rFonts w:hint="eastAsia"/>
                      <w:bCs/>
                      <w:color w:val="auto"/>
                      <w:sz w:val="18"/>
                      <w:szCs w:val="18"/>
                      <w:lang w:val="en-US" w:eastAsia="zh-CN"/>
                    </w:rPr>
                    <w:t>17</w:t>
                  </w:r>
                </w:p>
              </w:tc>
              <w:tc>
                <w:tcPr>
                  <w:tcW w:w="1223" w:type="pct"/>
                  <w:noWrap/>
                  <w:vAlign w:val="center"/>
                </w:tcPr>
                <w:p>
                  <w:pPr>
                    <w:jc w:val="center"/>
                    <w:rPr>
                      <w:rFonts w:hint="eastAsia"/>
                      <w:bCs/>
                      <w:color w:val="auto"/>
                      <w:sz w:val="18"/>
                      <w:szCs w:val="18"/>
                    </w:rPr>
                  </w:pPr>
                  <w:r>
                    <w:rPr>
                      <w:rFonts w:hint="eastAsia"/>
                      <w:color w:val="auto"/>
                      <w:sz w:val="18"/>
                      <w:szCs w:val="18"/>
                    </w:rPr>
                    <w:t>新风系统</w:t>
                  </w:r>
                </w:p>
              </w:tc>
              <w:tc>
                <w:tcPr>
                  <w:tcW w:w="1238" w:type="pct"/>
                  <w:noWrap/>
                  <w:vAlign w:val="center"/>
                </w:tcPr>
                <w:p>
                  <w:pPr>
                    <w:ind w:firstLine="720" w:firstLineChars="400"/>
                    <w:jc w:val="both"/>
                    <w:rPr>
                      <w:rFonts w:hint="eastAsia"/>
                      <w:bCs/>
                      <w:color w:val="auto"/>
                      <w:sz w:val="18"/>
                      <w:szCs w:val="18"/>
                    </w:rPr>
                  </w:pPr>
                  <w:r>
                    <w:rPr>
                      <w:bCs/>
                      <w:color w:val="auto"/>
                      <w:sz w:val="18"/>
                      <w:szCs w:val="18"/>
                    </w:rPr>
                    <w:t>——</w:t>
                  </w:r>
                </w:p>
              </w:tc>
              <w:tc>
                <w:tcPr>
                  <w:tcW w:w="773" w:type="pct"/>
                  <w:noWrap/>
                  <w:vAlign w:val="center"/>
                </w:tcPr>
                <w:p>
                  <w:pPr>
                    <w:jc w:val="center"/>
                    <w:rPr>
                      <w:rFonts w:hint="eastAsia"/>
                      <w:bCs/>
                      <w:color w:val="auto"/>
                      <w:sz w:val="18"/>
                      <w:szCs w:val="18"/>
                    </w:rPr>
                  </w:pPr>
                  <w:r>
                    <w:rPr>
                      <w:rFonts w:hint="eastAsia"/>
                      <w:color w:val="auto"/>
                      <w:sz w:val="18"/>
                      <w:szCs w:val="18"/>
                    </w:rPr>
                    <w:t>1套</w:t>
                  </w:r>
                </w:p>
              </w:tc>
              <w:tc>
                <w:tcPr>
                  <w:tcW w:w="1175" w:type="pct"/>
                  <w:noWrap/>
                  <w:vAlign w:val="center"/>
                </w:tcPr>
                <w:p>
                  <w:pPr>
                    <w:jc w:val="center"/>
                    <w:rPr>
                      <w:bCs/>
                      <w:color w:val="auto"/>
                      <w:sz w:val="18"/>
                      <w:szCs w:val="18"/>
                    </w:rPr>
                  </w:pP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589" w:type="pct"/>
                  <w:noWrap/>
                  <w:vAlign w:val="center"/>
                </w:tcPr>
                <w:p>
                  <w:pPr>
                    <w:jc w:val="center"/>
                    <w:rPr>
                      <w:rFonts w:hint="default"/>
                      <w:bCs/>
                      <w:color w:val="auto"/>
                      <w:sz w:val="18"/>
                      <w:szCs w:val="18"/>
                      <w:lang w:val="en-US" w:eastAsia="zh-CN"/>
                    </w:rPr>
                  </w:pPr>
                  <w:r>
                    <w:rPr>
                      <w:rFonts w:hint="eastAsia"/>
                      <w:bCs/>
                      <w:color w:val="auto"/>
                      <w:sz w:val="18"/>
                      <w:szCs w:val="18"/>
                      <w:lang w:val="en-US" w:eastAsia="zh-CN"/>
                    </w:rPr>
                    <w:t>18</w:t>
                  </w:r>
                </w:p>
              </w:tc>
              <w:tc>
                <w:tcPr>
                  <w:tcW w:w="1223" w:type="pct"/>
                  <w:noWrap/>
                  <w:vAlign w:val="center"/>
                </w:tcPr>
                <w:p>
                  <w:pPr>
                    <w:jc w:val="center"/>
                    <w:rPr>
                      <w:rFonts w:hint="eastAsia"/>
                      <w:color w:val="auto"/>
                      <w:sz w:val="18"/>
                      <w:szCs w:val="18"/>
                    </w:rPr>
                  </w:pPr>
                  <w:r>
                    <w:rPr>
                      <w:rFonts w:hint="eastAsia"/>
                      <w:color w:val="auto"/>
                      <w:sz w:val="18"/>
                      <w:szCs w:val="18"/>
                    </w:rPr>
                    <w:t>空调</w:t>
                  </w:r>
                </w:p>
              </w:tc>
              <w:tc>
                <w:tcPr>
                  <w:tcW w:w="1941" w:type="dxa"/>
                  <w:noWrap/>
                  <w:vAlign w:val="center"/>
                </w:tcPr>
                <w:p>
                  <w:pPr>
                    <w:jc w:val="center"/>
                    <w:rPr>
                      <w:bCs/>
                      <w:color w:val="auto"/>
                      <w:sz w:val="18"/>
                      <w:szCs w:val="18"/>
                    </w:rPr>
                  </w:pPr>
                  <w:r>
                    <w:rPr>
                      <w:bCs/>
                      <w:color w:val="auto"/>
                      <w:sz w:val="18"/>
                      <w:szCs w:val="18"/>
                    </w:rPr>
                    <w:t>——</w:t>
                  </w:r>
                </w:p>
              </w:tc>
              <w:tc>
                <w:tcPr>
                  <w:tcW w:w="1212" w:type="dxa"/>
                  <w:noWrap/>
                  <w:vAlign w:val="center"/>
                </w:tcPr>
                <w:p>
                  <w:pPr>
                    <w:jc w:val="center"/>
                    <w:rPr>
                      <w:rFonts w:hint="eastAsia"/>
                      <w:color w:val="auto"/>
                      <w:sz w:val="18"/>
                      <w:szCs w:val="18"/>
                    </w:rPr>
                  </w:pPr>
                  <w:r>
                    <w:rPr>
                      <w:rFonts w:hint="eastAsia"/>
                      <w:bCs/>
                      <w:color w:val="auto"/>
                      <w:sz w:val="18"/>
                      <w:szCs w:val="18"/>
                    </w:rPr>
                    <w:t>1台</w:t>
                  </w:r>
                </w:p>
              </w:tc>
              <w:tc>
                <w:tcPr>
                  <w:tcW w:w="1842" w:type="dxa"/>
                  <w:noWrap/>
                  <w:vAlign w:val="center"/>
                </w:tcPr>
                <w:p>
                  <w:pPr>
                    <w:jc w:val="center"/>
                    <w:rPr>
                      <w:bCs/>
                      <w:color w:val="auto"/>
                      <w:sz w:val="18"/>
                      <w:szCs w:val="18"/>
                    </w:rPr>
                  </w:pPr>
                  <w:r>
                    <w:rPr>
                      <w:bCs/>
                      <w:color w:val="auto"/>
                      <w:sz w:val="18"/>
                      <w:szCs w:val="18"/>
                    </w:rPr>
                    <w:t>——</w:t>
                  </w:r>
                </w:p>
              </w:tc>
            </w:tr>
          </w:tbl>
          <w:p>
            <w:pPr>
              <w:spacing w:line="360" w:lineRule="auto"/>
              <w:rPr>
                <w:b/>
                <w:bCs/>
                <w:color w:val="auto"/>
                <w:kern w:val="0"/>
                <w:szCs w:val="21"/>
              </w:rPr>
            </w:pPr>
            <w:r>
              <w:rPr>
                <w:b/>
                <w:bCs/>
                <w:color w:val="auto"/>
                <w:kern w:val="0"/>
                <w:szCs w:val="21"/>
              </w:rPr>
              <w:t>5、</w:t>
            </w:r>
            <w:r>
              <w:rPr>
                <w:rFonts w:hint="eastAsia"/>
                <w:b/>
                <w:bCs/>
                <w:color w:val="auto"/>
                <w:kern w:val="0"/>
                <w:szCs w:val="21"/>
              </w:rPr>
              <w:t>主要原辅材料和能源消耗</w:t>
            </w:r>
          </w:p>
          <w:p>
            <w:pPr>
              <w:spacing w:line="372" w:lineRule="auto"/>
              <w:ind w:firstLine="420" w:firstLineChars="200"/>
              <w:rPr>
                <w:b/>
                <w:bCs/>
                <w:color w:val="auto"/>
                <w:szCs w:val="21"/>
              </w:rPr>
            </w:pPr>
            <w:r>
              <w:rPr>
                <w:rFonts w:hint="eastAsia"/>
                <w:color w:val="auto"/>
                <w:szCs w:val="21"/>
              </w:rPr>
              <w:t>根据建设单位提供的资料，本项目主要原辅料能源消耗见表2-3</w:t>
            </w:r>
            <w:r>
              <w:rPr>
                <w:color w:val="auto"/>
                <w:szCs w:val="21"/>
              </w:rPr>
              <w:t>。</w:t>
            </w:r>
          </w:p>
          <w:p>
            <w:pPr>
              <w:pStyle w:val="2"/>
              <w:ind w:firstLine="0"/>
              <w:jc w:val="center"/>
              <w:rPr>
                <w:rFonts w:eastAsia="宋体"/>
                <w:b/>
                <w:bCs/>
                <w:color w:val="auto"/>
                <w:sz w:val="18"/>
                <w:szCs w:val="18"/>
              </w:rPr>
            </w:pPr>
            <w:r>
              <w:rPr>
                <w:rFonts w:eastAsia="宋体"/>
                <w:b/>
                <w:bCs/>
                <w:color w:val="auto"/>
                <w:sz w:val="18"/>
                <w:szCs w:val="18"/>
              </w:rPr>
              <w:t>表2-</w:t>
            </w:r>
            <w:r>
              <w:rPr>
                <w:rFonts w:hint="eastAsia" w:eastAsia="宋体"/>
                <w:b/>
                <w:bCs/>
                <w:color w:val="auto"/>
                <w:sz w:val="18"/>
                <w:szCs w:val="18"/>
              </w:rPr>
              <w:t>3项目主要原辅材料及能耗情况一览</w:t>
            </w:r>
            <w:r>
              <w:rPr>
                <w:rFonts w:eastAsia="宋体"/>
                <w:b/>
                <w:bCs/>
                <w:color w:val="auto"/>
                <w:sz w:val="18"/>
                <w:szCs w:val="18"/>
              </w:rPr>
              <w:t>表</w:t>
            </w:r>
          </w:p>
          <w:tbl>
            <w:tblPr>
              <w:tblStyle w:val="21"/>
              <w:tblW w:w="500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473"/>
              <w:gridCol w:w="890"/>
              <w:gridCol w:w="1280"/>
              <w:gridCol w:w="1689"/>
              <w:gridCol w:w="163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0" w:type="pct"/>
                  <w:noWrap/>
                  <w:vAlign w:val="center"/>
                </w:tcPr>
                <w:p>
                  <w:pPr>
                    <w:jc w:val="center"/>
                    <w:rPr>
                      <w:color w:val="auto"/>
                      <w:sz w:val="18"/>
                      <w:szCs w:val="18"/>
                    </w:rPr>
                  </w:pPr>
                  <w:r>
                    <w:rPr>
                      <w:rFonts w:hint="eastAsia"/>
                      <w:color w:val="auto"/>
                      <w:sz w:val="18"/>
                      <w:szCs w:val="18"/>
                    </w:rPr>
                    <w:t>项目</w:t>
                  </w:r>
                </w:p>
              </w:tc>
              <w:tc>
                <w:tcPr>
                  <w:tcW w:w="925" w:type="pct"/>
                  <w:noWrap/>
                  <w:vAlign w:val="center"/>
                </w:tcPr>
                <w:p>
                  <w:pPr>
                    <w:jc w:val="center"/>
                    <w:rPr>
                      <w:color w:val="auto"/>
                      <w:sz w:val="18"/>
                      <w:szCs w:val="18"/>
                    </w:rPr>
                  </w:pPr>
                  <w:r>
                    <w:rPr>
                      <w:rFonts w:hint="eastAsia"/>
                      <w:color w:val="auto"/>
                      <w:sz w:val="18"/>
                      <w:szCs w:val="18"/>
                    </w:rPr>
                    <w:t>原辅料名称</w:t>
                  </w:r>
                </w:p>
              </w:tc>
              <w:tc>
                <w:tcPr>
                  <w:tcW w:w="559" w:type="pct"/>
                  <w:noWrap/>
                  <w:vAlign w:val="center"/>
                </w:tcPr>
                <w:p>
                  <w:pPr>
                    <w:jc w:val="center"/>
                    <w:rPr>
                      <w:color w:val="auto"/>
                      <w:sz w:val="18"/>
                      <w:szCs w:val="18"/>
                    </w:rPr>
                  </w:pPr>
                  <w:r>
                    <w:rPr>
                      <w:rFonts w:hint="eastAsia"/>
                      <w:color w:val="auto"/>
                      <w:sz w:val="18"/>
                      <w:szCs w:val="18"/>
                    </w:rPr>
                    <w:t>单位</w:t>
                  </w:r>
                </w:p>
              </w:tc>
              <w:tc>
                <w:tcPr>
                  <w:tcW w:w="804" w:type="pct"/>
                  <w:noWrap/>
                  <w:vAlign w:val="center"/>
                </w:tcPr>
                <w:p>
                  <w:pPr>
                    <w:jc w:val="center"/>
                    <w:rPr>
                      <w:color w:val="auto"/>
                      <w:sz w:val="18"/>
                      <w:szCs w:val="18"/>
                    </w:rPr>
                  </w:pPr>
                  <w:r>
                    <w:rPr>
                      <w:rFonts w:hint="eastAsia"/>
                      <w:color w:val="auto"/>
                      <w:sz w:val="18"/>
                      <w:szCs w:val="18"/>
                    </w:rPr>
                    <w:t>年使用量</w:t>
                  </w:r>
                </w:p>
              </w:tc>
              <w:tc>
                <w:tcPr>
                  <w:tcW w:w="1061" w:type="pct"/>
                  <w:noWrap/>
                  <w:vAlign w:val="center"/>
                </w:tcPr>
                <w:p>
                  <w:pPr>
                    <w:jc w:val="center"/>
                    <w:rPr>
                      <w:color w:val="auto"/>
                      <w:sz w:val="18"/>
                      <w:szCs w:val="18"/>
                    </w:rPr>
                  </w:pPr>
                  <w:r>
                    <w:rPr>
                      <w:rFonts w:hint="eastAsia"/>
                      <w:color w:val="auto"/>
                      <w:sz w:val="18"/>
                      <w:szCs w:val="18"/>
                    </w:rPr>
                    <w:t>最大储存量</w:t>
                  </w:r>
                </w:p>
              </w:tc>
              <w:tc>
                <w:tcPr>
                  <w:tcW w:w="1029" w:type="pct"/>
                  <w:noWrap/>
                </w:tcPr>
                <w:p>
                  <w:pPr>
                    <w:ind w:firstLine="360" w:firstLineChars="200"/>
                    <w:rPr>
                      <w:color w:val="auto"/>
                      <w:sz w:val="18"/>
                      <w:szCs w:val="18"/>
                    </w:rPr>
                  </w:pPr>
                  <w:r>
                    <w:rPr>
                      <w:rFonts w:hint="eastAsia"/>
                      <w:color w:val="auto"/>
                      <w:sz w:val="18"/>
                      <w:szCs w:val="18"/>
                    </w:rPr>
                    <w:t>来源方式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20" w:type="pct"/>
                  <w:vMerge w:val="restart"/>
                  <w:noWrap/>
                  <w:vAlign w:val="center"/>
                </w:tcPr>
                <w:p>
                  <w:pPr>
                    <w:ind w:firstLine="180" w:firstLineChars="100"/>
                    <w:rPr>
                      <w:color w:val="auto"/>
                      <w:sz w:val="18"/>
                      <w:szCs w:val="18"/>
                    </w:rPr>
                  </w:pPr>
                  <w:r>
                    <w:rPr>
                      <w:rFonts w:hint="eastAsia"/>
                      <w:color w:val="auto"/>
                      <w:sz w:val="18"/>
                      <w:szCs w:val="18"/>
                    </w:rPr>
                    <w:t>原辅料</w:t>
                  </w:r>
                </w:p>
              </w:tc>
              <w:tc>
                <w:tcPr>
                  <w:tcW w:w="925" w:type="pct"/>
                  <w:noWrap/>
                  <w:vAlign w:val="center"/>
                </w:tcPr>
                <w:p>
                  <w:pPr>
                    <w:ind w:firstLine="180" w:firstLineChars="100"/>
                    <w:rPr>
                      <w:color w:val="auto"/>
                      <w:sz w:val="18"/>
                      <w:szCs w:val="18"/>
                    </w:rPr>
                  </w:pPr>
                  <w:r>
                    <w:rPr>
                      <w:rFonts w:hint="eastAsia"/>
                      <w:color w:val="auto"/>
                      <w:sz w:val="18"/>
                      <w:szCs w:val="18"/>
                    </w:rPr>
                    <w:t>各种宠物粮</w:t>
                  </w:r>
                </w:p>
              </w:tc>
              <w:tc>
                <w:tcPr>
                  <w:tcW w:w="559" w:type="pct"/>
                  <w:noWrap/>
                  <w:vAlign w:val="center"/>
                </w:tcPr>
                <w:p>
                  <w:pPr>
                    <w:widowControl/>
                    <w:ind w:firstLine="180" w:firstLineChars="100"/>
                    <w:jc w:val="left"/>
                    <w:rPr>
                      <w:color w:val="auto"/>
                      <w:sz w:val="18"/>
                      <w:szCs w:val="18"/>
                    </w:rPr>
                  </w:pPr>
                  <w:r>
                    <w:rPr>
                      <w:rFonts w:hint="eastAsia"/>
                      <w:color w:val="auto"/>
                      <w:sz w:val="18"/>
                      <w:szCs w:val="18"/>
                    </w:rPr>
                    <w:t>袋</w:t>
                  </w:r>
                </w:p>
              </w:tc>
              <w:tc>
                <w:tcPr>
                  <w:tcW w:w="804" w:type="pct"/>
                  <w:noWrap/>
                  <w:vAlign w:val="center"/>
                </w:tcPr>
                <w:p>
                  <w:pPr>
                    <w:widowControl/>
                    <w:jc w:val="center"/>
                    <w:rPr>
                      <w:color w:val="auto"/>
                      <w:kern w:val="0"/>
                      <w:sz w:val="18"/>
                      <w:szCs w:val="18"/>
                    </w:rPr>
                  </w:pPr>
                  <w:r>
                    <w:rPr>
                      <w:rFonts w:hint="eastAsia"/>
                      <w:color w:val="auto"/>
                      <w:kern w:val="0"/>
                      <w:sz w:val="18"/>
                      <w:szCs w:val="18"/>
                    </w:rPr>
                    <w:t>130</w:t>
                  </w:r>
                </w:p>
              </w:tc>
              <w:tc>
                <w:tcPr>
                  <w:tcW w:w="1061" w:type="pct"/>
                  <w:noWrap/>
                  <w:vAlign w:val="center"/>
                </w:tcPr>
                <w:p>
                  <w:pPr>
                    <w:widowControl/>
                    <w:jc w:val="left"/>
                    <w:rPr>
                      <w:color w:val="auto"/>
                      <w:kern w:val="0"/>
                      <w:sz w:val="18"/>
                      <w:szCs w:val="18"/>
                    </w:rPr>
                  </w:pPr>
                  <w:r>
                    <w:rPr>
                      <w:rFonts w:hint="eastAsia"/>
                      <w:color w:val="auto"/>
                      <w:kern w:val="0"/>
                      <w:sz w:val="18"/>
                      <w:szCs w:val="18"/>
                    </w:rPr>
                    <w:t xml:space="preserve">    </w:t>
                  </w:r>
                  <w:r>
                    <w:rPr>
                      <w:rFonts w:hint="eastAsia"/>
                      <w:color w:val="auto"/>
                      <w:kern w:val="0"/>
                      <w:sz w:val="18"/>
                      <w:szCs w:val="18"/>
                      <w:lang w:val="en-US" w:eastAsia="zh-CN"/>
                    </w:rPr>
                    <w:t xml:space="preserve">  </w:t>
                  </w:r>
                  <w:r>
                    <w:rPr>
                      <w:rFonts w:hint="eastAsia"/>
                      <w:color w:val="auto"/>
                      <w:kern w:val="0"/>
                      <w:sz w:val="18"/>
                      <w:szCs w:val="18"/>
                    </w:rPr>
                    <w:t>30</w:t>
                  </w:r>
                </w:p>
              </w:tc>
              <w:tc>
                <w:tcPr>
                  <w:tcW w:w="1029" w:type="pct"/>
                  <w:noWrap/>
                  <w:vAlign w:val="center"/>
                </w:tcPr>
                <w:p>
                  <w:pPr>
                    <w:pStyle w:val="33"/>
                    <w:wordWrap w:val="0"/>
                    <w:topLinePunct/>
                    <w:spacing w:before="24" w:after="24" w:line="260" w:lineRule="auto"/>
                    <w:ind w:right="42" w:rightChars="20"/>
                    <w:jc w:val="both"/>
                    <w:rPr>
                      <w:rFonts w:ascii="Times New Roman"/>
                      <w:color w:val="auto"/>
                      <w:sz w:val="18"/>
                      <w:szCs w:val="18"/>
                    </w:rPr>
                  </w:pPr>
                  <w:r>
                    <w:rPr>
                      <w:rFonts w:hint="eastAsia" w:ascii="Times New Roman"/>
                      <w:color w:val="auto"/>
                      <w:sz w:val="18"/>
                      <w:szCs w:val="18"/>
                    </w:rPr>
                    <w:t xml:space="preserve"> </w:t>
                  </w:r>
                  <w:r>
                    <w:rPr>
                      <w:rFonts w:hint="eastAsia" w:ascii="Times New Roman"/>
                      <w:color w:val="auto"/>
                      <w:sz w:val="18"/>
                      <w:szCs w:val="18"/>
                      <w:lang w:val="en-US" w:eastAsia="zh-CN"/>
                    </w:rPr>
                    <w:t xml:space="preserve">     </w:t>
                  </w:r>
                  <w:r>
                    <w:rPr>
                      <w:rFonts w:hint="eastAsia" w:ascii="Times New Roman"/>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jc w:val="cente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一次性注射器</w:t>
                  </w:r>
                </w:p>
              </w:tc>
              <w:tc>
                <w:tcPr>
                  <w:tcW w:w="559" w:type="pct"/>
                  <w:noWrap/>
                  <w:vAlign w:val="center"/>
                </w:tcPr>
                <w:p>
                  <w:pPr>
                    <w:jc w:val="center"/>
                    <w:rPr>
                      <w:color w:val="auto"/>
                      <w:sz w:val="18"/>
                      <w:szCs w:val="18"/>
                    </w:rPr>
                  </w:pPr>
                  <w:r>
                    <w:rPr>
                      <w:rFonts w:hint="eastAsia"/>
                      <w:color w:val="auto"/>
                      <w:sz w:val="18"/>
                      <w:szCs w:val="18"/>
                    </w:rPr>
                    <w:t>套</w:t>
                  </w:r>
                </w:p>
              </w:tc>
              <w:tc>
                <w:tcPr>
                  <w:tcW w:w="804" w:type="pct"/>
                  <w:noWrap/>
                  <w:vAlign w:val="center"/>
                </w:tcPr>
                <w:p>
                  <w:pPr>
                    <w:jc w:val="center"/>
                    <w:rPr>
                      <w:color w:val="auto"/>
                      <w:sz w:val="18"/>
                      <w:szCs w:val="18"/>
                    </w:rPr>
                  </w:pPr>
                  <w:r>
                    <w:rPr>
                      <w:rFonts w:hint="eastAsia"/>
                      <w:color w:val="auto"/>
                      <w:sz w:val="18"/>
                      <w:szCs w:val="18"/>
                    </w:rPr>
                    <w:t>1200</w:t>
                  </w:r>
                </w:p>
              </w:tc>
              <w:tc>
                <w:tcPr>
                  <w:tcW w:w="1061" w:type="pct"/>
                  <w:noWrap/>
                  <w:vAlign w:val="center"/>
                </w:tcPr>
                <w:p>
                  <w:pPr>
                    <w:rPr>
                      <w:color w:val="auto"/>
                      <w:sz w:val="18"/>
                      <w:szCs w:val="18"/>
                    </w:rPr>
                  </w:pPr>
                  <w:r>
                    <w:rPr>
                      <w:rFonts w:hint="eastAsia"/>
                      <w:color w:val="auto"/>
                      <w:sz w:val="18"/>
                      <w:szCs w:val="18"/>
                    </w:rPr>
                    <w:t xml:space="preserve">      200</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20" w:type="pct"/>
                  <w:vMerge w:val="continue"/>
                  <w:noWrap/>
                  <w:vAlign w:val="center"/>
                </w:tcPr>
                <w:p>
                  <w:pPr>
                    <w:jc w:val="cente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一次性手套</w:t>
                  </w:r>
                </w:p>
              </w:tc>
              <w:tc>
                <w:tcPr>
                  <w:tcW w:w="559" w:type="pct"/>
                  <w:noWrap/>
                  <w:vAlign w:val="center"/>
                </w:tcPr>
                <w:p>
                  <w:pPr>
                    <w:jc w:val="center"/>
                    <w:rPr>
                      <w:color w:val="auto"/>
                      <w:sz w:val="18"/>
                      <w:szCs w:val="18"/>
                    </w:rPr>
                  </w:pPr>
                  <w:r>
                    <w:rPr>
                      <w:rFonts w:hint="eastAsia"/>
                      <w:color w:val="auto"/>
                      <w:sz w:val="18"/>
                      <w:szCs w:val="18"/>
                    </w:rPr>
                    <w:t>双</w:t>
                  </w:r>
                </w:p>
              </w:tc>
              <w:tc>
                <w:tcPr>
                  <w:tcW w:w="804" w:type="pct"/>
                  <w:noWrap/>
                  <w:vAlign w:val="center"/>
                </w:tcPr>
                <w:p>
                  <w:pPr>
                    <w:jc w:val="center"/>
                    <w:rPr>
                      <w:color w:val="auto"/>
                      <w:sz w:val="18"/>
                      <w:szCs w:val="18"/>
                    </w:rPr>
                  </w:pPr>
                  <w:r>
                    <w:rPr>
                      <w:rFonts w:hint="eastAsia"/>
                      <w:color w:val="auto"/>
                      <w:sz w:val="18"/>
                      <w:szCs w:val="18"/>
                    </w:rPr>
                    <w:t>700</w:t>
                  </w:r>
                </w:p>
              </w:tc>
              <w:tc>
                <w:tcPr>
                  <w:tcW w:w="1061" w:type="pct"/>
                  <w:noWrap/>
                  <w:vAlign w:val="center"/>
                </w:tcPr>
                <w:p>
                  <w:pPr>
                    <w:ind w:firstLine="540" w:firstLineChars="300"/>
                    <w:rPr>
                      <w:color w:val="auto"/>
                      <w:sz w:val="18"/>
                      <w:szCs w:val="18"/>
                    </w:rPr>
                  </w:pPr>
                  <w:r>
                    <w:rPr>
                      <w:rFonts w:hint="eastAsia"/>
                      <w:color w:val="auto"/>
                      <w:sz w:val="18"/>
                      <w:szCs w:val="18"/>
                    </w:rPr>
                    <w:t>100</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jc w:val="cente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一次性口罩</w:t>
                  </w:r>
                </w:p>
              </w:tc>
              <w:tc>
                <w:tcPr>
                  <w:tcW w:w="559" w:type="pct"/>
                  <w:noWrap/>
                  <w:vAlign w:val="center"/>
                </w:tcPr>
                <w:p>
                  <w:pPr>
                    <w:jc w:val="center"/>
                    <w:rPr>
                      <w:color w:val="auto"/>
                      <w:sz w:val="18"/>
                      <w:szCs w:val="18"/>
                    </w:rPr>
                  </w:pPr>
                  <w:r>
                    <w:rPr>
                      <w:rFonts w:hint="eastAsia"/>
                      <w:color w:val="auto"/>
                      <w:sz w:val="18"/>
                      <w:szCs w:val="18"/>
                    </w:rPr>
                    <w:t>个</w:t>
                  </w:r>
                </w:p>
              </w:tc>
              <w:tc>
                <w:tcPr>
                  <w:tcW w:w="804" w:type="pct"/>
                  <w:noWrap/>
                  <w:vAlign w:val="center"/>
                </w:tcPr>
                <w:p>
                  <w:pPr>
                    <w:jc w:val="center"/>
                    <w:rPr>
                      <w:color w:val="auto"/>
                      <w:sz w:val="18"/>
                      <w:szCs w:val="18"/>
                    </w:rPr>
                  </w:pPr>
                  <w:r>
                    <w:rPr>
                      <w:rFonts w:hint="eastAsia"/>
                      <w:color w:val="auto"/>
                      <w:sz w:val="18"/>
                      <w:szCs w:val="18"/>
                    </w:rPr>
                    <w:t>1800</w:t>
                  </w:r>
                </w:p>
              </w:tc>
              <w:tc>
                <w:tcPr>
                  <w:tcW w:w="1061" w:type="pct"/>
                  <w:noWrap/>
                  <w:vAlign w:val="center"/>
                </w:tcPr>
                <w:p>
                  <w:pPr>
                    <w:rPr>
                      <w:color w:val="auto"/>
                      <w:sz w:val="18"/>
                      <w:szCs w:val="18"/>
                    </w:rPr>
                  </w:pPr>
                  <w:r>
                    <w:rPr>
                      <w:rFonts w:hint="eastAsia"/>
                      <w:color w:val="auto"/>
                      <w:sz w:val="18"/>
                      <w:szCs w:val="18"/>
                    </w:rPr>
                    <w:t xml:space="preserve">      200</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纱布、棉球</w:t>
                  </w:r>
                </w:p>
              </w:tc>
              <w:tc>
                <w:tcPr>
                  <w:tcW w:w="559" w:type="pct"/>
                  <w:noWrap/>
                  <w:vAlign w:val="center"/>
                </w:tcPr>
                <w:p>
                  <w:pPr>
                    <w:jc w:val="center"/>
                    <w:rPr>
                      <w:color w:val="auto"/>
                      <w:sz w:val="18"/>
                      <w:szCs w:val="18"/>
                    </w:rPr>
                  </w:pPr>
                  <w:r>
                    <w:rPr>
                      <w:rFonts w:hint="eastAsia"/>
                      <w:color w:val="auto"/>
                      <w:sz w:val="18"/>
                      <w:szCs w:val="18"/>
                    </w:rPr>
                    <w:t>kg</w:t>
                  </w:r>
                </w:p>
              </w:tc>
              <w:tc>
                <w:tcPr>
                  <w:tcW w:w="804" w:type="pct"/>
                  <w:noWrap/>
                  <w:vAlign w:val="center"/>
                </w:tcPr>
                <w:p>
                  <w:pPr>
                    <w:jc w:val="center"/>
                    <w:rPr>
                      <w:color w:val="auto"/>
                      <w:sz w:val="18"/>
                      <w:szCs w:val="18"/>
                    </w:rPr>
                  </w:pPr>
                  <w:r>
                    <w:rPr>
                      <w:rFonts w:hint="eastAsia"/>
                      <w:color w:val="auto"/>
                      <w:sz w:val="18"/>
                      <w:szCs w:val="18"/>
                    </w:rPr>
                    <w:t>20</w:t>
                  </w:r>
                </w:p>
              </w:tc>
              <w:tc>
                <w:tcPr>
                  <w:tcW w:w="1061" w:type="pct"/>
                  <w:noWrap/>
                  <w:vAlign w:val="center"/>
                </w:tcPr>
                <w:p>
                  <w:pPr>
                    <w:ind w:firstLine="720" w:firstLineChars="400"/>
                    <w:rPr>
                      <w:color w:val="auto"/>
                      <w:sz w:val="18"/>
                      <w:szCs w:val="18"/>
                    </w:rPr>
                  </w:pPr>
                  <w:r>
                    <w:rPr>
                      <w:rFonts w:hint="eastAsia"/>
                      <w:color w:val="auto"/>
                      <w:sz w:val="18"/>
                      <w:szCs w:val="18"/>
                    </w:rPr>
                    <w:t>2</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jc w:val="center"/>
                    <w:rPr>
                      <w:color w:val="auto"/>
                      <w:sz w:val="18"/>
                      <w:szCs w:val="18"/>
                    </w:rPr>
                  </w:pPr>
                </w:p>
              </w:tc>
              <w:tc>
                <w:tcPr>
                  <w:tcW w:w="925" w:type="pct"/>
                  <w:noWrap/>
                  <w:vAlign w:val="center"/>
                </w:tcPr>
                <w:p>
                  <w:pPr>
                    <w:rPr>
                      <w:color w:val="auto"/>
                      <w:sz w:val="18"/>
                      <w:szCs w:val="18"/>
                    </w:rPr>
                  </w:pPr>
                  <w:r>
                    <w:rPr>
                      <w:rFonts w:hint="eastAsia"/>
                      <w:color w:val="auto"/>
                      <w:sz w:val="18"/>
                      <w:szCs w:val="18"/>
                    </w:rPr>
                    <w:t xml:space="preserve">  各类药品</w:t>
                  </w:r>
                </w:p>
              </w:tc>
              <w:tc>
                <w:tcPr>
                  <w:tcW w:w="559" w:type="pct"/>
                  <w:noWrap/>
                  <w:vAlign w:val="center"/>
                </w:tcPr>
                <w:p>
                  <w:pPr>
                    <w:jc w:val="center"/>
                    <w:rPr>
                      <w:color w:val="auto"/>
                      <w:sz w:val="18"/>
                      <w:szCs w:val="18"/>
                    </w:rPr>
                  </w:pPr>
                  <w:r>
                    <w:rPr>
                      <w:rFonts w:hint="eastAsia"/>
                      <w:color w:val="auto"/>
                      <w:sz w:val="18"/>
                      <w:szCs w:val="18"/>
                    </w:rPr>
                    <w:t>盒</w:t>
                  </w:r>
                </w:p>
              </w:tc>
              <w:tc>
                <w:tcPr>
                  <w:tcW w:w="804" w:type="pct"/>
                  <w:noWrap/>
                  <w:vAlign w:val="center"/>
                </w:tcPr>
                <w:p>
                  <w:pPr>
                    <w:jc w:val="center"/>
                    <w:rPr>
                      <w:color w:val="auto"/>
                      <w:sz w:val="18"/>
                      <w:szCs w:val="18"/>
                    </w:rPr>
                  </w:pPr>
                  <w:r>
                    <w:rPr>
                      <w:rFonts w:hint="eastAsia"/>
                      <w:color w:val="auto"/>
                      <w:sz w:val="18"/>
                      <w:szCs w:val="18"/>
                    </w:rPr>
                    <w:t>若干</w:t>
                  </w:r>
                </w:p>
              </w:tc>
              <w:tc>
                <w:tcPr>
                  <w:tcW w:w="1061" w:type="pct"/>
                  <w:noWrap/>
                  <w:vAlign w:val="center"/>
                </w:tcPr>
                <w:p>
                  <w:pPr>
                    <w:jc w:val="center"/>
                    <w:rPr>
                      <w:color w:val="auto"/>
                      <w:sz w:val="18"/>
                      <w:szCs w:val="18"/>
                    </w:rPr>
                  </w:pPr>
                  <w:r>
                    <w:rPr>
                      <w:rFonts w:hint="eastAsia"/>
                      <w:color w:val="auto"/>
                      <w:sz w:val="18"/>
                      <w:szCs w:val="18"/>
                    </w:rPr>
                    <w:t>若干</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jc w:val="cente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化验成品试剂</w:t>
                  </w:r>
                </w:p>
              </w:tc>
              <w:tc>
                <w:tcPr>
                  <w:tcW w:w="559" w:type="pct"/>
                  <w:noWrap/>
                  <w:vAlign w:val="center"/>
                </w:tcPr>
                <w:p>
                  <w:pPr>
                    <w:jc w:val="center"/>
                    <w:rPr>
                      <w:color w:val="auto"/>
                      <w:sz w:val="18"/>
                      <w:szCs w:val="18"/>
                    </w:rPr>
                  </w:pPr>
                  <w:r>
                    <w:rPr>
                      <w:rFonts w:hint="eastAsia"/>
                      <w:color w:val="auto"/>
                      <w:sz w:val="18"/>
                      <w:szCs w:val="18"/>
                    </w:rPr>
                    <w:t>盒</w:t>
                  </w:r>
                </w:p>
              </w:tc>
              <w:tc>
                <w:tcPr>
                  <w:tcW w:w="804" w:type="pct"/>
                  <w:noWrap/>
                  <w:vAlign w:val="center"/>
                </w:tcPr>
                <w:p>
                  <w:pPr>
                    <w:jc w:val="center"/>
                    <w:rPr>
                      <w:color w:val="auto"/>
                      <w:sz w:val="18"/>
                      <w:szCs w:val="18"/>
                    </w:rPr>
                  </w:pPr>
                  <w:r>
                    <w:rPr>
                      <w:rFonts w:hint="eastAsia"/>
                      <w:color w:val="auto"/>
                      <w:sz w:val="18"/>
                      <w:szCs w:val="18"/>
                    </w:rPr>
                    <w:t>110</w:t>
                  </w:r>
                </w:p>
              </w:tc>
              <w:tc>
                <w:tcPr>
                  <w:tcW w:w="1061" w:type="pct"/>
                  <w:noWrap/>
                  <w:vAlign w:val="center"/>
                </w:tcPr>
                <w:p>
                  <w:pPr>
                    <w:jc w:val="center"/>
                    <w:rPr>
                      <w:color w:val="auto"/>
                      <w:sz w:val="18"/>
                      <w:szCs w:val="18"/>
                    </w:rPr>
                  </w:pPr>
                  <w:r>
                    <w:rPr>
                      <w:rFonts w:hint="eastAsia"/>
                      <w:color w:val="auto"/>
                      <w:sz w:val="18"/>
                      <w:szCs w:val="18"/>
                    </w:rPr>
                    <w:t>10</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jc w:val="cente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次氯酸钠片</w:t>
                  </w:r>
                </w:p>
              </w:tc>
              <w:tc>
                <w:tcPr>
                  <w:tcW w:w="559" w:type="pct"/>
                  <w:noWrap/>
                  <w:vAlign w:val="center"/>
                </w:tcPr>
                <w:p>
                  <w:pPr>
                    <w:jc w:val="center"/>
                    <w:rPr>
                      <w:color w:val="auto"/>
                      <w:sz w:val="18"/>
                      <w:szCs w:val="18"/>
                    </w:rPr>
                  </w:pPr>
                  <w:r>
                    <w:rPr>
                      <w:rFonts w:hint="eastAsia"/>
                      <w:color w:val="auto"/>
                      <w:sz w:val="18"/>
                      <w:szCs w:val="18"/>
                    </w:rPr>
                    <w:t>t</w:t>
                  </w:r>
                </w:p>
              </w:tc>
              <w:tc>
                <w:tcPr>
                  <w:tcW w:w="804" w:type="pct"/>
                  <w:noWrap/>
                  <w:vAlign w:val="center"/>
                </w:tcPr>
                <w:p>
                  <w:pPr>
                    <w:jc w:val="center"/>
                    <w:rPr>
                      <w:color w:val="auto"/>
                      <w:sz w:val="18"/>
                      <w:szCs w:val="18"/>
                    </w:rPr>
                  </w:pPr>
                  <w:r>
                    <w:rPr>
                      <w:rFonts w:hint="eastAsia"/>
                      <w:color w:val="auto"/>
                      <w:sz w:val="18"/>
                      <w:szCs w:val="18"/>
                    </w:rPr>
                    <w:t>0.004</w:t>
                  </w:r>
                </w:p>
              </w:tc>
              <w:tc>
                <w:tcPr>
                  <w:tcW w:w="1061" w:type="pct"/>
                  <w:noWrap/>
                  <w:vAlign w:val="center"/>
                </w:tcPr>
                <w:p>
                  <w:pPr>
                    <w:jc w:val="center"/>
                    <w:rPr>
                      <w:color w:val="auto"/>
                      <w:sz w:val="18"/>
                      <w:szCs w:val="18"/>
                    </w:rPr>
                  </w:pPr>
                  <w:r>
                    <w:rPr>
                      <w:rFonts w:hint="eastAsia"/>
                      <w:color w:val="auto"/>
                      <w:sz w:val="18"/>
                      <w:szCs w:val="18"/>
                    </w:rPr>
                    <w:t>0.001</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continue"/>
                  <w:noWrap/>
                  <w:vAlign w:val="center"/>
                </w:tcPr>
                <w:p>
                  <w:pPr>
                    <w:jc w:val="center"/>
                    <w:rPr>
                      <w:color w:val="auto"/>
                      <w:sz w:val="18"/>
                      <w:szCs w:val="18"/>
                    </w:rPr>
                  </w:pPr>
                </w:p>
              </w:tc>
              <w:tc>
                <w:tcPr>
                  <w:tcW w:w="925" w:type="pct"/>
                  <w:noWrap/>
                  <w:vAlign w:val="center"/>
                </w:tcPr>
                <w:p>
                  <w:pPr>
                    <w:jc w:val="center"/>
                    <w:rPr>
                      <w:color w:val="auto"/>
                      <w:sz w:val="18"/>
                      <w:szCs w:val="18"/>
                    </w:rPr>
                  </w:pPr>
                  <w:r>
                    <w:rPr>
                      <w:rFonts w:hint="eastAsia"/>
                      <w:color w:val="auto"/>
                      <w:sz w:val="18"/>
                      <w:szCs w:val="18"/>
                    </w:rPr>
                    <w:t>消毒酒精</w:t>
                  </w:r>
                </w:p>
              </w:tc>
              <w:tc>
                <w:tcPr>
                  <w:tcW w:w="559" w:type="pct"/>
                  <w:noWrap/>
                  <w:vAlign w:val="center"/>
                </w:tcPr>
                <w:p>
                  <w:pPr>
                    <w:jc w:val="center"/>
                    <w:rPr>
                      <w:color w:val="auto"/>
                      <w:sz w:val="18"/>
                      <w:szCs w:val="18"/>
                    </w:rPr>
                  </w:pPr>
                  <w:r>
                    <w:rPr>
                      <w:rFonts w:hint="eastAsia"/>
                      <w:color w:val="auto"/>
                      <w:sz w:val="18"/>
                      <w:szCs w:val="18"/>
                    </w:rPr>
                    <w:t>t</w:t>
                  </w:r>
                </w:p>
              </w:tc>
              <w:tc>
                <w:tcPr>
                  <w:tcW w:w="804" w:type="pct"/>
                  <w:noWrap/>
                  <w:vAlign w:val="center"/>
                </w:tcPr>
                <w:p>
                  <w:pPr>
                    <w:jc w:val="center"/>
                    <w:rPr>
                      <w:color w:val="auto"/>
                      <w:sz w:val="18"/>
                      <w:szCs w:val="18"/>
                    </w:rPr>
                  </w:pPr>
                  <w:r>
                    <w:rPr>
                      <w:rFonts w:hint="eastAsia"/>
                      <w:color w:val="auto"/>
                      <w:sz w:val="18"/>
                      <w:szCs w:val="18"/>
                    </w:rPr>
                    <w:t>0.2</w:t>
                  </w:r>
                </w:p>
              </w:tc>
              <w:tc>
                <w:tcPr>
                  <w:tcW w:w="1061" w:type="pct"/>
                  <w:noWrap/>
                  <w:vAlign w:val="center"/>
                </w:tcPr>
                <w:p>
                  <w:pPr>
                    <w:jc w:val="center"/>
                    <w:rPr>
                      <w:color w:val="auto"/>
                      <w:sz w:val="18"/>
                      <w:szCs w:val="18"/>
                    </w:rPr>
                  </w:pPr>
                  <w:r>
                    <w:rPr>
                      <w:rFonts w:hint="eastAsia"/>
                      <w:color w:val="auto"/>
                      <w:sz w:val="18"/>
                      <w:szCs w:val="18"/>
                    </w:rPr>
                    <w:t>0.05</w:t>
                  </w:r>
                </w:p>
              </w:tc>
              <w:tc>
                <w:tcPr>
                  <w:tcW w:w="1029" w:type="pct"/>
                  <w:noWrap/>
                  <w:vAlign w:val="center"/>
                </w:tcPr>
                <w:p>
                  <w:pPr>
                    <w:jc w:val="center"/>
                    <w:rPr>
                      <w:color w:val="auto"/>
                      <w:sz w:val="18"/>
                      <w:szCs w:val="18"/>
                    </w:rPr>
                  </w:pPr>
                  <w:r>
                    <w:rPr>
                      <w:rFonts w:hint="eastAsia"/>
                      <w:color w:val="auto"/>
                      <w:sz w:val="18"/>
                      <w:szCs w:val="18"/>
                    </w:rPr>
                    <w:t>外购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20" w:type="pct"/>
                  <w:vMerge w:val="restart"/>
                  <w:noWrap/>
                  <w:vAlign w:val="center"/>
                </w:tcPr>
                <w:p>
                  <w:pPr>
                    <w:jc w:val="center"/>
                    <w:rPr>
                      <w:color w:val="auto"/>
                      <w:sz w:val="18"/>
                      <w:szCs w:val="18"/>
                    </w:rPr>
                  </w:pPr>
                  <w:r>
                    <w:rPr>
                      <w:rFonts w:hint="eastAsia"/>
                      <w:color w:val="auto"/>
                      <w:sz w:val="18"/>
                      <w:szCs w:val="18"/>
                    </w:rPr>
                    <w:t>能耗</w:t>
                  </w:r>
                </w:p>
              </w:tc>
              <w:tc>
                <w:tcPr>
                  <w:tcW w:w="925" w:type="pct"/>
                  <w:noWrap/>
                  <w:vAlign w:val="center"/>
                </w:tcPr>
                <w:p>
                  <w:pPr>
                    <w:jc w:val="center"/>
                    <w:rPr>
                      <w:color w:val="auto"/>
                      <w:sz w:val="18"/>
                      <w:szCs w:val="18"/>
                    </w:rPr>
                  </w:pPr>
                  <w:r>
                    <w:rPr>
                      <w:rFonts w:hint="eastAsia"/>
                      <w:color w:val="auto"/>
                      <w:sz w:val="18"/>
                      <w:szCs w:val="18"/>
                    </w:rPr>
                    <w:t>电</w:t>
                  </w:r>
                </w:p>
              </w:tc>
              <w:tc>
                <w:tcPr>
                  <w:tcW w:w="559" w:type="pct"/>
                  <w:noWrap/>
                  <w:vAlign w:val="center"/>
                </w:tcPr>
                <w:p>
                  <w:pPr>
                    <w:jc w:val="center"/>
                    <w:rPr>
                      <w:color w:val="auto"/>
                      <w:sz w:val="18"/>
                      <w:szCs w:val="18"/>
                    </w:rPr>
                  </w:pPr>
                  <w:r>
                    <w:rPr>
                      <w:rFonts w:hint="eastAsia"/>
                      <w:color w:val="auto"/>
                      <w:sz w:val="18"/>
                      <w:szCs w:val="18"/>
                    </w:rPr>
                    <w:t>kw</w:t>
                  </w:r>
                  <w:r>
                    <w:rPr>
                      <w:rFonts w:hint="eastAsia" w:ascii="宋体" w:hAnsi="宋体" w:cs="宋体"/>
                      <w:color w:val="auto"/>
                      <w:sz w:val="18"/>
                      <w:szCs w:val="18"/>
                    </w:rPr>
                    <w:t>·</w:t>
                  </w:r>
                  <w:r>
                    <w:rPr>
                      <w:rFonts w:hint="eastAsia"/>
                      <w:color w:val="auto"/>
                      <w:sz w:val="18"/>
                      <w:szCs w:val="18"/>
                    </w:rPr>
                    <w:t>h</w:t>
                  </w:r>
                </w:p>
              </w:tc>
              <w:tc>
                <w:tcPr>
                  <w:tcW w:w="804" w:type="pct"/>
                  <w:noWrap/>
                  <w:vAlign w:val="center"/>
                </w:tcPr>
                <w:p>
                  <w:pPr>
                    <w:jc w:val="center"/>
                    <w:rPr>
                      <w:color w:val="auto"/>
                      <w:sz w:val="18"/>
                      <w:szCs w:val="18"/>
                    </w:rPr>
                  </w:pPr>
                  <w:r>
                    <w:rPr>
                      <w:rFonts w:hint="eastAsia"/>
                      <w:color w:val="auto"/>
                      <w:sz w:val="18"/>
                      <w:szCs w:val="18"/>
                    </w:rPr>
                    <w:t>5500</w:t>
                  </w:r>
                </w:p>
              </w:tc>
              <w:tc>
                <w:tcPr>
                  <w:tcW w:w="1061" w:type="pct"/>
                  <w:noWrap/>
                  <w:vAlign w:val="center"/>
                </w:tcPr>
                <w:p>
                  <w:pPr>
                    <w:jc w:val="center"/>
                    <w:rPr>
                      <w:color w:val="auto"/>
                      <w:sz w:val="18"/>
                      <w:szCs w:val="18"/>
                    </w:rPr>
                  </w:pPr>
                  <w:r>
                    <w:rPr>
                      <w:bCs/>
                      <w:color w:val="auto"/>
                      <w:sz w:val="18"/>
                      <w:szCs w:val="18"/>
                    </w:rPr>
                    <w:t>——</w:t>
                  </w:r>
                </w:p>
              </w:tc>
              <w:tc>
                <w:tcPr>
                  <w:tcW w:w="1029" w:type="pct"/>
                  <w:noWrap/>
                  <w:vAlign w:val="center"/>
                </w:tcPr>
                <w:p>
                  <w:pPr>
                    <w:jc w:val="center"/>
                    <w:rPr>
                      <w:color w:val="auto"/>
                      <w:sz w:val="18"/>
                      <w:szCs w:val="18"/>
                    </w:rPr>
                  </w:pPr>
                  <w:r>
                    <w:rPr>
                      <w:rFonts w:hint="eastAsia"/>
                      <w:color w:val="auto"/>
                      <w:sz w:val="18"/>
                      <w:szCs w:val="18"/>
                    </w:rPr>
                    <w:t>市政电网</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620" w:type="pct"/>
                  <w:vMerge w:val="continue"/>
                  <w:noWrap/>
                  <w:vAlign w:val="center"/>
                </w:tcPr>
                <w:p>
                  <w:pPr>
                    <w:jc w:val="center"/>
                    <w:rPr>
                      <w:color w:val="auto"/>
                      <w:sz w:val="18"/>
                      <w:szCs w:val="18"/>
                    </w:rPr>
                  </w:pPr>
                </w:p>
              </w:tc>
              <w:tc>
                <w:tcPr>
                  <w:tcW w:w="925" w:type="pct"/>
                  <w:noWrap/>
                  <w:vAlign w:val="center"/>
                </w:tcPr>
                <w:p>
                  <w:pPr>
                    <w:rPr>
                      <w:color w:val="auto"/>
                      <w:sz w:val="18"/>
                      <w:szCs w:val="18"/>
                    </w:rPr>
                  </w:pPr>
                  <w:r>
                    <w:rPr>
                      <w:rFonts w:hint="eastAsia"/>
                      <w:color w:val="auto"/>
                      <w:sz w:val="18"/>
                      <w:szCs w:val="18"/>
                    </w:rPr>
                    <w:t xml:space="preserve">      水</w:t>
                  </w:r>
                </w:p>
              </w:tc>
              <w:tc>
                <w:tcPr>
                  <w:tcW w:w="559" w:type="pct"/>
                  <w:noWrap/>
                  <w:vAlign w:val="center"/>
                </w:tcPr>
                <w:p>
                  <w:pPr>
                    <w:jc w:val="center"/>
                    <w:rPr>
                      <w:color w:val="auto"/>
                      <w:sz w:val="18"/>
                      <w:szCs w:val="18"/>
                    </w:rPr>
                  </w:pPr>
                  <w:r>
                    <w:rPr>
                      <w:rFonts w:hint="eastAsia"/>
                      <w:color w:val="auto"/>
                      <w:sz w:val="18"/>
                      <w:szCs w:val="18"/>
                    </w:rPr>
                    <w:t>t</w:t>
                  </w:r>
                </w:p>
              </w:tc>
              <w:tc>
                <w:tcPr>
                  <w:tcW w:w="804" w:type="pct"/>
                  <w:noWrap/>
                  <w:vAlign w:val="center"/>
                </w:tcPr>
                <w:p>
                  <w:pPr>
                    <w:jc w:val="center"/>
                    <w:rPr>
                      <w:color w:val="auto"/>
                      <w:sz w:val="18"/>
                      <w:szCs w:val="18"/>
                    </w:rPr>
                  </w:pPr>
                  <w:r>
                    <w:rPr>
                      <w:rFonts w:hint="eastAsia"/>
                      <w:color w:val="auto"/>
                      <w:sz w:val="18"/>
                      <w:szCs w:val="18"/>
                    </w:rPr>
                    <w:t>600</w:t>
                  </w:r>
                </w:p>
              </w:tc>
              <w:tc>
                <w:tcPr>
                  <w:tcW w:w="1061" w:type="pct"/>
                  <w:noWrap/>
                  <w:vAlign w:val="center"/>
                </w:tcPr>
                <w:p>
                  <w:pPr>
                    <w:jc w:val="center"/>
                    <w:rPr>
                      <w:color w:val="auto"/>
                      <w:sz w:val="18"/>
                      <w:szCs w:val="18"/>
                    </w:rPr>
                  </w:pPr>
                  <w:r>
                    <w:rPr>
                      <w:bCs/>
                      <w:color w:val="auto"/>
                      <w:sz w:val="18"/>
                      <w:szCs w:val="18"/>
                    </w:rPr>
                    <w:t>——</w:t>
                  </w:r>
                </w:p>
              </w:tc>
              <w:tc>
                <w:tcPr>
                  <w:tcW w:w="1029" w:type="pct"/>
                  <w:noWrap/>
                  <w:vAlign w:val="center"/>
                </w:tcPr>
                <w:p>
                  <w:pPr>
                    <w:jc w:val="center"/>
                    <w:rPr>
                      <w:color w:val="auto"/>
                      <w:sz w:val="18"/>
                      <w:szCs w:val="18"/>
                    </w:rPr>
                  </w:pPr>
                  <w:r>
                    <w:rPr>
                      <w:rFonts w:hint="eastAsia"/>
                      <w:color w:val="auto"/>
                      <w:sz w:val="18"/>
                      <w:szCs w:val="18"/>
                    </w:rPr>
                    <w:t>市政供水网</w:t>
                  </w:r>
                </w:p>
              </w:tc>
            </w:tr>
          </w:tbl>
          <w:p>
            <w:pPr>
              <w:spacing w:line="360" w:lineRule="auto"/>
              <w:ind w:firstLine="422" w:firstLineChars="200"/>
              <w:rPr>
                <w:b/>
                <w:color w:val="auto"/>
                <w:szCs w:val="21"/>
              </w:rPr>
            </w:pPr>
            <w:r>
              <w:rPr>
                <w:b/>
                <w:color w:val="auto"/>
                <w:szCs w:val="21"/>
              </w:rPr>
              <w:t>6、公用工程及辅助设施</w:t>
            </w:r>
          </w:p>
          <w:p>
            <w:pPr>
              <w:spacing w:line="360" w:lineRule="auto"/>
              <w:ind w:firstLine="420" w:firstLineChars="200"/>
              <w:rPr>
                <w:bCs/>
                <w:color w:val="auto"/>
                <w:szCs w:val="21"/>
              </w:rPr>
            </w:pPr>
            <w:r>
              <w:rPr>
                <w:bCs/>
                <w:color w:val="auto"/>
                <w:szCs w:val="21"/>
              </w:rPr>
              <w:t>①供电</w:t>
            </w:r>
          </w:p>
          <w:p>
            <w:pPr>
              <w:spacing w:line="360" w:lineRule="auto"/>
              <w:ind w:firstLine="420" w:firstLineChars="200"/>
              <w:rPr>
                <w:bCs/>
                <w:color w:val="auto"/>
                <w:szCs w:val="21"/>
              </w:rPr>
            </w:pPr>
            <w:r>
              <w:rPr>
                <w:bCs/>
                <w:color w:val="auto"/>
                <w:szCs w:val="21"/>
              </w:rPr>
              <w:t>本项目用电接当地市政电网。</w:t>
            </w:r>
          </w:p>
          <w:p>
            <w:pPr>
              <w:spacing w:line="360" w:lineRule="auto"/>
              <w:ind w:firstLine="420" w:firstLineChars="200"/>
              <w:rPr>
                <w:color w:val="auto"/>
                <w:kern w:val="0"/>
                <w:szCs w:val="21"/>
              </w:rPr>
            </w:pPr>
            <w:r>
              <w:rPr>
                <w:bCs/>
                <w:color w:val="auto"/>
                <w:szCs w:val="21"/>
              </w:rPr>
              <w:t>②供排水</w:t>
            </w:r>
          </w:p>
          <w:p>
            <w:pPr>
              <w:spacing w:line="360" w:lineRule="auto"/>
              <w:ind w:firstLine="420" w:firstLineChars="200"/>
              <w:rPr>
                <w:color w:val="auto"/>
                <w:kern w:val="0"/>
                <w:szCs w:val="21"/>
              </w:rPr>
            </w:pPr>
            <w:r>
              <w:rPr>
                <w:rFonts w:hint="eastAsia"/>
                <w:color w:val="auto"/>
                <w:kern w:val="0"/>
                <w:szCs w:val="21"/>
              </w:rPr>
              <w:t>本项目化验室采用成品试剂进行血常规的检验，不使用水；不设食堂，因此无餐饮</w:t>
            </w:r>
            <w:r>
              <w:rPr>
                <w:rFonts w:hint="eastAsia"/>
                <w:color w:val="auto"/>
                <w:kern w:val="0"/>
                <w:szCs w:val="21"/>
                <w:lang w:eastAsia="zh-CN"/>
              </w:rPr>
              <w:t>用</w:t>
            </w:r>
            <w:r>
              <w:rPr>
                <w:rFonts w:hint="eastAsia"/>
                <w:color w:val="auto"/>
                <w:kern w:val="0"/>
                <w:szCs w:val="21"/>
              </w:rPr>
              <w:t>水；不自配检测试剂，</w:t>
            </w:r>
            <w:r>
              <w:rPr>
                <w:rFonts w:hint="eastAsia"/>
                <w:color w:val="auto"/>
                <w:kern w:val="0"/>
                <w:szCs w:val="21"/>
                <w:lang w:eastAsia="zh-CN"/>
              </w:rPr>
              <w:t>无</w:t>
            </w:r>
            <w:r>
              <w:rPr>
                <w:rFonts w:hint="eastAsia"/>
                <w:color w:val="auto"/>
                <w:kern w:val="0"/>
                <w:szCs w:val="21"/>
              </w:rPr>
              <w:t>自配检测试剂</w:t>
            </w:r>
            <w:r>
              <w:rPr>
                <w:rFonts w:hint="eastAsia"/>
                <w:color w:val="auto"/>
                <w:kern w:val="0"/>
                <w:szCs w:val="21"/>
                <w:lang w:eastAsia="zh-CN"/>
              </w:rPr>
              <w:t>用水</w:t>
            </w:r>
            <w:r>
              <w:rPr>
                <w:rFonts w:hint="eastAsia"/>
                <w:color w:val="auto"/>
                <w:kern w:val="0"/>
                <w:szCs w:val="21"/>
              </w:rPr>
              <w:t>；无制剂科，因此无制剂</w:t>
            </w:r>
            <w:r>
              <w:rPr>
                <w:rFonts w:hint="eastAsia"/>
                <w:color w:val="auto"/>
                <w:kern w:val="0"/>
                <w:szCs w:val="21"/>
                <w:lang w:eastAsia="zh-CN"/>
              </w:rPr>
              <w:t>用</w:t>
            </w:r>
            <w:r>
              <w:rPr>
                <w:rFonts w:hint="eastAsia"/>
                <w:color w:val="auto"/>
                <w:kern w:val="0"/>
                <w:szCs w:val="21"/>
              </w:rPr>
              <w:t>水；职工工作服等定期送清洗公司清洗，</w:t>
            </w:r>
            <w:r>
              <w:rPr>
                <w:rFonts w:hint="eastAsia"/>
                <w:color w:val="auto"/>
                <w:kern w:val="0"/>
                <w:szCs w:val="21"/>
                <w:lang w:eastAsia="zh-CN"/>
              </w:rPr>
              <w:t>宠物医院</w:t>
            </w:r>
            <w:r>
              <w:rPr>
                <w:rFonts w:hint="eastAsia"/>
                <w:color w:val="auto"/>
                <w:kern w:val="0"/>
                <w:szCs w:val="21"/>
              </w:rPr>
              <w:t>内不设置洗衣房，故无洗衣</w:t>
            </w:r>
            <w:r>
              <w:rPr>
                <w:rFonts w:hint="eastAsia"/>
                <w:color w:val="auto"/>
                <w:kern w:val="0"/>
                <w:szCs w:val="21"/>
                <w:lang w:eastAsia="zh-CN"/>
              </w:rPr>
              <w:t>用</w:t>
            </w:r>
            <w:r>
              <w:rPr>
                <w:rFonts w:hint="eastAsia"/>
                <w:color w:val="auto"/>
                <w:kern w:val="0"/>
                <w:szCs w:val="21"/>
              </w:rPr>
              <w:t>水。本项目用水包括工作人员生活用水、宠物医疗用水以及</w:t>
            </w:r>
            <w:r>
              <w:rPr>
                <w:rFonts w:hint="eastAsia"/>
                <w:color w:val="auto"/>
                <w:kern w:val="0"/>
                <w:szCs w:val="21"/>
                <w:lang w:eastAsia="zh-CN"/>
              </w:rPr>
              <w:t>宠物做手术器械和</w:t>
            </w:r>
            <w:r>
              <w:rPr>
                <w:rFonts w:hint="eastAsia"/>
                <w:color w:val="auto"/>
                <w:kern w:val="0"/>
                <w:szCs w:val="21"/>
              </w:rPr>
              <w:t>地面</w:t>
            </w:r>
            <w:r>
              <w:rPr>
                <w:rFonts w:hint="eastAsia" w:ascii="Times New Roman" w:hAnsi="Times New Roman" w:eastAsia="宋体" w:cs="Times New Roman"/>
                <w:b w:val="0"/>
                <w:bCs w:val="0"/>
                <w:color w:val="auto"/>
                <w:szCs w:val="21"/>
                <w:lang w:eastAsia="zh-CN"/>
              </w:rPr>
              <w:t>、宠物笼</w:t>
            </w:r>
            <w:r>
              <w:rPr>
                <w:rFonts w:hint="eastAsia"/>
                <w:color w:val="auto"/>
                <w:kern w:val="0"/>
                <w:szCs w:val="21"/>
              </w:rPr>
              <w:t>清洁用水等。</w:t>
            </w:r>
          </w:p>
          <w:p>
            <w:pPr>
              <w:numPr>
                <w:ilvl w:val="0"/>
                <w:numId w:val="4"/>
              </w:numPr>
              <w:spacing w:line="360" w:lineRule="auto"/>
              <w:ind w:firstLine="480"/>
              <w:rPr>
                <w:color w:val="auto"/>
                <w:kern w:val="0"/>
                <w:szCs w:val="21"/>
              </w:rPr>
            </w:pPr>
            <w:r>
              <w:rPr>
                <w:rFonts w:hint="eastAsia"/>
                <w:color w:val="auto"/>
                <w:kern w:val="0"/>
                <w:szCs w:val="21"/>
              </w:rPr>
              <w:t>工作人员生活用水</w:t>
            </w:r>
          </w:p>
          <w:p>
            <w:pPr>
              <w:spacing w:line="360" w:lineRule="auto"/>
              <w:ind w:firstLine="420" w:firstLineChars="200"/>
              <w:rPr>
                <w:color w:val="auto"/>
                <w:szCs w:val="21"/>
              </w:rPr>
            </w:pPr>
            <w:r>
              <w:rPr>
                <w:rFonts w:hint="eastAsia"/>
                <w:color w:val="auto"/>
                <w:szCs w:val="21"/>
              </w:rPr>
              <w:t>工作人员为</w:t>
            </w:r>
            <w:r>
              <w:rPr>
                <w:rFonts w:hint="eastAsia"/>
                <w:color w:val="auto"/>
                <w:szCs w:val="21"/>
                <w:lang w:val="en-US" w:eastAsia="zh-CN"/>
              </w:rPr>
              <w:t>7</w:t>
            </w:r>
            <w:r>
              <w:rPr>
                <w:rFonts w:hint="eastAsia"/>
                <w:color w:val="auto"/>
                <w:szCs w:val="21"/>
              </w:rPr>
              <w:t>人，结合《四川省地方标准用水定额》（川府函【2021】8号）所制定的各项用水定额，用水标准为50L/人</w:t>
            </w:r>
            <w:r>
              <w:rPr>
                <w:rFonts w:hint="eastAsia" w:ascii="宋体" w:hAnsi="宋体" w:cs="宋体"/>
                <w:color w:val="auto"/>
                <w:szCs w:val="21"/>
              </w:rPr>
              <w:t>·</w:t>
            </w:r>
            <w:r>
              <w:rPr>
                <w:rFonts w:hint="eastAsia"/>
                <w:color w:val="auto"/>
                <w:szCs w:val="21"/>
              </w:rPr>
              <w:t>d，则工作人员用水量为0.</w:t>
            </w:r>
            <w:r>
              <w:rPr>
                <w:rFonts w:hint="eastAsia"/>
                <w:color w:val="auto"/>
                <w:szCs w:val="21"/>
                <w:lang w:val="en-US" w:eastAsia="zh-CN"/>
              </w:rPr>
              <w:t>35</w:t>
            </w:r>
            <w:r>
              <w:rPr>
                <w:rFonts w:hint="eastAsia"/>
                <w:color w:val="auto"/>
                <w:szCs w:val="21"/>
              </w:rPr>
              <w:t>m</w:t>
            </w:r>
            <w:r>
              <w:rPr>
                <w:rFonts w:hint="eastAsia"/>
                <w:color w:val="auto"/>
                <w:szCs w:val="21"/>
                <w:vertAlign w:val="superscript"/>
              </w:rPr>
              <w:t>3</w:t>
            </w:r>
            <w:r>
              <w:rPr>
                <w:rFonts w:hint="eastAsia"/>
                <w:color w:val="auto"/>
                <w:szCs w:val="21"/>
              </w:rPr>
              <w:t>/d，废水产生系数按照0.85计算，则工作人员废水产生量为0.</w:t>
            </w:r>
            <w:r>
              <w:rPr>
                <w:rFonts w:hint="eastAsia"/>
                <w:color w:val="auto"/>
                <w:szCs w:val="21"/>
                <w:lang w:val="en-US" w:eastAsia="zh-CN"/>
              </w:rPr>
              <w:t>3</w:t>
            </w:r>
            <w:r>
              <w:rPr>
                <w:rFonts w:hint="eastAsia"/>
                <w:color w:val="auto"/>
                <w:szCs w:val="21"/>
              </w:rPr>
              <w:t>m</w:t>
            </w:r>
            <w:r>
              <w:rPr>
                <w:rFonts w:hint="eastAsia"/>
                <w:color w:val="auto"/>
                <w:szCs w:val="21"/>
                <w:vertAlign w:val="superscript"/>
              </w:rPr>
              <w:t>3</w:t>
            </w:r>
            <w:r>
              <w:rPr>
                <w:rFonts w:hint="eastAsia"/>
                <w:color w:val="auto"/>
                <w:szCs w:val="21"/>
              </w:rPr>
              <w:t>/d。</w:t>
            </w:r>
          </w:p>
          <w:p>
            <w:pPr>
              <w:spacing w:line="360" w:lineRule="auto"/>
              <w:ind w:firstLine="420" w:firstLineChars="200"/>
              <w:rPr>
                <w:color w:val="auto"/>
                <w:szCs w:val="21"/>
              </w:rPr>
            </w:pPr>
            <w:r>
              <w:rPr>
                <w:rFonts w:hint="eastAsia"/>
                <w:color w:val="auto"/>
                <w:szCs w:val="21"/>
              </w:rPr>
              <w:t>2）宠物治疗用水</w:t>
            </w:r>
          </w:p>
          <w:p>
            <w:pPr>
              <w:spacing w:line="360" w:lineRule="auto"/>
              <w:ind w:firstLine="420" w:firstLineChars="200"/>
              <w:rPr>
                <w:color w:val="auto"/>
                <w:szCs w:val="21"/>
              </w:rPr>
            </w:pPr>
            <w:r>
              <w:rPr>
                <w:color w:val="auto"/>
                <w:kern w:val="0"/>
                <w:szCs w:val="21"/>
              </w:rPr>
              <w:t>建成后项目</w:t>
            </w:r>
            <w:r>
              <w:rPr>
                <w:rFonts w:hint="eastAsia"/>
                <w:color w:val="auto"/>
                <w:kern w:val="0"/>
                <w:szCs w:val="21"/>
              </w:rPr>
              <w:t>住院室最大容纳宠物4只/d，门诊最大流量3只/d</w:t>
            </w:r>
            <w:r>
              <w:rPr>
                <w:rFonts w:hint="eastAsia"/>
                <w:color w:val="auto"/>
                <w:szCs w:val="21"/>
              </w:rPr>
              <w:t>，结合《四川省地方标准用水定额》（川府函【2021】8号）所制定的各项用水定额，用水标准为50L/只</w:t>
            </w:r>
            <w:r>
              <w:rPr>
                <w:rFonts w:hint="eastAsia" w:ascii="宋体" w:hAnsi="宋体" w:cs="宋体"/>
                <w:color w:val="auto"/>
                <w:szCs w:val="21"/>
              </w:rPr>
              <w:t>·</w:t>
            </w:r>
            <w:r>
              <w:rPr>
                <w:rFonts w:hint="eastAsia"/>
                <w:color w:val="auto"/>
                <w:szCs w:val="21"/>
              </w:rPr>
              <w:t>d，则手术、治疗室、化验室等医疗用水量为0.35m</w:t>
            </w:r>
            <w:r>
              <w:rPr>
                <w:rFonts w:hint="eastAsia"/>
                <w:color w:val="auto"/>
                <w:szCs w:val="21"/>
                <w:vertAlign w:val="superscript"/>
              </w:rPr>
              <w:t>3</w:t>
            </w:r>
            <w:r>
              <w:rPr>
                <w:rFonts w:hint="eastAsia"/>
                <w:color w:val="auto"/>
                <w:szCs w:val="21"/>
              </w:rPr>
              <w:t>/d，废水产生系数按照0.85计算，则手术、治疗室、化验室等医疗废水产生量为0.3m</w:t>
            </w:r>
            <w:r>
              <w:rPr>
                <w:rFonts w:hint="eastAsia"/>
                <w:color w:val="auto"/>
                <w:szCs w:val="21"/>
                <w:vertAlign w:val="superscript"/>
              </w:rPr>
              <w:t>3</w:t>
            </w:r>
            <w:r>
              <w:rPr>
                <w:rFonts w:hint="eastAsia"/>
                <w:color w:val="auto"/>
                <w:szCs w:val="21"/>
              </w:rPr>
              <w:t>/d。</w:t>
            </w:r>
          </w:p>
          <w:p>
            <w:pPr>
              <w:spacing w:line="360" w:lineRule="auto"/>
              <w:ind w:firstLine="420" w:firstLineChars="200"/>
              <w:rPr>
                <w:color w:val="auto"/>
                <w:szCs w:val="21"/>
              </w:rPr>
            </w:pPr>
            <w:r>
              <w:rPr>
                <w:rFonts w:hint="eastAsia"/>
                <w:color w:val="auto"/>
                <w:szCs w:val="21"/>
              </w:rPr>
              <w:t>3）</w:t>
            </w:r>
            <w:r>
              <w:rPr>
                <w:rFonts w:hint="eastAsia"/>
                <w:color w:val="auto"/>
                <w:szCs w:val="21"/>
                <w:lang w:eastAsia="zh-CN"/>
              </w:rPr>
              <w:t>宠物做手术器械和</w:t>
            </w:r>
            <w:r>
              <w:rPr>
                <w:rFonts w:hint="eastAsia"/>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color w:val="auto"/>
                <w:szCs w:val="21"/>
              </w:rPr>
              <w:t>清洁用水</w:t>
            </w:r>
          </w:p>
          <w:p>
            <w:pPr>
              <w:spacing w:line="360" w:lineRule="auto"/>
              <w:ind w:firstLine="420" w:firstLineChars="200"/>
              <w:rPr>
                <w:color w:val="auto"/>
                <w:szCs w:val="21"/>
              </w:rPr>
            </w:pPr>
            <w:r>
              <w:rPr>
                <w:rFonts w:hint="eastAsia"/>
                <w:color w:val="auto"/>
                <w:szCs w:val="21"/>
              </w:rPr>
              <w:t>根据业主提供的资料，则</w:t>
            </w:r>
            <w:r>
              <w:rPr>
                <w:rFonts w:hint="eastAsia"/>
                <w:color w:val="auto"/>
                <w:szCs w:val="21"/>
                <w:lang w:eastAsia="zh-CN"/>
              </w:rPr>
              <w:t>宠物做手术器械和</w:t>
            </w:r>
            <w:r>
              <w:rPr>
                <w:rFonts w:hint="eastAsia"/>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color w:val="auto"/>
                <w:szCs w:val="21"/>
              </w:rPr>
              <w:t>清洁用水量为0.2m</w:t>
            </w:r>
            <w:r>
              <w:rPr>
                <w:rFonts w:hint="eastAsia"/>
                <w:color w:val="auto"/>
                <w:szCs w:val="21"/>
                <w:vertAlign w:val="superscript"/>
              </w:rPr>
              <w:t>3</w:t>
            </w:r>
            <w:r>
              <w:rPr>
                <w:rFonts w:hint="eastAsia"/>
                <w:color w:val="auto"/>
                <w:szCs w:val="21"/>
              </w:rPr>
              <w:t>/d，废水产生系数按照0.85计算，则</w:t>
            </w:r>
            <w:r>
              <w:rPr>
                <w:rFonts w:hint="eastAsia"/>
                <w:color w:val="auto"/>
                <w:szCs w:val="21"/>
                <w:lang w:eastAsia="zh-CN"/>
              </w:rPr>
              <w:t>宠物做手术器械和</w:t>
            </w:r>
            <w:r>
              <w:rPr>
                <w:rFonts w:hint="eastAsia"/>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color w:val="auto"/>
                <w:szCs w:val="21"/>
              </w:rPr>
              <w:t>清洁用水废水产生量为0.17m</w:t>
            </w:r>
            <w:r>
              <w:rPr>
                <w:rFonts w:hint="eastAsia"/>
                <w:color w:val="auto"/>
                <w:szCs w:val="21"/>
                <w:vertAlign w:val="superscript"/>
              </w:rPr>
              <w:t>3</w:t>
            </w:r>
            <w:r>
              <w:rPr>
                <w:rFonts w:hint="eastAsia"/>
                <w:color w:val="auto"/>
                <w:szCs w:val="21"/>
              </w:rPr>
              <w:t>/d。</w:t>
            </w: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2" w:firstLineChars="200"/>
              <w:rPr>
                <w:b/>
                <w:color w:val="auto"/>
              </w:rPr>
            </w:pPr>
          </w:p>
          <w:p>
            <w:pPr>
              <w:spacing w:line="360" w:lineRule="auto"/>
              <w:ind w:firstLine="420" w:firstLineChars="200"/>
              <w:rPr>
                <w:b/>
                <w:color w:val="auto"/>
              </w:rPr>
            </w:pPr>
            <w:r>
              <w:rPr>
                <w:color w:val="auto"/>
              </w:rPr>
              <mc:AlternateContent>
                <mc:Choice Requires="wps">
                  <w:drawing>
                    <wp:anchor distT="0" distB="0" distL="114300" distR="114300" simplePos="0" relativeHeight="251679744" behindDoc="0" locked="0" layoutInCell="1" allowOverlap="1">
                      <wp:simplePos x="0" y="0"/>
                      <wp:positionH relativeFrom="column">
                        <wp:posOffset>1402715</wp:posOffset>
                      </wp:positionH>
                      <wp:positionV relativeFrom="paragraph">
                        <wp:posOffset>69850</wp:posOffset>
                      </wp:positionV>
                      <wp:extent cx="866775" cy="24892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866775" cy="248920"/>
                              </a:xfrm>
                              <a:prstGeom prst="rect">
                                <a:avLst/>
                              </a:prstGeom>
                              <a:noFill/>
                              <a:ln>
                                <a:noFill/>
                              </a:ln>
                              <a:effectLst/>
                            </wps:spPr>
                            <wps:txbx>
                              <w:txbxContent>
                                <w:p>
                                  <w:pPr>
                                    <w:rPr>
                                      <w:rFonts w:hint="eastAsia" w:eastAsia="宋体"/>
                                      <w:color w:val="auto"/>
                                      <w:lang w:val="en-US" w:eastAsia="zh-CN"/>
                                    </w:rPr>
                                  </w:pPr>
                                  <w:r>
                                    <w:rPr>
                                      <w:rFonts w:hint="eastAsia"/>
                                      <w:color w:val="auto"/>
                                    </w:rPr>
                                    <w:t>损耗0.0</w:t>
                                  </w:r>
                                  <w:r>
                                    <w:rPr>
                                      <w:rFonts w:hint="eastAsia"/>
                                      <w:color w:val="auto"/>
                                      <w:lang w:val="en-US" w:eastAsia="zh-CN"/>
                                    </w:rPr>
                                    <w:t>5</w:t>
                                  </w:r>
                                </w:p>
                              </w:txbxContent>
                            </wps:txbx>
                            <wps:bodyPr upright="1"/>
                          </wps:wsp>
                        </a:graphicData>
                      </a:graphic>
                    </wp:anchor>
                  </w:drawing>
                </mc:Choice>
                <mc:Fallback>
                  <w:pict>
                    <v:shape id="_x0000_s1026" o:spid="_x0000_s1026" o:spt="202" type="#_x0000_t202" style="position:absolute;left:0pt;margin-left:110.45pt;margin-top:5.5pt;height:19.6pt;width:68.25pt;z-index:251679744;mso-width-relative:page;mso-height-relative:page;" filled="f" stroked="f" coordsize="21600,21600" o:gfxdata="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dSwJ&#10;zNYAAAAJAQAADwAAAAAAAAABACAAAAAiAAAAZHJzL2Rvd25yZXYueG1sUEsBAhQAFAAAAAgAh07i&#10;QMAZY9yyAQAAXQMAAA4AAAAAAAAAAQAgAAAAJQEAAGRycy9lMm9Eb2MueG1sUEsFBgAAAAAGAAYA&#10;WQEAAEkFAAAAAA==&#10;">
                      <v:fill on="f" focussize="0,0"/>
                      <v:stroke on="f"/>
                      <v:imagedata o:title=""/>
                      <o:lock v:ext="edit" aspectratio="f"/>
                      <v:textbox>
                        <w:txbxContent>
                          <w:p>
                            <w:pPr>
                              <w:rPr>
                                <w:rFonts w:hint="eastAsia" w:eastAsia="宋体"/>
                                <w:color w:val="auto"/>
                                <w:lang w:val="en-US" w:eastAsia="zh-CN"/>
                              </w:rPr>
                            </w:pPr>
                            <w:r>
                              <w:rPr>
                                <w:rFonts w:hint="eastAsia"/>
                                <w:color w:val="auto"/>
                              </w:rPr>
                              <w:t>损耗0.0</w:t>
                            </w:r>
                            <w:r>
                              <w:rPr>
                                <w:rFonts w:hint="eastAsia"/>
                                <w:color w:val="auto"/>
                                <w:lang w:val="en-US" w:eastAsia="zh-CN"/>
                              </w:rPr>
                              <w:t>5</w:t>
                            </w:r>
                          </w:p>
                        </w:txbxContent>
                      </v:textbox>
                    </v:shape>
                  </w:pict>
                </mc:Fallback>
              </mc:AlternateContent>
            </w:r>
          </w:p>
          <w:p>
            <w:pPr>
              <w:rPr>
                <w:b/>
                <w:color w:val="auto"/>
              </w:rPr>
            </w:pPr>
            <w:r>
              <w:rPr>
                <w:color w:val="auto"/>
              </w:rPr>
              <mc:AlternateContent>
                <mc:Choice Requires="wps">
                  <w:drawing>
                    <wp:anchor distT="0" distB="0" distL="114300" distR="114300" simplePos="0" relativeHeight="251695104" behindDoc="0" locked="0" layoutInCell="1" allowOverlap="1">
                      <wp:simplePos x="0" y="0"/>
                      <wp:positionH relativeFrom="column">
                        <wp:posOffset>3850005</wp:posOffset>
                      </wp:positionH>
                      <wp:positionV relativeFrom="paragraph">
                        <wp:posOffset>135890</wp:posOffset>
                      </wp:positionV>
                      <wp:extent cx="561340" cy="24892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561340" cy="248920"/>
                              </a:xfrm>
                              <a:prstGeom prst="rect">
                                <a:avLst/>
                              </a:prstGeom>
                              <a:noFill/>
                              <a:ln>
                                <a:noFill/>
                              </a:ln>
                              <a:effectLst/>
                            </wps:spPr>
                            <wps:txbx>
                              <w:txbxContent>
                                <w:p>
                                  <w:pPr>
                                    <w:rPr>
                                      <w:rFonts w:hint="default" w:eastAsia="宋体"/>
                                      <w:color w:val="auto"/>
                                      <w:lang w:val="en-US" w:eastAsia="zh-CN"/>
                                    </w:rPr>
                                  </w:pPr>
                                  <w:r>
                                    <w:rPr>
                                      <w:rFonts w:hint="eastAsia"/>
                                      <w:color w:val="auto"/>
                                      <w:lang w:val="en-US" w:eastAsia="zh-CN"/>
                                    </w:rPr>
                                    <w:t>0.77</w:t>
                                  </w:r>
                                </w:p>
                              </w:txbxContent>
                            </wps:txbx>
                            <wps:bodyPr upright="1"/>
                          </wps:wsp>
                        </a:graphicData>
                      </a:graphic>
                    </wp:anchor>
                  </w:drawing>
                </mc:Choice>
                <mc:Fallback>
                  <w:pict>
                    <v:shape id="_x0000_s1026" o:spid="_x0000_s1026" o:spt="202" type="#_x0000_t202" style="position:absolute;left:0pt;margin-left:303.15pt;margin-top:10.7pt;height:19.6pt;width:44.2pt;z-index:251695104;mso-width-relative:page;mso-height-relative:page;" filled="f" stroked="f" coordsize="21600,21600" o:gfxdata="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HdN&#10;LI7WAAAACQEAAA8AAAAAAAAAAQAgAAAAIgAAAGRycy9kb3ducmV2LnhtbFBLAQIUABQAAAAIAIdO&#10;4kD0fBoFswEAAF0DAAAOAAAAAAAAAAEAIAAAACUBAABkcnMvZTJvRG9jLnhtbFBLBQYAAAAABgAG&#10;AFkBAABKBQAAAAA=&#10;">
                      <v:fill on="f" focussize="0,0"/>
                      <v:stroke on="f"/>
                      <v:imagedata o:title=""/>
                      <o:lock v:ext="edit" aspectratio="f"/>
                      <v:textbox>
                        <w:txbxContent>
                          <w:p>
                            <w:pPr>
                              <w:rPr>
                                <w:rFonts w:hint="default" w:eastAsia="宋体"/>
                                <w:color w:val="auto"/>
                                <w:lang w:val="en-US" w:eastAsia="zh-CN"/>
                              </w:rPr>
                            </w:pPr>
                            <w:r>
                              <w:rPr>
                                <w:rFonts w:hint="eastAsia"/>
                                <w:color w:val="auto"/>
                                <w:lang w:val="en-US" w:eastAsia="zh-CN"/>
                              </w:rPr>
                              <w:t>0.77</w:t>
                            </w:r>
                          </w:p>
                        </w:txbxContent>
                      </v:textbox>
                    </v:shape>
                  </w:pict>
                </mc:Fallback>
              </mc:AlternateContent>
            </w:r>
            <w:r>
              <w:rPr>
                <w:color w:val="auto"/>
              </w:rPr>
              <mc:AlternateContent>
                <mc:Choice Requires="wps">
                  <w:drawing>
                    <wp:anchor distT="0" distB="0" distL="114300" distR="114300" simplePos="0" relativeHeight="251667456" behindDoc="0" locked="0" layoutInCell="1" allowOverlap="1">
                      <wp:simplePos x="0" y="0"/>
                      <wp:positionH relativeFrom="column">
                        <wp:posOffset>4237355</wp:posOffset>
                      </wp:positionH>
                      <wp:positionV relativeFrom="paragraph">
                        <wp:posOffset>44450</wp:posOffset>
                      </wp:positionV>
                      <wp:extent cx="849630" cy="763905"/>
                      <wp:effectExtent l="0" t="0" r="7620" b="17145"/>
                      <wp:wrapNone/>
                      <wp:docPr id="45" name="文本框 45"/>
                      <wp:cNvGraphicFramePr/>
                      <a:graphic xmlns:a="http://schemas.openxmlformats.org/drawingml/2006/main">
                        <a:graphicData uri="http://schemas.microsoft.com/office/word/2010/wordprocessingShape">
                          <wps:wsp>
                            <wps:cNvSpPr txBox="1"/>
                            <wps:spPr>
                              <a:xfrm>
                                <a:off x="0" y="0"/>
                                <a:ext cx="849630" cy="763905"/>
                              </a:xfrm>
                              <a:prstGeom prst="rect">
                                <a:avLst/>
                              </a:prstGeom>
                              <a:solidFill>
                                <a:srgbClr val="FFFFFF"/>
                              </a:solidFill>
                              <a:ln w="9525" cap="flat" cmpd="sng">
                                <a:noFill/>
                                <a:prstDash val="dash"/>
                                <a:miter/>
                                <a:headEnd type="none" w="med" len="med"/>
                                <a:tailEnd type="none" w="med" len="med"/>
                              </a:ln>
                              <a:effectLst/>
                            </wps:spPr>
                            <wps:txbx>
                              <w:txbxContent>
                                <w:p>
                                  <w:pPr>
                                    <w:rPr>
                                      <w:rFonts w:hint="eastAsia" w:eastAsia="宋体"/>
                                      <w:color w:val="auto"/>
                                      <w:lang w:eastAsia="zh-CN"/>
                                    </w:rPr>
                                  </w:pPr>
                                  <w:r>
                                    <w:rPr>
                                      <w:rFonts w:hint="eastAsia"/>
                                      <w:color w:val="auto"/>
                                      <w:lang w:eastAsia="zh-CN"/>
                                    </w:rPr>
                                    <w:t>苍溪县石家坝城市污水处理厂</w:t>
                                  </w:r>
                                </w:p>
                              </w:txbxContent>
                            </wps:txbx>
                            <wps:bodyPr upright="1"/>
                          </wps:wsp>
                        </a:graphicData>
                      </a:graphic>
                    </wp:anchor>
                  </w:drawing>
                </mc:Choice>
                <mc:Fallback>
                  <w:pict>
                    <v:shape id="_x0000_s1026" o:spid="_x0000_s1026" o:spt="202" type="#_x0000_t202" style="position:absolute;left:0pt;margin-left:333.65pt;margin-top:3.5pt;height:60.15pt;width:66.9pt;z-index:251667456;mso-width-relative:page;mso-height-relative:page;" fillcolor="#FFFFFF" filled="t" stroked="f" coordsize="21600,21600" o:gfxdata="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M6RCI7YAAAACQEAAA8AAAAAAAAAAQAg&#10;AAAAIgAAAGRycy9kb3ducmV2LnhtbFBLAQIUABQAAAAIAIdO4kBdtDcKDgIAABsEAAAOAAAAAAAA&#10;AAEAIAAAACcBAABkcnMvZTJvRG9jLnhtbFBLBQYAAAAABgAGAFkBAACnBQAAAAA=&#10;">
                      <v:fill on="t" focussize="0,0"/>
                      <v:stroke on="f" joinstyle="miter" dashstyle="dash"/>
                      <v:imagedata o:title=""/>
                      <o:lock v:ext="edit" aspectratio="f"/>
                      <v:textbox>
                        <w:txbxContent>
                          <w:p>
                            <w:pPr>
                              <w:rPr>
                                <w:rFonts w:hint="eastAsia" w:eastAsia="宋体"/>
                                <w:color w:val="auto"/>
                                <w:lang w:eastAsia="zh-CN"/>
                              </w:rPr>
                            </w:pPr>
                            <w:r>
                              <w:rPr>
                                <w:rFonts w:hint="eastAsia"/>
                                <w:color w:val="auto"/>
                                <w:lang w:eastAsia="zh-CN"/>
                              </w:rPr>
                              <w:t>苍溪县石家坝城市污水处理厂</w:t>
                            </w:r>
                          </w:p>
                        </w:txbxContent>
                      </v:textbox>
                    </v:shape>
                  </w:pict>
                </mc:Fallback>
              </mc:AlternateContent>
            </w:r>
            <w:r>
              <w:rPr>
                <w:color w:val="auto"/>
              </w:rPr>
              <mc:AlternateContent>
                <mc:Choice Requires="wps">
                  <w:drawing>
                    <wp:anchor distT="0" distB="0" distL="114300" distR="114300" simplePos="0" relativeHeight="251680768" behindDoc="0" locked="0" layoutInCell="1" allowOverlap="1">
                      <wp:simplePos x="0" y="0"/>
                      <wp:positionH relativeFrom="column">
                        <wp:posOffset>1425575</wp:posOffset>
                      </wp:positionH>
                      <wp:positionV relativeFrom="paragraph">
                        <wp:posOffset>139065</wp:posOffset>
                      </wp:positionV>
                      <wp:extent cx="361950" cy="76835"/>
                      <wp:effectExtent l="1270" t="21590" r="17780" b="15875"/>
                      <wp:wrapNone/>
                      <wp:docPr id="82" name="直接连接符 82"/>
                      <wp:cNvGraphicFramePr/>
                      <a:graphic xmlns:a="http://schemas.openxmlformats.org/drawingml/2006/main">
                        <a:graphicData uri="http://schemas.microsoft.com/office/word/2010/wordprocessingShape">
                          <wps:wsp>
                            <wps:cNvCnPr/>
                            <wps:spPr>
                              <a:xfrm flipV="1">
                                <a:off x="0" y="0"/>
                                <a:ext cx="361950" cy="76835"/>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flip:y;margin-left:112.25pt;margin-top:10.95pt;height:6.05pt;width:28.5pt;z-index:251680768;mso-width-relative:page;mso-height-relative:page;" filled="f" stroked="t" coordsize="21600,21600" o:gfxdata="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CU2cG1gAAAAkBAAAPAAAAAAAAAAEAIAAAACIA&#10;AABkcnMvZG93bnJldi54bWxQSwECFAAUAAAACACHTuJAhw0kdgsCAAAEBAAADgAAAAAAAAABACAA&#10;AAAlAQAAZHJzL2Uyb0RvYy54bWxQSwUGAAAAAAYABgBZAQAAogUAAAAA&#10;">
                      <v:fill on="f" focussize="0,0"/>
                      <v:stroke color="#000000" joinstyle="round" dashstyle="dash" endarrow="block"/>
                      <v:imagedata o:title=""/>
                      <o:lock v:ext="edit" aspectratio="f"/>
                    </v:line>
                  </w:pict>
                </mc:Fallback>
              </mc:AlternateContent>
            </w:r>
            <w:r>
              <w:rPr>
                <w:color w:val="auto"/>
              </w:rPr>
              <mc:AlternateContent>
                <mc:Choice Requires="wps">
                  <w:drawing>
                    <wp:anchor distT="0" distB="0" distL="114300" distR="114300" simplePos="0" relativeHeight="251668480" behindDoc="0" locked="0" layoutInCell="1" allowOverlap="1">
                      <wp:simplePos x="0" y="0"/>
                      <wp:positionH relativeFrom="column">
                        <wp:posOffset>481330</wp:posOffset>
                      </wp:positionH>
                      <wp:positionV relativeFrom="paragraph">
                        <wp:posOffset>372110</wp:posOffset>
                      </wp:positionV>
                      <wp:extent cx="6985" cy="2512060"/>
                      <wp:effectExtent l="6350" t="0" r="24765" b="2540"/>
                      <wp:wrapNone/>
                      <wp:docPr id="104" name="直接连接符 104"/>
                      <wp:cNvGraphicFramePr/>
                      <a:graphic xmlns:a="http://schemas.openxmlformats.org/drawingml/2006/main">
                        <a:graphicData uri="http://schemas.microsoft.com/office/word/2010/wordprocessingShape">
                          <wps:wsp>
                            <wps:cNvCnPr/>
                            <wps:spPr>
                              <a:xfrm flipH="1">
                                <a:off x="2026285" y="2263140"/>
                                <a:ext cx="6985" cy="251206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flip:x;margin-left:37.9pt;margin-top:29.3pt;height:197.8pt;width:0.55pt;z-index:251668480;mso-width-relative:page;mso-height-relative:page;" filled="f" stroked="t" coordsize="21600,21600" o:gfxdata="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FeDZM1wAAAAgBAAAPAAAAAAAAAAEAIAAAACIAAABkcnMvZG93&#10;bnJldi54bWxQSwECFAAUAAAACACHTuJAn/lkSgECAADdAwAADgAAAAAAAAABACAAAAAmAQAAZHJz&#10;L2Uyb0RvYy54bWxQSwUGAAAAAAYABgBZAQAAmQUAAAAA&#10;">
                      <v:fill on="f" focussize="0,0"/>
                      <v:stroke weight="1pt" color="#000000" miterlimit="8" joinstyle="miter"/>
                      <v:imagedata o:title=""/>
                      <o:lock v:ext="edit" aspectratio="f"/>
                    </v:line>
                  </w:pict>
                </mc:Fallback>
              </mc:AlternateContent>
            </w:r>
          </w:p>
          <w:p>
            <w:pPr>
              <w:rPr>
                <w:b/>
                <w:color w:val="auto"/>
              </w:rPr>
            </w:pPr>
            <w:r>
              <w:rPr>
                <w:color w:val="auto"/>
              </w:rPr>
              <mc:AlternateContent>
                <mc:Choice Requires="wps">
                  <w:drawing>
                    <wp:anchor distT="0" distB="0" distL="114300" distR="114300" simplePos="0" relativeHeight="251670528" behindDoc="0" locked="0" layoutInCell="1" allowOverlap="1">
                      <wp:simplePos x="0" y="0"/>
                      <wp:positionH relativeFrom="column">
                        <wp:posOffset>2259965</wp:posOffset>
                      </wp:positionH>
                      <wp:positionV relativeFrom="paragraph">
                        <wp:posOffset>20320</wp:posOffset>
                      </wp:positionV>
                      <wp:extent cx="561340" cy="24892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561340" cy="248920"/>
                              </a:xfrm>
                              <a:prstGeom prst="rect">
                                <a:avLst/>
                              </a:prstGeom>
                              <a:noFill/>
                              <a:ln>
                                <a:noFill/>
                              </a:ln>
                              <a:effectLst/>
                            </wps:spPr>
                            <wps:txbx>
                              <w:txbxContent>
                                <w:p>
                                  <w:pPr>
                                    <w:rPr>
                                      <w:rFonts w:hint="eastAsia" w:eastAsia="宋体"/>
                                      <w:color w:val="auto"/>
                                      <w:lang w:val="en-US" w:eastAsia="zh-CN"/>
                                    </w:rPr>
                                  </w:pPr>
                                  <w:r>
                                    <w:rPr>
                                      <w:rFonts w:hint="eastAsia"/>
                                      <w:color w:val="auto"/>
                                    </w:rPr>
                                    <w:t>0.</w:t>
                                  </w:r>
                                  <w:r>
                                    <w:rPr>
                                      <w:rFonts w:hint="eastAsia"/>
                                      <w:color w:val="auto"/>
                                      <w:lang w:val="en-US" w:eastAsia="zh-CN"/>
                                    </w:rPr>
                                    <w:t>3</w:t>
                                  </w:r>
                                </w:p>
                              </w:txbxContent>
                            </wps:txbx>
                            <wps:bodyPr upright="1"/>
                          </wps:wsp>
                        </a:graphicData>
                      </a:graphic>
                    </wp:anchor>
                  </w:drawing>
                </mc:Choice>
                <mc:Fallback>
                  <w:pict>
                    <v:shape id="_x0000_s1026" o:spid="_x0000_s1026" o:spt="202" type="#_x0000_t202" style="position:absolute;left:0pt;margin-left:177.95pt;margin-top:1.6pt;height:19.6pt;width:44.2pt;z-index:251670528;mso-width-relative:page;mso-height-relative:page;" filled="f" stroked="f" coordsize="21600,21600" o:gfxdata="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AtM&#10;WuzVAAAACAEAAA8AAAAAAAAAAQAgAAAAIgAAAGRycy9kb3ducmV2LnhtbFBLAQIUABQAAAAIAIdO&#10;4kAEO4WLtAEAAF8DAAAOAAAAAAAAAAEAIAAAACQBAABkcnMvZTJvRG9jLnhtbFBLBQYAAAAABgAG&#10;AFkBAABKBQAAAAA=&#10;">
                      <v:fill on="f" focussize="0,0"/>
                      <v:stroke on="f"/>
                      <v:imagedata o:title=""/>
                      <o:lock v:ext="edit" aspectratio="f"/>
                      <v:textbox>
                        <w:txbxContent>
                          <w:p>
                            <w:pPr>
                              <w:rPr>
                                <w:rFonts w:hint="eastAsia" w:eastAsia="宋体"/>
                                <w:color w:val="auto"/>
                                <w:lang w:val="en-US" w:eastAsia="zh-CN"/>
                              </w:rPr>
                            </w:pPr>
                            <w:r>
                              <w:rPr>
                                <w:rFonts w:hint="eastAsia"/>
                                <w:color w:val="auto"/>
                              </w:rPr>
                              <w:t>0.</w:t>
                            </w:r>
                            <w:r>
                              <w:rPr>
                                <w:rFonts w:hint="eastAsia"/>
                                <w:color w:val="auto"/>
                                <w:lang w:val="en-US" w:eastAsia="zh-CN"/>
                              </w:rPr>
                              <w:t>3</w:t>
                            </w:r>
                          </w:p>
                        </w:txbxContent>
                      </v:textbox>
                    </v:shape>
                  </w:pict>
                </mc:Fallback>
              </mc:AlternateContent>
            </w:r>
            <w:r>
              <w:rPr>
                <w:color w:val="auto"/>
              </w:rPr>
              <mc:AlternateContent>
                <mc:Choice Requires="wps">
                  <w:drawing>
                    <wp:anchor distT="0" distB="0" distL="114300" distR="114300" simplePos="0" relativeHeight="251664384" behindDoc="0" locked="0" layoutInCell="1" allowOverlap="1">
                      <wp:simplePos x="0" y="0"/>
                      <wp:positionH relativeFrom="column">
                        <wp:posOffset>3077210</wp:posOffset>
                      </wp:positionH>
                      <wp:positionV relativeFrom="paragraph">
                        <wp:posOffset>48895</wp:posOffset>
                      </wp:positionV>
                      <wp:extent cx="725805" cy="287655"/>
                      <wp:effectExtent l="5080" t="4445" r="12065" b="12700"/>
                      <wp:wrapNone/>
                      <wp:docPr id="13" name="文本框 13"/>
                      <wp:cNvGraphicFramePr/>
                      <a:graphic xmlns:a="http://schemas.openxmlformats.org/drawingml/2006/main">
                        <a:graphicData uri="http://schemas.microsoft.com/office/word/2010/wordprocessingShape">
                          <wps:wsp>
                            <wps:cNvSpPr txBox="1"/>
                            <wps:spPr>
                              <a:xfrm>
                                <a:off x="0" y="0"/>
                                <a:ext cx="725805" cy="2876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rPr>
                                    <w:t>预处理池</w:t>
                                  </w:r>
                                </w:p>
                              </w:txbxContent>
                            </wps:txbx>
                            <wps:bodyPr upright="1"/>
                          </wps:wsp>
                        </a:graphicData>
                      </a:graphic>
                    </wp:anchor>
                  </w:drawing>
                </mc:Choice>
                <mc:Fallback>
                  <w:pict>
                    <v:shape id="_x0000_s1026" o:spid="_x0000_s1026" o:spt="202" type="#_x0000_t202" style="position:absolute;left:0pt;margin-left:242.3pt;margin-top:3.85pt;height:22.65pt;width:57.15pt;z-index:251664384;mso-width-relative:page;mso-height-relative:page;" fillcolor="#FFFFFF" filled="t" stroked="t" coordsize="21600,21600" o:gfxdata="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JS/9VtgAAAAIAQAADwAAAAAAAAAB&#10;ACAAAAAiAAAAZHJzL2Rvd25yZXYueG1sUEsBAhQAFAAAAAgAh07iQGucGvUQAgAARQQAAA4AAAAA&#10;AAAAAQAgAAAAJwEAAGRycy9lMm9Eb2MueG1sUEsFBgAAAAAGAAYAWQEAAKkFAAAAAA==&#10;">
                      <v:fill on="t" focussize="0,0"/>
                      <v:stroke color="#000000" joinstyle="miter"/>
                      <v:imagedata o:title=""/>
                      <o:lock v:ext="edit" aspectratio="f"/>
                      <v:textbox>
                        <w:txbxContent>
                          <w:p>
                            <w:r>
                              <w:rPr>
                                <w:rFonts w:hint="eastAsia"/>
                              </w:rPr>
                              <w:t>预处理池</w:t>
                            </w:r>
                          </w:p>
                        </w:txbxContent>
                      </v:textbox>
                    </v:shape>
                  </w:pict>
                </mc:Fallback>
              </mc:AlternateContent>
            </w:r>
            <w:r>
              <w:rPr>
                <w:color w:val="auto"/>
              </w:rPr>
              <mc:AlternateContent>
                <mc:Choice Requires="wps">
                  <w:drawing>
                    <wp:anchor distT="0" distB="0" distL="114300" distR="114300" simplePos="0" relativeHeight="251685888" behindDoc="0" locked="0" layoutInCell="1" allowOverlap="1">
                      <wp:simplePos x="0" y="0"/>
                      <wp:positionH relativeFrom="column">
                        <wp:posOffset>533400</wp:posOffset>
                      </wp:positionH>
                      <wp:positionV relativeFrom="paragraph">
                        <wp:posOffset>26035</wp:posOffset>
                      </wp:positionV>
                      <wp:extent cx="572770" cy="24892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572770" cy="248920"/>
                              </a:xfrm>
                              <a:prstGeom prst="rect">
                                <a:avLst/>
                              </a:prstGeom>
                              <a:noFill/>
                              <a:ln>
                                <a:noFill/>
                              </a:ln>
                              <a:effectLst/>
                            </wps:spPr>
                            <wps:txbx>
                              <w:txbxContent>
                                <w:p>
                                  <w:pPr>
                                    <w:rPr>
                                      <w:rFonts w:hint="default" w:eastAsia="宋体"/>
                                      <w:color w:val="auto"/>
                                      <w:lang w:val="en-US" w:eastAsia="zh-CN"/>
                                    </w:rPr>
                                  </w:pPr>
                                  <w:r>
                                    <w:rPr>
                                      <w:rFonts w:hint="eastAsia"/>
                                      <w:color w:val="auto"/>
                                    </w:rPr>
                                    <w:t>0.</w:t>
                                  </w:r>
                                  <w:r>
                                    <w:rPr>
                                      <w:rFonts w:hint="eastAsia"/>
                                      <w:color w:val="auto"/>
                                      <w:lang w:val="en-US" w:eastAsia="zh-CN"/>
                                    </w:rPr>
                                    <w:t>35</w:t>
                                  </w:r>
                                </w:p>
                              </w:txbxContent>
                            </wps:txbx>
                            <wps:bodyPr upright="1"/>
                          </wps:wsp>
                        </a:graphicData>
                      </a:graphic>
                    </wp:anchor>
                  </w:drawing>
                </mc:Choice>
                <mc:Fallback>
                  <w:pict>
                    <v:shape id="_x0000_s1026" o:spid="_x0000_s1026" o:spt="202" type="#_x0000_t202" style="position:absolute;left:0pt;margin-left:42pt;margin-top:2.05pt;height:19.6pt;width:45.1pt;z-index:251685888;mso-width-relative:page;mso-height-relative:page;" filled="f" stroked="f" coordsize="21600,21600" o:gfxdata="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B90Lu&#10;1AAAAAcBAAAPAAAAAAAAAAEAIAAAACIAAABkcnMvZG93bnJldi54bWxQSwECFAAUAAAACACHTuJA&#10;tm7xp7MBAABdAwAADgAAAAAAAAABACAAAAAjAQAAZHJzL2Uyb0RvYy54bWxQSwUGAAAAAAYABgBZ&#10;AQAASAUAAAAA&#10;">
                      <v:fill on="f" focussize="0,0"/>
                      <v:stroke on="f"/>
                      <v:imagedata o:title=""/>
                      <o:lock v:ext="edit" aspectratio="f"/>
                      <v:textbox>
                        <w:txbxContent>
                          <w:p>
                            <w:pPr>
                              <w:rPr>
                                <w:rFonts w:hint="default" w:eastAsia="宋体"/>
                                <w:color w:val="auto"/>
                                <w:lang w:val="en-US" w:eastAsia="zh-CN"/>
                              </w:rPr>
                            </w:pPr>
                            <w:r>
                              <w:rPr>
                                <w:rFonts w:hint="eastAsia"/>
                                <w:color w:val="auto"/>
                              </w:rPr>
                              <w:t>0.</w:t>
                            </w:r>
                            <w:r>
                              <w:rPr>
                                <w:rFonts w:hint="eastAsia"/>
                                <w:color w:val="auto"/>
                                <w:lang w:val="en-US" w:eastAsia="zh-CN"/>
                              </w:rPr>
                              <w:t>35</w:t>
                            </w:r>
                          </w:p>
                        </w:txbxContent>
                      </v:textbox>
                    </v:shape>
                  </w:pict>
                </mc:Fallback>
              </mc:AlternateContent>
            </w:r>
            <w:r>
              <w:rPr>
                <w:color w:val="auto"/>
              </w:rPr>
              <mc:AlternateContent>
                <mc:Choice Requires="wps">
                  <w:drawing>
                    <wp:anchor distT="0" distB="0" distL="114300" distR="114300" simplePos="0" relativeHeight="251684864" behindDoc="0" locked="0" layoutInCell="1" allowOverlap="1">
                      <wp:simplePos x="0" y="0"/>
                      <wp:positionH relativeFrom="column">
                        <wp:posOffset>939165</wp:posOffset>
                      </wp:positionH>
                      <wp:positionV relativeFrom="paragraph">
                        <wp:posOffset>76200</wp:posOffset>
                      </wp:positionV>
                      <wp:extent cx="818515" cy="286385"/>
                      <wp:effectExtent l="4445" t="4445" r="15240" b="13970"/>
                      <wp:wrapNone/>
                      <wp:docPr id="22" name="文本框 22"/>
                      <wp:cNvGraphicFramePr/>
                      <a:graphic xmlns:a="http://schemas.openxmlformats.org/drawingml/2006/main">
                        <a:graphicData uri="http://schemas.microsoft.com/office/word/2010/wordprocessingShape">
                          <wps:wsp>
                            <wps:cNvSpPr txBox="1"/>
                            <wps:spPr>
                              <a:xfrm>
                                <a:off x="0" y="0"/>
                                <a:ext cx="818515" cy="2863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rPr>
                                    <w:t>工作人员</w:t>
                                  </w:r>
                                </w:p>
                              </w:txbxContent>
                            </wps:txbx>
                            <wps:bodyPr upright="1"/>
                          </wps:wsp>
                        </a:graphicData>
                      </a:graphic>
                    </wp:anchor>
                  </w:drawing>
                </mc:Choice>
                <mc:Fallback>
                  <w:pict>
                    <v:shape id="_x0000_s1026" o:spid="_x0000_s1026" o:spt="202" type="#_x0000_t202" style="position:absolute;left:0pt;margin-left:73.95pt;margin-top:6pt;height:22.55pt;width:64.45pt;z-index:251684864;mso-width-relative:page;mso-height-relative:page;" fillcolor="#FFFFFF" filled="t" stroked="t" coordsize="21600,21600" o:gfxdata="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9IYutgAAAAJAQAADwAAAAAAAAAB&#10;ACAAAAAiAAAAZHJzL2Rvd25yZXYueG1sUEsBAhQAFAAAAAgAh07iQOm9hVQQAgAARQQAAA4AAAAA&#10;AAAAAQAgAAAAJwEAAGRycy9lMm9Eb2MueG1sUEsFBgAAAAAGAAYAWQEAAKkFAAAAAA==&#10;">
                      <v:fill on="t" focussize="0,0"/>
                      <v:stroke color="#000000" joinstyle="miter"/>
                      <v:imagedata o:title=""/>
                      <o:lock v:ext="edit" aspectratio="f"/>
                      <v:textbox>
                        <w:txbxContent>
                          <w:p>
                            <w:r>
                              <w:rPr>
                                <w:rFonts w:hint="eastAsia"/>
                              </w:rPr>
                              <w:t>工作人员</w:t>
                            </w:r>
                          </w:p>
                        </w:txbxContent>
                      </v:textbox>
                    </v:shape>
                  </w:pict>
                </mc:Fallback>
              </mc:AlternateContent>
            </w:r>
          </w:p>
          <w:p>
            <w:pPr>
              <w:rPr>
                <w:b/>
                <w:color w:val="auto"/>
              </w:rPr>
            </w:pPr>
            <w:r>
              <w:rPr>
                <w:color w:val="auto"/>
              </w:rPr>
              <mc:AlternateContent>
                <mc:Choice Requires="wps">
                  <w:drawing>
                    <wp:anchor distT="0" distB="0" distL="114300" distR="114300" simplePos="0" relativeHeight="251701248" behindDoc="0" locked="0" layoutInCell="1" allowOverlap="1">
                      <wp:simplePos x="0" y="0"/>
                      <wp:positionH relativeFrom="column">
                        <wp:posOffset>3858895</wp:posOffset>
                      </wp:positionH>
                      <wp:positionV relativeFrom="paragraph">
                        <wp:posOffset>42545</wp:posOffset>
                      </wp:positionV>
                      <wp:extent cx="421005" cy="2540"/>
                      <wp:effectExtent l="0" t="36195" r="17145" b="37465"/>
                      <wp:wrapNone/>
                      <wp:docPr id="153" name="直接连接符 153"/>
                      <wp:cNvGraphicFramePr/>
                      <a:graphic xmlns:a="http://schemas.openxmlformats.org/drawingml/2006/main">
                        <a:graphicData uri="http://schemas.microsoft.com/office/word/2010/wordprocessingShape">
                          <wps:wsp>
                            <wps:cNvCnPr/>
                            <wps:spPr>
                              <a:xfrm>
                                <a:off x="0" y="0"/>
                                <a:ext cx="421005" cy="254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303.85pt;margin-top:3.35pt;height:0.2pt;width:33.15pt;z-index:251701248;mso-width-relative:page;mso-height-relative:page;" filled="f" stroked="t" coordsize="21600,21600" o:gfxdata="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&#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F+G8F2AAAAAcBAAAPAAAAAAAAAAEAIAAAACIAAABk&#10;cnMvZG93bnJldi54bWxQSwECFAAUAAAACACHTuJARRrRsAYCAAD8AwAADgAAAAAAAAABACAAAAAn&#10;AQAAZHJzL2Uyb0RvYy54bWxQSwUGAAAAAAYABgBZAQAAnwUAAAAA&#10;">
                      <v:fill on="f" focussize="0,0"/>
                      <v:stroke color="#000000" joinstyle="round" endarrow="block"/>
                      <v:imagedata o:title=""/>
                      <o:lock v:ext="edit" aspectratio="f"/>
                    </v:line>
                  </w:pict>
                </mc:Fallback>
              </mc:AlternateContent>
            </w:r>
            <w:r>
              <w:rPr>
                <w:color w:val="auto"/>
              </w:rPr>
              <mc:AlternateContent>
                <mc:Choice Requires="wps">
                  <w:drawing>
                    <wp:anchor distT="0" distB="0" distL="114300" distR="114300" simplePos="0" relativeHeight="251697152" behindDoc="0" locked="0" layoutInCell="1" allowOverlap="1">
                      <wp:simplePos x="0" y="0"/>
                      <wp:positionH relativeFrom="column">
                        <wp:posOffset>1757680</wp:posOffset>
                      </wp:positionH>
                      <wp:positionV relativeFrom="paragraph">
                        <wp:posOffset>40005</wp:posOffset>
                      </wp:positionV>
                      <wp:extent cx="1319530" cy="19050"/>
                      <wp:effectExtent l="0" t="36830" r="13970" b="20320"/>
                      <wp:wrapNone/>
                      <wp:docPr id="81" name="直接连接符 81"/>
                      <wp:cNvGraphicFramePr/>
                      <a:graphic xmlns:a="http://schemas.openxmlformats.org/drawingml/2006/main">
                        <a:graphicData uri="http://schemas.microsoft.com/office/word/2010/wordprocessingShape">
                          <wps:wsp>
                            <wps:cNvCnPr>
                              <a:endCxn id="13" idx="1"/>
                            </wps:cNvCnPr>
                            <wps:spPr>
                              <a:xfrm flipV="1">
                                <a:off x="0" y="0"/>
                                <a:ext cx="1319530" cy="1905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138.4pt;margin-top:3.15pt;height:1.5pt;width:103.9pt;z-index:251697152;mso-width-relative:page;mso-height-relative:page;" filled="f" stroked="t" coordsize="21600,21600" o:gfxdata="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FMnUfrXAAAABwEA&#10;AA8AAAAAAAAAAQAgAAAAIgAAAGRycy9kb3ducmV2LnhtbFBLAQIUABQAAAAIAIdO4kAzTi45GwIA&#10;AC4EAAAOAAAAAAAAAAEAIAAAACYBAABkcnMvZTJvRG9jLnhtbFBLBQYAAAAABgAGAFkBAACzBQAA&#10;AAA=&#10;">
                      <v:fill on="f" focussize="0,0"/>
                      <v:stroke color="#000000" joinstyle="round" endarrow="block"/>
                      <v:imagedata o:title=""/>
                      <o:lock v:ext="edit" aspectratio="f"/>
                    </v:line>
                  </w:pict>
                </mc:Fallback>
              </mc:AlternateContent>
            </w:r>
            <w:r>
              <w:rPr>
                <w:color w:val="auto"/>
              </w:rPr>
              <mc:AlternateContent>
                <mc:Choice Requires="wps">
                  <w:drawing>
                    <wp:anchor distT="0" distB="0" distL="114300" distR="114300" simplePos="0" relativeHeight="251682816" behindDoc="0" locked="0" layoutInCell="1" allowOverlap="1">
                      <wp:simplePos x="0" y="0"/>
                      <wp:positionH relativeFrom="column">
                        <wp:posOffset>480695</wp:posOffset>
                      </wp:positionH>
                      <wp:positionV relativeFrom="paragraph">
                        <wp:posOffset>60325</wp:posOffset>
                      </wp:positionV>
                      <wp:extent cx="447675" cy="4445"/>
                      <wp:effectExtent l="0" t="37465" r="9525" b="34290"/>
                      <wp:wrapNone/>
                      <wp:docPr id="20" name="直接连接符 20"/>
                      <wp:cNvGraphicFramePr/>
                      <a:graphic xmlns:a="http://schemas.openxmlformats.org/drawingml/2006/main">
                        <a:graphicData uri="http://schemas.microsoft.com/office/word/2010/wordprocessingShape">
                          <wps:wsp>
                            <wps:cNvCnPr/>
                            <wps:spPr>
                              <a:xfrm flipV="1">
                                <a:off x="0" y="0"/>
                                <a:ext cx="447675" cy="444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37.85pt;margin-top:4.75pt;height:0.35pt;width:35.25pt;z-index:251682816;mso-width-relative:page;mso-height-relative:page;" filled="f" stroked="t" coordsize="21600,21600" o:gfxdata="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Gg8HSnWAAAABwEAAA8AAAAAAAAAAQAgAAAAIgAA&#10;AGRycy9kb3ducmV2LnhtbFBLAQIUABQAAAAIAIdO4kCPbKGRCgIAAAQEAAAOAAAAAAAAAAEAIAAA&#10;ACUBAABkcnMvZTJvRG9jLnhtbFBLBQYAAAAABgAGAFkBAAChBQAAAAA=&#10;">
                      <v:fill on="f" focussize="0,0"/>
                      <v:stroke color="#000000" joinstyle="round" endarrow="block"/>
                      <v:imagedata o:title=""/>
                      <o:lock v:ext="edit" aspectratio="f"/>
                    </v:line>
                  </w:pict>
                </mc:Fallback>
              </mc:AlternateContent>
            </w:r>
          </w:p>
          <w:p>
            <w:pPr>
              <w:pStyle w:val="9"/>
              <w:jc w:val="center"/>
              <w:rPr>
                <w:color w:val="auto"/>
              </w:rPr>
            </w:pPr>
            <w:r>
              <w:rPr>
                <w:color w:val="auto"/>
                <w:sz w:val="21"/>
              </w:rPr>
              <mc:AlternateContent>
                <mc:Choice Requires="wps">
                  <w:drawing>
                    <wp:anchor distT="0" distB="0" distL="114300" distR="114300" simplePos="0" relativeHeight="251665408" behindDoc="0" locked="0" layoutInCell="1" allowOverlap="1">
                      <wp:simplePos x="0" y="0"/>
                      <wp:positionH relativeFrom="column">
                        <wp:posOffset>3455670</wp:posOffset>
                      </wp:positionH>
                      <wp:positionV relativeFrom="paragraph">
                        <wp:posOffset>11430</wp:posOffset>
                      </wp:positionV>
                      <wp:extent cx="11430" cy="1562100"/>
                      <wp:effectExtent l="37465" t="0" r="27305" b="0"/>
                      <wp:wrapNone/>
                      <wp:docPr id="1" name="直接连接符 1"/>
                      <wp:cNvGraphicFramePr/>
                      <a:graphic xmlns:a="http://schemas.openxmlformats.org/drawingml/2006/main">
                        <a:graphicData uri="http://schemas.microsoft.com/office/word/2010/wordprocessingShape">
                          <wps:wsp>
                            <wps:cNvCnPr/>
                            <wps:spPr>
                              <a:xfrm flipH="1" flipV="1">
                                <a:off x="0" y="0"/>
                                <a:ext cx="11430" cy="156210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x y;margin-left:272.1pt;margin-top:0.9pt;height:123pt;width:0.9pt;z-index:251665408;mso-width-relative:page;mso-height-relative:page;" filled="f" stroked="t" coordsize="21600,21600" o:gfxdata="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DoVqnYAAAACQEAAA8AAAAAAAAA&#10;AQAgAAAAIgAAAGRycy9kb3ducmV2LnhtbFBLAQIUABQAAAAIAIdO4kDcuFELEQIAAA4EAAAOAAAA&#10;AAAAAAEAIAAAACcBAABkcnMvZTJvRG9jLnhtbFBLBQYAAAAABgAGAFkBAACqBQAAAAA=&#10;">
                      <v:fill on="f" focussize="0,0"/>
                      <v:stroke color="#000000" joinstyle="round" endarrow="block"/>
                      <v:imagedata o:title=""/>
                      <o:lock v:ext="edit" aspectratio="f"/>
                    </v:line>
                  </w:pict>
                </mc:Fallback>
              </mc:AlternateContent>
            </w:r>
          </w:p>
          <w:p>
            <w:pPr>
              <w:ind w:firstLine="480"/>
              <w:jc w:val="center"/>
              <w:rPr>
                <w:b/>
                <w:color w:val="auto"/>
              </w:rPr>
            </w:pPr>
          </w:p>
          <w:p>
            <w:pPr>
              <w:ind w:firstLine="480"/>
              <w:jc w:val="center"/>
              <w:rPr>
                <w:b/>
                <w:color w:val="auto"/>
              </w:rPr>
            </w:pPr>
          </w:p>
          <w:p>
            <w:pPr>
              <w:ind w:firstLine="480"/>
              <w:jc w:val="center"/>
              <w:rPr>
                <w:b/>
                <w:color w:val="auto"/>
              </w:rPr>
            </w:pPr>
            <w:r>
              <w:rPr>
                <w:color w:val="auto"/>
              </w:rPr>
              <mc:AlternateContent>
                <mc:Choice Requires="wps">
                  <w:drawing>
                    <wp:anchor distT="0" distB="0" distL="114300" distR="114300" simplePos="0" relativeHeight="251666432" behindDoc="0" locked="0" layoutInCell="1" allowOverlap="1">
                      <wp:simplePos x="0" y="0"/>
                      <wp:positionH relativeFrom="column">
                        <wp:posOffset>-53975</wp:posOffset>
                      </wp:positionH>
                      <wp:positionV relativeFrom="paragraph">
                        <wp:posOffset>66040</wp:posOffset>
                      </wp:positionV>
                      <wp:extent cx="791845" cy="462915"/>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791845" cy="462915"/>
                              </a:xfrm>
                              <a:prstGeom prst="rect">
                                <a:avLst/>
                              </a:prstGeom>
                              <a:noFill/>
                              <a:ln>
                                <a:noFill/>
                              </a:ln>
                              <a:effectLst/>
                            </wps:spPr>
                            <wps:txbx>
                              <w:txbxContent>
                                <w:p>
                                  <w:r>
                                    <w:rPr>
                                      <w:rFonts w:hint="eastAsia"/>
                                    </w:rPr>
                                    <w:t>新鲜用水</w:t>
                                  </w:r>
                                </w:p>
                                <w:p>
                                  <w:pPr>
                                    <w:rPr>
                                      <w:rFonts w:hint="default" w:eastAsia="宋体"/>
                                      <w:color w:val="auto"/>
                                      <w:lang w:val="en-US" w:eastAsia="zh-CN"/>
                                    </w:rPr>
                                  </w:pPr>
                                  <w:r>
                                    <w:rPr>
                                      <w:rFonts w:hint="eastAsia"/>
                                      <w:color w:val="auto"/>
                                    </w:rPr>
                                    <w:t xml:space="preserve"> </w:t>
                                  </w:r>
                                  <w:r>
                                    <w:rPr>
                                      <w:rFonts w:hint="eastAsia"/>
                                      <w:color w:val="auto"/>
                                      <w:lang w:val="en-US" w:eastAsia="zh-CN"/>
                                    </w:rPr>
                                    <w:t>0.9</w:t>
                                  </w:r>
                                </w:p>
                              </w:txbxContent>
                            </wps:txbx>
                            <wps:bodyPr upright="1"/>
                          </wps:wsp>
                        </a:graphicData>
                      </a:graphic>
                    </wp:anchor>
                  </w:drawing>
                </mc:Choice>
                <mc:Fallback>
                  <w:pict>
                    <v:shape id="_x0000_s1026" o:spid="_x0000_s1026" o:spt="202" type="#_x0000_t202" style="position:absolute;left:0pt;margin-left:-4.25pt;margin-top:5.2pt;height:36.45pt;width:62.35pt;z-index:251666432;mso-width-relative:page;mso-height-relative:page;" filled="f" stroked="f" coordsize="21600,21600" o:gfxdata="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lnSOu&#10;1gAAAAgBAAAPAAAAAAAAAAEAIAAAACIAAABkcnMvZG93bnJldi54bWxQSwECFAAUAAAACACHTuJA&#10;+dEku7EBAABdAwAADgAAAAAAAAABACAAAAAlAQAAZHJzL2Uyb0RvYy54bWxQSwUGAAAAAAYABgBZ&#10;AQAASAUAAAAA&#10;">
                      <v:fill on="f" focussize="0,0"/>
                      <v:stroke on="f"/>
                      <v:imagedata o:title=""/>
                      <o:lock v:ext="edit" aspectratio="f"/>
                      <v:textbox>
                        <w:txbxContent>
                          <w:p>
                            <w:r>
                              <w:rPr>
                                <w:rFonts w:hint="eastAsia"/>
                              </w:rPr>
                              <w:t>新鲜用水</w:t>
                            </w:r>
                          </w:p>
                          <w:p>
                            <w:pPr>
                              <w:rPr>
                                <w:rFonts w:hint="default" w:eastAsia="宋体"/>
                                <w:color w:val="auto"/>
                                <w:lang w:val="en-US" w:eastAsia="zh-CN"/>
                              </w:rPr>
                            </w:pPr>
                            <w:r>
                              <w:rPr>
                                <w:rFonts w:hint="eastAsia"/>
                                <w:color w:val="auto"/>
                              </w:rPr>
                              <w:t xml:space="preserve"> </w:t>
                            </w:r>
                            <w:r>
                              <w:rPr>
                                <w:rFonts w:hint="eastAsia"/>
                                <w:color w:val="auto"/>
                                <w:lang w:val="en-US" w:eastAsia="zh-CN"/>
                              </w:rPr>
                              <w:t>0.9</w:t>
                            </w:r>
                          </w:p>
                        </w:txbxContent>
                      </v:textbox>
                    </v:shape>
                  </w:pict>
                </mc:Fallback>
              </mc:AlternateContent>
            </w:r>
            <w:r>
              <w:rPr>
                <w:color w:val="auto"/>
              </w:rPr>
              <mc:AlternateContent>
                <mc:Choice Requires="wps">
                  <w:drawing>
                    <wp:anchor distT="0" distB="0" distL="114300" distR="114300" simplePos="0" relativeHeight="251700224" behindDoc="0" locked="0" layoutInCell="1" allowOverlap="1">
                      <wp:simplePos x="0" y="0"/>
                      <wp:positionH relativeFrom="column">
                        <wp:posOffset>3161665</wp:posOffset>
                      </wp:positionH>
                      <wp:positionV relativeFrom="paragraph">
                        <wp:posOffset>3810</wp:posOffset>
                      </wp:positionV>
                      <wp:extent cx="561340" cy="248920"/>
                      <wp:effectExtent l="0" t="0" r="0" b="0"/>
                      <wp:wrapNone/>
                      <wp:docPr id="141" name="文本框 141"/>
                      <wp:cNvGraphicFramePr/>
                      <a:graphic xmlns:a="http://schemas.openxmlformats.org/drawingml/2006/main">
                        <a:graphicData uri="http://schemas.microsoft.com/office/word/2010/wordprocessingShape">
                          <wps:wsp>
                            <wps:cNvSpPr txBox="1"/>
                            <wps:spPr>
                              <a:xfrm>
                                <a:off x="0" y="0"/>
                                <a:ext cx="561340" cy="248920"/>
                              </a:xfrm>
                              <a:prstGeom prst="rect">
                                <a:avLst/>
                              </a:prstGeom>
                              <a:noFill/>
                              <a:ln>
                                <a:noFill/>
                              </a:ln>
                              <a:effectLst/>
                            </wps:spPr>
                            <wps:txbx>
                              <w:txbxContent>
                                <w:p>
                                  <w:pPr>
                                    <w:rPr>
                                      <w:rFonts w:hint="default" w:eastAsia="宋体"/>
                                      <w:lang w:val="en-US" w:eastAsia="zh-CN"/>
                                    </w:rPr>
                                  </w:pPr>
                                  <w:r>
                                    <w:rPr>
                                      <w:rFonts w:hint="eastAsia"/>
                                      <w:lang w:val="en-US" w:eastAsia="zh-CN"/>
                                    </w:rPr>
                                    <w:t>0.47</w:t>
                                  </w:r>
                                </w:p>
                              </w:txbxContent>
                            </wps:txbx>
                            <wps:bodyPr upright="1"/>
                          </wps:wsp>
                        </a:graphicData>
                      </a:graphic>
                    </wp:anchor>
                  </w:drawing>
                </mc:Choice>
                <mc:Fallback>
                  <w:pict>
                    <v:shape id="_x0000_s1026" o:spid="_x0000_s1026" o:spt="202" type="#_x0000_t202" style="position:absolute;left:0pt;margin-left:248.95pt;margin-top:0.3pt;height:19.6pt;width:44.2pt;z-index:251700224;mso-width-relative:page;mso-height-relative:page;" filled="f" stroked="f" coordsize="21600,21600" o:gfxdata="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C2yb&#10;LNUAAAAHAQAADwAAAAAAAAABACAAAAAiAAAAZHJzL2Rvd25yZXYueG1sUEsBAhQAFAAAAAgAh07i&#10;QM03xZizAQAAXwMAAA4AAAAAAAAAAQAgAAAAJAEAAGRycy9lMm9Eb2MueG1sUEsFBgAAAAAGAAYA&#10;WQEAAEkFAAAAAA==&#10;">
                      <v:fill on="f" focussize="0,0"/>
                      <v:stroke on="f"/>
                      <v:imagedata o:title=""/>
                      <o:lock v:ext="edit" aspectratio="f"/>
                      <v:textbox>
                        <w:txbxContent>
                          <w:p>
                            <w:pPr>
                              <w:rPr>
                                <w:rFonts w:hint="default" w:eastAsia="宋体"/>
                                <w:lang w:val="en-US" w:eastAsia="zh-CN"/>
                              </w:rPr>
                            </w:pPr>
                            <w:r>
                              <w:rPr>
                                <w:rFonts w:hint="eastAsia"/>
                                <w:lang w:val="en-US" w:eastAsia="zh-CN"/>
                              </w:rPr>
                              <w:t>0.47</w:t>
                            </w:r>
                          </w:p>
                        </w:txbxContent>
                      </v:textbox>
                    </v:shape>
                  </w:pict>
                </mc:Fallback>
              </mc:AlternateContent>
            </w:r>
          </w:p>
          <w:p>
            <w:pPr>
              <w:ind w:firstLine="480"/>
              <w:jc w:val="center"/>
              <w:rPr>
                <w:b/>
                <w:color w:val="auto"/>
              </w:rPr>
            </w:pPr>
            <w:r>
              <w:rPr>
                <w:color w:val="auto"/>
              </w:rPr>
              <mc:AlternateContent>
                <mc:Choice Requires="wps">
                  <w:drawing>
                    <wp:anchor distT="0" distB="0" distL="114300" distR="114300" simplePos="0" relativeHeight="251688960" behindDoc="0" locked="0" layoutInCell="1" allowOverlap="1">
                      <wp:simplePos x="0" y="0"/>
                      <wp:positionH relativeFrom="column">
                        <wp:posOffset>1875790</wp:posOffset>
                      </wp:positionH>
                      <wp:positionV relativeFrom="paragraph">
                        <wp:posOffset>24130</wp:posOffset>
                      </wp:positionV>
                      <wp:extent cx="866775" cy="24892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866775" cy="248920"/>
                              </a:xfrm>
                              <a:prstGeom prst="rect">
                                <a:avLst/>
                              </a:prstGeom>
                              <a:noFill/>
                              <a:ln>
                                <a:noFill/>
                              </a:ln>
                              <a:effectLst/>
                            </wps:spPr>
                            <wps:txbx>
                              <w:txbxContent>
                                <w:p>
                                  <w:r>
                                    <w:rPr>
                                      <w:rFonts w:hint="eastAsia"/>
                                    </w:rPr>
                                    <w:t>损耗0.05</w:t>
                                  </w:r>
                                </w:p>
                              </w:txbxContent>
                            </wps:txbx>
                            <wps:bodyPr upright="1"/>
                          </wps:wsp>
                        </a:graphicData>
                      </a:graphic>
                    </wp:anchor>
                  </w:drawing>
                </mc:Choice>
                <mc:Fallback>
                  <w:pict>
                    <v:shape id="_x0000_s1026" o:spid="_x0000_s1026" o:spt="202" type="#_x0000_t202" style="position:absolute;left:0pt;margin-left:147.7pt;margin-top:1.9pt;height:19.6pt;width:68.25pt;z-index:251688960;mso-width-relative:page;mso-height-relative:page;" filled="f" stroked="f" coordsize="21600,21600" o:gfxdata="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xz&#10;Pl7WAAAACAEAAA8AAAAAAAAAAQAgAAAAIgAAAGRycy9kb3ducmV2LnhtbFBLAQIUABQAAAAIAIdO&#10;4kBSeeHDswEAAF0DAAAOAAAAAAAAAAEAIAAAACUBAABkcnMvZTJvRG9jLnhtbFBLBQYAAAAABgAG&#10;AFkBAABKBQAAAAA=&#10;">
                      <v:fill on="f" focussize="0,0"/>
                      <v:stroke on="f"/>
                      <v:imagedata o:title=""/>
                      <o:lock v:ext="edit" aspectratio="f"/>
                      <v:textbox>
                        <w:txbxContent>
                          <w:p>
                            <w:r>
                              <w:rPr>
                                <w:rFonts w:hint="eastAsia"/>
                              </w:rPr>
                              <w:t>损耗0.05</w:t>
                            </w:r>
                          </w:p>
                        </w:txbxContent>
                      </v:textbox>
                    </v:shape>
                  </w:pict>
                </mc:Fallback>
              </mc:AlternateContent>
            </w:r>
            <w:r>
              <w:rPr>
                <w:color w:val="auto"/>
              </w:rPr>
              <mc:AlternateContent>
                <mc:Choice Requires="wps">
                  <w:drawing>
                    <wp:anchor distT="0" distB="0" distL="114300" distR="114300" simplePos="0" relativeHeight="251696128" behindDoc="0" locked="0" layoutInCell="1" allowOverlap="1">
                      <wp:simplePos x="0" y="0"/>
                      <wp:positionH relativeFrom="column">
                        <wp:posOffset>2453005</wp:posOffset>
                      </wp:positionH>
                      <wp:positionV relativeFrom="paragraph">
                        <wp:posOffset>501650</wp:posOffset>
                      </wp:positionV>
                      <wp:extent cx="11430" cy="1187450"/>
                      <wp:effectExtent l="6350" t="0" r="20320" b="12700"/>
                      <wp:wrapNone/>
                      <wp:docPr id="70" name="直接连接符 70"/>
                      <wp:cNvGraphicFramePr/>
                      <a:graphic xmlns:a="http://schemas.openxmlformats.org/drawingml/2006/main">
                        <a:graphicData uri="http://schemas.microsoft.com/office/word/2010/wordprocessingShape">
                          <wps:wsp>
                            <wps:cNvCnPr/>
                            <wps:spPr>
                              <a:xfrm>
                                <a:off x="0" y="0"/>
                                <a:ext cx="11430" cy="1187450"/>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193.15pt;margin-top:39.5pt;height:93.5pt;width:0.9pt;z-index:251696128;mso-width-relative:page;mso-height-relative:page;" filled="f" stroked="t" coordsize="21600,21600" o:gfxdata="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3ICoT9oAAAAKAQAADwAAAAAAAAABACAAAAAiAAAAZHJzL2Rvd25yZXYueG1sUEsBAhQAFAAA&#10;AAgAh07iQG0EhtjtAQAAxgMAAA4AAAAAAAAAAQAgAAAAKQEAAGRycy9lMm9Eb2MueG1sUEsFBgAA&#10;AAAGAAYAWQEAAIgFAAAAAA==&#10;">
                      <v:fill on="f" focussize="0,0"/>
                      <v:stroke weight="1pt" color="#000000" miterlimit="8" joinstyle="miter"/>
                      <v:imagedata o:title=""/>
                      <o:lock v:ext="edit" aspectratio="f"/>
                    </v:line>
                  </w:pict>
                </mc:Fallback>
              </mc:AlternateContent>
            </w:r>
          </w:p>
          <w:p>
            <w:pPr>
              <w:ind w:firstLine="480"/>
              <w:jc w:val="center"/>
              <w:rPr>
                <w:b/>
                <w:color w:val="auto"/>
              </w:rPr>
            </w:pPr>
            <w:r>
              <w:rPr>
                <w:color w:val="auto"/>
              </w:rPr>
              <mc:AlternateContent>
                <mc:Choice Requires="wps">
                  <w:drawing>
                    <wp:anchor distT="0" distB="0" distL="114300" distR="114300" simplePos="0" relativeHeight="251675648" behindDoc="0" locked="0" layoutInCell="1" allowOverlap="1">
                      <wp:simplePos x="0" y="0"/>
                      <wp:positionH relativeFrom="column">
                        <wp:posOffset>1998980</wp:posOffset>
                      </wp:positionH>
                      <wp:positionV relativeFrom="paragraph">
                        <wp:posOffset>128905</wp:posOffset>
                      </wp:positionV>
                      <wp:extent cx="593090" cy="248920"/>
                      <wp:effectExtent l="0" t="0" r="0" b="0"/>
                      <wp:wrapNone/>
                      <wp:docPr id="8" name="文本框 8"/>
                      <wp:cNvGraphicFramePr/>
                      <a:graphic xmlns:a="http://schemas.openxmlformats.org/drawingml/2006/main">
                        <a:graphicData uri="http://schemas.microsoft.com/office/word/2010/wordprocessingShape">
                          <wps:wsp>
                            <wps:cNvSpPr txBox="1"/>
                            <wps:spPr>
                              <a:xfrm>
                                <a:off x="0" y="0"/>
                                <a:ext cx="593090" cy="248920"/>
                              </a:xfrm>
                              <a:prstGeom prst="rect">
                                <a:avLst/>
                              </a:prstGeom>
                              <a:noFill/>
                              <a:ln>
                                <a:noFill/>
                              </a:ln>
                              <a:effectLst/>
                            </wps:spPr>
                            <wps:txbx>
                              <w:txbxContent>
                                <w:p>
                                  <w:r>
                                    <w:rPr>
                                      <w:rFonts w:hint="eastAsia"/>
                                    </w:rPr>
                                    <w:t>0.3</w:t>
                                  </w:r>
                                </w:p>
                              </w:txbxContent>
                            </wps:txbx>
                            <wps:bodyPr upright="1"/>
                          </wps:wsp>
                        </a:graphicData>
                      </a:graphic>
                    </wp:anchor>
                  </w:drawing>
                </mc:Choice>
                <mc:Fallback>
                  <w:pict>
                    <v:shape id="_x0000_s1026" o:spid="_x0000_s1026" o:spt="202" type="#_x0000_t202" style="position:absolute;left:0pt;margin-left:157.4pt;margin-top:10.15pt;height:19.6pt;width:46.7pt;z-index:251675648;mso-width-relative:page;mso-height-relative:page;" filled="f" stroked="f" coordsize="21600,21600" o:gfxdata="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vEYH&#10;w9cAAAAJAQAADwAAAAAAAAABACAAAAAiAAAAZHJzL2Rvd25yZXYueG1sUEsBAhQAFAAAAAgAh07i&#10;QMfldyyxAQAAWwMAAA4AAAAAAAAAAQAgAAAAJgEAAGRycy9lMm9Eb2MueG1sUEsFBgAAAAAGAAYA&#10;WQEAAEkFAAAAAA==&#10;">
                      <v:fill on="f" focussize="0,0"/>
                      <v:stroke on="f"/>
                      <v:imagedata o:title=""/>
                      <o:lock v:ext="edit" aspectratio="f"/>
                      <v:textbox>
                        <w:txbxContent>
                          <w:p>
                            <w:r>
                              <w:rPr>
                                <w:rFonts w:hint="eastAsia"/>
                              </w:rPr>
                              <w:t>0.3</w:t>
                            </w:r>
                          </w:p>
                        </w:txbxContent>
                      </v:textbox>
                    </v:shape>
                  </w:pict>
                </mc:Fallback>
              </mc:AlternateContent>
            </w:r>
            <w:r>
              <w:rPr>
                <w:color w:val="auto"/>
              </w:rPr>
              <mc:AlternateContent>
                <mc:Choice Requires="wps">
                  <w:drawing>
                    <wp:anchor distT="0" distB="0" distL="114300" distR="114300" simplePos="0" relativeHeight="251673600" behindDoc="0" locked="0" layoutInCell="1" allowOverlap="1">
                      <wp:simplePos x="0" y="0"/>
                      <wp:positionH relativeFrom="column">
                        <wp:posOffset>494665</wp:posOffset>
                      </wp:positionH>
                      <wp:positionV relativeFrom="paragraph">
                        <wp:posOffset>109220</wp:posOffset>
                      </wp:positionV>
                      <wp:extent cx="572770" cy="248920"/>
                      <wp:effectExtent l="0" t="0" r="0" b="0"/>
                      <wp:wrapNone/>
                      <wp:docPr id="5" name="文本框 5"/>
                      <wp:cNvGraphicFramePr/>
                      <a:graphic xmlns:a="http://schemas.openxmlformats.org/drawingml/2006/main">
                        <a:graphicData uri="http://schemas.microsoft.com/office/word/2010/wordprocessingShape">
                          <wps:wsp>
                            <wps:cNvSpPr txBox="1"/>
                            <wps:spPr>
                              <a:xfrm>
                                <a:off x="0" y="0"/>
                                <a:ext cx="572770" cy="248920"/>
                              </a:xfrm>
                              <a:prstGeom prst="rect">
                                <a:avLst/>
                              </a:prstGeom>
                              <a:noFill/>
                              <a:ln>
                                <a:noFill/>
                              </a:ln>
                              <a:effectLst/>
                            </wps:spPr>
                            <wps:txbx>
                              <w:txbxContent>
                                <w:p>
                                  <w:r>
                                    <w:rPr>
                                      <w:rFonts w:hint="eastAsia"/>
                                    </w:rPr>
                                    <w:t>0.35</w:t>
                                  </w:r>
                                </w:p>
                              </w:txbxContent>
                            </wps:txbx>
                            <wps:bodyPr upright="1"/>
                          </wps:wsp>
                        </a:graphicData>
                      </a:graphic>
                    </wp:anchor>
                  </w:drawing>
                </mc:Choice>
                <mc:Fallback>
                  <w:pict>
                    <v:shape id="_x0000_s1026" o:spid="_x0000_s1026" o:spt="202" type="#_x0000_t202" style="position:absolute;left:0pt;margin-left:38.95pt;margin-top:8.6pt;height:19.6pt;width:45.1pt;z-index:251673600;mso-width-relative:page;mso-height-relative:page;" filled="f" stroked="f" coordsize="21600,21600" o:gfxdata="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yfND&#10;F9YAAAAIAQAADwAAAAAAAAABACAAAAAiAAAAZHJzL2Rvd25yZXYueG1sUEsBAhQAFAAAAAgAh07i&#10;QI3zjXuyAQAAWwMAAA4AAAAAAAAAAQAgAAAAJQEAAGRycy9lMm9Eb2MueG1sUEsFBgAAAAAGAAYA&#10;WQEAAEkFAAAAAA==&#10;">
                      <v:fill on="f" focussize="0,0"/>
                      <v:stroke on="f"/>
                      <v:imagedata o:title=""/>
                      <o:lock v:ext="edit" aspectratio="f"/>
                      <v:textbox>
                        <w:txbxContent>
                          <w:p>
                            <w:r>
                              <w:rPr>
                                <w:rFonts w:hint="eastAsia"/>
                              </w:rPr>
                              <w:t>0.35</w:t>
                            </w:r>
                          </w:p>
                        </w:txbxContent>
                      </v:textbox>
                    </v:shape>
                  </w:pict>
                </mc:Fallback>
              </mc:AlternateContent>
            </w:r>
            <w:r>
              <w:rPr>
                <w:color w:val="auto"/>
              </w:rPr>
              <mc:AlternateContent>
                <mc:Choice Requires="wps">
                  <w:drawing>
                    <wp:anchor distT="0" distB="0" distL="114300" distR="114300" simplePos="0" relativeHeight="251678720" behindDoc="0" locked="0" layoutInCell="1" allowOverlap="1">
                      <wp:simplePos x="0" y="0"/>
                      <wp:positionH relativeFrom="column">
                        <wp:posOffset>1459865</wp:posOffset>
                      </wp:positionH>
                      <wp:positionV relativeFrom="paragraph">
                        <wp:posOffset>67310</wp:posOffset>
                      </wp:positionV>
                      <wp:extent cx="390525" cy="101600"/>
                      <wp:effectExtent l="1270" t="17780" r="8255" b="13970"/>
                      <wp:wrapNone/>
                      <wp:docPr id="59" name="直接连接符 59"/>
                      <wp:cNvGraphicFramePr/>
                      <a:graphic xmlns:a="http://schemas.openxmlformats.org/drawingml/2006/main">
                        <a:graphicData uri="http://schemas.microsoft.com/office/word/2010/wordprocessingShape">
                          <wps:wsp>
                            <wps:cNvCnPr/>
                            <wps:spPr>
                              <a:xfrm flipV="1">
                                <a:off x="0" y="0"/>
                                <a:ext cx="390525" cy="101600"/>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flip:y;margin-left:114.95pt;margin-top:5.3pt;height:8pt;width:30.75pt;z-index:251678720;mso-width-relative:page;mso-height-relative:page;" filled="f" stroked="t" coordsize="21600,21600" o:gfxdata="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FgcB1zWAAAACQEAAA8AAAAAAAAAAQAgAAAA&#10;IgAAAGRycy9kb3ducmV2LnhtbFBLAQIUABQAAAAIAIdO4kBbW416DQIAAAUEAAAOAAAAAAAAAAEA&#10;IAAAACUBAABkcnMvZTJvRG9jLnhtbFBLBQYAAAAABgAGAFkBAACkBQAAAAA=&#10;">
                      <v:fill on="f" focussize="0,0"/>
                      <v:stroke color="#000000" joinstyle="round" dashstyle="dash" endarrow="block"/>
                      <v:imagedata o:title=""/>
                      <o:lock v:ext="edit" aspectratio="f"/>
                    </v:line>
                  </w:pict>
                </mc:Fallback>
              </mc:AlternateContent>
            </w:r>
            <w:r>
              <w:rPr>
                <w:color w:val="auto"/>
              </w:rPr>
              <mc:AlternateContent>
                <mc:Choice Requires="wps">
                  <w:drawing>
                    <wp:anchor distT="0" distB="0" distL="114300" distR="114300" simplePos="0" relativeHeight="251663360" behindDoc="0" locked="0" layoutInCell="1" allowOverlap="1">
                      <wp:simplePos x="0" y="0"/>
                      <wp:positionH relativeFrom="column">
                        <wp:posOffset>50165</wp:posOffset>
                      </wp:positionH>
                      <wp:positionV relativeFrom="paragraph">
                        <wp:posOffset>41275</wp:posOffset>
                      </wp:positionV>
                      <wp:extent cx="437515" cy="3175"/>
                      <wp:effectExtent l="0" t="37465" r="635" b="35560"/>
                      <wp:wrapNone/>
                      <wp:docPr id="9" name="直接连接符 9"/>
                      <wp:cNvGraphicFramePr/>
                      <a:graphic xmlns:a="http://schemas.openxmlformats.org/drawingml/2006/main">
                        <a:graphicData uri="http://schemas.microsoft.com/office/word/2010/wordprocessingShape">
                          <wps:wsp>
                            <wps:cNvCnPr/>
                            <wps:spPr>
                              <a:xfrm flipV="1">
                                <a:off x="0" y="0"/>
                                <a:ext cx="437515" cy="317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3.95pt;margin-top:3.25pt;height:0.25pt;width:34.45pt;z-index:251663360;mso-width-relative:page;mso-height-relative:page;" filled="f" stroked="t" coordsize="21600,21600" o:gfxdata="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qi/bz1gAAAAQBAAAPAAAAAAAAAAEAIAAAACIAAABk&#10;cnMvZG93bnJldi54bWxQSwECFAAUAAAACACHTuJAwpdJdggCAAACBAAADgAAAAAAAAABACAAAAAl&#10;AQAAZHJzL2Uyb0RvYy54bWxQSwUGAAAAAAYABgBZAQAAnwUAAAAA&#10;">
                      <v:fill on="f" focussize="0,0"/>
                      <v:stroke color="#000000" joinstyle="round" endarrow="block"/>
                      <v:imagedata o:title=""/>
                      <o:lock v:ext="edit" aspectratio="f"/>
                    </v:line>
                  </w:pict>
                </mc:Fallback>
              </mc:AlternateContent>
            </w:r>
          </w:p>
          <w:p>
            <w:pPr>
              <w:ind w:firstLine="480"/>
              <w:jc w:val="center"/>
              <w:rPr>
                <w:b/>
                <w:color w:val="auto"/>
              </w:rPr>
            </w:pPr>
            <w:r>
              <w:rPr>
                <w:color w:val="auto"/>
              </w:rPr>
              <mc:AlternateContent>
                <mc:Choice Requires="wps">
                  <w:drawing>
                    <wp:anchor distT="0" distB="0" distL="114300" distR="114300" simplePos="0" relativeHeight="251672576" behindDoc="0" locked="0" layoutInCell="1" allowOverlap="1">
                      <wp:simplePos x="0" y="0"/>
                      <wp:positionH relativeFrom="column">
                        <wp:posOffset>911860</wp:posOffset>
                      </wp:positionH>
                      <wp:positionV relativeFrom="paragraph">
                        <wp:posOffset>15875</wp:posOffset>
                      </wp:positionV>
                      <wp:extent cx="1040765" cy="303530"/>
                      <wp:effectExtent l="4445" t="4445" r="21590" b="15875"/>
                      <wp:wrapNone/>
                      <wp:docPr id="4" name="文本框 4"/>
                      <wp:cNvGraphicFramePr/>
                      <a:graphic xmlns:a="http://schemas.openxmlformats.org/drawingml/2006/main">
                        <a:graphicData uri="http://schemas.microsoft.com/office/word/2010/wordprocessingShape">
                          <wps:wsp>
                            <wps:cNvSpPr txBox="1"/>
                            <wps:spPr>
                              <a:xfrm>
                                <a:off x="0" y="0"/>
                                <a:ext cx="1040765" cy="30353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szCs w:val="21"/>
                                    </w:rPr>
                                    <w:t>宠物治疗用水</w:t>
                                  </w:r>
                                </w:p>
                              </w:txbxContent>
                            </wps:txbx>
                            <wps:bodyPr upright="1"/>
                          </wps:wsp>
                        </a:graphicData>
                      </a:graphic>
                    </wp:anchor>
                  </w:drawing>
                </mc:Choice>
                <mc:Fallback>
                  <w:pict>
                    <v:shape id="_x0000_s1026" o:spid="_x0000_s1026" o:spt="202" type="#_x0000_t202" style="position:absolute;left:0pt;margin-left:71.8pt;margin-top:1.25pt;height:23.9pt;width:81.95pt;z-index:251672576;mso-width-relative:page;mso-height-relative:page;" fillcolor="#FFFFFF" filled="t" stroked="t" coordsize="21600,21600" o:gfxdata="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rWqbZ2AAAAAgBAAAPAAAAAAAA&#10;AAEAIAAAACIAAABkcnMvZG93bnJldi54bWxQSwECFAAUAAAACACHTuJAFrlmwxICAABEBAAADgAA&#10;AAAAAAABACAAAAAnAQAAZHJzL2Uyb0RvYy54bWxQSwUGAAAAAAYABgBZAQAAqwUAAAAA&#10;">
                      <v:fill on="t" focussize="0,0"/>
                      <v:stroke color="#000000" joinstyle="miter"/>
                      <v:imagedata o:title=""/>
                      <o:lock v:ext="edit" aspectratio="f"/>
                      <v:textbox>
                        <w:txbxContent>
                          <w:p>
                            <w:r>
                              <w:rPr>
                                <w:rFonts w:hint="eastAsia"/>
                                <w:szCs w:val="21"/>
                              </w:rPr>
                              <w:t>宠物治疗用水</w:t>
                            </w:r>
                          </w:p>
                        </w:txbxContent>
                      </v:textbox>
                    </v:shape>
                  </w:pict>
                </mc:Fallback>
              </mc:AlternateContent>
            </w:r>
          </w:p>
          <w:p>
            <w:pPr>
              <w:ind w:firstLine="480"/>
              <w:jc w:val="center"/>
              <w:rPr>
                <w:b/>
                <w:color w:val="auto"/>
              </w:rPr>
            </w:pPr>
            <w:r>
              <w:rPr>
                <w:color w:val="auto"/>
              </w:rPr>
              <mc:AlternateContent>
                <mc:Choice Requires="wps">
                  <w:drawing>
                    <wp:anchor distT="0" distB="0" distL="114300" distR="114300" simplePos="0" relativeHeight="251674624" behindDoc="0" locked="0" layoutInCell="1" allowOverlap="1">
                      <wp:simplePos x="0" y="0"/>
                      <wp:positionH relativeFrom="column">
                        <wp:posOffset>1960880</wp:posOffset>
                      </wp:positionH>
                      <wp:positionV relativeFrom="paragraph">
                        <wp:posOffset>44450</wp:posOffset>
                      </wp:positionV>
                      <wp:extent cx="506095" cy="3175"/>
                      <wp:effectExtent l="0" t="35560" r="8255" b="37465"/>
                      <wp:wrapNone/>
                      <wp:docPr id="6" name="直接连接符 6"/>
                      <wp:cNvGraphicFramePr/>
                      <a:graphic xmlns:a="http://schemas.openxmlformats.org/drawingml/2006/main">
                        <a:graphicData uri="http://schemas.microsoft.com/office/word/2010/wordprocessingShape">
                          <wps:wsp>
                            <wps:cNvCnPr/>
                            <wps:spPr>
                              <a:xfrm>
                                <a:off x="0" y="0"/>
                                <a:ext cx="506095" cy="317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54.4pt;margin-top:3.5pt;height:0.25pt;width:39.85pt;z-index:251674624;mso-width-relative:page;mso-height-relative:page;" filled="f" stroked="t" coordsize="21600,21600" o:gfxdata="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Lo/NerXAAAABwEAAA8AAAAAAAAAAQAgAAAAIgAAAGRycy9kb3du&#10;cmV2LnhtbFBLAQIUABQAAAAIAIdO4kD9h616AAIAAPgDAAAOAAAAAAAAAAEAIAAAACYBAABkcnMv&#10;ZTJvRG9jLnhtbFBLBQYAAAAABgAGAFkBAACYBQAAAAA=&#10;">
                      <v:fill on="f" focussize="0,0"/>
                      <v:stroke color="#000000" joinstyle="round" endarrow="block"/>
                      <v:imagedata o:title=""/>
                      <o:lock v:ext="edit" aspectratio="f"/>
                    </v:line>
                  </w:pict>
                </mc:Fallback>
              </mc:AlternateContent>
            </w:r>
            <w:r>
              <w:rPr>
                <w:color w:val="auto"/>
              </w:rPr>
              <mc:AlternateContent>
                <mc:Choice Requires="wps">
                  <w:drawing>
                    <wp:anchor distT="0" distB="0" distL="114300" distR="114300" simplePos="0" relativeHeight="251671552" behindDoc="0" locked="0" layoutInCell="1" allowOverlap="1">
                      <wp:simplePos x="0" y="0"/>
                      <wp:positionH relativeFrom="column">
                        <wp:posOffset>485775</wp:posOffset>
                      </wp:positionH>
                      <wp:positionV relativeFrom="paragraph">
                        <wp:posOffset>31115</wp:posOffset>
                      </wp:positionV>
                      <wp:extent cx="421005" cy="2540"/>
                      <wp:effectExtent l="0" t="36195" r="17145" b="37465"/>
                      <wp:wrapNone/>
                      <wp:docPr id="2" name="直接连接符 2"/>
                      <wp:cNvGraphicFramePr/>
                      <a:graphic xmlns:a="http://schemas.openxmlformats.org/drawingml/2006/main">
                        <a:graphicData uri="http://schemas.microsoft.com/office/word/2010/wordprocessingShape">
                          <wps:wsp>
                            <wps:cNvCnPr/>
                            <wps:spPr>
                              <a:xfrm>
                                <a:off x="0" y="0"/>
                                <a:ext cx="421005" cy="254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38.25pt;margin-top:2.45pt;height:0.2pt;width:33.15pt;z-index:251671552;mso-width-relative:page;mso-height-relative:page;" filled="f" stroked="t" coordsize="21600,21600" o:gfxdata="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LoKiL/YAAAABgEAAA8AAAAAAAAAAQAgAAAAIgAAAGRycy9k&#10;b3ducmV2LnhtbFBLAQIUABQAAAAIAIdO4kAZuw7sAgIAAPgDAAAOAAAAAAAAAAEAIAAAACcBAABk&#10;cnMvZTJvRG9jLnhtbFBLBQYAAAAABgAGAFkBAACbBQAAAAA=&#10;">
                      <v:fill on="f" focussize="0,0"/>
                      <v:stroke color="#000000" joinstyle="round" endarrow="block"/>
                      <v:imagedata o:title=""/>
                      <o:lock v:ext="edit" aspectratio="f"/>
                    </v:line>
                  </w:pict>
                </mc:Fallback>
              </mc:AlternateContent>
            </w:r>
          </w:p>
          <w:p>
            <w:pPr>
              <w:ind w:firstLine="480"/>
              <w:jc w:val="center"/>
              <w:rPr>
                <w:b/>
                <w:color w:val="auto"/>
              </w:rPr>
            </w:pPr>
          </w:p>
          <w:p>
            <w:pPr>
              <w:ind w:firstLine="480"/>
              <w:jc w:val="center"/>
              <w:rPr>
                <w:b/>
                <w:color w:val="auto"/>
              </w:rPr>
            </w:pPr>
            <w:r>
              <w:rPr>
                <w:color w:val="auto"/>
              </w:rPr>
              <mc:AlternateContent>
                <mc:Choice Requires="wps">
                  <w:drawing>
                    <wp:anchor distT="0" distB="0" distL="114300" distR="114300" simplePos="0" relativeHeight="251699200" behindDoc="0" locked="0" layoutInCell="1" allowOverlap="1">
                      <wp:simplePos x="0" y="0"/>
                      <wp:positionH relativeFrom="column">
                        <wp:posOffset>2473960</wp:posOffset>
                      </wp:positionH>
                      <wp:positionV relativeFrom="paragraph">
                        <wp:posOffset>34290</wp:posOffset>
                      </wp:positionV>
                      <wp:extent cx="561340" cy="24892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561340" cy="248920"/>
                              </a:xfrm>
                              <a:prstGeom prst="rect">
                                <a:avLst/>
                              </a:prstGeom>
                              <a:noFill/>
                              <a:ln>
                                <a:noFill/>
                              </a:ln>
                              <a:effectLst/>
                            </wps:spPr>
                            <wps:txbx>
                              <w:txbxContent>
                                <w:p>
                                  <w:pPr>
                                    <w:rPr>
                                      <w:rFonts w:hint="default" w:eastAsia="宋体"/>
                                      <w:lang w:val="en-US" w:eastAsia="zh-CN"/>
                                    </w:rPr>
                                  </w:pPr>
                                  <w:r>
                                    <w:rPr>
                                      <w:rFonts w:hint="eastAsia"/>
                                      <w:lang w:val="en-US" w:eastAsia="zh-CN"/>
                                    </w:rPr>
                                    <w:t>0.47</w:t>
                                  </w:r>
                                </w:p>
                              </w:txbxContent>
                            </wps:txbx>
                            <wps:bodyPr upright="1"/>
                          </wps:wsp>
                        </a:graphicData>
                      </a:graphic>
                    </wp:anchor>
                  </w:drawing>
                </mc:Choice>
                <mc:Fallback>
                  <w:pict>
                    <v:shape id="_x0000_s1026" o:spid="_x0000_s1026" o:spt="202" type="#_x0000_t202" style="position:absolute;left:0pt;margin-left:194.8pt;margin-top:2.7pt;height:19.6pt;width:44.2pt;z-index:251699200;mso-width-relative:page;mso-height-relative:page;" filled="f" stroked="f" coordsize="21600,21600" o:gfxdata="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FqJ&#10;BlnWAAAACAEAAA8AAAAAAAAAAQAgAAAAIgAAAGRycy9kb3ducmV2LnhtbFBLAQIUABQAAAAIAIdO&#10;4kDYvuhtswEAAF0DAAAOAAAAAAAAAAEAIAAAACUBAABkcnMvZTJvRG9jLnhtbFBLBQYAAAAABgAG&#10;AFkBAABKBQAAAAA=&#10;">
                      <v:fill on="f" focussize="0,0"/>
                      <v:stroke on="f"/>
                      <v:imagedata o:title=""/>
                      <o:lock v:ext="edit" aspectratio="f"/>
                      <v:textbox>
                        <w:txbxContent>
                          <w:p>
                            <w:pPr>
                              <w:rPr>
                                <w:rFonts w:hint="default" w:eastAsia="宋体"/>
                                <w:lang w:val="en-US" w:eastAsia="zh-CN"/>
                              </w:rPr>
                            </w:pPr>
                            <w:r>
                              <w:rPr>
                                <w:rFonts w:hint="eastAsia"/>
                                <w:lang w:val="en-US" w:eastAsia="zh-CN"/>
                              </w:rPr>
                              <w:t>0.47</w:t>
                            </w:r>
                          </w:p>
                        </w:txbxContent>
                      </v:textbox>
                    </v:shape>
                  </w:pict>
                </mc:Fallback>
              </mc:AlternateContent>
            </w:r>
            <w:r>
              <w:rPr>
                <w:color w:val="auto"/>
              </w:rPr>
              <mc:AlternateContent>
                <mc:Choice Requires="wps">
                  <w:drawing>
                    <wp:anchor distT="0" distB="0" distL="114300" distR="114300" simplePos="0" relativeHeight="251698176" behindDoc="0" locked="0" layoutInCell="1" allowOverlap="1">
                      <wp:simplePos x="0" y="0"/>
                      <wp:positionH relativeFrom="column">
                        <wp:posOffset>2970530</wp:posOffset>
                      </wp:positionH>
                      <wp:positionV relativeFrom="paragraph">
                        <wp:posOffset>67945</wp:posOffset>
                      </wp:positionV>
                      <wp:extent cx="1029335" cy="287655"/>
                      <wp:effectExtent l="5080" t="4445" r="13335" b="12700"/>
                      <wp:wrapNone/>
                      <wp:docPr id="83" name="文本框 83"/>
                      <wp:cNvGraphicFramePr/>
                      <a:graphic xmlns:a="http://schemas.openxmlformats.org/drawingml/2006/main">
                        <a:graphicData uri="http://schemas.microsoft.com/office/word/2010/wordprocessingShape">
                          <wps:wsp>
                            <wps:cNvSpPr txBox="1"/>
                            <wps:spPr>
                              <a:xfrm>
                                <a:off x="0" y="0"/>
                                <a:ext cx="1029335" cy="2876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ind w:firstLine="210" w:firstLineChars="100"/>
                                    <w:rPr>
                                      <w:rFonts w:hint="eastAsia" w:eastAsia="宋体"/>
                                      <w:lang w:eastAsia="zh-CN"/>
                                    </w:rPr>
                                  </w:pPr>
                                  <w:r>
                                    <w:rPr>
                                      <w:rFonts w:hint="eastAsia"/>
                                    </w:rPr>
                                    <w:t>污水</w:t>
                                  </w:r>
                                  <w:r>
                                    <w:rPr>
                                      <w:rFonts w:hint="eastAsia"/>
                                      <w:lang w:eastAsia="zh-CN"/>
                                    </w:rPr>
                                    <w:t>消毒池</w:t>
                                  </w:r>
                                </w:p>
                              </w:txbxContent>
                            </wps:txbx>
                            <wps:bodyPr upright="1"/>
                          </wps:wsp>
                        </a:graphicData>
                      </a:graphic>
                    </wp:anchor>
                  </w:drawing>
                </mc:Choice>
                <mc:Fallback>
                  <w:pict>
                    <v:shape id="_x0000_s1026" o:spid="_x0000_s1026" o:spt="202" type="#_x0000_t202" style="position:absolute;left:0pt;margin-left:233.9pt;margin-top:5.35pt;height:22.65pt;width:81.05pt;z-index:251698176;mso-width-relative:page;mso-height-relative:page;" fillcolor="#FFFFFF" filled="t" stroked="t" coordsize="21600,21600" o:gfxdata="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Yeivu2AAAAAkBAAAPAAAAAAAA&#10;AAEAIAAAACIAAABkcnMvZG93bnJldi54bWxQSwECFAAUAAAACACHTuJA4FHi3BICAABGBAAADgAA&#10;AAAAAAABACAAAAAnAQAAZHJzL2Uyb0RvYy54bWxQSwUGAAAAAAYABgBZAQAAqwUAAAAA&#10;">
                      <v:fill on="t" focussize="0,0"/>
                      <v:stroke color="#000000" joinstyle="miter"/>
                      <v:imagedata o:title=""/>
                      <o:lock v:ext="edit" aspectratio="f"/>
                      <v:textbox>
                        <w:txbxContent>
                          <w:p>
                            <w:pPr>
                              <w:ind w:firstLine="210" w:firstLineChars="100"/>
                              <w:rPr>
                                <w:rFonts w:hint="eastAsia" w:eastAsia="宋体"/>
                                <w:lang w:eastAsia="zh-CN"/>
                              </w:rPr>
                            </w:pPr>
                            <w:r>
                              <w:rPr>
                                <w:rFonts w:hint="eastAsia"/>
                              </w:rPr>
                              <w:t>污水</w:t>
                            </w:r>
                            <w:r>
                              <w:rPr>
                                <w:rFonts w:hint="eastAsia"/>
                                <w:lang w:eastAsia="zh-CN"/>
                              </w:rPr>
                              <w:t>消毒池</w:t>
                            </w:r>
                          </w:p>
                        </w:txbxContent>
                      </v:textbox>
                    </v:shape>
                  </w:pict>
                </mc:Fallback>
              </mc:AlternateContent>
            </w:r>
          </w:p>
          <w:p>
            <w:pPr>
              <w:ind w:firstLine="480"/>
              <w:jc w:val="center"/>
              <w:rPr>
                <w:b/>
                <w:color w:val="auto"/>
              </w:rPr>
            </w:pPr>
            <w:r>
              <w:rPr>
                <w:color w:val="auto"/>
              </w:rPr>
              <mc:AlternateContent>
                <mc:Choice Requires="wps">
                  <w:drawing>
                    <wp:anchor distT="0" distB="0" distL="114300" distR="114300" simplePos="0" relativeHeight="251691008" behindDoc="0" locked="0" layoutInCell="1" allowOverlap="1">
                      <wp:simplePos x="0" y="0"/>
                      <wp:positionH relativeFrom="column">
                        <wp:posOffset>1876425</wp:posOffset>
                      </wp:positionH>
                      <wp:positionV relativeFrom="paragraph">
                        <wp:posOffset>147320</wp:posOffset>
                      </wp:positionV>
                      <wp:extent cx="861695" cy="24892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861695" cy="248920"/>
                              </a:xfrm>
                              <a:prstGeom prst="rect">
                                <a:avLst/>
                              </a:prstGeom>
                              <a:noFill/>
                              <a:ln>
                                <a:noFill/>
                              </a:ln>
                              <a:effectLst/>
                            </wps:spPr>
                            <wps:txbx>
                              <w:txbxContent>
                                <w:p>
                                  <w:r>
                                    <w:rPr>
                                      <w:rFonts w:hint="eastAsia"/>
                                    </w:rPr>
                                    <w:t>损耗0.03</w:t>
                                  </w:r>
                                </w:p>
                              </w:txbxContent>
                            </wps:txbx>
                            <wps:bodyPr upright="1"/>
                          </wps:wsp>
                        </a:graphicData>
                      </a:graphic>
                    </wp:anchor>
                  </w:drawing>
                </mc:Choice>
                <mc:Fallback>
                  <w:pict>
                    <v:shape id="_x0000_s1026" o:spid="_x0000_s1026" o:spt="202" type="#_x0000_t202" style="position:absolute;left:0pt;margin-left:147.75pt;margin-top:11.6pt;height:19.6pt;width:67.85pt;z-index:251691008;mso-width-relative:page;mso-height-relative:page;" filled="f" stroked="f" coordsize="21600,21600" o:gfxdata="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b&#10;pXOx1wAAAAkBAAAPAAAAAAAAAAEAIAAAACIAAABkcnMvZG93bnJldi54bWxQSwECFAAUAAAACACH&#10;TuJAhvNQ9bMBAABdAwAADgAAAAAAAAABACAAAAAmAQAAZHJzL2Uyb0RvYy54bWxQSwUGAAAAAAYA&#10;BgBZAQAASwUAAAAA&#10;">
                      <v:fill on="f" focussize="0,0"/>
                      <v:stroke on="f"/>
                      <v:imagedata o:title=""/>
                      <o:lock v:ext="edit" aspectratio="f"/>
                      <v:textbox>
                        <w:txbxContent>
                          <w:p>
                            <w:r>
                              <w:rPr>
                                <w:rFonts w:hint="eastAsia"/>
                              </w:rPr>
                              <w:t>损耗0.03</w:t>
                            </w:r>
                          </w:p>
                        </w:txbxContent>
                      </v:textbox>
                    </v:shape>
                  </w:pict>
                </mc:Fallback>
              </mc:AlternateContent>
            </w:r>
            <w:r>
              <w:rPr>
                <w:color w:val="auto"/>
              </w:rPr>
              <mc:AlternateContent>
                <mc:Choice Requires="wps">
                  <w:drawing>
                    <wp:anchor distT="0" distB="0" distL="114300" distR="114300" simplePos="0" relativeHeight="251693056" behindDoc="0" locked="0" layoutInCell="1" allowOverlap="1">
                      <wp:simplePos x="0" y="0"/>
                      <wp:positionH relativeFrom="column">
                        <wp:posOffset>2499995</wp:posOffset>
                      </wp:positionH>
                      <wp:positionV relativeFrom="paragraph">
                        <wp:posOffset>85090</wp:posOffset>
                      </wp:positionV>
                      <wp:extent cx="445770" cy="6985"/>
                      <wp:effectExtent l="0" t="36830" r="11430" b="32385"/>
                      <wp:wrapNone/>
                      <wp:docPr id="32" name="直接连接符 32"/>
                      <wp:cNvGraphicFramePr/>
                      <a:graphic xmlns:a="http://schemas.openxmlformats.org/drawingml/2006/main">
                        <a:graphicData uri="http://schemas.microsoft.com/office/word/2010/wordprocessingShape">
                          <wps:wsp>
                            <wps:cNvCnPr/>
                            <wps:spPr>
                              <a:xfrm flipV="1">
                                <a:off x="0" y="0"/>
                                <a:ext cx="445770" cy="698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196.85pt;margin-top:6.7pt;height:0.55pt;width:35.1pt;z-index:251693056;mso-width-relative:page;mso-height-relative:page;" filled="f" stroked="t" coordsize="21600,21600" o:gfxdata="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CxXGT2QAAAAkBAAAPAAAAAAAAAAEAIAAA&#10;ACIAAABkcnMvZG93bnJldi54bWxQSwECFAAUAAAACACHTuJA7MYgFQsCAAAEBAAADgAAAAAAAAAB&#10;ACAAAAAoAQAAZHJzL2Uyb0RvYy54bWxQSwUGAAAAAAYABgBZAQAApQUAAAAA&#10;">
                      <v:fill on="f" focussize="0,0"/>
                      <v:stroke color="#000000" joinstyle="round" endarrow="block"/>
                      <v:imagedata o:title=""/>
                      <o:lock v:ext="edit" aspectratio="f"/>
                    </v:line>
                  </w:pict>
                </mc:Fallback>
              </mc:AlternateContent>
            </w:r>
          </w:p>
          <w:p>
            <w:pPr>
              <w:rPr>
                <w:b/>
                <w:color w:val="auto"/>
                <w:szCs w:val="21"/>
              </w:rPr>
            </w:pPr>
            <w:r>
              <w:rPr>
                <w:color w:val="auto"/>
              </w:rPr>
              <mc:AlternateContent>
                <mc:Choice Requires="wps">
                  <w:drawing>
                    <wp:anchor distT="0" distB="0" distL="114300" distR="114300" simplePos="0" relativeHeight="251689984" behindDoc="0" locked="0" layoutInCell="1" allowOverlap="1">
                      <wp:simplePos x="0" y="0"/>
                      <wp:positionH relativeFrom="column">
                        <wp:posOffset>1489710</wp:posOffset>
                      </wp:positionH>
                      <wp:positionV relativeFrom="paragraph">
                        <wp:posOffset>135890</wp:posOffset>
                      </wp:positionV>
                      <wp:extent cx="470535" cy="189230"/>
                      <wp:effectExtent l="1905" t="6985" r="3810" b="13335"/>
                      <wp:wrapNone/>
                      <wp:docPr id="28" name="直接连接符 28"/>
                      <wp:cNvGraphicFramePr/>
                      <a:graphic xmlns:a="http://schemas.openxmlformats.org/drawingml/2006/main">
                        <a:graphicData uri="http://schemas.microsoft.com/office/word/2010/wordprocessingShape">
                          <wps:wsp>
                            <wps:cNvCnPr/>
                            <wps:spPr>
                              <a:xfrm flipV="1">
                                <a:off x="0" y="0"/>
                                <a:ext cx="470535" cy="189230"/>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flip:y;margin-left:117.3pt;margin-top:10.7pt;height:14.9pt;width:37.05pt;z-index:251689984;mso-width-relative:page;mso-height-relative:page;" filled="f" stroked="t" coordsize="21600,21600" o:gfxdata="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ua+sw2AAAAAkBAAAPAAAAAAAAAAEA&#10;IAAAACIAAABkcnMvZG93bnJldi54bWxQSwECFAAUAAAACACHTuJAKN+2Sg8CAAAFBAAADgAAAAAA&#10;AAABACAAAAAnAQAAZHJzL2Uyb0RvYy54bWxQSwUGAAAAAAYABgBZAQAAqAUAAAAA&#10;">
                      <v:fill on="f" focussize="0,0"/>
                      <v:stroke color="#000000" joinstyle="round" dashstyle="dash" endarrow="block"/>
                      <v:imagedata o:title=""/>
                      <o:lock v:ext="edit" aspectratio="f"/>
                    </v:line>
                  </w:pict>
                </mc:Fallback>
              </mc:AlternateContent>
            </w:r>
          </w:p>
          <w:p>
            <w:pPr>
              <w:ind w:firstLine="480"/>
              <w:jc w:val="center"/>
              <w:rPr>
                <w:b/>
                <w:color w:val="auto"/>
                <w:szCs w:val="21"/>
              </w:rPr>
            </w:pPr>
          </w:p>
          <w:p>
            <w:pPr>
              <w:ind w:firstLine="480"/>
              <w:jc w:val="center"/>
              <w:rPr>
                <w:b/>
                <w:color w:val="auto"/>
                <w:szCs w:val="21"/>
              </w:rPr>
            </w:pPr>
            <w:r>
              <w:rPr>
                <w:color w:val="auto"/>
              </w:rPr>
              <mc:AlternateContent>
                <mc:Choice Requires="wps">
                  <w:drawing>
                    <wp:anchor distT="0" distB="0" distL="114300" distR="114300" simplePos="0" relativeHeight="251686912" behindDoc="0" locked="0" layoutInCell="1" allowOverlap="1">
                      <wp:simplePos x="0" y="0"/>
                      <wp:positionH relativeFrom="column">
                        <wp:posOffset>882650</wp:posOffset>
                      </wp:positionH>
                      <wp:positionV relativeFrom="paragraph">
                        <wp:posOffset>52705</wp:posOffset>
                      </wp:positionV>
                      <wp:extent cx="1181100" cy="605155"/>
                      <wp:effectExtent l="5080" t="4445" r="13970" b="19050"/>
                      <wp:wrapNone/>
                      <wp:docPr id="24" name="文本框 24"/>
                      <wp:cNvGraphicFramePr/>
                      <a:graphic xmlns:a="http://schemas.openxmlformats.org/drawingml/2006/main">
                        <a:graphicData uri="http://schemas.microsoft.com/office/word/2010/wordprocessingShape">
                          <wps:wsp>
                            <wps:cNvSpPr txBox="1"/>
                            <wps:spPr>
                              <a:xfrm>
                                <a:off x="0" y="0"/>
                                <a:ext cx="1181100" cy="6051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rPr>
                                      <w:b w:val="0"/>
                                      <w:bCs w:val="0"/>
                                      <w:color w:val="auto"/>
                                    </w:rPr>
                                  </w:pPr>
                                  <w:r>
                                    <w:rPr>
                                      <w:rFonts w:hint="eastAsia" w:ascii="Times New Roman" w:hAnsi="Times New Roman" w:eastAsia="宋体" w:cs="Times New Roman"/>
                                      <w:b w:val="0"/>
                                      <w:bCs w:val="0"/>
                                      <w:color w:val="auto"/>
                                      <w:szCs w:val="21"/>
                                      <w:lang w:eastAsia="zh-CN"/>
                                    </w:rPr>
                                    <w:t>宠物做手术器械和</w:t>
                                  </w:r>
                                  <w:r>
                                    <w:rPr>
                                      <w:rFonts w:hint="eastAsia" w:ascii="Times New Roman" w:hAnsi="Times New Roman" w:eastAsia="宋体" w:cs="Times New Roman"/>
                                      <w:b w:val="0"/>
                                      <w:bCs w:val="0"/>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ascii="Times New Roman" w:hAnsi="Times New Roman" w:eastAsia="宋体" w:cs="Times New Roman"/>
                                      <w:b w:val="0"/>
                                      <w:bCs w:val="0"/>
                                      <w:color w:val="auto"/>
                                      <w:szCs w:val="21"/>
                                    </w:rPr>
                                    <w:t>清洁废水</w:t>
                                  </w:r>
                                </w:p>
                              </w:txbxContent>
                            </wps:txbx>
                            <wps:bodyPr upright="1"/>
                          </wps:wsp>
                        </a:graphicData>
                      </a:graphic>
                    </wp:anchor>
                  </w:drawing>
                </mc:Choice>
                <mc:Fallback>
                  <w:pict>
                    <v:shape id="_x0000_s1026" o:spid="_x0000_s1026" o:spt="202" type="#_x0000_t202" style="position:absolute;left:0pt;margin-left:69.5pt;margin-top:4.15pt;height:47.65pt;width:93pt;z-index:251686912;mso-width-relative:page;mso-height-relative:page;" fillcolor="#FFFFFF" filled="t" stroked="t" coordsize="21600,21600" o:gfxdata="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MPg1jrWAAAACQEAAA8AAAAAAAAAAQAg&#10;AAAAIgAAAGRycy9kb3ducmV2LnhtbFBLAQIUABQAAAAIAIdO4kC/Au/mEAIAAEYEAAAOAAAAAAAA&#10;AAEAIAAAACUBAABkcnMvZTJvRG9jLnhtbFBLBQYAAAAABgAGAFkBAACnBQAAAAA=&#10;">
                      <v:fill on="t" focussize="0,0"/>
                      <v:stroke color="#000000" joinstyle="miter"/>
                      <v:imagedata o:title=""/>
                      <o:lock v:ext="edit" aspectratio="f"/>
                      <v:textbox>
                        <w:txbxContent>
                          <w:p>
                            <w:pPr>
                              <w:rPr>
                                <w:b w:val="0"/>
                                <w:bCs w:val="0"/>
                                <w:color w:val="auto"/>
                              </w:rPr>
                            </w:pPr>
                            <w:r>
                              <w:rPr>
                                <w:rFonts w:hint="eastAsia" w:ascii="Times New Roman" w:hAnsi="Times New Roman" w:eastAsia="宋体" w:cs="Times New Roman"/>
                                <w:b w:val="0"/>
                                <w:bCs w:val="0"/>
                                <w:color w:val="auto"/>
                                <w:szCs w:val="21"/>
                                <w:lang w:eastAsia="zh-CN"/>
                              </w:rPr>
                              <w:t>宠物做手术器械和</w:t>
                            </w:r>
                            <w:r>
                              <w:rPr>
                                <w:rFonts w:hint="eastAsia" w:ascii="Times New Roman" w:hAnsi="Times New Roman" w:eastAsia="宋体" w:cs="Times New Roman"/>
                                <w:b w:val="0"/>
                                <w:bCs w:val="0"/>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ascii="Times New Roman" w:hAnsi="Times New Roman" w:eastAsia="宋体" w:cs="Times New Roman"/>
                                <w:b w:val="0"/>
                                <w:bCs w:val="0"/>
                                <w:color w:val="auto"/>
                                <w:szCs w:val="21"/>
                              </w:rPr>
                              <w:t>清洁废水</w:t>
                            </w:r>
                          </w:p>
                        </w:txbxContent>
                      </v:textbox>
                    </v:shape>
                  </w:pict>
                </mc:Fallback>
              </mc:AlternateContent>
            </w:r>
            <w:r>
              <w:rPr>
                <w:color w:val="auto"/>
              </w:rPr>
              <mc:AlternateContent>
                <mc:Choice Requires="wps">
                  <w:drawing>
                    <wp:anchor distT="0" distB="0" distL="114300" distR="114300" simplePos="0" relativeHeight="251694080" behindDoc="0" locked="0" layoutInCell="1" allowOverlap="1">
                      <wp:simplePos x="0" y="0"/>
                      <wp:positionH relativeFrom="column">
                        <wp:posOffset>2078355</wp:posOffset>
                      </wp:positionH>
                      <wp:positionV relativeFrom="paragraph">
                        <wp:posOffset>130810</wp:posOffset>
                      </wp:positionV>
                      <wp:extent cx="431165" cy="24892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431165" cy="248920"/>
                              </a:xfrm>
                              <a:prstGeom prst="rect">
                                <a:avLst/>
                              </a:prstGeom>
                              <a:noFill/>
                              <a:ln>
                                <a:noFill/>
                              </a:ln>
                              <a:effectLst/>
                            </wps:spPr>
                            <wps:txbx>
                              <w:txbxContent>
                                <w:p>
                                  <w:pPr>
                                    <w:rPr>
                                      <w:rFonts w:hint="eastAsia"/>
                                      <w:szCs w:val="21"/>
                                    </w:rPr>
                                  </w:pPr>
                                  <w:r>
                                    <w:rPr>
                                      <w:rFonts w:hint="eastAsia"/>
                                      <w:szCs w:val="21"/>
                                    </w:rPr>
                                    <w:t>0.17</w:t>
                                  </w:r>
                                </w:p>
                              </w:txbxContent>
                            </wps:txbx>
                            <wps:bodyPr upright="1"/>
                          </wps:wsp>
                        </a:graphicData>
                      </a:graphic>
                    </wp:anchor>
                  </w:drawing>
                </mc:Choice>
                <mc:Fallback>
                  <w:pict>
                    <v:shape id="_x0000_s1026" o:spid="_x0000_s1026" o:spt="202" type="#_x0000_t202" style="position:absolute;left:0pt;margin-left:163.65pt;margin-top:10.3pt;height:19.6pt;width:33.95pt;z-index:251694080;mso-width-relative:page;mso-height-relative:page;" filled="f" stroked="f" coordsize="21600,21600" o:gfxdata="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VHhYNcAAAAJAQAADwAAAAAAAAABACAAAAAiAAAAZHJzL2Rvd25yZXYueG1sUEsBAhQAFAAAAAgA&#10;h07iQBtKUmK0AQAAXQMAAA4AAAAAAAAAAQAgAAAAJgEAAGRycy9lMm9Eb2MueG1sUEsFBgAAAAAG&#10;AAYAWQEAAEwFAAAAAA==&#10;">
                      <v:fill on="f" focussize="0,0"/>
                      <v:stroke on="f"/>
                      <v:imagedata o:title=""/>
                      <o:lock v:ext="edit" aspectratio="f"/>
                      <v:textbox>
                        <w:txbxContent>
                          <w:p>
                            <w:pPr>
                              <w:rPr>
                                <w:rFonts w:hint="eastAsia"/>
                                <w:szCs w:val="21"/>
                              </w:rPr>
                            </w:pPr>
                            <w:r>
                              <w:rPr>
                                <w:rFonts w:hint="eastAsia"/>
                                <w:szCs w:val="21"/>
                              </w:rPr>
                              <w:t>0.17</w:t>
                            </w:r>
                          </w:p>
                        </w:txbxContent>
                      </v:textbox>
                    </v:shape>
                  </w:pict>
                </mc:Fallback>
              </mc:AlternateContent>
            </w:r>
            <w:r>
              <w:rPr>
                <w:color w:val="auto"/>
              </w:rPr>
              <mc:AlternateContent>
                <mc:Choice Requires="wps">
                  <w:drawing>
                    <wp:anchor distT="0" distB="0" distL="114300" distR="114300" simplePos="0" relativeHeight="251687936" behindDoc="0" locked="0" layoutInCell="1" allowOverlap="1">
                      <wp:simplePos x="0" y="0"/>
                      <wp:positionH relativeFrom="column">
                        <wp:posOffset>472440</wp:posOffset>
                      </wp:positionH>
                      <wp:positionV relativeFrom="paragraph">
                        <wp:posOffset>96520</wp:posOffset>
                      </wp:positionV>
                      <wp:extent cx="562610" cy="24892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562610" cy="248920"/>
                              </a:xfrm>
                              <a:prstGeom prst="rect">
                                <a:avLst/>
                              </a:prstGeom>
                              <a:noFill/>
                              <a:ln>
                                <a:noFill/>
                              </a:ln>
                              <a:effectLst/>
                            </wps:spPr>
                            <wps:txbx>
                              <w:txbxContent>
                                <w:p>
                                  <w:pPr>
                                    <w:rPr>
                                      <w:color w:val="auto"/>
                                    </w:rPr>
                                  </w:pPr>
                                  <w:r>
                                    <w:rPr>
                                      <w:rFonts w:hint="eastAsia"/>
                                      <w:color w:val="auto"/>
                                      <w:szCs w:val="21"/>
                                    </w:rPr>
                                    <w:t>0.2</w:t>
                                  </w:r>
                                </w:p>
                              </w:txbxContent>
                            </wps:txbx>
                            <wps:bodyPr upright="1"/>
                          </wps:wsp>
                        </a:graphicData>
                      </a:graphic>
                    </wp:anchor>
                  </w:drawing>
                </mc:Choice>
                <mc:Fallback>
                  <w:pict>
                    <v:shape id="_x0000_s1026" o:spid="_x0000_s1026" o:spt="202" type="#_x0000_t202" style="position:absolute;left:0pt;margin-left:37.2pt;margin-top:7.6pt;height:19.6pt;width:44.3pt;z-index:251687936;mso-width-relative:page;mso-height-relative:page;" filled="f" stroked="f" coordsize="21600,21600" o:gfxdata="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Jo7klHU&#10;AAAACAEAAA8AAAAAAAAAAQAgAAAAIgAAAGRycy9kb3ducmV2LnhtbFBLAQIUABQAAAAIAIdO4kBd&#10;eBrYsgEAAF0DAAAOAAAAAAAAAAEAIAAAACMBAABkcnMvZTJvRG9jLnhtbFBLBQYAAAAABgAGAFkB&#10;AABHBQAAAAA=&#10;">
                      <v:fill on="f" focussize="0,0"/>
                      <v:stroke on="f"/>
                      <v:imagedata o:title=""/>
                      <o:lock v:ext="edit" aspectratio="f"/>
                      <v:textbox>
                        <w:txbxContent>
                          <w:p>
                            <w:pPr>
                              <w:rPr>
                                <w:color w:val="auto"/>
                              </w:rPr>
                            </w:pPr>
                            <w:r>
                              <w:rPr>
                                <w:rFonts w:hint="eastAsia"/>
                                <w:color w:val="auto"/>
                                <w:szCs w:val="21"/>
                              </w:rPr>
                              <w:t>0.2</w:t>
                            </w:r>
                          </w:p>
                        </w:txbxContent>
                      </v:textbox>
                    </v:shape>
                  </w:pict>
                </mc:Fallback>
              </mc:AlternateContent>
            </w:r>
          </w:p>
          <w:p>
            <w:pPr>
              <w:ind w:firstLine="480"/>
              <w:jc w:val="center"/>
              <w:rPr>
                <w:b/>
                <w:color w:val="auto"/>
                <w:szCs w:val="21"/>
              </w:rPr>
            </w:pPr>
            <w:r>
              <w:rPr>
                <w:color w:val="auto"/>
              </w:rPr>
              <mc:AlternateContent>
                <mc:Choice Requires="wps">
                  <w:drawing>
                    <wp:anchor distT="0" distB="0" distL="114300" distR="114300" simplePos="0" relativeHeight="251683840" behindDoc="0" locked="0" layoutInCell="1" allowOverlap="1">
                      <wp:simplePos x="0" y="0"/>
                      <wp:positionH relativeFrom="column">
                        <wp:posOffset>475615</wp:posOffset>
                      </wp:positionH>
                      <wp:positionV relativeFrom="paragraph">
                        <wp:posOffset>146050</wp:posOffset>
                      </wp:positionV>
                      <wp:extent cx="421005" cy="2540"/>
                      <wp:effectExtent l="0" t="36195" r="17145" b="37465"/>
                      <wp:wrapNone/>
                      <wp:docPr id="21" name="直接连接符 21"/>
                      <wp:cNvGraphicFramePr/>
                      <a:graphic xmlns:a="http://schemas.openxmlformats.org/drawingml/2006/main">
                        <a:graphicData uri="http://schemas.microsoft.com/office/word/2010/wordprocessingShape">
                          <wps:wsp>
                            <wps:cNvCnPr/>
                            <wps:spPr>
                              <a:xfrm>
                                <a:off x="0" y="0"/>
                                <a:ext cx="421005" cy="254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37.45pt;margin-top:11.5pt;height:0.2pt;width:33.15pt;z-index:251683840;mso-width-relative:page;mso-height-relative:page;" filled="f" stroked="t" coordsize="21600,21600" o:gfxdata="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uPogbZAAAACAEAAA8AAAAAAAAAAQAgAAAAIgAAAGRy&#10;cy9kb3ducmV2LnhtbFBLAQIUABQAAAAIAIdO4kC3WhefBAIAAPoDAAAOAAAAAAAAAAEAIAAAACgB&#10;AABkcnMvZTJvRG9jLnhtbFBLBQYAAAAABgAGAFkBAACeBQAAAAA=&#10;">
                      <v:fill on="f" focussize="0,0"/>
                      <v:stroke color="#000000" joinstyle="round" endarrow="block"/>
                      <v:imagedata o:title=""/>
                      <o:lock v:ext="edit" aspectratio="f"/>
                    </v:line>
                  </w:pict>
                </mc:Fallback>
              </mc:AlternateContent>
            </w:r>
          </w:p>
          <w:p>
            <w:pPr>
              <w:ind w:firstLine="480"/>
              <w:jc w:val="center"/>
              <w:rPr>
                <w:b/>
                <w:color w:val="auto"/>
                <w:szCs w:val="21"/>
              </w:rPr>
            </w:pPr>
            <w:r>
              <w:rPr>
                <w:color w:val="auto"/>
              </w:rPr>
              <mc:AlternateContent>
                <mc:Choice Requires="wps">
                  <w:drawing>
                    <wp:anchor distT="0" distB="0" distL="114300" distR="114300" simplePos="0" relativeHeight="251692032" behindDoc="0" locked="0" layoutInCell="1" allowOverlap="1">
                      <wp:simplePos x="0" y="0"/>
                      <wp:positionH relativeFrom="column">
                        <wp:posOffset>2083435</wp:posOffset>
                      </wp:positionH>
                      <wp:positionV relativeFrom="paragraph">
                        <wp:posOffset>32385</wp:posOffset>
                      </wp:positionV>
                      <wp:extent cx="412115" cy="5080"/>
                      <wp:effectExtent l="0" t="33655" r="6985" b="37465"/>
                      <wp:wrapNone/>
                      <wp:docPr id="30" name="直接连接符 30"/>
                      <wp:cNvGraphicFramePr/>
                      <a:graphic xmlns:a="http://schemas.openxmlformats.org/drawingml/2006/main">
                        <a:graphicData uri="http://schemas.microsoft.com/office/word/2010/wordprocessingShape">
                          <wps:wsp>
                            <wps:cNvCnPr/>
                            <wps:spPr>
                              <a:xfrm>
                                <a:off x="0" y="0"/>
                                <a:ext cx="412115" cy="508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64.05pt;margin-top:2.55pt;height:0.4pt;width:32.45pt;z-index:251692032;mso-width-relative:page;mso-height-relative:page;" filled="f" stroked="t" coordsize="21600,21600" o:gfxdata="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chfkv9gAAAAHAQAADwAAAAAAAAABACAAAAAiAAAAZHJz&#10;L2Rvd25yZXYueG1sUEsBAhQAFAAAAAgAh07iQCHmE/YEAgAA+gMAAA4AAAAAAAAAAQAgAAAAJwEA&#10;AGRycy9lMm9Eb2MueG1sUEsFBgAAAAAGAAYAWQEAAJ0FAAAAAA==&#10;">
                      <v:fill on="f" focussize="0,0"/>
                      <v:stroke color="#000000" joinstyle="round" endarrow="block"/>
                      <v:imagedata o:title=""/>
                      <o:lock v:ext="edit" aspectratio="f"/>
                    </v:line>
                  </w:pict>
                </mc:Fallback>
              </mc:AlternateContent>
            </w:r>
          </w:p>
          <w:p>
            <w:pPr>
              <w:ind w:firstLine="480"/>
              <w:jc w:val="center"/>
              <w:rPr>
                <w:b/>
                <w:color w:val="auto"/>
                <w:szCs w:val="21"/>
              </w:rPr>
            </w:pPr>
          </w:p>
          <w:p>
            <w:pPr>
              <w:rPr>
                <w:b/>
                <w:color w:val="auto"/>
                <w:szCs w:val="21"/>
              </w:rPr>
            </w:pPr>
          </w:p>
          <w:p>
            <w:pPr>
              <w:ind w:firstLine="480"/>
              <w:jc w:val="center"/>
              <w:rPr>
                <w:b/>
                <w:color w:val="auto"/>
                <w:szCs w:val="21"/>
              </w:rPr>
            </w:pPr>
            <w:r>
              <w:rPr>
                <w:b/>
                <w:color w:val="auto"/>
                <w:szCs w:val="21"/>
              </w:rPr>
              <w:t>图2-</w:t>
            </w:r>
            <w:r>
              <w:rPr>
                <w:rFonts w:hint="eastAsia"/>
                <w:b/>
                <w:color w:val="auto"/>
                <w:szCs w:val="21"/>
              </w:rPr>
              <w:t>1</w:t>
            </w:r>
            <w:r>
              <w:rPr>
                <w:b/>
                <w:color w:val="auto"/>
                <w:szCs w:val="21"/>
              </w:rPr>
              <w:t>水平衡图    单位：m</w:t>
            </w:r>
            <w:r>
              <w:rPr>
                <w:b/>
                <w:color w:val="auto"/>
                <w:szCs w:val="21"/>
                <w:vertAlign w:val="superscript"/>
              </w:rPr>
              <w:t>3</w:t>
            </w:r>
            <w:r>
              <w:rPr>
                <w:b/>
                <w:color w:val="auto"/>
                <w:szCs w:val="21"/>
              </w:rPr>
              <w:t>/</w:t>
            </w:r>
            <w:r>
              <w:rPr>
                <w:rFonts w:hint="eastAsia"/>
                <w:b/>
                <w:color w:val="auto"/>
                <w:szCs w:val="21"/>
              </w:rPr>
              <w:t>d</w:t>
            </w:r>
          </w:p>
          <w:p>
            <w:pPr>
              <w:snapToGrid w:val="0"/>
              <w:spacing w:line="360" w:lineRule="auto"/>
              <w:rPr>
                <w:b/>
                <w:color w:val="auto"/>
                <w:szCs w:val="21"/>
              </w:rPr>
            </w:pPr>
          </w:p>
          <w:p>
            <w:pPr>
              <w:snapToGrid w:val="0"/>
              <w:spacing w:line="360" w:lineRule="auto"/>
              <w:ind w:firstLine="420" w:firstLineChars="200"/>
              <w:rPr>
                <w:bCs/>
                <w:color w:val="auto"/>
                <w:szCs w:val="21"/>
              </w:rPr>
            </w:pPr>
            <w:r>
              <w:rPr>
                <w:rFonts w:hint="eastAsia"/>
                <w:bCs/>
                <w:color w:val="auto"/>
                <w:szCs w:val="21"/>
              </w:rPr>
              <w:t>（4）供热、制冷</w:t>
            </w:r>
          </w:p>
          <w:p>
            <w:pPr>
              <w:snapToGrid w:val="0"/>
              <w:spacing w:line="360" w:lineRule="auto"/>
              <w:ind w:firstLine="420" w:firstLineChars="200"/>
              <w:rPr>
                <w:b/>
                <w:color w:val="auto"/>
                <w:szCs w:val="21"/>
              </w:rPr>
            </w:pPr>
            <w:r>
              <w:rPr>
                <w:rFonts w:hint="eastAsia"/>
                <w:bCs/>
                <w:color w:val="auto"/>
                <w:szCs w:val="21"/>
              </w:rPr>
              <w:t xml:space="preserve"> 采用分体式挂机或柜机空调进行制冷和制热。</w:t>
            </w:r>
          </w:p>
          <w:p>
            <w:pPr>
              <w:snapToGrid w:val="0"/>
              <w:spacing w:line="360" w:lineRule="auto"/>
              <w:ind w:firstLine="420" w:firstLineChars="200"/>
              <w:rPr>
                <w:bCs/>
                <w:color w:val="auto"/>
                <w:szCs w:val="21"/>
              </w:rPr>
            </w:pPr>
            <w:r>
              <w:rPr>
                <w:rFonts w:hint="eastAsia"/>
                <w:bCs/>
                <w:color w:val="auto"/>
                <w:szCs w:val="21"/>
              </w:rPr>
              <w:t>（5）新风、排风系统</w:t>
            </w:r>
          </w:p>
          <w:p>
            <w:pPr>
              <w:snapToGrid w:val="0"/>
              <w:spacing w:line="360" w:lineRule="auto"/>
              <w:ind w:firstLine="420" w:firstLineChars="200"/>
              <w:rPr>
                <w:b/>
                <w:color w:val="auto"/>
                <w:szCs w:val="21"/>
              </w:rPr>
            </w:pPr>
            <w:r>
              <w:rPr>
                <w:rFonts w:hint="eastAsia"/>
                <w:bCs/>
                <w:color w:val="auto"/>
                <w:szCs w:val="21"/>
              </w:rPr>
              <w:t xml:space="preserve"> 新风系统是中央机械式送、排风系统。双向流系统中的新风是由新风主机送入。新风主机通过管道与室内的空气分布器相连接，新风主机不断的把室外新风通过管道送入室内；排风系统则通过与各房间的废气收集口连接，通过管道收集后经活性炭吸附处理后排放。通过主机的动力排与送来实现室内空气净化与通风换气。</w:t>
            </w:r>
          </w:p>
          <w:p>
            <w:pPr>
              <w:snapToGrid w:val="0"/>
              <w:spacing w:line="360" w:lineRule="auto"/>
              <w:ind w:firstLine="422" w:firstLineChars="200"/>
              <w:rPr>
                <w:b/>
                <w:color w:val="auto"/>
                <w:szCs w:val="21"/>
              </w:rPr>
            </w:pPr>
            <w:r>
              <w:rPr>
                <w:b/>
                <w:color w:val="auto"/>
                <w:szCs w:val="21"/>
              </w:rPr>
              <w:t>7、平面布置</w:t>
            </w:r>
          </w:p>
          <w:p>
            <w:pPr>
              <w:autoSpaceDE w:val="0"/>
              <w:autoSpaceDN w:val="0"/>
              <w:adjustRightInd w:val="0"/>
              <w:snapToGrid w:val="0"/>
              <w:spacing w:line="360" w:lineRule="auto"/>
              <w:ind w:firstLine="420"/>
              <w:rPr>
                <w:color w:val="auto"/>
              </w:rPr>
            </w:pPr>
            <w:r>
              <w:rPr>
                <w:bCs/>
                <w:color w:val="auto"/>
                <w:szCs w:val="21"/>
              </w:rPr>
              <w:t>根据项目总平面布局可知，</w:t>
            </w:r>
            <w:r>
              <w:rPr>
                <w:rFonts w:hint="eastAsia"/>
                <w:bCs/>
                <w:color w:val="auto"/>
                <w:szCs w:val="21"/>
              </w:rPr>
              <w:t>宠物医院建筑层数为</w:t>
            </w:r>
            <w:r>
              <w:rPr>
                <w:rFonts w:hint="eastAsia"/>
                <w:bCs/>
                <w:color w:val="auto"/>
                <w:szCs w:val="21"/>
                <w:lang w:val="en-US" w:eastAsia="zh-CN"/>
              </w:rPr>
              <w:t>1</w:t>
            </w:r>
            <w:r>
              <w:rPr>
                <w:rFonts w:hint="eastAsia"/>
                <w:bCs/>
                <w:color w:val="auto"/>
                <w:szCs w:val="21"/>
              </w:rPr>
              <w:t>层</w:t>
            </w:r>
            <w:r>
              <w:rPr>
                <w:bCs/>
                <w:color w:val="auto"/>
                <w:szCs w:val="21"/>
              </w:rPr>
              <w:t>，</w:t>
            </w:r>
            <w:r>
              <w:rPr>
                <w:rFonts w:hint="eastAsia"/>
                <w:bCs/>
                <w:color w:val="auto"/>
                <w:szCs w:val="21"/>
              </w:rPr>
              <w:t>设置大厅、前台、诊疗室、化验室、药房、医疗废物暂存间以及手术室、</w:t>
            </w:r>
            <w:r>
              <w:rPr>
                <w:bCs/>
                <w:color w:val="auto"/>
                <w:szCs w:val="21"/>
              </w:rPr>
              <w:t>医疗外包装暂存间</w:t>
            </w:r>
            <w:r>
              <w:rPr>
                <w:rFonts w:hint="eastAsia"/>
                <w:bCs/>
                <w:color w:val="auto"/>
                <w:szCs w:val="21"/>
                <w:lang w:eastAsia="zh-CN"/>
              </w:rPr>
              <w:t>、</w:t>
            </w:r>
            <w:r>
              <w:rPr>
                <w:rFonts w:hint="eastAsia"/>
                <w:bCs/>
                <w:color w:val="auto"/>
                <w:szCs w:val="21"/>
              </w:rPr>
              <w:t>休息厅、病房、厕所</w:t>
            </w:r>
            <w:r>
              <w:rPr>
                <w:rFonts w:hint="eastAsia"/>
                <w:iCs/>
                <w:color w:val="auto"/>
                <w:szCs w:val="21"/>
              </w:rPr>
              <w:t>。</w:t>
            </w:r>
            <w:r>
              <w:rPr>
                <w:color w:val="auto"/>
                <w:szCs w:val="21"/>
              </w:rPr>
              <w:t>项目平面布局紧凑，各功能单位分布明朗，互不影响，组织有序。平面布置合理可行。项目医废暂存间采取重点防渗措施，采用专用密闭垃圾收集桶收集后交由有资质单位进行处置，外运处理时，避开高峰时段将医疗废物从项目出口直接外运。因此，医疗废物暂存间的布置相对合理，对外部环境影响较小。项目设置1套密闭医疗废水处理设施</w:t>
            </w:r>
            <w:r>
              <w:rPr>
                <w:rFonts w:hint="eastAsia"/>
                <w:color w:val="auto"/>
                <w:szCs w:val="21"/>
              </w:rPr>
              <w:t>（</w:t>
            </w:r>
            <w:r>
              <w:rPr>
                <w:color w:val="auto"/>
                <w:szCs w:val="21"/>
              </w:rPr>
              <w:t>处理规模为：</w:t>
            </w:r>
            <w:r>
              <w:rPr>
                <w:rFonts w:hint="eastAsia"/>
                <w:color w:val="auto"/>
                <w:szCs w:val="21"/>
              </w:rPr>
              <w:t>2</w:t>
            </w:r>
            <w:r>
              <w:rPr>
                <w:color w:val="auto"/>
                <w:szCs w:val="21"/>
              </w:rPr>
              <w:t>m</w:t>
            </w:r>
            <w:r>
              <w:rPr>
                <w:color w:val="auto"/>
                <w:szCs w:val="21"/>
                <w:vertAlign w:val="superscript"/>
              </w:rPr>
              <w:t>3</w:t>
            </w:r>
            <w:r>
              <w:rPr>
                <w:color w:val="auto"/>
                <w:szCs w:val="21"/>
              </w:rPr>
              <w:t>/d</w:t>
            </w:r>
            <w:r>
              <w:rPr>
                <w:rFonts w:hint="eastAsia"/>
                <w:color w:val="auto"/>
                <w:szCs w:val="21"/>
              </w:rPr>
              <w:t>）</w:t>
            </w:r>
            <w:r>
              <w:rPr>
                <w:color w:val="auto"/>
                <w:szCs w:val="21"/>
              </w:rPr>
              <w:t>，产生的医疗废水通过专用管道收集后，经其处理达标后排入预处理池处理</w:t>
            </w:r>
            <w:r>
              <w:rPr>
                <w:rFonts w:hint="eastAsia"/>
                <w:color w:val="auto"/>
                <w:szCs w:val="21"/>
              </w:rPr>
              <w:t>，</w:t>
            </w:r>
            <w:r>
              <w:rPr>
                <w:color w:val="auto"/>
                <w:szCs w:val="21"/>
              </w:rPr>
              <w:t>因此，项目污水处理设施设置合理</w:t>
            </w:r>
            <w:r>
              <w:rPr>
                <w:rFonts w:hint="eastAsia"/>
                <w:color w:val="auto"/>
                <w:szCs w:val="21"/>
              </w:rPr>
              <w:t>；</w:t>
            </w:r>
            <w:r>
              <w:rPr>
                <w:rFonts w:hint="eastAsia"/>
                <w:bCs/>
                <w:color w:val="auto"/>
                <w:szCs w:val="21"/>
                <w:lang w:eastAsia="zh-CN"/>
              </w:rPr>
              <w:t>宠物散发的异味</w:t>
            </w:r>
            <w:r>
              <w:rPr>
                <w:bCs/>
                <w:color w:val="auto"/>
                <w:szCs w:val="21"/>
              </w:rPr>
              <w:t>通过设置抽排风系统，并使用紫外灯消毒装置和活性炭吸附装置</w:t>
            </w:r>
            <w:r>
              <w:rPr>
                <w:rFonts w:hint="eastAsia"/>
                <w:bCs/>
                <w:color w:val="auto"/>
                <w:szCs w:val="21"/>
              </w:rPr>
              <w:t>处理后通过排风口外排</w:t>
            </w:r>
            <w:r>
              <w:rPr>
                <w:bCs/>
                <w:color w:val="auto"/>
                <w:szCs w:val="21"/>
              </w:rPr>
              <w:t>，</w:t>
            </w:r>
            <w:r>
              <w:rPr>
                <w:rFonts w:hint="eastAsia"/>
                <w:bCs/>
                <w:color w:val="auto"/>
                <w:szCs w:val="21"/>
              </w:rPr>
              <w:t>排风口位于1楼大门处，排口朝向</w:t>
            </w:r>
            <w:r>
              <w:rPr>
                <w:rFonts w:hint="eastAsia"/>
                <w:bCs/>
                <w:color w:val="auto"/>
                <w:szCs w:val="21"/>
                <w:lang w:eastAsia="zh-CN"/>
              </w:rPr>
              <w:t>公路一侧</w:t>
            </w:r>
            <w:r>
              <w:rPr>
                <w:rFonts w:hint="eastAsia"/>
                <w:bCs/>
                <w:color w:val="auto"/>
                <w:szCs w:val="21"/>
              </w:rPr>
              <w:t>，</w:t>
            </w:r>
            <w:r>
              <w:rPr>
                <w:rFonts w:hint="eastAsia"/>
                <w:bCs/>
                <w:color w:val="auto"/>
                <w:szCs w:val="21"/>
                <w:lang w:eastAsia="zh-CN"/>
              </w:rPr>
              <w:t>布云轩茶坊、火锅店</w:t>
            </w:r>
            <w:r>
              <w:rPr>
                <w:rFonts w:hint="eastAsia"/>
                <w:color w:val="auto"/>
              </w:rPr>
              <w:t>分别位于本项目西侧</w:t>
            </w:r>
            <w:r>
              <w:rPr>
                <w:rFonts w:hint="eastAsia"/>
                <w:color w:val="auto"/>
                <w:lang w:val="en-US" w:eastAsia="zh-CN"/>
              </w:rPr>
              <w:t>10</w:t>
            </w:r>
            <w:r>
              <w:rPr>
                <w:rFonts w:hint="eastAsia"/>
                <w:color w:val="auto"/>
              </w:rPr>
              <w:t>m、50m，</w:t>
            </w:r>
            <w:r>
              <w:rPr>
                <w:rFonts w:hint="eastAsia"/>
                <w:color w:val="auto"/>
                <w:lang w:val="en-US" w:eastAsia="zh-CN"/>
              </w:rPr>
              <w:t>苍溪好粮油展示展销旗舰店位于本项目东侧10m，四川璨宇建设工程有限责任公司位于本项目 西北侧55m，四川都运位于本项目北侧10m，四川众鑫联建设有限公司位于本项目东阿北侧15m，</w:t>
            </w:r>
            <w:r>
              <w:rPr>
                <w:rFonts w:hint="eastAsia"/>
                <w:color w:val="auto"/>
              </w:rPr>
              <w:t>不会对行业造成影响。</w:t>
            </w:r>
          </w:p>
          <w:p>
            <w:pPr>
              <w:snapToGrid w:val="0"/>
              <w:spacing w:line="360" w:lineRule="auto"/>
              <w:ind w:firstLine="420" w:firstLineChars="200"/>
              <w:rPr>
                <w:color w:val="auto"/>
                <w:szCs w:val="21"/>
              </w:rPr>
            </w:pPr>
            <w:r>
              <w:rPr>
                <w:color w:val="auto"/>
                <w:szCs w:val="21"/>
              </w:rPr>
              <w:t>综上所述，项目总平面布局可行。</w:t>
            </w:r>
          </w:p>
          <w:p>
            <w:pPr>
              <w:snapToGrid w:val="0"/>
              <w:spacing w:line="360" w:lineRule="auto"/>
              <w:ind w:firstLine="422" w:firstLineChars="200"/>
              <w:rPr>
                <w:b/>
                <w:color w:val="auto"/>
                <w:szCs w:val="21"/>
              </w:rPr>
            </w:pPr>
            <w:r>
              <w:rPr>
                <w:rFonts w:hint="eastAsia"/>
                <w:b/>
                <w:color w:val="auto"/>
                <w:szCs w:val="21"/>
              </w:rPr>
              <w:t>8、依托工程</w:t>
            </w:r>
          </w:p>
          <w:p>
            <w:pPr>
              <w:spacing w:line="360" w:lineRule="auto"/>
              <w:ind w:firstLine="420" w:firstLineChars="200"/>
              <w:rPr>
                <w:bCs/>
                <w:color w:val="auto"/>
                <w:szCs w:val="21"/>
              </w:rPr>
            </w:pPr>
            <w:r>
              <w:rPr>
                <w:bCs/>
                <w:color w:val="auto"/>
                <w:szCs w:val="21"/>
              </w:rPr>
              <w:t>本项目在运营过程中，大楼、道路、给水、雨污管网、电网等公辅设施均依托项目所在</w:t>
            </w:r>
            <w:r>
              <w:rPr>
                <w:rFonts w:hint="eastAsia"/>
                <w:bCs/>
                <w:color w:val="auto"/>
                <w:szCs w:val="21"/>
                <w:lang w:eastAsia="zh-CN"/>
              </w:rPr>
              <w:t>钰恒江南</w:t>
            </w:r>
            <w:r>
              <w:rPr>
                <w:bCs/>
                <w:color w:val="auto"/>
                <w:szCs w:val="21"/>
              </w:rPr>
              <w:t>配套设施。根据调查，本项目具体依托情况如下表。</w:t>
            </w:r>
          </w:p>
          <w:p>
            <w:pPr>
              <w:pStyle w:val="2"/>
              <w:ind w:firstLine="0"/>
              <w:jc w:val="center"/>
              <w:rPr>
                <w:rFonts w:eastAsia="宋体"/>
                <w:bCs/>
                <w:color w:val="auto"/>
                <w:sz w:val="21"/>
                <w:szCs w:val="21"/>
              </w:rPr>
            </w:pPr>
            <w:r>
              <w:rPr>
                <w:rFonts w:eastAsia="宋体"/>
                <w:b/>
                <w:bCs/>
                <w:color w:val="auto"/>
                <w:sz w:val="18"/>
                <w:szCs w:val="18"/>
              </w:rPr>
              <w:t>表2-</w:t>
            </w:r>
            <w:r>
              <w:rPr>
                <w:rFonts w:hint="eastAsia" w:eastAsia="宋体"/>
                <w:b/>
                <w:bCs/>
                <w:color w:val="auto"/>
                <w:sz w:val="18"/>
                <w:szCs w:val="18"/>
              </w:rPr>
              <w:t>4项目公辅设施依托情况一览</w:t>
            </w:r>
            <w:r>
              <w:rPr>
                <w:rFonts w:eastAsia="宋体"/>
                <w:b/>
                <w:bCs/>
                <w:color w:val="auto"/>
                <w:sz w:val="18"/>
                <w:szCs w:val="18"/>
              </w:rPr>
              <w:t>表</w:t>
            </w:r>
          </w:p>
          <w:tbl>
            <w:tblPr>
              <w:tblStyle w:val="22"/>
              <w:tblW w:w="8017"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04"/>
              <w:gridCol w:w="1599"/>
              <w:gridCol w:w="1592"/>
              <w:gridCol w:w="1411"/>
              <w:gridCol w:w="141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2004" w:type="dxa"/>
                  <w:tcBorders>
                    <w:tl2br w:val="nil"/>
                    <w:tr2bl w:val="nil"/>
                  </w:tcBorders>
                </w:tcPr>
                <w:p>
                  <w:pPr>
                    <w:adjustRightInd w:val="0"/>
                    <w:snapToGrid w:val="0"/>
                    <w:jc w:val="center"/>
                    <w:rPr>
                      <w:bCs/>
                      <w:color w:val="auto"/>
                      <w:sz w:val="18"/>
                      <w:szCs w:val="18"/>
                    </w:rPr>
                  </w:pPr>
                  <w:r>
                    <w:rPr>
                      <w:rFonts w:hint="eastAsia"/>
                      <w:bCs/>
                      <w:color w:val="auto"/>
                      <w:sz w:val="18"/>
                      <w:szCs w:val="18"/>
                    </w:rPr>
                    <w:t>项目名称</w:t>
                  </w:r>
                </w:p>
              </w:tc>
              <w:tc>
                <w:tcPr>
                  <w:tcW w:w="1599" w:type="dxa"/>
                  <w:tcBorders>
                    <w:tl2br w:val="nil"/>
                    <w:tr2bl w:val="nil"/>
                  </w:tcBorders>
                </w:tcPr>
                <w:p>
                  <w:pPr>
                    <w:adjustRightInd w:val="0"/>
                    <w:snapToGrid w:val="0"/>
                    <w:jc w:val="center"/>
                    <w:rPr>
                      <w:bCs/>
                      <w:color w:val="auto"/>
                      <w:sz w:val="18"/>
                      <w:szCs w:val="18"/>
                    </w:rPr>
                  </w:pPr>
                  <w:r>
                    <w:rPr>
                      <w:rFonts w:hint="eastAsia"/>
                      <w:bCs/>
                      <w:color w:val="auto"/>
                      <w:sz w:val="18"/>
                      <w:szCs w:val="18"/>
                    </w:rPr>
                    <w:t>给排水管网</w:t>
                  </w:r>
                </w:p>
              </w:tc>
              <w:tc>
                <w:tcPr>
                  <w:tcW w:w="1592" w:type="dxa"/>
                  <w:tcBorders>
                    <w:tl2br w:val="nil"/>
                    <w:tr2bl w:val="nil"/>
                  </w:tcBorders>
                </w:tcPr>
                <w:p>
                  <w:pPr>
                    <w:adjustRightInd w:val="0"/>
                    <w:snapToGrid w:val="0"/>
                    <w:jc w:val="center"/>
                    <w:rPr>
                      <w:bCs/>
                      <w:color w:val="auto"/>
                      <w:sz w:val="18"/>
                      <w:szCs w:val="18"/>
                    </w:rPr>
                  </w:pPr>
                  <w:r>
                    <w:rPr>
                      <w:rFonts w:hint="eastAsia"/>
                      <w:bCs/>
                      <w:color w:val="auto"/>
                      <w:sz w:val="18"/>
                      <w:szCs w:val="18"/>
                    </w:rPr>
                    <w:t>供电系统</w:t>
                  </w:r>
                </w:p>
              </w:tc>
              <w:tc>
                <w:tcPr>
                  <w:tcW w:w="1411" w:type="dxa"/>
                  <w:tcBorders>
                    <w:tl2br w:val="nil"/>
                    <w:tr2bl w:val="nil"/>
                  </w:tcBorders>
                </w:tcPr>
                <w:p>
                  <w:pPr>
                    <w:adjustRightInd w:val="0"/>
                    <w:snapToGrid w:val="0"/>
                    <w:jc w:val="center"/>
                    <w:rPr>
                      <w:bCs/>
                      <w:color w:val="auto"/>
                      <w:sz w:val="18"/>
                      <w:szCs w:val="18"/>
                    </w:rPr>
                  </w:pPr>
                  <w:r>
                    <w:rPr>
                      <w:rFonts w:hint="eastAsia"/>
                      <w:bCs/>
                      <w:color w:val="auto"/>
                      <w:sz w:val="18"/>
                      <w:szCs w:val="18"/>
                    </w:rPr>
                    <w:t>道路</w:t>
                  </w:r>
                </w:p>
              </w:tc>
              <w:tc>
                <w:tcPr>
                  <w:tcW w:w="1411" w:type="dxa"/>
                  <w:tcBorders>
                    <w:tl2br w:val="nil"/>
                    <w:tr2bl w:val="nil"/>
                  </w:tcBorders>
                </w:tcPr>
                <w:p>
                  <w:pPr>
                    <w:adjustRightInd w:val="0"/>
                    <w:snapToGrid w:val="0"/>
                    <w:rPr>
                      <w:bCs/>
                      <w:color w:val="auto"/>
                      <w:sz w:val="18"/>
                      <w:szCs w:val="18"/>
                    </w:rPr>
                  </w:pPr>
                  <w:r>
                    <w:rPr>
                      <w:rFonts w:hint="eastAsia"/>
                      <w:bCs/>
                      <w:color w:val="auto"/>
                      <w:sz w:val="18"/>
                      <w:szCs w:val="18"/>
                    </w:rPr>
                    <w:t xml:space="preserve">   预处理池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2004" w:type="dxa"/>
                  <w:tcBorders>
                    <w:tl2br w:val="nil"/>
                    <w:tr2bl w:val="nil"/>
                  </w:tcBorders>
                </w:tcPr>
                <w:p>
                  <w:pPr>
                    <w:adjustRightInd w:val="0"/>
                    <w:snapToGrid w:val="0"/>
                    <w:jc w:val="center"/>
                    <w:rPr>
                      <w:rFonts w:hint="eastAsia" w:eastAsia="宋体"/>
                      <w:bCs/>
                      <w:color w:val="auto"/>
                      <w:sz w:val="18"/>
                      <w:szCs w:val="18"/>
                      <w:lang w:eastAsia="zh-CN"/>
                    </w:rPr>
                  </w:pPr>
                  <w:r>
                    <w:rPr>
                      <w:rFonts w:hint="eastAsia" w:eastAsia="宋体"/>
                      <w:bCs/>
                      <w:color w:val="auto"/>
                      <w:sz w:val="18"/>
                      <w:szCs w:val="18"/>
                    </w:rPr>
                    <w:t xml:space="preserve"> </w:t>
                  </w:r>
                  <w:r>
                    <w:rPr>
                      <w:rFonts w:hint="eastAsia" w:eastAsia="宋体"/>
                      <w:bCs/>
                      <w:color w:val="auto"/>
                      <w:sz w:val="18"/>
                      <w:szCs w:val="18"/>
                      <w:lang w:eastAsia="zh-CN"/>
                    </w:rPr>
                    <w:t>钰恒江南</w:t>
                  </w:r>
                </w:p>
              </w:tc>
              <w:tc>
                <w:tcPr>
                  <w:tcW w:w="6013" w:type="dxa"/>
                  <w:gridSpan w:val="4"/>
                  <w:tcBorders>
                    <w:tl2br w:val="nil"/>
                    <w:tr2bl w:val="nil"/>
                  </w:tcBorders>
                </w:tcPr>
                <w:p>
                  <w:pPr>
                    <w:adjustRightInd w:val="0"/>
                    <w:snapToGrid w:val="0"/>
                    <w:ind w:firstLine="1800" w:firstLineChars="1000"/>
                    <w:rPr>
                      <w:bCs/>
                      <w:color w:val="auto"/>
                      <w:sz w:val="18"/>
                      <w:szCs w:val="18"/>
                    </w:rPr>
                  </w:pPr>
                  <w:r>
                    <w:rPr>
                      <w:rFonts w:hint="eastAsia"/>
                      <w:bCs/>
                      <w:color w:val="auto"/>
                      <w:sz w:val="18"/>
                      <w:szCs w:val="18"/>
                    </w:rPr>
                    <w:t xml:space="preserve"> 已建完善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9" w:hRule="atLeast"/>
              </w:trPr>
              <w:tc>
                <w:tcPr>
                  <w:tcW w:w="2004" w:type="dxa"/>
                  <w:tcBorders>
                    <w:tl2br w:val="nil"/>
                    <w:tr2bl w:val="nil"/>
                  </w:tcBorders>
                </w:tcPr>
                <w:p>
                  <w:pPr>
                    <w:adjustRightInd w:val="0"/>
                    <w:snapToGrid w:val="0"/>
                    <w:jc w:val="center"/>
                    <w:rPr>
                      <w:bCs/>
                      <w:color w:val="auto"/>
                      <w:sz w:val="18"/>
                      <w:szCs w:val="18"/>
                    </w:rPr>
                  </w:pPr>
                  <w:r>
                    <w:rPr>
                      <w:rFonts w:hint="eastAsia"/>
                      <w:bCs/>
                      <w:color w:val="auto"/>
                      <w:sz w:val="18"/>
                      <w:szCs w:val="18"/>
                    </w:rPr>
                    <w:t xml:space="preserve"> 本项目</w:t>
                  </w:r>
                </w:p>
              </w:tc>
              <w:tc>
                <w:tcPr>
                  <w:tcW w:w="1599" w:type="dxa"/>
                  <w:tcBorders>
                    <w:tl2br w:val="nil"/>
                    <w:tr2bl w:val="nil"/>
                  </w:tcBorders>
                </w:tcPr>
                <w:p>
                  <w:pPr>
                    <w:adjustRightInd w:val="0"/>
                    <w:snapToGrid w:val="0"/>
                    <w:jc w:val="center"/>
                    <w:rPr>
                      <w:bCs/>
                      <w:color w:val="auto"/>
                      <w:sz w:val="18"/>
                      <w:szCs w:val="18"/>
                    </w:rPr>
                  </w:pPr>
                  <w:r>
                    <w:rPr>
                      <w:rFonts w:hint="eastAsia"/>
                      <w:bCs/>
                      <w:color w:val="auto"/>
                      <w:sz w:val="18"/>
                      <w:szCs w:val="18"/>
                    </w:rPr>
                    <w:t xml:space="preserve"> 依托</w:t>
                  </w:r>
                </w:p>
              </w:tc>
              <w:tc>
                <w:tcPr>
                  <w:tcW w:w="1592" w:type="dxa"/>
                  <w:tcBorders>
                    <w:tl2br w:val="nil"/>
                    <w:tr2bl w:val="nil"/>
                  </w:tcBorders>
                </w:tcPr>
                <w:p>
                  <w:pPr>
                    <w:adjustRightInd w:val="0"/>
                    <w:snapToGrid w:val="0"/>
                    <w:jc w:val="center"/>
                    <w:rPr>
                      <w:bCs/>
                      <w:color w:val="auto"/>
                      <w:sz w:val="18"/>
                      <w:szCs w:val="18"/>
                    </w:rPr>
                  </w:pPr>
                  <w:r>
                    <w:rPr>
                      <w:rFonts w:hint="eastAsia"/>
                      <w:bCs/>
                      <w:color w:val="auto"/>
                      <w:sz w:val="18"/>
                      <w:szCs w:val="18"/>
                    </w:rPr>
                    <w:t xml:space="preserve"> 依托</w:t>
                  </w:r>
                </w:p>
              </w:tc>
              <w:tc>
                <w:tcPr>
                  <w:tcW w:w="1411" w:type="dxa"/>
                  <w:tcBorders>
                    <w:tl2br w:val="nil"/>
                    <w:tr2bl w:val="nil"/>
                  </w:tcBorders>
                </w:tcPr>
                <w:p>
                  <w:pPr>
                    <w:adjustRightInd w:val="0"/>
                    <w:snapToGrid w:val="0"/>
                    <w:rPr>
                      <w:bCs/>
                      <w:color w:val="auto"/>
                      <w:szCs w:val="21"/>
                    </w:rPr>
                  </w:pPr>
                  <w:r>
                    <w:rPr>
                      <w:rFonts w:hint="eastAsia"/>
                      <w:bCs/>
                      <w:color w:val="auto"/>
                      <w:sz w:val="18"/>
                      <w:szCs w:val="18"/>
                    </w:rPr>
                    <w:t xml:space="preserve">     依托</w:t>
                  </w:r>
                </w:p>
              </w:tc>
              <w:tc>
                <w:tcPr>
                  <w:tcW w:w="1411" w:type="dxa"/>
                  <w:tcBorders>
                    <w:tl2br w:val="nil"/>
                    <w:tr2bl w:val="nil"/>
                  </w:tcBorders>
                </w:tcPr>
                <w:p>
                  <w:pPr>
                    <w:adjustRightInd w:val="0"/>
                    <w:snapToGrid w:val="0"/>
                    <w:rPr>
                      <w:bCs/>
                      <w:color w:val="auto"/>
                      <w:sz w:val="18"/>
                      <w:szCs w:val="18"/>
                    </w:rPr>
                  </w:pPr>
                  <w:r>
                    <w:rPr>
                      <w:rFonts w:hint="eastAsia"/>
                      <w:bCs/>
                      <w:color w:val="auto"/>
                      <w:sz w:val="18"/>
                      <w:szCs w:val="18"/>
                    </w:rPr>
                    <w:t xml:space="preserve">    依托</w:t>
                  </w:r>
                </w:p>
              </w:tc>
            </w:tr>
          </w:tbl>
          <w:p>
            <w:pPr>
              <w:widowControl/>
              <w:spacing w:line="360" w:lineRule="auto"/>
              <w:ind w:firstLine="420" w:firstLineChars="200"/>
              <w:jc w:val="left"/>
              <w:rPr>
                <w:color w:val="auto"/>
                <w:szCs w:val="21"/>
              </w:rPr>
            </w:pPr>
            <w:r>
              <w:rPr>
                <w:color w:val="auto"/>
                <w:kern w:val="0"/>
                <w:szCs w:val="21"/>
              </w:rPr>
              <w:t>项目所在大楼目前基础设施比较完善，其中雨污管网正常使用，项目产生的医疗废水经医疗废水设施处理后和员工生活污水一起通过污水管道进入大楼公用预处理池处理，该预处理池处理能力为300m</w:t>
            </w:r>
            <w:r>
              <w:rPr>
                <w:rFonts w:hint="eastAsia"/>
                <w:color w:val="auto"/>
                <w:kern w:val="0"/>
                <w:szCs w:val="21"/>
                <w:vertAlign w:val="superscript"/>
              </w:rPr>
              <w:t>3</w:t>
            </w:r>
            <w:r>
              <w:rPr>
                <w:color w:val="auto"/>
                <w:kern w:val="0"/>
                <w:szCs w:val="21"/>
              </w:rPr>
              <w:t>/d，现已使用150m</w:t>
            </w:r>
            <w:r>
              <w:rPr>
                <w:rFonts w:hint="eastAsia"/>
                <w:color w:val="auto"/>
                <w:kern w:val="0"/>
                <w:szCs w:val="21"/>
                <w:vertAlign w:val="superscript"/>
              </w:rPr>
              <w:t>3</w:t>
            </w:r>
            <w:r>
              <w:rPr>
                <w:color w:val="auto"/>
                <w:kern w:val="0"/>
                <w:szCs w:val="21"/>
              </w:rPr>
              <w:t>/d，本项目排水为</w:t>
            </w:r>
            <w:r>
              <w:rPr>
                <w:rFonts w:hint="eastAsia"/>
                <w:color w:val="auto"/>
                <w:kern w:val="0"/>
                <w:szCs w:val="21"/>
                <w:lang w:val="en-US" w:eastAsia="zh-CN"/>
              </w:rPr>
              <w:t>0.77</w:t>
            </w:r>
            <w:r>
              <w:rPr>
                <w:color w:val="auto"/>
                <w:kern w:val="0"/>
                <w:szCs w:val="21"/>
              </w:rPr>
              <w:t>m</w:t>
            </w:r>
            <w:r>
              <w:rPr>
                <w:rFonts w:hint="eastAsia"/>
                <w:color w:val="auto"/>
                <w:kern w:val="0"/>
                <w:szCs w:val="21"/>
                <w:vertAlign w:val="superscript"/>
              </w:rPr>
              <w:t>3</w:t>
            </w:r>
            <w:r>
              <w:rPr>
                <w:color w:val="auto"/>
                <w:kern w:val="0"/>
                <w:szCs w:val="21"/>
              </w:rPr>
              <w:t>/d，该预处理池剩余容量完全能够接纳本项目所排废水</w:t>
            </w:r>
            <w:r>
              <w:rPr>
                <w:rFonts w:hint="eastAsia"/>
                <w:color w:val="auto"/>
                <w:kern w:val="0"/>
                <w:szCs w:val="21"/>
              </w:rPr>
              <w:t>。</w:t>
            </w:r>
          </w:p>
          <w:p>
            <w:pPr>
              <w:adjustRightInd w:val="0"/>
              <w:snapToGrid w:val="0"/>
              <w:rPr>
                <w:bCs/>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453" w:hRule="atLeast"/>
          <w:jc w:val="center"/>
        </w:trPr>
        <w:tc>
          <w:tcPr>
            <w:tcW w:w="823" w:type="dxa"/>
            <w:noWrap/>
            <w:vAlign w:val="center"/>
          </w:tcPr>
          <w:p>
            <w:pPr>
              <w:pStyle w:val="19"/>
              <w:adjustRightInd w:val="0"/>
              <w:snapToGrid w:val="0"/>
              <w:spacing w:before="0" w:beforeAutospacing="0" w:after="0" w:afterAutospacing="0"/>
              <w:jc w:val="center"/>
              <w:rPr>
                <w:rFonts w:ascii="Times New Roman" w:hAnsi="Times New Roman"/>
                <w:color w:val="auto"/>
                <w:sz w:val="21"/>
                <w:szCs w:val="21"/>
              </w:rPr>
            </w:pPr>
            <w:r>
              <w:rPr>
                <w:rFonts w:ascii="Times New Roman" w:hAnsi="Times New Roman"/>
                <w:color w:val="auto"/>
                <w:sz w:val="21"/>
                <w:szCs w:val="21"/>
              </w:rPr>
              <w:t>工艺流程和产排污环节</w:t>
            </w:r>
          </w:p>
        </w:tc>
        <w:tc>
          <w:tcPr>
            <w:tcW w:w="8161" w:type="dxa"/>
            <w:noWrap/>
          </w:tcPr>
          <w:p>
            <w:pPr>
              <w:rPr>
                <w:rFonts w:hint="eastAsia"/>
                <w:color w:val="auto"/>
              </w:rPr>
            </w:pPr>
            <w:r>
              <w:rPr>
                <w:rFonts w:hint="eastAsia"/>
                <w:color w:val="auto"/>
              </w:rPr>
              <w:t xml:space="preserve">  </w:t>
            </w:r>
          </w:p>
          <w:p>
            <w:pPr>
              <w:spacing w:line="360" w:lineRule="auto"/>
              <w:ind w:firstLine="422" w:firstLineChars="200"/>
              <w:rPr>
                <w:rFonts w:hint="default" w:ascii="Times New Roman" w:hAnsi="Times New Roman" w:cs="Times New Roman"/>
                <w:color w:val="auto"/>
                <w:sz w:val="21"/>
                <w:szCs w:val="21"/>
              </w:rPr>
            </w:pPr>
            <w:r>
              <w:rPr>
                <w:rFonts w:hint="eastAsia"/>
                <w:b/>
                <w:bCs/>
                <w:color w:val="auto"/>
              </w:rPr>
              <w:t>1</w:t>
            </w:r>
            <w:r>
              <w:rPr>
                <w:b/>
                <w:bCs/>
                <w:color w:val="auto"/>
              </w:rPr>
              <w:t>、施工期工艺流程和产排污分析</w:t>
            </w:r>
          </w:p>
          <w:p>
            <w:pPr>
              <w:spacing w:line="360" w:lineRule="auto"/>
              <w:ind w:firstLine="420" w:firstLineChars="200"/>
              <w:rPr>
                <w:rFonts w:hint="default" w:ascii="Times New Roman" w:hAnsi="Times New Roman" w:cs="Times New Roman"/>
                <w:color w:val="auto"/>
                <w:spacing w:val="-6"/>
                <w:sz w:val="21"/>
                <w:szCs w:val="21"/>
              </w:rPr>
            </w:pPr>
            <w:r>
              <w:rPr>
                <w:rFonts w:hint="default" w:ascii="Times New Roman" w:hAnsi="Times New Roman" w:cs="Times New Roman"/>
                <w:color w:val="auto"/>
                <w:sz w:val="21"/>
                <w:szCs w:val="21"/>
              </w:rPr>
              <w:t>本项目是利用已建空房经适应性改造后进行项目生产，不新增占地。其余供水、供电等配套设施均依托空房已建。本项目施工期的施工工序主要是生产设备的安装和调试等，项目施工期间主要产生噪声、扬尘废气和废水，其排放量随施工期的结束随之消失。项目施工期的工艺流程及产污情况图示见图</w:t>
            </w:r>
            <w:r>
              <w:rPr>
                <w:rFonts w:hint="eastAsia" w:cs="Times New Roman"/>
                <w:color w:val="auto"/>
                <w:sz w:val="21"/>
                <w:szCs w:val="21"/>
                <w:lang w:val="en-US" w:eastAsia="zh-CN"/>
              </w:rPr>
              <w:t>2</w:t>
            </w:r>
            <w:r>
              <w:rPr>
                <w:rFonts w:hint="default" w:ascii="Times New Roman" w:hAnsi="Times New Roman" w:cs="Times New Roman"/>
                <w:color w:val="auto"/>
                <w:sz w:val="21"/>
                <w:szCs w:val="21"/>
              </w:rPr>
              <w:t>-1</w:t>
            </w:r>
            <w:r>
              <w:rPr>
                <w:rFonts w:hint="default" w:ascii="Times New Roman" w:hAnsi="Times New Roman" w:cs="Times New Roman"/>
                <w:color w:val="auto"/>
                <w:spacing w:val="-6"/>
                <w:sz w:val="21"/>
                <w:szCs w:val="21"/>
              </w:rPr>
              <w:t>。</w:t>
            </w:r>
          </w:p>
          <w:p>
            <w:pPr>
              <w:rPr>
                <w:rFonts w:hint="eastAsia"/>
                <w:color w:val="auto"/>
              </w:rPr>
            </w:pPr>
            <w:r>
              <w:rPr>
                <w:rFonts w:hint="default" w:ascii="Times New Roman" w:hAnsi="Times New Roman" w:cs="Times New Roman"/>
                <w:color w:val="auto"/>
                <w:sz w:val="24"/>
              </w:rPr>
              <mc:AlternateContent>
                <mc:Choice Requires="wps">
                  <w:drawing>
                    <wp:anchor distT="0" distB="0" distL="114300" distR="114300" simplePos="0" relativeHeight="251754496" behindDoc="0" locked="0" layoutInCell="1" allowOverlap="1">
                      <wp:simplePos x="0" y="0"/>
                      <wp:positionH relativeFrom="column">
                        <wp:posOffset>1193800</wp:posOffset>
                      </wp:positionH>
                      <wp:positionV relativeFrom="paragraph">
                        <wp:posOffset>3388995</wp:posOffset>
                      </wp:positionV>
                      <wp:extent cx="2384425" cy="328295"/>
                      <wp:effectExtent l="0" t="0" r="15875" b="14605"/>
                      <wp:wrapNone/>
                      <wp:docPr id="48" name="文本框 48"/>
                      <wp:cNvGraphicFramePr/>
                      <a:graphic xmlns:a="http://schemas.openxmlformats.org/drawingml/2006/main">
                        <a:graphicData uri="http://schemas.microsoft.com/office/word/2010/wordprocessingShape">
                          <wps:wsp>
                            <wps:cNvSpPr txBox="1"/>
                            <wps:spPr>
                              <a:xfrm>
                                <a:off x="0" y="0"/>
                                <a:ext cx="2384425" cy="328295"/>
                              </a:xfrm>
                              <a:prstGeom prst="rect">
                                <a:avLst/>
                              </a:prstGeom>
                              <a:solidFill>
                                <a:srgbClr val="FFFFFF"/>
                              </a:solidFill>
                              <a:ln>
                                <a:noFill/>
                              </a:ln>
                            </wps:spPr>
                            <wps:txbx>
                              <w:txbxContent>
                                <w:p>
                                  <w:pPr>
                                    <w:jc w:val="center"/>
                                    <w:rPr>
                                      <w:rFonts w:ascii="Times New Roman" w:hAnsi="Times New Roman" w:eastAsia="宋体" w:cs="Times New Roman"/>
                                      <w:b/>
                                      <w:color w:val="000000"/>
                                    </w:rPr>
                                  </w:pPr>
                                  <w:r>
                                    <w:rPr>
                                      <w:rFonts w:hint="eastAsia" w:ascii="Times New Roman" w:hAnsi="Times New Roman" w:eastAsia="宋体" w:cs="Times New Roman"/>
                                      <w:b/>
                                      <w:color w:val="000000"/>
                                    </w:rPr>
                                    <w:t>图</w:t>
                                  </w:r>
                                  <w:r>
                                    <w:rPr>
                                      <w:rFonts w:hint="eastAsia" w:ascii="Times New Roman" w:hAnsi="Times New Roman" w:eastAsia="宋体" w:cs="Times New Roman"/>
                                      <w:b/>
                                      <w:color w:val="000000"/>
                                      <w:lang w:val="en-US" w:eastAsia="zh-CN"/>
                                    </w:rPr>
                                    <w:t xml:space="preserve"> 2</w:t>
                                  </w:r>
                                  <w:r>
                                    <w:rPr>
                                      <w:rFonts w:hint="default" w:ascii="Times New Roman" w:hAnsi="Times New Roman" w:eastAsia="宋体" w:cs="Times New Roman"/>
                                      <w:b/>
                                      <w:color w:val="000000"/>
                                    </w:rPr>
                                    <w:t>-</w:t>
                                  </w:r>
                                  <w:r>
                                    <w:rPr>
                                      <w:rFonts w:hint="eastAsia" w:cs="Times New Roman"/>
                                      <w:b/>
                                      <w:color w:val="000000"/>
                                      <w:lang w:val="en-US" w:eastAsia="zh-CN"/>
                                    </w:rPr>
                                    <w:t>2</w:t>
                                  </w:r>
                                  <w:r>
                                    <w:rPr>
                                      <w:rFonts w:hint="eastAsia" w:ascii="Times New Roman" w:hAnsi="Times New Roman" w:eastAsia="宋体" w:cs="Times New Roman"/>
                                      <w:b/>
                                      <w:color w:val="000000"/>
                                    </w:rPr>
                                    <w:t xml:space="preserve">  项目施工期产污位置</w:t>
                                  </w:r>
                                </w:p>
                                <w:p/>
                              </w:txbxContent>
                            </wps:txbx>
                            <wps:bodyPr upright="1"/>
                          </wps:wsp>
                        </a:graphicData>
                      </a:graphic>
                    </wp:anchor>
                  </w:drawing>
                </mc:Choice>
                <mc:Fallback>
                  <w:pict>
                    <v:shape id="_x0000_s1026" o:spid="_x0000_s1026" o:spt="202" type="#_x0000_t202" style="position:absolute;left:0pt;margin-left:94pt;margin-top:266.85pt;height:25.85pt;width:187.75pt;z-index:251754496;mso-width-relative:page;mso-height-relative:page;" fillcolor="#FFFFFF" filled="t" stroked="f" coordsize="21600,21600" o:gfxdata="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M8UqENgAAAALAQAADwAAAAAAAAABACAAAAAiAAAAZHJzL2Rvd25yZXYu&#10;eG1sUEsBAhQAFAAAAAgAh07iQDAT/SXCAQAAeQMAAA4AAAAAAAAAAQAgAAAAJwEAAGRycy9lMm9E&#10;b2MueG1sUEsFBgAAAAAGAAYAWQEAAFsFAAAAAA==&#10;">
                      <v:fill on="t" focussize="0,0"/>
                      <v:stroke on="f"/>
                      <v:imagedata o:title=""/>
                      <o:lock v:ext="edit" aspectratio="f"/>
                      <v:textbox>
                        <w:txbxContent>
                          <w:p>
                            <w:pPr>
                              <w:jc w:val="center"/>
                              <w:rPr>
                                <w:rFonts w:ascii="Times New Roman" w:hAnsi="Times New Roman" w:eastAsia="宋体" w:cs="Times New Roman"/>
                                <w:b/>
                                <w:color w:val="000000"/>
                              </w:rPr>
                            </w:pPr>
                            <w:r>
                              <w:rPr>
                                <w:rFonts w:hint="eastAsia" w:ascii="Times New Roman" w:hAnsi="Times New Roman" w:eastAsia="宋体" w:cs="Times New Roman"/>
                                <w:b/>
                                <w:color w:val="000000"/>
                              </w:rPr>
                              <w:t>图</w:t>
                            </w:r>
                            <w:r>
                              <w:rPr>
                                <w:rFonts w:hint="eastAsia" w:ascii="Times New Roman" w:hAnsi="Times New Roman" w:eastAsia="宋体" w:cs="Times New Roman"/>
                                <w:b/>
                                <w:color w:val="000000"/>
                                <w:lang w:val="en-US" w:eastAsia="zh-CN"/>
                              </w:rPr>
                              <w:t xml:space="preserve"> 2</w:t>
                            </w:r>
                            <w:r>
                              <w:rPr>
                                <w:rFonts w:hint="default" w:ascii="Times New Roman" w:hAnsi="Times New Roman" w:eastAsia="宋体" w:cs="Times New Roman"/>
                                <w:b/>
                                <w:color w:val="000000"/>
                              </w:rPr>
                              <w:t>-</w:t>
                            </w:r>
                            <w:r>
                              <w:rPr>
                                <w:rFonts w:hint="eastAsia" w:cs="Times New Roman"/>
                                <w:b/>
                                <w:color w:val="000000"/>
                                <w:lang w:val="en-US" w:eastAsia="zh-CN"/>
                              </w:rPr>
                              <w:t>2</w:t>
                            </w:r>
                            <w:r>
                              <w:rPr>
                                <w:rFonts w:hint="eastAsia" w:ascii="Times New Roman" w:hAnsi="Times New Roman" w:eastAsia="宋体" w:cs="Times New Roman"/>
                                <w:b/>
                                <w:color w:val="000000"/>
                              </w:rPr>
                              <w:t xml:space="preserve">  项目施工期产污位置</w:t>
                            </w:r>
                          </w:p>
                          <w:p/>
                        </w:txbxContent>
                      </v:textbox>
                    </v:shape>
                  </w:pict>
                </mc:Fallback>
              </mc:AlternateContent>
            </w:r>
            <w:r>
              <w:rPr>
                <w:rFonts w:hint="default" w:ascii="Times New Roman" w:hAnsi="Times New Roman" w:cs="Times New Roman"/>
                <w:color w:val="auto"/>
              </w:rPr>
              <w:drawing>
                <wp:inline distT="0" distB="0" distL="114300" distR="114300">
                  <wp:extent cx="4810760" cy="3962400"/>
                  <wp:effectExtent l="0" t="0" r="8890" b="0"/>
                  <wp:docPr id="37" name="图片 1" descr="施工期工艺流程及产污位置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 descr="施工期工艺流程及产污位置图"/>
                          <pic:cNvPicPr>
                            <a:picLocks noChangeAspect="1"/>
                          </pic:cNvPicPr>
                        </pic:nvPicPr>
                        <pic:blipFill>
                          <a:blip r:embed="rId13"/>
                          <a:stretch>
                            <a:fillRect/>
                          </a:stretch>
                        </pic:blipFill>
                        <pic:spPr>
                          <a:xfrm>
                            <a:off x="0" y="0"/>
                            <a:ext cx="4810760" cy="3962400"/>
                          </a:xfrm>
                          <a:prstGeom prst="rect">
                            <a:avLst/>
                          </a:prstGeom>
                          <a:noFill/>
                          <a:ln>
                            <a:noFill/>
                          </a:ln>
                        </pic:spPr>
                      </pic:pic>
                    </a:graphicData>
                  </a:graphic>
                </wp:inline>
              </w:drawing>
            </w:r>
          </w:p>
          <w:p>
            <w:pPr>
              <w:rPr>
                <w:rFonts w:hint="eastAsia"/>
                <w:color w:val="auto"/>
              </w:rPr>
            </w:pPr>
          </w:p>
          <w:p>
            <w:pPr>
              <w:rPr>
                <w:rFonts w:hint="eastAsia"/>
                <w:color w:val="auto"/>
              </w:rPr>
            </w:pPr>
          </w:p>
          <w:p>
            <w:pPr>
              <w:rPr>
                <w:rFonts w:hint="eastAsia"/>
                <w:color w:val="auto"/>
              </w:rPr>
            </w:pPr>
          </w:p>
          <w:p>
            <w:pPr>
              <w:rPr>
                <w:rFonts w:hint="eastAsia"/>
                <w:color w:val="auto"/>
              </w:rPr>
            </w:pPr>
          </w:p>
          <w:p>
            <w:pPr>
              <w:rPr>
                <w:rFonts w:hint="eastAsia"/>
                <w:color w:val="auto"/>
              </w:rPr>
            </w:pPr>
          </w:p>
          <w:p>
            <w:pPr>
              <w:rPr>
                <w:rFonts w:hint="eastAsia"/>
                <w:color w:val="auto"/>
              </w:rPr>
            </w:pPr>
          </w:p>
          <w:p>
            <w:pPr>
              <w:rPr>
                <w:rFonts w:hint="eastAsia"/>
                <w:color w:val="auto"/>
              </w:rPr>
            </w:pPr>
          </w:p>
          <w:p>
            <w:pPr>
              <w:rPr>
                <w:rFonts w:hint="eastAsia"/>
                <w:color w:val="auto"/>
              </w:rPr>
            </w:pPr>
          </w:p>
          <w:p>
            <w:pPr>
              <w:rPr>
                <w:rFonts w:hint="eastAsia"/>
                <w:color w:val="auto"/>
              </w:rPr>
            </w:pPr>
          </w:p>
          <w:p>
            <w:pPr>
              <w:pStyle w:val="2"/>
              <w:rPr>
                <w:rFonts w:hint="eastAsia"/>
                <w:color w:val="auto"/>
              </w:rPr>
            </w:pPr>
          </w:p>
          <w:p>
            <w:pPr>
              <w:rPr>
                <w:rFonts w:hint="eastAsia"/>
                <w:color w:val="auto"/>
              </w:rPr>
            </w:pPr>
          </w:p>
          <w:p>
            <w:pPr>
              <w:pStyle w:val="2"/>
              <w:rPr>
                <w:rFonts w:hint="eastAsia"/>
                <w:color w:val="auto"/>
              </w:rPr>
            </w:pPr>
          </w:p>
          <w:p>
            <w:pPr>
              <w:rPr>
                <w:rFonts w:hint="eastAsia"/>
                <w:color w:val="auto"/>
              </w:rPr>
            </w:pPr>
          </w:p>
          <w:p>
            <w:pPr>
              <w:pStyle w:val="2"/>
              <w:rPr>
                <w:rFonts w:hint="eastAsia"/>
                <w:color w:val="auto"/>
              </w:rPr>
            </w:pPr>
          </w:p>
          <w:p>
            <w:pPr>
              <w:rPr>
                <w:rFonts w:hint="eastAsia"/>
                <w:color w:val="auto"/>
              </w:rPr>
            </w:pPr>
          </w:p>
          <w:p>
            <w:pPr>
              <w:pStyle w:val="2"/>
              <w:rPr>
                <w:rFonts w:hint="eastAsia"/>
                <w:color w:val="auto"/>
              </w:rPr>
            </w:pPr>
          </w:p>
          <w:p>
            <w:pPr>
              <w:rPr>
                <w:rFonts w:hint="eastAsia"/>
                <w:color w:val="auto"/>
              </w:rPr>
            </w:pPr>
          </w:p>
          <w:p>
            <w:pPr>
              <w:pStyle w:val="2"/>
              <w:rPr>
                <w:rFonts w:hint="eastAsia"/>
                <w:color w:val="auto"/>
              </w:rPr>
            </w:pPr>
          </w:p>
          <w:p>
            <w:pPr>
              <w:spacing w:line="360" w:lineRule="auto"/>
              <w:ind w:firstLine="422" w:firstLineChars="200"/>
              <w:rPr>
                <w:rFonts w:hint="eastAsia"/>
                <w:b/>
                <w:bCs/>
                <w:color w:val="auto"/>
              </w:rPr>
            </w:pPr>
            <w:r>
              <w:rPr>
                <w:rFonts w:hint="eastAsia"/>
                <w:b/>
                <w:bCs/>
                <w:color w:val="auto"/>
              </w:rPr>
              <w:t>2</w:t>
            </w:r>
            <w:r>
              <w:rPr>
                <w:b/>
                <w:bCs/>
                <w:color w:val="auto"/>
              </w:rPr>
              <w:t>、营运期工艺流程和产排污分析</w:t>
            </w:r>
          </w:p>
          <w:p>
            <w:pPr>
              <w:rPr>
                <w:rFonts w:hint="eastAsia"/>
                <w:color w:val="auto"/>
              </w:rPr>
            </w:pPr>
          </w:p>
          <w:p>
            <w:pPr>
              <w:rPr>
                <w:rFonts w:hint="eastAsia"/>
                <w:color w:val="auto"/>
              </w:rPr>
            </w:pPr>
          </w:p>
          <w:p>
            <w:pPr>
              <w:rPr>
                <w:rFonts w:hint="eastAsia"/>
                <w:color w:val="auto"/>
              </w:rPr>
            </w:pPr>
          </w:p>
          <w:p>
            <w:pPr>
              <w:pStyle w:val="9"/>
              <w:rPr>
                <w:color w:val="auto"/>
              </w:rPr>
            </w:pPr>
            <w:r>
              <w:rPr>
                <w:b/>
                <w:color w:val="auto"/>
                <w:sz w:val="44"/>
                <w:szCs w:val="44"/>
              </w:rPr>
              <mc:AlternateContent>
                <mc:Choice Requires="wps">
                  <w:drawing>
                    <wp:anchor distT="0" distB="0" distL="114300" distR="114300" simplePos="0" relativeHeight="251730944" behindDoc="0" locked="0" layoutInCell="1" allowOverlap="1">
                      <wp:simplePos x="0" y="0"/>
                      <wp:positionH relativeFrom="column">
                        <wp:posOffset>846455</wp:posOffset>
                      </wp:positionH>
                      <wp:positionV relativeFrom="paragraph">
                        <wp:posOffset>140970</wp:posOffset>
                      </wp:positionV>
                      <wp:extent cx="1183005" cy="637540"/>
                      <wp:effectExtent l="0" t="0" r="17145" b="10160"/>
                      <wp:wrapNone/>
                      <wp:docPr id="207" name="矩形 207"/>
                      <wp:cNvGraphicFramePr/>
                      <a:graphic xmlns:a="http://schemas.openxmlformats.org/drawingml/2006/main">
                        <a:graphicData uri="http://schemas.microsoft.com/office/word/2010/wordprocessingShape">
                          <wps:wsp>
                            <wps:cNvSpPr/>
                            <wps:spPr>
                              <a:xfrm>
                                <a:off x="0" y="0"/>
                                <a:ext cx="1183005" cy="637540"/>
                              </a:xfrm>
                              <a:prstGeom prst="rect">
                                <a:avLst/>
                              </a:prstGeom>
                              <a:solidFill>
                                <a:srgbClr val="FFFFFF"/>
                              </a:solidFill>
                              <a:ln>
                                <a:noFill/>
                              </a:ln>
                              <a:effectLst/>
                            </wps:spPr>
                            <wps:txbx>
                              <w:txbxContent>
                                <w:p>
                                  <w:pPr>
                                    <w:rPr>
                                      <w:szCs w:val="21"/>
                                    </w:rPr>
                                  </w:pPr>
                                  <w:r>
                                    <w:rPr>
                                      <w:szCs w:val="21"/>
                                    </w:rPr>
                                    <w:t>暂存于医疗外包装暂存间，交由</w:t>
                                  </w:r>
                                  <w:r>
                                    <w:rPr>
                                      <w:rFonts w:hint="eastAsia"/>
                                      <w:szCs w:val="21"/>
                                    </w:rPr>
                                    <w:t>相关公司</w:t>
                                  </w:r>
                                  <w:r>
                                    <w:rPr>
                                      <w:szCs w:val="21"/>
                                    </w:rPr>
                                    <w:t>回收处理</w:t>
                                  </w:r>
                                </w:p>
                              </w:txbxContent>
                            </wps:txbx>
                            <wps:bodyPr upright="1"/>
                          </wps:wsp>
                        </a:graphicData>
                      </a:graphic>
                    </wp:anchor>
                  </w:drawing>
                </mc:Choice>
                <mc:Fallback>
                  <w:pict>
                    <v:rect id="_x0000_s1026" o:spid="_x0000_s1026" o:spt="1" style="position:absolute;left:0pt;margin-left:66.65pt;margin-top:11.1pt;height:50.2pt;width:93.15pt;z-index:251730944;mso-width-relative:page;mso-height-relative:page;" fillcolor="#FFFFFF" filled="t" stroked="f" coordsize="21600,21600" o:gfxdata="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Bid/ctYAAAAKAQAADwAAAAAAAAABACAAAAAiAAAAZHJzL2Rvd25yZXYueG1sUEsB&#10;AhQAFAAAAAgAh07iQK64Rwe+AQAAfAMAAA4AAAAAAAAAAQAgAAAAJQEAAGRycy9lMm9Eb2MueG1s&#10;UEsFBgAAAAAGAAYAWQEAAFUFAAAAAA==&#10;">
                      <v:fill on="t" focussize="0,0"/>
                      <v:stroke on="f"/>
                      <v:imagedata o:title=""/>
                      <o:lock v:ext="edit" aspectratio="f"/>
                      <v:textbox>
                        <w:txbxContent>
                          <w:p>
                            <w:pPr>
                              <w:rPr>
                                <w:szCs w:val="21"/>
                              </w:rPr>
                            </w:pPr>
                            <w:r>
                              <w:rPr>
                                <w:szCs w:val="21"/>
                              </w:rPr>
                              <w:t>暂存于医疗外包装暂存间，交由</w:t>
                            </w:r>
                            <w:r>
                              <w:rPr>
                                <w:rFonts w:hint="eastAsia"/>
                                <w:szCs w:val="21"/>
                              </w:rPr>
                              <w:t>相关公司</w:t>
                            </w:r>
                            <w:r>
                              <w:rPr>
                                <w:szCs w:val="21"/>
                              </w:rPr>
                              <w:t>回收处理</w:t>
                            </w:r>
                          </w:p>
                        </w:txbxContent>
                      </v:textbox>
                    </v:rect>
                  </w:pict>
                </mc:Fallback>
              </mc:AlternateContent>
            </w:r>
            <w:r>
              <w:rPr>
                <w:color w:val="auto"/>
                <w:sz w:val="21"/>
              </w:rPr>
              <mc:AlternateContent>
                <mc:Choice Requires="wps">
                  <w:drawing>
                    <wp:anchor distT="0" distB="0" distL="114300" distR="114300" simplePos="0" relativeHeight="251722752" behindDoc="0" locked="0" layoutInCell="1" allowOverlap="1">
                      <wp:simplePos x="0" y="0"/>
                      <wp:positionH relativeFrom="column">
                        <wp:posOffset>2202180</wp:posOffset>
                      </wp:positionH>
                      <wp:positionV relativeFrom="paragraph">
                        <wp:posOffset>210820</wp:posOffset>
                      </wp:positionV>
                      <wp:extent cx="591820" cy="255270"/>
                      <wp:effectExtent l="0" t="0" r="17780" b="11430"/>
                      <wp:wrapNone/>
                      <wp:docPr id="46" name="文本框 46"/>
                      <wp:cNvGraphicFramePr/>
                      <a:graphic xmlns:a="http://schemas.openxmlformats.org/drawingml/2006/main">
                        <a:graphicData uri="http://schemas.microsoft.com/office/word/2010/wordprocessingShape">
                          <wps:wsp>
                            <wps:cNvSpPr txBox="1"/>
                            <wps:spPr>
                              <a:xfrm>
                                <a:off x="0" y="0"/>
                                <a:ext cx="591820" cy="255270"/>
                              </a:xfrm>
                              <a:prstGeom prst="rect">
                                <a:avLst/>
                              </a:prstGeom>
                              <a:solidFill>
                                <a:srgbClr val="FFFFFF"/>
                              </a:solidFill>
                              <a:ln w="9525" cap="flat" cmpd="sng">
                                <a:noFill/>
                                <a:prstDash val="solid"/>
                                <a:miter/>
                                <a:headEnd type="none" w="med" len="med"/>
                                <a:tailEnd type="none" w="med" len="med"/>
                              </a:ln>
                              <a:effectLst/>
                            </wps:spPr>
                            <wps:txbx>
                              <w:txbxContent>
                                <w:p>
                                  <w:r>
                                    <w:rPr>
                                      <w:rFonts w:hint="eastAsia"/>
                                    </w:rPr>
                                    <w:t>宠物</w:t>
                                  </w:r>
                                </w:p>
                                <w:p/>
                                <w:p/>
                              </w:txbxContent>
                            </wps:txbx>
                            <wps:bodyPr vert="horz" upright="1"/>
                          </wps:wsp>
                        </a:graphicData>
                      </a:graphic>
                    </wp:anchor>
                  </w:drawing>
                </mc:Choice>
                <mc:Fallback>
                  <w:pict>
                    <v:shape id="_x0000_s1026" o:spid="_x0000_s1026" o:spt="202" type="#_x0000_t202" style="position:absolute;left:0pt;margin-left:173.4pt;margin-top:16.6pt;height:20.1pt;width:46.6pt;z-index:251722752;mso-width-relative:page;mso-height-relative:page;" fillcolor="#FFFFFF" filled="t" stroked="f" coordsize="21600,21600" o:gfxdata="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EdmFrTXAAAACQEAAA8AAAAA&#10;AAAAAQAgAAAAIgAAAGRycy9kb3ducmV2LnhtbFBLAQIUABQAAAAIAIdO4kAwAmjyFQIAACgEAAAO&#10;AAAAAAAAAAEAIAAAACYBAABkcnMvZTJvRG9jLnhtbFBLBQYAAAAABgAGAFkBAACtBQAAAAA=&#10;">
                      <v:fill on="t" focussize="0,0"/>
                      <v:stroke on="f" joinstyle="miter"/>
                      <v:imagedata o:title=""/>
                      <o:lock v:ext="edit" aspectratio="f"/>
                      <v:textbox>
                        <w:txbxContent>
                          <w:p>
                            <w:r>
                              <w:rPr>
                                <w:rFonts w:hint="eastAsia"/>
                              </w:rPr>
                              <w:t>宠物</w:t>
                            </w:r>
                          </w:p>
                          <w:p/>
                          <w:p/>
                        </w:txbxContent>
                      </v:textbox>
                    </v:shape>
                  </w:pict>
                </mc:Fallback>
              </mc:AlternateContent>
            </w:r>
          </w:p>
          <w:p>
            <w:pPr>
              <w:pStyle w:val="9"/>
              <w:rPr>
                <w:color w:val="auto"/>
              </w:rPr>
            </w:pPr>
            <w:r>
              <w:rPr>
                <w:color w:val="auto"/>
                <w:sz w:val="21"/>
              </w:rPr>
              <mc:AlternateContent>
                <mc:Choice Requires="wps">
                  <w:drawing>
                    <wp:anchor distT="0" distB="0" distL="114300" distR="114300" simplePos="0" relativeHeight="251702272" behindDoc="0" locked="0" layoutInCell="1" allowOverlap="1">
                      <wp:simplePos x="0" y="0"/>
                      <wp:positionH relativeFrom="column">
                        <wp:posOffset>2467610</wp:posOffset>
                      </wp:positionH>
                      <wp:positionV relativeFrom="paragraph">
                        <wp:posOffset>194310</wp:posOffset>
                      </wp:positionV>
                      <wp:extent cx="4445" cy="257810"/>
                      <wp:effectExtent l="34925" t="0" r="36830" b="8890"/>
                      <wp:wrapNone/>
                      <wp:docPr id="172" name="直接连接符 172"/>
                      <wp:cNvGraphicFramePr/>
                      <a:graphic xmlns:a="http://schemas.openxmlformats.org/drawingml/2006/main">
                        <a:graphicData uri="http://schemas.microsoft.com/office/word/2010/wordprocessingShape">
                          <wps:wsp>
                            <wps:cNvCnPr/>
                            <wps:spPr>
                              <a:xfrm>
                                <a:off x="0" y="0"/>
                                <a:ext cx="4445" cy="2578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94.3pt;margin-top:15.3pt;height:20.3pt;width:0.35pt;z-index:251702272;mso-width-relative:page;mso-height-relative:page;" filled="f" stroked="t" coordsize="21600,21600" o:gfxdata="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BYNidkAAAAJAQAADwAAAAAAAAABACAAAAAiAAAA&#10;ZHJzL2Rvd25yZXYueG1sUEsBAhQAFAAAAAgAh07iQJZwzLgGAgAA/AMAAA4AAAAAAAAAAQAgAAAA&#10;KAEAAGRycy9lMm9Eb2MueG1sUEsFBgAAAAAGAAYAWQEAAKAFAAAAAA==&#10;">
                      <v:fill on="f" focussize="0,0"/>
                      <v:stroke color="#000000" joinstyle="round" endarrow="block"/>
                      <v:imagedata o:title=""/>
                      <o:lock v:ext="edit" aspectratio="f"/>
                    </v:line>
                  </w:pict>
                </mc:Fallback>
              </mc:AlternateContent>
            </w:r>
          </w:p>
          <w:p>
            <w:pPr>
              <w:rPr>
                <w:color w:val="auto"/>
              </w:rPr>
            </w:pPr>
          </w:p>
          <w:p>
            <w:pPr>
              <w:pStyle w:val="7"/>
              <w:rPr>
                <w:rFonts w:ascii="Times New Roman" w:hAnsi="Times New Roman" w:cs="Times New Roman"/>
                <w:color w:val="auto"/>
              </w:rPr>
            </w:pPr>
            <w:r>
              <w:rPr>
                <w:b/>
                <w:color w:val="auto"/>
                <w:sz w:val="44"/>
                <w:szCs w:val="44"/>
              </w:rPr>
              <mc:AlternateContent>
                <mc:Choice Requires="wps">
                  <w:drawing>
                    <wp:anchor distT="0" distB="0" distL="114300" distR="114300" simplePos="0" relativeHeight="251729920" behindDoc="0" locked="0" layoutInCell="1" allowOverlap="1">
                      <wp:simplePos x="0" y="0"/>
                      <wp:positionH relativeFrom="column">
                        <wp:posOffset>1394460</wp:posOffset>
                      </wp:positionH>
                      <wp:positionV relativeFrom="paragraph">
                        <wp:posOffset>119380</wp:posOffset>
                      </wp:positionV>
                      <wp:extent cx="4445" cy="222250"/>
                      <wp:effectExtent l="36830" t="0" r="34925" b="6350"/>
                      <wp:wrapNone/>
                      <wp:docPr id="220" name="直接箭头连接符 220"/>
                      <wp:cNvGraphicFramePr/>
                      <a:graphic xmlns:a="http://schemas.openxmlformats.org/drawingml/2006/main">
                        <a:graphicData uri="http://schemas.microsoft.com/office/word/2010/wordprocessingShape">
                          <wps:wsp>
                            <wps:cNvCnPr/>
                            <wps:spPr>
                              <a:xfrm flipH="1" flipV="1">
                                <a:off x="0" y="0"/>
                                <a:ext cx="4445" cy="222250"/>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109.8pt;margin-top:9.4pt;height:17.5pt;width:0.35pt;z-index:251729920;mso-width-relative:page;mso-height-relative:page;" filled="f" stroked="t" coordsize="21600,21600" o:gfxdata="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RXqRrdkAAAAJAQAA&#10;DwAAAAAAAAABACAAAAAiAAAAZHJzL2Rvd25yZXYueG1sUEsBAhQAFAAAAAgAh07iQGfUXg0YAgAA&#10;FwQAAA4AAAAAAAAAAQAgAAAAKAEAAGRycy9lMm9Eb2MueG1sUEsFBgAAAAAGAAYAWQEAALIFAAAA&#10;AA==&#10;">
                      <v:fill on="f" focussize="0,0"/>
                      <v:stroke color="#000000" joinstyle="round" dashstyle="dash" endarrow="block"/>
                      <v:imagedata o:title=""/>
                      <o:lock v:ext="edit" aspectratio="f"/>
                    </v:shape>
                  </w:pict>
                </mc:Fallback>
              </mc:AlternateContent>
            </w:r>
            <w:r>
              <w:rPr>
                <w:b/>
                <w:color w:val="auto"/>
                <w:sz w:val="28"/>
                <w:szCs w:val="28"/>
              </w:rPr>
              <mc:AlternateContent>
                <mc:Choice Requires="wps">
                  <w:drawing>
                    <wp:anchor distT="0" distB="0" distL="114300" distR="114300" simplePos="0" relativeHeight="251726848" behindDoc="0" locked="0" layoutInCell="1" allowOverlap="1">
                      <wp:simplePos x="0" y="0"/>
                      <wp:positionH relativeFrom="column">
                        <wp:posOffset>4133850</wp:posOffset>
                      </wp:positionH>
                      <wp:positionV relativeFrom="paragraph">
                        <wp:posOffset>187960</wp:posOffset>
                      </wp:positionV>
                      <wp:extent cx="977900" cy="935355"/>
                      <wp:effectExtent l="0" t="0" r="12700" b="17145"/>
                      <wp:wrapNone/>
                      <wp:docPr id="208" name="矩形 208"/>
                      <wp:cNvGraphicFramePr/>
                      <a:graphic xmlns:a="http://schemas.openxmlformats.org/drawingml/2006/main">
                        <a:graphicData uri="http://schemas.microsoft.com/office/word/2010/wordprocessingShape">
                          <wps:wsp>
                            <wps:cNvSpPr/>
                            <wps:spPr>
                              <a:xfrm>
                                <a:off x="0" y="0"/>
                                <a:ext cx="977900" cy="935355"/>
                              </a:xfrm>
                              <a:prstGeom prst="rect">
                                <a:avLst/>
                              </a:prstGeom>
                              <a:solidFill>
                                <a:srgbClr val="FFFFFF"/>
                              </a:solidFill>
                              <a:ln>
                                <a:noFill/>
                              </a:ln>
                              <a:effectLst/>
                            </wps:spPr>
                            <wps:txbx>
                              <w:txbxContent>
                                <w:p>
                                  <w:pPr>
                                    <w:rPr>
                                      <w:rFonts w:ascii="宋体" w:hAnsi="宋体" w:cs="宋体"/>
                                    </w:rPr>
                                  </w:pPr>
                                  <w:r>
                                    <w:rPr>
                                      <w:szCs w:val="21"/>
                                      <w:lang w:val="zh-CN"/>
                                    </w:rPr>
                                    <w:t>集中收集于医疗垃圾暂存区，定期委托</w:t>
                                  </w:r>
                                  <w:r>
                                    <w:rPr>
                                      <w:rFonts w:hint="eastAsia"/>
                                      <w:szCs w:val="21"/>
                                      <w:lang w:val="zh-CN"/>
                                    </w:rPr>
                                    <w:t>有资质单位进行处理</w:t>
                                  </w:r>
                                </w:p>
                              </w:txbxContent>
                            </wps:txbx>
                            <wps:bodyPr upright="1"/>
                          </wps:wsp>
                        </a:graphicData>
                      </a:graphic>
                    </wp:anchor>
                  </w:drawing>
                </mc:Choice>
                <mc:Fallback>
                  <w:pict>
                    <v:rect id="_x0000_s1026" o:spid="_x0000_s1026" o:spt="1" style="position:absolute;left:0pt;margin-left:325.5pt;margin-top:14.8pt;height:73.65pt;width:77pt;z-index:251726848;mso-width-relative:page;mso-height-relative:page;" fillcolor="#FFFFFF" filled="t" stroked="f" coordsize="21600,21600" o:gfxdata="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Iy2px7XAAAACgEAAA8AAAAAAAAAAQAgAAAAIgAAAGRycy9kb3ducmV2LnhtbFBLAQIU&#10;ABQAAAAIAIdO4kAluVsSuwEAAHsDAAAOAAAAAAAAAAEAIAAAACYBAABkcnMvZTJvRG9jLnhtbFBL&#10;BQYAAAAABgAGAFkBAABTBQAAAAA=&#10;">
                      <v:fill on="t" focussize="0,0"/>
                      <v:stroke on="f"/>
                      <v:imagedata o:title=""/>
                      <o:lock v:ext="edit" aspectratio="f"/>
                      <v:textbox>
                        <w:txbxContent>
                          <w:p>
                            <w:pPr>
                              <w:rPr>
                                <w:rFonts w:ascii="宋体" w:hAnsi="宋体" w:cs="宋体"/>
                              </w:rPr>
                            </w:pPr>
                            <w:r>
                              <w:rPr>
                                <w:szCs w:val="21"/>
                                <w:lang w:val="zh-CN"/>
                              </w:rPr>
                              <w:t>集中收集于医疗垃圾暂存区，定期委托</w:t>
                            </w:r>
                            <w:r>
                              <w:rPr>
                                <w:rFonts w:hint="eastAsia"/>
                                <w:szCs w:val="21"/>
                                <w:lang w:val="zh-CN"/>
                              </w:rPr>
                              <w:t>有资质单位进行处理</w:t>
                            </w:r>
                          </w:p>
                        </w:txbxContent>
                      </v:textbox>
                    </v:rect>
                  </w:pict>
                </mc:Fallback>
              </mc:AlternateContent>
            </w:r>
            <w:r>
              <w:rPr>
                <w:rFonts w:ascii="Times New Roman" w:hAnsi="Times New Roman" w:cs="Times New Roman"/>
                <w:color w:val="auto"/>
              </w:rPr>
              <mc:AlternateContent>
                <mc:Choice Requires="wps">
                  <w:drawing>
                    <wp:anchor distT="0" distB="0" distL="114300" distR="114300" simplePos="0" relativeHeight="251703296" behindDoc="0" locked="0" layoutInCell="1" allowOverlap="1">
                      <wp:simplePos x="0" y="0"/>
                      <wp:positionH relativeFrom="column">
                        <wp:posOffset>2237105</wp:posOffset>
                      </wp:positionH>
                      <wp:positionV relativeFrom="paragraph">
                        <wp:posOffset>36830</wp:posOffset>
                      </wp:positionV>
                      <wp:extent cx="501650" cy="307975"/>
                      <wp:effectExtent l="4445" t="4445" r="8255" b="11430"/>
                      <wp:wrapNone/>
                      <wp:docPr id="173" name="文本框 173"/>
                      <wp:cNvGraphicFramePr/>
                      <a:graphic xmlns:a="http://schemas.openxmlformats.org/drawingml/2006/main">
                        <a:graphicData uri="http://schemas.microsoft.com/office/word/2010/wordprocessingShape">
                          <wps:wsp>
                            <wps:cNvSpPr txBox="1"/>
                            <wps:spPr>
                              <a:xfrm>
                                <a:off x="0" y="0"/>
                                <a:ext cx="501650" cy="30797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rPr>
                                    <w:t>挂号</w:t>
                                  </w:r>
                                </w:p>
                              </w:txbxContent>
                            </wps:txbx>
                            <wps:bodyPr upright="1"/>
                          </wps:wsp>
                        </a:graphicData>
                      </a:graphic>
                    </wp:anchor>
                  </w:drawing>
                </mc:Choice>
                <mc:Fallback>
                  <w:pict>
                    <v:shape id="_x0000_s1026" o:spid="_x0000_s1026" o:spt="202" type="#_x0000_t202" style="position:absolute;left:0pt;margin-left:176.15pt;margin-top:2.9pt;height:24.25pt;width:39.5pt;z-index:251703296;mso-width-relative:page;mso-height-relative:page;" fillcolor="#FFFFFF" filled="t" stroked="t" coordsize="21600,21600" o:gfxdata="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CeDYh1gAAAAgBAAAPAAAAAAAAAAEA&#10;IAAAACIAAABkcnMvZG93bnJldi54bWxQSwECFAAUAAAACACHTuJAfQuLkhECAABHBAAADgAAAAAA&#10;AAABACAAAAAlAQAAZHJzL2Uyb0RvYy54bWxQSwUGAAAAAAYABgBZAQAAqAUAAAAA&#10;">
                      <v:fill on="t" focussize="0,0"/>
                      <v:stroke color="#000000" joinstyle="miter"/>
                      <v:imagedata o:title=""/>
                      <o:lock v:ext="edit" aspectratio="f"/>
                      <v:textbox>
                        <w:txbxContent>
                          <w:p>
                            <w:r>
                              <w:rPr>
                                <w:rFonts w:hint="eastAsia"/>
                              </w:rPr>
                              <w:t>挂号</w:t>
                            </w:r>
                          </w:p>
                        </w:txbxContent>
                      </v:textbox>
                    </v:shape>
                  </w:pict>
                </mc:Fallback>
              </mc:AlternateContent>
            </w:r>
          </w:p>
          <w:p>
            <w:pPr>
              <w:rPr>
                <w:color w:val="auto"/>
              </w:rPr>
            </w:pPr>
            <w:r>
              <w:rPr>
                <w:b/>
                <w:color w:val="auto"/>
                <w:sz w:val="44"/>
                <w:szCs w:val="44"/>
              </w:rPr>
              <mc:AlternateContent>
                <mc:Choice Requires="wps">
                  <w:drawing>
                    <wp:anchor distT="0" distB="0" distL="114300" distR="114300" simplePos="0" relativeHeight="251728896" behindDoc="0" locked="0" layoutInCell="1" allowOverlap="1">
                      <wp:simplePos x="0" y="0"/>
                      <wp:positionH relativeFrom="column">
                        <wp:posOffset>1056640</wp:posOffset>
                      </wp:positionH>
                      <wp:positionV relativeFrom="paragraph">
                        <wp:posOffset>69850</wp:posOffset>
                      </wp:positionV>
                      <wp:extent cx="724535" cy="436245"/>
                      <wp:effectExtent l="0" t="0" r="18415" b="1905"/>
                      <wp:wrapNone/>
                      <wp:docPr id="206" name="矩形 206"/>
                      <wp:cNvGraphicFramePr/>
                      <a:graphic xmlns:a="http://schemas.openxmlformats.org/drawingml/2006/main">
                        <a:graphicData uri="http://schemas.microsoft.com/office/word/2010/wordprocessingShape">
                          <wps:wsp>
                            <wps:cNvSpPr/>
                            <wps:spPr>
                              <a:xfrm>
                                <a:off x="0" y="0"/>
                                <a:ext cx="724535" cy="436245"/>
                              </a:xfrm>
                              <a:prstGeom prst="rect">
                                <a:avLst/>
                              </a:prstGeom>
                              <a:solidFill>
                                <a:srgbClr val="FFFFFF"/>
                              </a:solidFill>
                              <a:ln>
                                <a:noFill/>
                              </a:ln>
                              <a:effectLst/>
                            </wps:spPr>
                            <wps:txbx>
                              <w:txbxContent>
                                <w:p>
                                  <w:pPr>
                                    <w:rPr>
                                      <w:szCs w:val="21"/>
                                    </w:rPr>
                                  </w:pPr>
                                  <w:r>
                                    <w:rPr>
                                      <w:rFonts w:hint="eastAsia" w:ascii="宋体" w:hAnsi="宋体" w:cs="宋体"/>
                                      <w:szCs w:val="21"/>
                                    </w:rPr>
                                    <w:t>废包装及输液瓶</w:t>
                                  </w:r>
                                </w:p>
                              </w:txbxContent>
                            </wps:txbx>
                            <wps:bodyPr upright="1"/>
                          </wps:wsp>
                        </a:graphicData>
                      </a:graphic>
                    </wp:anchor>
                  </w:drawing>
                </mc:Choice>
                <mc:Fallback>
                  <w:pict>
                    <v:rect id="_x0000_s1026" o:spid="_x0000_s1026" o:spt="1" style="position:absolute;left:0pt;margin-left:83.2pt;margin-top:5.5pt;height:34.35pt;width:57.05pt;z-index:251728896;mso-width-relative:page;mso-height-relative:page;" fillcolor="#FFFFFF" filled="t" stroked="f" coordsize="21600,21600" o:gfxdata="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S1d7AdYAAAAJAQAADwAAAAAAAAABACAAAAAiAAAAZHJzL2Rvd25yZXYueG1sUEsBAhQA&#10;FAAAAAgAh07iQMniYcG7AQAAewMAAA4AAAAAAAAAAQAgAAAAJQEAAGRycy9lMm9Eb2MueG1sUEsF&#10;BgAAAAAGAAYAWQEAAFIFAAAAAA==&#10;">
                      <v:fill on="t" focussize="0,0"/>
                      <v:stroke on="f"/>
                      <v:imagedata o:title=""/>
                      <o:lock v:ext="edit" aspectratio="f"/>
                      <v:textbox>
                        <w:txbxContent>
                          <w:p>
                            <w:pPr>
                              <w:rPr>
                                <w:szCs w:val="21"/>
                              </w:rPr>
                            </w:pPr>
                            <w:r>
                              <w:rPr>
                                <w:rFonts w:hint="eastAsia" w:ascii="宋体" w:hAnsi="宋体" w:cs="宋体"/>
                                <w:szCs w:val="21"/>
                              </w:rPr>
                              <w:t>废包装及输液瓶</w:t>
                            </w:r>
                          </w:p>
                        </w:txbxContent>
                      </v:textbox>
                    </v:rect>
                  </w:pict>
                </mc:Fallback>
              </mc:AlternateContent>
            </w:r>
            <w:r>
              <w:rPr>
                <w:color w:val="auto"/>
              </w:rPr>
              <mc:AlternateContent>
                <mc:Choice Requires="wps">
                  <w:drawing>
                    <wp:anchor distT="0" distB="0" distL="114300" distR="114300" simplePos="0" relativeHeight="251717632" behindDoc="0" locked="0" layoutInCell="1" allowOverlap="1">
                      <wp:simplePos x="0" y="0"/>
                      <wp:positionH relativeFrom="column">
                        <wp:posOffset>2488565</wp:posOffset>
                      </wp:positionH>
                      <wp:positionV relativeFrom="paragraph">
                        <wp:posOffset>115570</wp:posOffset>
                      </wp:positionV>
                      <wp:extent cx="5715" cy="314960"/>
                      <wp:effectExtent l="33655" t="0" r="36830" b="8890"/>
                      <wp:wrapNone/>
                      <wp:docPr id="61" name="直接连接符 61"/>
                      <wp:cNvGraphicFramePr/>
                      <a:graphic xmlns:a="http://schemas.openxmlformats.org/drawingml/2006/main">
                        <a:graphicData uri="http://schemas.microsoft.com/office/word/2010/wordprocessingShape">
                          <wps:wsp>
                            <wps:cNvCnPr/>
                            <wps:spPr>
                              <a:xfrm>
                                <a:off x="0" y="0"/>
                                <a:ext cx="5715" cy="31496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95.95pt;margin-top:9.1pt;height:24.8pt;width:0.45pt;z-index:251717632;mso-width-relative:page;mso-height-relative:page;" filled="f" stroked="t" coordsize="21600,21600" o:gfxdata="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JJYRkraAAAACQEAAA8AAAAAAAAAAQAgAAAAIgAA&#10;AGRycy9kb3ducmV2LnhtbFBLAQIUABQAAAAIAIdO4kAkm3HNBgIAAPoDAAAOAAAAAAAAAAEAIAAA&#10;ACkBAABkcnMvZTJvRG9jLnhtbFBLBQYAAAAABgAGAFkBAAChBQAAAAA=&#10;">
                      <v:fill on="f" focussize="0,0"/>
                      <v:stroke color="#000000" joinstyle="round" endarrow="block"/>
                      <v:imagedata o:title=""/>
                      <o:lock v:ext="edit" aspectratio="f"/>
                    </v:line>
                  </w:pict>
                </mc:Fallback>
              </mc:AlternateContent>
            </w:r>
          </w:p>
          <w:p>
            <w:pPr>
              <w:rPr>
                <w:color w:val="auto"/>
              </w:rPr>
            </w:pPr>
            <w:r>
              <w:rPr>
                <w:b/>
                <w:color w:val="auto"/>
                <w:sz w:val="44"/>
                <w:szCs w:val="44"/>
              </w:rPr>
              <mc:AlternateContent>
                <mc:Choice Requires="wps">
                  <w:drawing>
                    <wp:anchor distT="0" distB="0" distL="114300" distR="114300" simplePos="0" relativeHeight="251724800" behindDoc="0" locked="0" layoutInCell="1" allowOverlap="1">
                      <wp:simplePos x="0" y="0"/>
                      <wp:positionH relativeFrom="column">
                        <wp:posOffset>3118485</wp:posOffset>
                      </wp:positionH>
                      <wp:positionV relativeFrom="paragraph">
                        <wp:posOffset>76200</wp:posOffset>
                      </wp:positionV>
                      <wp:extent cx="818515" cy="762635"/>
                      <wp:effectExtent l="0" t="0" r="635" b="18415"/>
                      <wp:wrapNone/>
                      <wp:docPr id="198" name="矩形 198"/>
                      <wp:cNvGraphicFramePr/>
                      <a:graphic xmlns:a="http://schemas.openxmlformats.org/drawingml/2006/main">
                        <a:graphicData uri="http://schemas.microsoft.com/office/word/2010/wordprocessingShape">
                          <wps:wsp>
                            <wps:cNvSpPr/>
                            <wps:spPr>
                              <a:xfrm>
                                <a:off x="0" y="0"/>
                                <a:ext cx="818515" cy="762635"/>
                              </a:xfrm>
                              <a:prstGeom prst="rect">
                                <a:avLst/>
                              </a:prstGeom>
                              <a:solidFill>
                                <a:srgbClr val="FFFFFF"/>
                              </a:solidFill>
                              <a:ln>
                                <a:noFill/>
                              </a:ln>
                              <a:effectLst/>
                            </wps:spPr>
                            <wps:txbx>
                              <w:txbxContent>
                                <w:p>
                                  <w:r>
                                    <w:rPr>
                                      <w:szCs w:val="21"/>
                                      <w:lang w:val="zh-CN"/>
                                    </w:rPr>
                                    <w:t>感染性医疗废物、损伤性医疗废物</w:t>
                                  </w:r>
                                </w:p>
                              </w:txbxContent>
                            </wps:txbx>
                            <wps:bodyPr upright="1"/>
                          </wps:wsp>
                        </a:graphicData>
                      </a:graphic>
                    </wp:anchor>
                  </w:drawing>
                </mc:Choice>
                <mc:Fallback>
                  <w:pict>
                    <v:rect id="_x0000_s1026" o:spid="_x0000_s1026" o:spt="1" style="position:absolute;left:0pt;margin-left:245.55pt;margin-top:6pt;height:60.05pt;width:64.45pt;z-index:251724800;mso-width-relative:page;mso-height-relative:page;" fillcolor="#FFFFFF" filled="t" stroked="f" coordsize="21600,21600" o:gfxdata="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CEYT5DWAAAACgEAAA8AAAAAAAAAAQAgAAAAIgAAAGRycy9kb3ducmV2LnhtbFBLAQIU&#10;ABQAAAAIAIdO4kBlN0OsvAEAAHsDAAAOAAAAAAAAAAEAIAAAACUBAABkcnMvZTJvRG9jLnhtbFBL&#10;BQYAAAAABgAGAFkBAABTBQAAAAA=&#10;">
                      <v:fill on="t" focussize="0,0"/>
                      <v:stroke on="f"/>
                      <v:imagedata o:title=""/>
                      <o:lock v:ext="edit" aspectratio="f"/>
                      <v:textbox>
                        <w:txbxContent>
                          <w:p>
                            <w:r>
                              <w:rPr>
                                <w:szCs w:val="21"/>
                                <w:lang w:val="zh-CN"/>
                              </w:rPr>
                              <w:t>感染性医疗废物、损伤性医疗废物</w:t>
                            </w:r>
                          </w:p>
                        </w:txbxContent>
                      </v:textbox>
                    </v:rect>
                  </w:pict>
                </mc:Fallback>
              </mc:AlternateContent>
            </w:r>
          </w:p>
          <w:p>
            <w:pPr>
              <w:pStyle w:val="9"/>
              <w:rPr>
                <w:color w:val="auto"/>
              </w:rPr>
            </w:pPr>
            <w:r>
              <w:rPr>
                <w:color w:val="auto"/>
                <w:sz w:val="28"/>
              </w:rPr>
              <mc:AlternateContent>
                <mc:Choice Requires="wps">
                  <w:drawing>
                    <wp:anchor distT="0" distB="0" distL="114300" distR="114300" simplePos="0" relativeHeight="251734016" behindDoc="0" locked="0" layoutInCell="1" allowOverlap="1">
                      <wp:simplePos x="0" y="0"/>
                      <wp:positionH relativeFrom="column">
                        <wp:posOffset>-22860</wp:posOffset>
                      </wp:positionH>
                      <wp:positionV relativeFrom="paragraph">
                        <wp:posOffset>64135</wp:posOffset>
                      </wp:positionV>
                      <wp:extent cx="927100" cy="636270"/>
                      <wp:effectExtent l="0" t="0" r="6350" b="11430"/>
                      <wp:wrapNone/>
                      <wp:docPr id="92" name="文本框 92"/>
                      <wp:cNvGraphicFramePr/>
                      <a:graphic xmlns:a="http://schemas.openxmlformats.org/drawingml/2006/main">
                        <a:graphicData uri="http://schemas.microsoft.com/office/word/2010/wordprocessingShape">
                          <wps:wsp>
                            <wps:cNvSpPr txBox="1"/>
                            <wps:spPr>
                              <a:xfrm>
                                <a:off x="0" y="0"/>
                                <a:ext cx="927100" cy="636270"/>
                              </a:xfrm>
                              <a:prstGeom prst="rect">
                                <a:avLst/>
                              </a:prstGeom>
                              <a:solidFill>
                                <a:srgbClr val="FFFFFF"/>
                              </a:solidFill>
                              <a:ln w="6350">
                                <a:noFill/>
                              </a:ln>
                              <a:effectLst/>
                            </wps:spPr>
                            <wps:txbx>
                              <w:txbxContent>
                                <w:p>
                                  <w:pPr>
                                    <w:rPr>
                                      <w:szCs w:val="21"/>
                                    </w:rPr>
                                  </w:pPr>
                                  <w:r>
                                    <w:rPr>
                                      <w:szCs w:val="21"/>
                                    </w:rPr>
                                    <w:t>暂存在</w:t>
                                  </w:r>
                                  <w:r>
                                    <w:rPr>
                                      <w:rFonts w:hint="eastAsia"/>
                                      <w:szCs w:val="21"/>
                                    </w:rPr>
                                    <w:t>医疗废物暂存</w:t>
                                  </w:r>
                                  <w:r>
                                    <w:rPr>
                                      <w:szCs w:val="21"/>
                                    </w:rPr>
                                    <w:t>间，返回厂家</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pt;margin-top:5.05pt;height:50.1pt;width:73pt;z-index:251734016;mso-width-relative:page;mso-height-relative:page;" fillcolor="#FFFFFF" filled="t" stroked="f" coordsize="21600,21600" o:gfxdata="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HxczC7UAAAACQEA&#10;AA8AAAAAAAAAAQAgAAAAIgAAAGRycy9kb3ducmV2LnhtbFBLAQIUABQAAAAIAIdO4kAXFceKVwIA&#10;AJ4EAAAOAAAAAAAAAAEAIAAAACMBAABkcnMvZTJvRG9jLnhtbFBLBQYAAAAABgAGAFkBAADsBQAA&#10;AAA=&#10;">
                      <v:fill on="t" focussize="0,0"/>
                      <v:stroke on="f" weight="0.5pt"/>
                      <v:imagedata o:title=""/>
                      <o:lock v:ext="edit" aspectratio="f"/>
                      <v:textbox>
                        <w:txbxContent>
                          <w:p>
                            <w:pPr>
                              <w:rPr>
                                <w:szCs w:val="21"/>
                              </w:rPr>
                            </w:pPr>
                            <w:r>
                              <w:rPr>
                                <w:szCs w:val="21"/>
                              </w:rPr>
                              <w:t>暂存在</w:t>
                            </w:r>
                            <w:r>
                              <w:rPr>
                                <w:rFonts w:hint="eastAsia"/>
                                <w:szCs w:val="21"/>
                              </w:rPr>
                              <w:t>医疗废物暂存</w:t>
                            </w:r>
                            <w:r>
                              <w:rPr>
                                <w:szCs w:val="21"/>
                              </w:rPr>
                              <w:t>间，返回厂家</w:t>
                            </w:r>
                          </w:p>
                          <w:p/>
                        </w:txbxContent>
                      </v:textbox>
                    </v:shape>
                  </w:pict>
                </mc:Fallback>
              </mc:AlternateContent>
            </w:r>
            <w:r>
              <w:rPr>
                <w:b/>
                <w:color w:val="auto"/>
                <w:sz w:val="44"/>
                <w:szCs w:val="44"/>
              </w:rPr>
              <mc:AlternateContent>
                <mc:Choice Requires="wps">
                  <w:drawing>
                    <wp:anchor distT="0" distB="0" distL="114300" distR="114300" simplePos="0" relativeHeight="251732992" behindDoc="0" locked="0" layoutInCell="1" allowOverlap="1">
                      <wp:simplePos x="0" y="0"/>
                      <wp:positionH relativeFrom="column">
                        <wp:posOffset>1042035</wp:posOffset>
                      </wp:positionH>
                      <wp:positionV relativeFrom="paragraph">
                        <wp:posOffset>246380</wp:posOffset>
                      </wp:positionV>
                      <wp:extent cx="731520" cy="267335"/>
                      <wp:effectExtent l="0" t="0" r="0" b="0"/>
                      <wp:wrapNone/>
                      <wp:docPr id="90" name="矩形 90"/>
                      <wp:cNvGraphicFramePr/>
                      <a:graphic xmlns:a="http://schemas.openxmlformats.org/drawingml/2006/main">
                        <a:graphicData uri="http://schemas.microsoft.com/office/word/2010/wordprocessingShape">
                          <wps:wsp>
                            <wps:cNvSpPr/>
                            <wps:spPr>
                              <a:xfrm>
                                <a:off x="0" y="0"/>
                                <a:ext cx="731520" cy="267335"/>
                              </a:xfrm>
                              <a:prstGeom prst="rect">
                                <a:avLst/>
                              </a:prstGeom>
                              <a:noFill/>
                              <a:ln>
                                <a:noFill/>
                              </a:ln>
                              <a:effectLst/>
                            </wps:spPr>
                            <wps:txbx>
                              <w:txbxContent>
                                <w:p>
                                  <w:pPr>
                                    <w:rPr>
                                      <w:szCs w:val="21"/>
                                    </w:rPr>
                                  </w:pPr>
                                  <w:r>
                                    <w:rPr>
                                      <w:szCs w:val="21"/>
                                    </w:rPr>
                                    <w:t>过期药品</w:t>
                                  </w:r>
                                </w:p>
                              </w:txbxContent>
                            </wps:txbx>
                            <wps:bodyPr upright="1"/>
                          </wps:wsp>
                        </a:graphicData>
                      </a:graphic>
                    </wp:anchor>
                  </w:drawing>
                </mc:Choice>
                <mc:Fallback>
                  <w:pict>
                    <v:rect id="_x0000_s1026" o:spid="_x0000_s1026" o:spt="1" style="position:absolute;left:0pt;margin-left:82.05pt;margin-top:19.4pt;height:21.05pt;width:57.6pt;z-index:251732992;mso-width-relative:page;mso-height-relative:page;" filled="f" stroked="f" coordsize="21600,21600" o:gfxdata="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OyNxl2gAAAAkB&#10;AAAPAAAAAAAAAAEAIAAAACIAAABkcnMvZG93bnJldi54bWxQSwECFAAUAAAACACHTuJA+nHtBacB&#10;AABQAwAADgAAAAAAAAABACAAAAApAQAAZHJzL2Uyb0RvYy54bWxQSwUGAAAAAAYABgBZAQAAQgUA&#10;AAAA&#10;">
                      <v:fill on="f" focussize="0,0"/>
                      <v:stroke on="f"/>
                      <v:imagedata o:title=""/>
                      <o:lock v:ext="edit" aspectratio="f"/>
                      <v:textbox>
                        <w:txbxContent>
                          <w:p>
                            <w:pPr>
                              <w:rPr>
                                <w:szCs w:val="21"/>
                              </w:rPr>
                            </w:pPr>
                            <w:r>
                              <w:rPr>
                                <w:szCs w:val="21"/>
                              </w:rPr>
                              <w:t>过期药品</w:t>
                            </w:r>
                          </w:p>
                        </w:txbxContent>
                      </v:textbox>
                    </v:rect>
                  </w:pict>
                </mc:Fallback>
              </mc:AlternateContent>
            </w:r>
            <w:r>
              <w:rPr>
                <w:b/>
                <w:color w:val="auto"/>
                <w:sz w:val="44"/>
                <w:szCs w:val="44"/>
              </w:rPr>
              <mc:AlternateContent>
                <mc:Choice Requires="wps">
                  <w:drawing>
                    <wp:anchor distT="0" distB="0" distL="114300" distR="114300" simplePos="0" relativeHeight="251727872" behindDoc="0" locked="0" layoutInCell="1" allowOverlap="1">
                      <wp:simplePos x="0" y="0"/>
                      <wp:positionH relativeFrom="column">
                        <wp:posOffset>1762125</wp:posOffset>
                      </wp:positionH>
                      <wp:positionV relativeFrom="paragraph">
                        <wp:posOffset>13335</wp:posOffset>
                      </wp:positionV>
                      <wp:extent cx="240030" cy="635"/>
                      <wp:effectExtent l="0" t="38100" r="7620" b="37465"/>
                      <wp:wrapNone/>
                      <wp:docPr id="219" name="直接箭头连接符 219"/>
                      <wp:cNvGraphicFramePr/>
                      <a:graphic xmlns:a="http://schemas.openxmlformats.org/drawingml/2006/main">
                        <a:graphicData uri="http://schemas.microsoft.com/office/word/2010/wordprocessingShape">
                          <wps:wsp>
                            <wps:cNvCnPr/>
                            <wps:spPr>
                              <a:xfrm flipH="1" flipV="1">
                                <a:off x="0" y="0"/>
                                <a:ext cx="240030" cy="63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138.75pt;margin-top:1.05pt;height:0.05pt;width:18.9pt;z-index:251727872;mso-width-relative:page;mso-height-relative:page;" filled="f" stroked="t" coordsize="21600,21600" o:gfxdata="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Xz2UB1wAAAAcBAAAP&#10;AAAAAAAAAAEAIAAAACIAAABkcnMvZG93bnJldi54bWxQSwECFAAUAAAACACHTuJA+Gig2xkCAAAW&#10;BAAADgAAAAAAAAABACAAAAAmAQAAZHJzL2Uyb0RvYy54bWxQSwUGAAAAAAYABgBZAQAAsQUAAAAA&#10;">
                      <v:fill on="f" focussize="0,0"/>
                      <v:stroke color="#000000" joinstyle="round" dashstyle="dash" endarrow="block"/>
                      <v:imagedata o:title=""/>
                      <o:lock v:ext="edit" aspectratio="f"/>
                    </v:shape>
                  </w:pict>
                </mc:Fallback>
              </mc:AlternateContent>
            </w:r>
            <w:r>
              <w:rPr>
                <w:color w:val="auto"/>
                <w:sz w:val="28"/>
              </w:rPr>
              <mc:AlternateContent>
                <mc:Choice Requires="wps">
                  <w:drawing>
                    <wp:anchor distT="0" distB="0" distL="114300" distR="114300" simplePos="0" relativeHeight="251723776" behindDoc="0" locked="0" layoutInCell="1" allowOverlap="1">
                      <wp:simplePos x="0" y="0"/>
                      <wp:positionH relativeFrom="column">
                        <wp:posOffset>2011045</wp:posOffset>
                      </wp:positionH>
                      <wp:positionV relativeFrom="paragraph">
                        <wp:posOffset>5715</wp:posOffset>
                      </wp:positionV>
                      <wp:extent cx="922655" cy="1737995"/>
                      <wp:effectExtent l="5080" t="5080" r="5715" b="9525"/>
                      <wp:wrapNone/>
                      <wp:docPr id="197" name="文本框 197"/>
                      <wp:cNvGraphicFramePr/>
                      <a:graphic xmlns:a="http://schemas.openxmlformats.org/drawingml/2006/main">
                        <a:graphicData uri="http://schemas.microsoft.com/office/word/2010/wordprocessingShape">
                          <wps:wsp>
                            <wps:cNvSpPr txBox="1"/>
                            <wps:spPr>
                              <a:xfrm>
                                <a:off x="0" y="0"/>
                                <a:ext cx="922655" cy="1737995"/>
                              </a:xfrm>
                              <a:prstGeom prst="rect">
                                <a:avLst/>
                              </a:prstGeom>
                              <a:noFill/>
                              <a:ln w="9525" cap="flat" cmpd="sng">
                                <a:solidFill>
                                  <a:srgbClr val="000000"/>
                                </a:solidFill>
                                <a:prstDash val="dash"/>
                                <a:miter/>
                                <a:headEnd type="none" w="med" len="med"/>
                                <a:tailEnd type="none" w="med" len="med"/>
                              </a:ln>
                              <a:effectLst/>
                            </wps:spPr>
                            <wps:txbx>
                              <w:txbxContent>
                                <w:p/>
                              </w:txbxContent>
                            </wps:txbx>
                            <wps:bodyPr vert="eaVert" upright="1"/>
                          </wps:wsp>
                        </a:graphicData>
                      </a:graphic>
                    </wp:anchor>
                  </w:drawing>
                </mc:Choice>
                <mc:Fallback>
                  <w:pict>
                    <v:shape id="_x0000_s1026" o:spid="_x0000_s1026" o:spt="202" type="#_x0000_t202" style="position:absolute;left:0pt;margin-left:158.35pt;margin-top:0.45pt;height:136.85pt;width:72.65pt;z-index:251723776;mso-width-relative:page;mso-height-relative:page;" filled="f" stroked="t" coordsize="21600,21600" o:gfxdata="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D7UhgzYAAAACAEAAA8AAAAA&#10;AAAAAQAgAAAAIgAAAGRycy9kb3ducmV2LnhtbFBLAQIUABQAAAAIAIdO4kDH92viFAIAACwEAAAO&#10;AAAAAAAAAAEAIAAAACcBAABkcnMvZTJvRG9jLnhtbFBLBQYAAAAABgAGAFkBAACtBQAAAAA=&#10;">
                      <v:fill on="f" focussize="0,0"/>
                      <v:stroke color="#000000" joinstyle="miter" dashstyle="dash"/>
                      <v:imagedata o:title=""/>
                      <o:lock v:ext="edit" aspectratio="f"/>
                      <v:textbox style="layout-flow:vertical-ideographic;">
                        <w:txbxContent>
                          <w:p/>
                        </w:txbxContent>
                      </v:textbox>
                    </v:shape>
                  </w:pict>
                </mc:Fallback>
              </mc:AlternateContent>
            </w:r>
            <w:r>
              <w:rPr>
                <w:color w:val="auto"/>
                <w:sz w:val="21"/>
              </w:rPr>
              <mc:AlternateContent>
                <mc:Choice Requires="wps">
                  <w:drawing>
                    <wp:anchor distT="0" distB="0" distL="114300" distR="114300" simplePos="0" relativeHeight="251725824" behindDoc="0" locked="0" layoutInCell="1" allowOverlap="1">
                      <wp:simplePos x="0" y="0"/>
                      <wp:positionH relativeFrom="column">
                        <wp:posOffset>3836035</wp:posOffset>
                      </wp:positionH>
                      <wp:positionV relativeFrom="paragraph">
                        <wp:posOffset>245745</wp:posOffset>
                      </wp:positionV>
                      <wp:extent cx="299085" cy="1270"/>
                      <wp:effectExtent l="0" t="37465" r="5715" b="37465"/>
                      <wp:wrapNone/>
                      <wp:docPr id="60" name="直接连接符 60"/>
                      <wp:cNvGraphicFramePr/>
                      <a:graphic xmlns:a="http://schemas.openxmlformats.org/drawingml/2006/main">
                        <a:graphicData uri="http://schemas.microsoft.com/office/word/2010/wordprocessingShape">
                          <wps:wsp>
                            <wps:cNvCnPr/>
                            <wps:spPr>
                              <a:xfrm>
                                <a:off x="0" y="0"/>
                                <a:ext cx="299085" cy="1270"/>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margin-left:302.05pt;margin-top:19.35pt;height:0.1pt;width:23.55pt;z-index:251725824;mso-width-relative:page;mso-height-relative:page;" filled="f" stroked="t" coordsize="21600,21600" o:gfxdata="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7OXIM2gAAAAkBAAAPAAAAAAAAAAEAIAAAACIAAABk&#10;cnMvZG93bnJldi54bWxQSwECFAAUAAAACACHTuJAGfmK+gQCAAD5AwAADgAAAAAAAAABACAAAAAp&#10;AQAAZHJzL2Uyb0RvYy54bWxQSwUGAAAAAAYABgBZAQAAnwUAAAAA&#10;">
                      <v:fill on="f" focussize="0,0"/>
                      <v:stroke color="#000000" joinstyle="round" dashstyle="dash" endarrow="block"/>
                      <v:imagedata o:title=""/>
                      <o:lock v:ext="edit" aspectratio="f"/>
                    </v:line>
                  </w:pict>
                </mc:Fallback>
              </mc:AlternateContent>
            </w:r>
            <w:r>
              <w:rPr>
                <w:color w:val="auto"/>
                <w:sz w:val="21"/>
              </w:rPr>
              <mc:AlternateContent>
                <mc:Choice Requires="wps">
                  <w:drawing>
                    <wp:anchor distT="0" distB="0" distL="114300" distR="114300" simplePos="0" relativeHeight="251677696" behindDoc="0" locked="0" layoutInCell="1" allowOverlap="1">
                      <wp:simplePos x="0" y="0"/>
                      <wp:positionH relativeFrom="column">
                        <wp:posOffset>2220595</wp:posOffset>
                      </wp:positionH>
                      <wp:positionV relativeFrom="paragraph">
                        <wp:posOffset>126365</wp:posOffset>
                      </wp:positionV>
                      <wp:extent cx="525145" cy="271145"/>
                      <wp:effectExtent l="4445" t="5080" r="22860" b="9525"/>
                      <wp:wrapNone/>
                      <wp:docPr id="38" name="文本框 38"/>
                      <wp:cNvGraphicFramePr/>
                      <a:graphic xmlns:a="http://schemas.openxmlformats.org/drawingml/2006/main">
                        <a:graphicData uri="http://schemas.microsoft.com/office/word/2010/wordprocessingShape">
                          <wps:wsp>
                            <wps:cNvSpPr txBox="1"/>
                            <wps:spPr>
                              <a:xfrm>
                                <a:off x="0" y="0"/>
                                <a:ext cx="525145" cy="27114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rPr>
                                    <w:t>就诊</w:t>
                                  </w:r>
                                </w:p>
                              </w:txbxContent>
                            </wps:txbx>
                            <wps:bodyPr upright="1"/>
                          </wps:wsp>
                        </a:graphicData>
                      </a:graphic>
                    </wp:anchor>
                  </w:drawing>
                </mc:Choice>
                <mc:Fallback>
                  <w:pict>
                    <v:shape id="_x0000_s1026" o:spid="_x0000_s1026" o:spt="202" type="#_x0000_t202" style="position:absolute;left:0pt;margin-left:174.85pt;margin-top:9.95pt;height:21.35pt;width:41.35pt;z-index:251677696;mso-width-relative:page;mso-height-relative:page;" fillcolor="#FFFFFF" filled="t" stroked="t" coordsize="21600,21600" o:gfxdata="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Jlz33/YAAAACQEAAA8AAAAAAAAAAQAg&#10;AAAAIgAAAGRycy9kb3ducmV2LnhtbFBLAQIUABQAAAAIAIdO4kCp61I4DgIAAEUEAAAOAAAAAAAA&#10;AAEAIAAAACcBAABkcnMvZTJvRG9jLnhtbFBLBQYAAAAABgAGAFkBAACnBQAAAAA=&#10;">
                      <v:fill on="t" focussize="0,0"/>
                      <v:stroke color="#000000" joinstyle="miter"/>
                      <v:imagedata o:title=""/>
                      <o:lock v:ext="edit" aspectratio="f"/>
                      <v:textbox>
                        <w:txbxContent>
                          <w:p>
                            <w:r>
                              <w:rPr>
                                <w:rFonts w:hint="eastAsia"/>
                              </w:rPr>
                              <w:t>就诊</w:t>
                            </w:r>
                          </w:p>
                        </w:txbxContent>
                      </v:textbox>
                    </v:shape>
                  </w:pict>
                </mc:Fallback>
              </mc:AlternateContent>
            </w:r>
          </w:p>
          <w:p>
            <w:pPr>
              <w:rPr>
                <w:color w:val="auto"/>
              </w:rPr>
            </w:pPr>
            <w:r>
              <w:rPr>
                <w:color w:val="auto"/>
                <w:sz w:val="21"/>
              </w:rPr>
              <mc:AlternateContent>
                <mc:Choice Requires="wps">
                  <w:drawing>
                    <wp:anchor distT="0" distB="0" distL="114300" distR="114300" simplePos="0" relativeHeight="251676672" behindDoc="0" locked="0" layoutInCell="1" allowOverlap="1">
                      <wp:simplePos x="0" y="0"/>
                      <wp:positionH relativeFrom="column">
                        <wp:posOffset>2947670</wp:posOffset>
                      </wp:positionH>
                      <wp:positionV relativeFrom="paragraph">
                        <wp:posOffset>22860</wp:posOffset>
                      </wp:positionV>
                      <wp:extent cx="172720" cy="0"/>
                      <wp:effectExtent l="0" t="38100" r="17780" b="38100"/>
                      <wp:wrapNone/>
                      <wp:docPr id="19" name="直接连接符 19"/>
                      <wp:cNvGraphicFramePr/>
                      <a:graphic xmlns:a="http://schemas.openxmlformats.org/drawingml/2006/main">
                        <a:graphicData uri="http://schemas.microsoft.com/office/word/2010/wordprocessingShape">
                          <wps:wsp>
                            <wps:cNvCnPr/>
                            <wps:spPr>
                              <a:xfrm>
                                <a:off x="0" y="0"/>
                                <a:ext cx="172720" cy="0"/>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margin-left:232.1pt;margin-top:1.8pt;height:0pt;width:13.6pt;z-index:251676672;mso-width-relative:page;mso-height-relative:page;" filled="f" stroked="t" coordsize="21600,21600" o:gfxdata="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04h5VdgAAAAHAQAADwAAAAAAAAABACAAAAAiAAAAZHJzL2Rv&#10;d25yZXYueG1sUEsBAhQAFAAAAAgAh07iQKcLuqgBAgAA9gMAAA4AAAAAAAAAAQAgAAAAJwEAAGRy&#10;cy9lMm9Eb2MueG1sUEsFBgAAAAAGAAYAWQEAAJoFAAAAAA==&#10;">
                      <v:fill on="f" focussize="0,0"/>
                      <v:stroke color="#000000" joinstyle="round" dashstyle="dash" endarrow="block"/>
                      <v:imagedata o:title=""/>
                      <o:lock v:ext="edit" aspectratio="f"/>
                    </v:line>
                  </w:pict>
                </mc:Fallback>
              </mc:AlternateContent>
            </w:r>
            <w:r>
              <w:rPr>
                <w:b/>
                <w:color w:val="auto"/>
                <w:sz w:val="44"/>
                <w:szCs w:val="44"/>
              </w:rPr>
              <mc:AlternateContent>
                <mc:Choice Requires="wps">
                  <w:drawing>
                    <wp:anchor distT="0" distB="0" distL="114300" distR="114300" simplePos="0" relativeHeight="251748352" behindDoc="0" locked="0" layoutInCell="1" allowOverlap="1">
                      <wp:simplePos x="0" y="0"/>
                      <wp:positionH relativeFrom="column">
                        <wp:posOffset>869315</wp:posOffset>
                      </wp:positionH>
                      <wp:positionV relativeFrom="paragraph">
                        <wp:posOffset>100965</wp:posOffset>
                      </wp:positionV>
                      <wp:extent cx="240030" cy="635"/>
                      <wp:effectExtent l="0" t="38100" r="7620" b="37465"/>
                      <wp:wrapNone/>
                      <wp:docPr id="11" name="直接箭头连接符 11"/>
                      <wp:cNvGraphicFramePr/>
                      <a:graphic xmlns:a="http://schemas.openxmlformats.org/drawingml/2006/main">
                        <a:graphicData uri="http://schemas.microsoft.com/office/word/2010/wordprocessingShape">
                          <wps:wsp>
                            <wps:cNvCnPr/>
                            <wps:spPr>
                              <a:xfrm flipH="1" flipV="1">
                                <a:off x="0" y="0"/>
                                <a:ext cx="240030" cy="63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68.45pt;margin-top:7.95pt;height:0.05pt;width:18.9pt;z-index:251748352;mso-width-relative:page;mso-height-relative:page;" filled="f" stroked="t" coordsize="21600,21600" o:gfxdata="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RIfvXZAAAACQEAAA8A&#10;AAAAAAAAAQAgAAAAIgAAAGRycy9kb3ducmV2LnhtbFBLAQIUABQAAAAIAIdO4kBFDDR5FgIAABQE&#10;AAAOAAAAAAAAAAEAIAAAACgBAABkcnMvZTJvRG9jLnhtbFBLBQYAAAAABgAGAFkBAACwBQAAAAA=&#10;">
                      <v:fill on="f" focussize="0,0"/>
                      <v:stroke color="#000000" joinstyle="round" dashstyle="dash" endarrow="block"/>
                      <v:imagedata o:title=""/>
                      <o:lock v:ext="edit" aspectratio="f"/>
                    </v:shape>
                  </w:pict>
                </mc:Fallback>
              </mc:AlternateContent>
            </w:r>
            <w:r>
              <w:rPr>
                <w:b/>
                <w:color w:val="auto"/>
                <w:sz w:val="44"/>
                <w:szCs w:val="44"/>
              </w:rPr>
              <mc:AlternateContent>
                <mc:Choice Requires="wps">
                  <w:drawing>
                    <wp:anchor distT="0" distB="0" distL="114300" distR="114300" simplePos="0" relativeHeight="251731968" behindDoc="0" locked="0" layoutInCell="1" allowOverlap="1">
                      <wp:simplePos x="0" y="0"/>
                      <wp:positionH relativeFrom="column">
                        <wp:posOffset>1746250</wp:posOffset>
                      </wp:positionH>
                      <wp:positionV relativeFrom="paragraph">
                        <wp:posOffset>114935</wp:posOffset>
                      </wp:positionV>
                      <wp:extent cx="240030" cy="635"/>
                      <wp:effectExtent l="0" t="38100" r="7620" b="37465"/>
                      <wp:wrapNone/>
                      <wp:docPr id="89" name="直接箭头连接符 89"/>
                      <wp:cNvGraphicFramePr/>
                      <a:graphic xmlns:a="http://schemas.openxmlformats.org/drawingml/2006/main">
                        <a:graphicData uri="http://schemas.microsoft.com/office/word/2010/wordprocessingShape">
                          <wps:wsp>
                            <wps:cNvCnPr/>
                            <wps:spPr>
                              <a:xfrm flipH="1" flipV="1">
                                <a:off x="0" y="0"/>
                                <a:ext cx="240030" cy="63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137.5pt;margin-top:9.05pt;height:0.05pt;width:18.9pt;z-index:251731968;mso-width-relative:page;mso-height-relative:page;" filled="f" stroked="t" coordsize="21600,21600" o:gfxdata="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tJtMm2AAAAAkBAAAP&#10;AAAAAAAAAAEAIAAAACIAAABkcnMvZG93bnJldi54bWxQSwECFAAUAAAACACHTuJAYwCJJxgCAAAU&#10;BAAADgAAAAAAAAABACAAAAAnAQAAZHJzL2Uyb0RvYy54bWxQSwUGAAAAAAYABgBZAQAAsQUAAAAA&#10;">
                      <v:fill on="f" focussize="0,0"/>
                      <v:stroke color="#000000" joinstyle="round" dashstyle="dash" endarrow="block"/>
                      <v:imagedata o:title=""/>
                      <o:lock v:ext="edit" aspectratio="f"/>
                    </v:shape>
                  </w:pict>
                </mc:Fallback>
              </mc:AlternateContent>
            </w:r>
            <w:r>
              <w:rPr>
                <w:color w:val="auto"/>
              </w:rPr>
              <mc:AlternateContent>
                <mc:Choice Requires="wps">
                  <w:drawing>
                    <wp:anchor distT="0" distB="0" distL="114300" distR="114300" simplePos="0" relativeHeight="251704320" behindDoc="0" locked="0" layoutInCell="1" allowOverlap="1">
                      <wp:simplePos x="0" y="0"/>
                      <wp:positionH relativeFrom="column">
                        <wp:posOffset>2499995</wp:posOffset>
                      </wp:positionH>
                      <wp:positionV relativeFrom="paragraph">
                        <wp:posOffset>116205</wp:posOffset>
                      </wp:positionV>
                      <wp:extent cx="5080" cy="334010"/>
                      <wp:effectExtent l="34290" t="0" r="36830" b="8890"/>
                      <wp:wrapNone/>
                      <wp:docPr id="174" name="直接连接符 174"/>
                      <wp:cNvGraphicFramePr/>
                      <a:graphic xmlns:a="http://schemas.openxmlformats.org/drawingml/2006/main">
                        <a:graphicData uri="http://schemas.microsoft.com/office/word/2010/wordprocessingShape">
                          <wps:wsp>
                            <wps:cNvCnPr/>
                            <wps:spPr>
                              <a:xfrm>
                                <a:off x="0" y="0"/>
                                <a:ext cx="5080" cy="3340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96.85pt;margin-top:9.15pt;height:26.3pt;width:0.4pt;z-index:251704320;mso-width-relative:page;mso-height-relative:page;" filled="f" stroked="t" coordsize="21600,21600" o:gfxdata="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&#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aDJFTaAAAACQEAAA8AAAAAAAAAAQAgAAAAIgAAAGRy&#10;cy9kb3ducmV2LnhtbFBLAQIUABQAAAAIAIdO4kAGGvh5AwIAAPwDAAAOAAAAAAAAAAEAIAAAACkB&#10;AABkcnMvZTJvRG9jLnhtbFBLBQYAAAAABgAGAFkBAACeBQAAAAA=&#10;">
                      <v:fill on="f" focussize="0,0"/>
                      <v:stroke color="#000000" joinstyle="round" endarrow="block"/>
                      <v:imagedata o:title=""/>
                      <o:lock v:ext="edit" aspectratio="f"/>
                    </v:line>
                  </w:pict>
                </mc:Fallback>
              </mc:AlternateContent>
            </w:r>
          </w:p>
          <w:p>
            <w:pPr>
              <w:rPr>
                <w:color w:val="auto"/>
              </w:rPr>
            </w:pPr>
          </w:p>
          <w:p>
            <w:pPr>
              <w:pStyle w:val="9"/>
              <w:rPr>
                <w:color w:val="auto"/>
              </w:rPr>
            </w:pPr>
            <w:r>
              <w:rPr>
                <w:color w:val="auto"/>
                <w:sz w:val="28"/>
              </w:rPr>
              <mc:AlternateContent>
                <mc:Choice Requires="wps">
                  <w:drawing>
                    <wp:anchor distT="0" distB="0" distL="114300" distR="114300" simplePos="0" relativeHeight="251752448" behindDoc="0" locked="0" layoutInCell="1" allowOverlap="1">
                      <wp:simplePos x="0" y="0"/>
                      <wp:positionH relativeFrom="column">
                        <wp:posOffset>-60960</wp:posOffset>
                      </wp:positionH>
                      <wp:positionV relativeFrom="paragraph">
                        <wp:posOffset>60325</wp:posOffset>
                      </wp:positionV>
                      <wp:extent cx="927100" cy="1525270"/>
                      <wp:effectExtent l="0" t="0" r="6350" b="17780"/>
                      <wp:wrapNone/>
                      <wp:docPr id="31" name="文本框 31"/>
                      <wp:cNvGraphicFramePr/>
                      <a:graphic xmlns:a="http://schemas.openxmlformats.org/drawingml/2006/main">
                        <a:graphicData uri="http://schemas.microsoft.com/office/word/2010/wordprocessingShape">
                          <wps:wsp>
                            <wps:cNvSpPr txBox="1"/>
                            <wps:spPr>
                              <a:xfrm>
                                <a:off x="0" y="0"/>
                                <a:ext cx="927100" cy="1525270"/>
                              </a:xfrm>
                              <a:prstGeom prst="rect">
                                <a:avLst/>
                              </a:prstGeom>
                              <a:solidFill>
                                <a:srgbClr val="FFFFFF"/>
                              </a:solidFill>
                              <a:ln w="6350">
                                <a:noFill/>
                              </a:ln>
                              <a:effectLst/>
                            </wps:spPr>
                            <wps:txbx>
                              <w:txbxContent>
                                <w:p>
                                  <w:r>
                                    <w:rPr>
                                      <w:bCs/>
                                      <w:szCs w:val="21"/>
                                    </w:rPr>
                                    <w:t>通过设置抽排风系统，并使用紫外灯消毒装置和活性炭吸附装置</w:t>
                                  </w:r>
                                  <w:r>
                                    <w:rPr>
                                      <w:rFonts w:hint="eastAsia"/>
                                      <w:bCs/>
                                      <w:szCs w:val="21"/>
                                    </w:rPr>
                                    <w:t>处理后通过排风口外排</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8pt;margin-top:4.75pt;height:120.1pt;width:73pt;z-index:251752448;mso-width-relative:page;mso-height-relative:page;" fillcolor="#FFFFFF" filled="t" stroked="f" coordsize="21600,21600" o:gfxdata="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5jBaR9QAAAAI&#10;AQAADwAAAAAAAAABACAAAAAiAAAAZHJzL2Rvd25yZXYueG1sUEsBAhQAFAAAAAgAh07iQAI8giRZ&#10;AgAAnwQAAA4AAAAAAAAAAQAgAAAAIwEAAGRycy9lMm9Eb2MueG1sUEsFBgAAAAAGAAYAWQEAAO4F&#10;AAAAAA==&#10;">
                      <v:fill on="t" focussize="0,0"/>
                      <v:stroke on="f" weight="0.5pt"/>
                      <v:imagedata o:title=""/>
                      <o:lock v:ext="edit" aspectratio="f"/>
                      <v:textbox>
                        <w:txbxContent>
                          <w:p>
                            <w:r>
                              <w:rPr>
                                <w:bCs/>
                                <w:szCs w:val="21"/>
                              </w:rPr>
                              <w:t>通过设置抽排风系统，并使用紫外灯消毒装置和活性炭吸附装置</w:t>
                            </w:r>
                            <w:r>
                              <w:rPr>
                                <w:rFonts w:hint="eastAsia"/>
                                <w:bCs/>
                                <w:szCs w:val="21"/>
                              </w:rPr>
                              <w:t>处理后通过排风口外排</w:t>
                            </w:r>
                          </w:p>
                        </w:txbxContent>
                      </v:textbox>
                    </v:shape>
                  </w:pict>
                </mc:Fallback>
              </mc:AlternateContent>
            </w:r>
            <w:r>
              <w:rPr>
                <w:b/>
                <w:color w:val="auto"/>
                <w:sz w:val="44"/>
                <w:szCs w:val="44"/>
              </w:rPr>
              <mc:AlternateContent>
                <mc:Choice Requires="wps">
                  <w:drawing>
                    <wp:anchor distT="0" distB="0" distL="114300" distR="114300" simplePos="0" relativeHeight="251750400" behindDoc="0" locked="0" layoutInCell="1" allowOverlap="1">
                      <wp:simplePos x="0" y="0"/>
                      <wp:positionH relativeFrom="column">
                        <wp:posOffset>1031875</wp:posOffset>
                      </wp:positionH>
                      <wp:positionV relativeFrom="paragraph">
                        <wp:posOffset>132715</wp:posOffset>
                      </wp:positionV>
                      <wp:extent cx="731520" cy="494030"/>
                      <wp:effectExtent l="0" t="0" r="0" b="0"/>
                      <wp:wrapNone/>
                      <wp:docPr id="16" name="矩形 16"/>
                      <wp:cNvGraphicFramePr/>
                      <a:graphic xmlns:a="http://schemas.openxmlformats.org/drawingml/2006/main">
                        <a:graphicData uri="http://schemas.microsoft.com/office/word/2010/wordprocessingShape">
                          <wps:wsp>
                            <wps:cNvSpPr/>
                            <wps:spPr>
                              <a:xfrm>
                                <a:off x="0" y="0"/>
                                <a:ext cx="731520" cy="494030"/>
                              </a:xfrm>
                              <a:prstGeom prst="rect">
                                <a:avLst/>
                              </a:prstGeom>
                              <a:noFill/>
                              <a:ln>
                                <a:noFill/>
                              </a:ln>
                              <a:effectLst/>
                            </wps:spPr>
                            <wps:txbx>
                              <w:txbxContent>
                                <w:p>
                                  <w:pPr>
                                    <w:rPr>
                                      <w:rFonts w:hint="eastAsia" w:eastAsia="宋体"/>
                                      <w:szCs w:val="21"/>
                                      <w:lang w:eastAsia="zh-CN"/>
                                    </w:rPr>
                                  </w:pPr>
                                  <w:r>
                                    <w:rPr>
                                      <w:rFonts w:hint="eastAsia" w:ascii="宋体" w:hAnsi="宋体" w:cs="宋体"/>
                                      <w:szCs w:val="21"/>
                                      <w:lang w:eastAsia="zh-CN"/>
                                    </w:rPr>
                                    <w:t>宠物散发的异味</w:t>
                                  </w:r>
                                </w:p>
                              </w:txbxContent>
                            </wps:txbx>
                            <wps:bodyPr upright="1"/>
                          </wps:wsp>
                        </a:graphicData>
                      </a:graphic>
                    </wp:anchor>
                  </w:drawing>
                </mc:Choice>
                <mc:Fallback>
                  <w:pict>
                    <v:rect id="_x0000_s1026" o:spid="_x0000_s1026" o:spt="1" style="position:absolute;left:0pt;margin-left:81.25pt;margin-top:10.45pt;height:38.9pt;width:57.6pt;z-index:251750400;mso-width-relative:page;mso-height-relative:page;" filled="f" stroked="f" coordsize="21600,21600" o:gfxdata="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8npqJ2QAAAAkB&#10;AAAPAAAAAAAAAAEAIAAAACIAAABkcnMvZG93bnJldi54bWxQSwECFAAUAAAACACHTuJAISwO1qgB&#10;AABQAwAADgAAAAAAAAABACAAAAAoAQAAZHJzL2Uyb0RvYy54bWxQSwUGAAAAAAYABgBZAQAAQgUA&#10;AAAA&#10;">
                      <v:fill on="f" focussize="0,0"/>
                      <v:stroke on="f"/>
                      <v:imagedata o:title=""/>
                      <o:lock v:ext="edit" aspectratio="f"/>
                      <v:textbox>
                        <w:txbxContent>
                          <w:p>
                            <w:pPr>
                              <w:rPr>
                                <w:rFonts w:hint="eastAsia" w:eastAsia="宋体"/>
                                <w:szCs w:val="21"/>
                                <w:lang w:eastAsia="zh-CN"/>
                              </w:rPr>
                            </w:pPr>
                            <w:r>
                              <w:rPr>
                                <w:rFonts w:hint="eastAsia" w:ascii="宋体" w:hAnsi="宋体" w:cs="宋体"/>
                                <w:szCs w:val="21"/>
                                <w:lang w:eastAsia="zh-CN"/>
                              </w:rPr>
                              <w:t>宠物散发的异味</w:t>
                            </w:r>
                          </w:p>
                        </w:txbxContent>
                      </v:textbox>
                    </v:rect>
                  </w:pict>
                </mc:Fallback>
              </mc:AlternateContent>
            </w:r>
            <w:r>
              <w:rPr>
                <w:color w:val="auto"/>
                <w:sz w:val="21"/>
              </w:rPr>
              <mc:AlternateContent>
                <mc:Choice Requires="wps">
                  <w:drawing>
                    <wp:anchor distT="0" distB="0" distL="114300" distR="114300" simplePos="0" relativeHeight="251705344" behindDoc="0" locked="0" layoutInCell="1" allowOverlap="1">
                      <wp:simplePos x="0" y="0"/>
                      <wp:positionH relativeFrom="column">
                        <wp:posOffset>2231390</wp:posOffset>
                      </wp:positionH>
                      <wp:positionV relativeFrom="paragraph">
                        <wp:posOffset>136525</wp:posOffset>
                      </wp:positionV>
                      <wp:extent cx="535940" cy="271145"/>
                      <wp:effectExtent l="5080" t="4445" r="11430" b="10160"/>
                      <wp:wrapNone/>
                      <wp:docPr id="175" name="文本框 175"/>
                      <wp:cNvGraphicFramePr/>
                      <a:graphic xmlns:a="http://schemas.openxmlformats.org/drawingml/2006/main">
                        <a:graphicData uri="http://schemas.microsoft.com/office/word/2010/wordprocessingShape">
                          <wps:wsp>
                            <wps:cNvSpPr txBox="1"/>
                            <wps:spPr>
                              <a:xfrm>
                                <a:off x="0" y="0"/>
                                <a:ext cx="535940" cy="27114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rPr>
                                    <w:t>检查</w:t>
                                  </w:r>
                                </w:p>
                              </w:txbxContent>
                            </wps:txbx>
                            <wps:bodyPr upright="1"/>
                          </wps:wsp>
                        </a:graphicData>
                      </a:graphic>
                    </wp:anchor>
                  </w:drawing>
                </mc:Choice>
                <mc:Fallback>
                  <w:pict>
                    <v:shape id="_x0000_s1026" o:spid="_x0000_s1026" o:spt="202" type="#_x0000_t202" style="position:absolute;left:0pt;margin-left:175.7pt;margin-top:10.75pt;height:21.35pt;width:42.2pt;z-index:251705344;mso-width-relative:page;mso-height-relative:page;" fillcolor="#FFFFFF" filled="t" stroked="t" coordsize="21600,21600" o:gfxdata="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AGu3cdgAAAAJAQAADwAAAAAA&#10;AAABACAAAAAiAAAAZHJzL2Rvd25yZXYueG1sUEsBAhQAFAAAAAgAh07iQDaTa5wTAgAARwQAAA4A&#10;AAAAAAAAAQAgAAAAJwEAAGRycy9lMm9Eb2MueG1sUEsFBgAAAAAGAAYAWQEAAKwFAAAAAA==&#10;">
                      <v:fill on="t" focussize="0,0"/>
                      <v:stroke color="#000000" joinstyle="miter"/>
                      <v:imagedata o:title=""/>
                      <o:lock v:ext="edit" aspectratio="f"/>
                      <v:textbox>
                        <w:txbxContent>
                          <w:p>
                            <w:r>
                              <w:rPr>
                                <w:rFonts w:hint="eastAsia"/>
                              </w:rPr>
                              <w:t>检查</w:t>
                            </w:r>
                          </w:p>
                        </w:txbxContent>
                      </v:textbox>
                    </v:shape>
                  </w:pict>
                </mc:Fallback>
              </mc:AlternateContent>
            </w:r>
          </w:p>
          <w:p>
            <w:pPr>
              <w:rPr>
                <w:color w:val="auto"/>
              </w:rPr>
            </w:pPr>
            <w:r>
              <w:rPr>
                <w:b/>
                <w:color w:val="auto"/>
                <w:sz w:val="44"/>
                <w:szCs w:val="44"/>
              </w:rPr>
              <mc:AlternateContent>
                <mc:Choice Requires="wps">
                  <w:drawing>
                    <wp:anchor distT="0" distB="0" distL="114300" distR="114300" simplePos="0" relativeHeight="251751424" behindDoc="0" locked="0" layoutInCell="1" allowOverlap="1">
                      <wp:simplePos x="0" y="0"/>
                      <wp:positionH relativeFrom="column">
                        <wp:posOffset>852805</wp:posOffset>
                      </wp:positionH>
                      <wp:positionV relativeFrom="paragraph">
                        <wp:posOffset>55880</wp:posOffset>
                      </wp:positionV>
                      <wp:extent cx="240030" cy="635"/>
                      <wp:effectExtent l="0" t="38100" r="7620" b="37465"/>
                      <wp:wrapNone/>
                      <wp:docPr id="26" name="直接箭头连接符 26"/>
                      <wp:cNvGraphicFramePr/>
                      <a:graphic xmlns:a="http://schemas.openxmlformats.org/drawingml/2006/main">
                        <a:graphicData uri="http://schemas.microsoft.com/office/word/2010/wordprocessingShape">
                          <wps:wsp>
                            <wps:cNvCnPr/>
                            <wps:spPr>
                              <a:xfrm flipH="1" flipV="1">
                                <a:off x="0" y="0"/>
                                <a:ext cx="240030" cy="63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67.15pt;margin-top:4.4pt;height:0.05pt;width:18.9pt;z-index:251751424;mso-width-relative:page;mso-height-relative:page;" filled="f" stroked="t" coordsize="21600,21600" o:gfxdata="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FH9oUtcAAAAHAQAADwAA&#10;AAAAAAABACAAAAAiAAAAZHJzL2Rvd25yZXYueG1sUEsBAhQAFAAAAAgAh07iQH9qwGwXAgAAFAQA&#10;AA4AAAAAAAAAAQAgAAAAJgEAAGRycy9lMm9Eb2MueG1sUEsFBgAAAAAGAAYAWQEAAK8FAAAAAA==&#10;">
                      <v:fill on="f" focussize="0,0"/>
                      <v:stroke color="#000000" joinstyle="round" dashstyle="dash" endarrow="block"/>
                      <v:imagedata o:title=""/>
                      <o:lock v:ext="edit" aspectratio="f"/>
                    </v:shape>
                  </w:pict>
                </mc:Fallback>
              </mc:AlternateContent>
            </w:r>
            <w:r>
              <w:rPr>
                <w:b/>
                <w:color w:val="auto"/>
                <w:sz w:val="44"/>
                <w:szCs w:val="44"/>
              </w:rPr>
              <mc:AlternateContent>
                <mc:Choice Requires="wps">
                  <w:drawing>
                    <wp:anchor distT="0" distB="0" distL="114300" distR="114300" simplePos="0" relativeHeight="251749376" behindDoc="0" locked="0" layoutInCell="1" allowOverlap="1">
                      <wp:simplePos x="0" y="0"/>
                      <wp:positionH relativeFrom="column">
                        <wp:posOffset>1756410</wp:posOffset>
                      </wp:positionH>
                      <wp:positionV relativeFrom="paragraph">
                        <wp:posOffset>59690</wp:posOffset>
                      </wp:positionV>
                      <wp:extent cx="240030" cy="635"/>
                      <wp:effectExtent l="0" t="38100" r="7620" b="37465"/>
                      <wp:wrapNone/>
                      <wp:docPr id="12" name="直接箭头连接符 12"/>
                      <wp:cNvGraphicFramePr/>
                      <a:graphic xmlns:a="http://schemas.openxmlformats.org/drawingml/2006/main">
                        <a:graphicData uri="http://schemas.microsoft.com/office/word/2010/wordprocessingShape">
                          <wps:wsp>
                            <wps:cNvCnPr/>
                            <wps:spPr>
                              <a:xfrm flipH="1" flipV="1">
                                <a:off x="0" y="0"/>
                                <a:ext cx="240030" cy="63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138.3pt;margin-top:4.7pt;height:0.05pt;width:18.9pt;z-index:251749376;mso-width-relative:page;mso-height-relative:page;" filled="f" stroked="t" coordsize="21600,21600" o:gfxdata="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PFMCuPYAAAABwEAAA8A&#10;AAAAAAAAAQAgAAAAIgAAAGRycy9kb3ducmV2LnhtbFBLAQIUABQAAAAIAIdO4kDOsOOLFwIAABQE&#10;AAAOAAAAAAAAAAEAIAAAACcBAABkcnMvZTJvRG9jLnhtbFBLBQYAAAAABgAGAFkBAACwBQAAAAA=&#10;">
                      <v:fill on="f" focussize="0,0"/>
                      <v:stroke color="#000000" joinstyle="round" dashstyle="dash" endarrow="block"/>
                      <v:imagedata o:title=""/>
                      <o:lock v:ext="edit" aspectratio="f"/>
                    </v:shape>
                  </w:pict>
                </mc:Fallback>
              </mc:AlternateContent>
            </w:r>
            <w:r>
              <w:rPr>
                <w:color w:val="auto"/>
              </w:rPr>
              <mc:AlternateContent>
                <mc:Choice Requires="wps">
                  <w:drawing>
                    <wp:anchor distT="0" distB="0" distL="114300" distR="114300" simplePos="0" relativeHeight="251718656" behindDoc="0" locked="0" layoutInCell="1" allowOverlap="1">
                      <wp:simplePos x="0" y="0"/>
                      <wp:positionH relativeFrom="column">
                        <wp:posOffset>2501900</wp:posOffset>
                      </wp:positionH>
                      <wp:positionV relativeFrom="paragraph">
                        <wp:posOffset>143510</wp:posOffset>
                      </wp:positionV>
                      <wp:extent cx="5080" cy="334010"/>
                      <wp:effectExtent l="34290" t="0" r="36830" b="8890"/>
                      <wp:wrapNone/>
                      <wp:docPr id="62" name="直接连接符 62"/>
                      <wp:cNvGraphicFramePr/>
                      <a:graphic xmlns:a="http://schemas.openxmlformats.org/drawingml/2006/main">
                        <a:graphicData uri="http://schemas.microsoft.com/office/word/2010/wordprocessingShape">
                          <wps:wsp>
                            <wps:cNvCnPr/>
                            <wps:spPr>
                              <a:xfrm>
                                <a:off x="0" y="0"/>
                                <a:ext cx="5080" cy="3340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97pt;margin-top:11.3pt;height:26.3pt;width:0.4pt;z-index:251718656;mso-width-relative:page;mso-height-relative:page;" filled="f" stroked="t" coordsize="21600,21600" o:gfxdata="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DHGzH02QAAAAkBAAAPAAAAAAAAAAEAIAAAACIAAABkcnMv&#10;ZG93bnJldi54bWxQSwECFAAUAAAACACHTuJAHRR5lwICAAD6AwAADgAAAAAAAAABACAAAAAoAQAA&#10;ZHJzL2Uyb0RvYy54bWxQSwUGAAAAAAYABgBZAQAAnAUAAAAA&#10;">
                      <v:fill on="f" focussize="0,0"/>
                      <v:stroke color="#000000" joinstyle="round" endarrow="block"/>
                      <v:imagedata o:title=""/>
                      <o:lock v:ext="edit" aspectratio="f"/>
                    </v:line>
                  </w:pict>
                </mc:Fallback>
              </mc:AlternateContent>
            </w:r>
          </w:p>
          <w:p>
            <w:pPr>
              <w:pStyle w:val="9"/>
              <w:rPr>
                <w:color w:val="auto"/>
              </w:rPr>
            </w:pPr>
            <w:r>
              <w:rPr>
                <w:b/>
                <w:color w:val="auto"/>
                <w:sz w:val="44"/>
                <w:szCs w:val="44"/>
              </w:rPr>
              <mc:AlternateContent>
                <mc:Choice Requires="wps">
                  <w:drawing>
                    <wp:anchor distT="0" distB="0" distL="114300" distR="114300" simplePos="0" relativeHeight="251740160" behindDoc="0" locked="0" layoutInCell="1" allowOverlap="1">
                      <wp:simplePos x="0" y="0"/>
                      <wp:positionH relativeFrom="column">
                        <wp:posOffset>4215130</wp:posOffset>
                      </wp:positionH>
                      <wp:positionV relativeFrom="paragraph">
                        <wp:posOffset>197485</wp:posOffset>
                      </wp:positionV>
                      <wp:extent cx="851535" cy="311785"/>
                      <wp:effectExtent l="0" t="0" r="5715" b="12065"/>
                      <wp:wrapNone/>
                      <wp:docPr id="180" name="矩形 180"/>
                      <wp:cNvGraphicFramePr/>
                      <a:graphic xmlns:a="http://schemas.openxmlformats.org/drawingml/2006/main">
                        <a:graphicData uri="http://schemas.microsoft.com/office/word/2010/wordprocessingShape">
                          <wps:wsp>
                            <wps:cNvSpPr/>
                            <wps:spPr>
                              <a:xfrm>
                                <a:off x="0" y="0"/>
                                <a:ext cx="851535" cy="311785"/>
                              </a:xfrm>
                              <a:prstGeom prst="rect">
                                <a:avLst/>
                              </a:prstGeom>
                              <a:solidFill>
                                <a:srgbClr val="FFFFFF"/>
                              </a:solidFill>
                              <a:ln>
                                <a:noFill/>
                              </a:ln>
                              <a:effectLst/>
                            </wps:spPr>
                            <wps:txbx>
                              <w:txbxContent>
                                <w:p>
                                  <w:r>
                                    <w:rPr>
                                      <w:rFonts w:hint="eastAsia"/>
                                      <w:color w:val="auto"/>
                                      <w:lang w:eastAsia="zh-CN"/>
                                    </w:rPr>
                                    <w:t>污水消毒池</w:t>
                                  </w:r>
                                </w:p>
                              </w:txbxContent>
                            </wps:txbx>
                            <wps:bodyPr upright="1"/>
                          </wps:wsp>
                        </a:graphicData>
                      </a:graphic>
                    </wp:anchor>
                  </w:drawing>
                </mc:Choice>
                <mc:Fallback>
                  <w:pict>
                    <v:rect id="_x0000_s1026" o:spid="_x0000_s1026" o:spt="1" style="position:absolute;left:0pt;margin-left:331.9pt;margin-top:15.55pt;height:24.55pt;width:67.05pt;z-index:251740160;mso-width-relative:page;mso-height-relative:page;" fillcolor="#FFFFFF" filled="t" stroked="f" coordsize="21600,21600" o:gfxdata="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3+LVw2AAAAAkBAAAPAAAAAAAAAAEAIAAAACIAAABkcnMvZG93bnJldi54bWxQSwEC&#10;FAAUAAAACACHTuJAlSOwT7sBAAB7AwAADgAAAAAAAAABACAAAAAnAQAAZHJzL2Uyb0RvYy54bWxQ&#10;SwUGAAAAAAYABgBZAQAAVAUAAAAA&#10;">
                      <v:fill on="t" focussize="0,0"/>
                      <v:stroke on="f"/>
                      <v:imagedata o:title=""/>
                      <o:lock v:ext="edit" aspectratio="f"/>
                      <v:textbox>
                        <w:txbxContent>
                          <w:p>
                            <w:r>
                              <w:rPr>
                                <w:rFonts w:hint="eastAsia"/>
                                <w:color w:val="auto"/>
                                <w:lang w:eastAsia="zh-CN"/>
                              </w:rPr>
                              <w:t>污水消毒池</w:t>
                            </w:r>
                          </w:p>
                        </w:txbxContent>
                      </v:textbox>
                    </v:rect>
                  </w:pict>
                </mc:Fallback>
              </mc:AlternateContent>
            </w:r>
            <w:r>
              <w:rPr>
                <w:color w:val="auto"/>
                <w:sz w:val="21"/>
              </w:rPr>
              <mc:AlternateContent>
                <mc:Choice Requires="wps">
                  <w:drawing>
                    <wp:anchor distT="0" distB="0" distL="114300" distR="114300" simplePos="0" relativeHeight="251721728" behindDoc="0" locked="0" layoutInCell="1" allowOverlap="1">
                      <wp:simplePos x="0" y="0"/>
                      <wp:positionH relativeFrom="column">
                        <wp:posOffset>3136900</wp:posOffset>
                      </wp:positionH>
                      <wp:positionV relativeFrom="paragraph">
                        <wp:posOffset>191135</wp:posOffset>
                      </wp:positionV>
                      <wp:extent cx="830580" cy="334010"/>
                      <wp:effectExtent l="4445" t="4445" r="22225" b="23495"/>
                      <wp:wrapNone/>
                      <wp:docPr id="67" name="文本框 67"/>
                      <wp:cNvGraphicFramePr/>
                      <a:graphic xmlns:a="http://schemas.openxmlformats.org/drawingml/2006/main">
                        <a:graphicData uri="http://schemas.microsoft.com/office/word/2010/wordprocessingShape">
                          <wps:wsp>
                            <wps:cNvSpPr txBox="1"/>
                            <wps:spPr>
                              <a:xfrm>
                                <a:off x="0" y="0"/>
                                <a:ext cx="830580" cy="334010"/>
                              </a:xfrm>
                              <a:prstGeom prst="rect">
                                <a:avLst/>
                              </a:prstGeom>
                              <a:noFill/>
                              <a:ln w="9525" cap="flat" cmpd="sng">
                                <a:solidFill>
                                  <a:srgbClr val="000000"/>
                                </a:solidFill>
                                <a:prstDash val="dash"/>
                                <a:miter/>
                                <a:headEnd type="none" w="med" len="med"/>
                                <a:tailEnd type="none" w="med" len="med"/>
                              </a:ln>
                              <a:effectLst/>
                            </wps:spPr>
                            <wps:txbx>
                              <w:txbxContent>
                                <w:p>
                                  <w:pPr>
                                    <w:pStyle w:val="9"/>
                                    <w:spacing w:after="0" w:line="240" w:lineRule="auto"/>
                                    <w:ind w:right="130"/>
                                    <w:rPr>
                                      <w:sz w:val="21"/>
                                      <w:szCs w:val="21"/>
                                    </w:rPr>
                                  </w:pPr>
                                  <w:r>
                                    <w:rPr>
                                      <w:rFonts w:hint="eastAsia"/>
                                      <w:sz w:val="21"/>
                                      <w:szCs w:val="21"/>
                                    </w:rPr>
                                    <w:t>医疗废水</w:t>
                                  </w:r>
                                </w:p>
                                <w:p/>
                              </w:txbxContent>
                            </wps:txbx>
                            <wps:bodyPr upright="1"/>
                          </wps:wsp>
                        </a:graphicData>
                      </a:graphic>
                    </wp:anchor>
                  </w:drawing>
                </mc:Choice>
                <mc:Fallback>
                  <w:pict>
                    <v:shape id="_x0000_s1026" o:spid="_x0000_s1026" o:spt="202" type="#_x0000_t202" style="position:absolute;left:0pt;margin-left:247pt;margin-top:15.05pt;height:26.3pt;width:65.4pt;z-index:251721728;mso-width-relative:page;mso-height-relative:page;" filled="f" stroked="t" coordsize="21600,21600" o:gfxdata="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o6UCPbAAAACQEAAA8AAAAAAAAAAQAg&#10;AAAAIgAAAGRycy9kb3ducmV2LnhtbFBLAQIUABQAAAAIAIdO4kDGhdVvCwIAABsEAAAOAAAAAAAA&#10;AAEAIAAAACoBAABkcnMvZTJvRG9jLnhtbFBLBQYAAAAABgAGAFkBAACnBQAAAAA=&#10;">
                      <v:fill on="f" focussize="0,0"/>
                      <v:stroke color="#000000" joinstyle="miter" dashstyle="dash"/>
                      <v:imagedata o:title=""/>
                      <o:lock v:ext="edit" aspectratio="f"/>
                      <v:textbox>
                        <w:txbxContent>
                          <w:p>
                            <w:pPr>
                              <w:pStyle w:val="9"/>
                              <w:spacing w:after="0" w:line="240" w:lineRule="auto"/>
                              <w:ind w:right="130"/>
                              <w:rPr>
                                <w:sz w:val="21"/>
                                <w:szCs w:val="21"/>
                              </w:rPr>
                            </w:pPr>
                            <w:r>
                              <w:rPr>
                                <w:rFonts w:hint="eastAsia"/>
                                <w:sz w:val="21"/>
                                <w:szCs w:val="21"/>
                              </w:rPr>
                              <w:t>医疗废水</w:t>
                            </w:r>
                          </w:p>
                          <w:p/>
                        </w:txbxContent>
                      </v:textbox>
                    </v:shape>
                  </w:pict>
                </mc:Fallback>
              </mc:AlternateContent>
            </w:r>
          </w:p>
          <w:p>
            <w:pPr>
              <w:rPr>
                <w:color w:val="auto"/>
              </w:rPr>
            </w:pPr>
            <w:r>
              <w:rPr>
                <w:color w:val="auto"/>
              </w:rPr>
              <mc:AlternateContent>
                <mc:Choice Requires="wps">
                  <w:drawing>
                    <wp:anchor distT="0" distB="0" distL="114300" distR="114300" simplePos="0" relativeHeight="251720704" behindDoc="0" locked="0" layoutInCell="1" allowOverlap="1">
                      <wp:simplePos x="0" y="0"/>
                      <wp:positionH relativeFrom="column">
                        <wp:posOffset>2942590</wp:posOffset>
                      </wp:positionH>
                      <wp:positionV relativeFrom="paragraph">
                        <wp:posOffset>74930</wp:posOffset>
                      </wp:positionV>
                      <wp:extent cx="201930" cy="10160"/>
                      <wp:effectExtent l="0" t="31750" r="7620" b="34290"/>
                      <wp:wrapNone/>
                      <wp:docPr id="66" name="直接连接符 66"/>
                      <wp:cNvGraphicFramePr/>
                      <a:graphic xmlns:a="http://schemas.openxmlformats.org/drawingml/2006/main">
                        <a:graphicData uri="http://schemas.microsoft.com/office/word/2010/wordprocessingShape">
                          <wps:wsp>
                            <wps:cNvCnPr/>
                            <wps:spPr>
                              <a:xfrm>
                                <a:off x="0" y="0"/>
                                <a:ext cx="201930" cy="10160"/>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margin-left:231.7pt;margin-top:5.9pt;height:0.8pt;width:15.9pt;z-index:251720704;mso-width-relative:page;mso-height-relative:page;" filled="f" stroked="t" coordsize="21600,21600" o:gfxdata="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YNtON2QAAAAkBAAAPAAAAAAAAAAEAIAAAACIAAABk&#10;cnMvZG93bnJldi54bWxQSwECFAAUAAAACACHTuJA54ZOCAUCAAD6AwAADgAAAAAAAAABACAAAAAo&#10;AQAAZHJzL2Uyb0RvYy54bWxQSwUGAAAAAAYABgBZAQAAnwUAAAAA&#10;">
                      <v:fill on="f" focussize="0,0"/>
                      <v:stroke color="#000000" joinstyle="round" dashstyle="dash" endarrow="block"/>
                      <v:imagedata o:title=""/>
                      <o:lock v:ext="edit" aspectratio="f"/>
                    </v:line>
                  </w:pict>
                </mc:Fallback>
              </mc:AlternateContent>
            </w:r>
            <w:r>
              <w:rPr>
                <w:b/>
                <w:color w:val="auto"/>
                <w:sz w:val="44"/>
                <w:szCs w:val="44"/>
              </w:rPr>
              <mc:AlternateContent>
                <mc:Choice Requires="wps">
                  <w:drawing>
                    <wp:anchor distT="0" distB="0" distL="114300" distR="114300" simplePos="0" relativeHeight="251741184" behindDoc="0" locked="0" layoutInCell="1" allowOverlap="1">
                      <wp:simplePos x="0" y="0"/>
                      <wp:positionH relativeFrom="column">
                        <wp:posOffset>4567555</wp:posOffset>
                      </wp:positionH>
                      <wp:positionV relativeFrom="paragraph">
                        <wp:posOffset>151765</wp:posOffset>
                      </wp:positionV>
                      <wp:extent cx="6985" cy="249555"/>
                      <wp:effectExtent l="33020" t="0" r="36195" b="17145"/>
                      <wp:wrapNone/>
                      <wp:docPr id="228" name="直接箭头连接符 228"/>
                      <wp:cNvGraphicFramePr/>
                      <a:graphic xmlns:a="http://schemas.openxmlformats.org/drawingml/2006/main">
                        <a:graphicData uri="http://schemas.microsoft.com/office/word/2010/wordprocessingShape">
                          <wps:wsp>
                            <wps:cNvCnPr/>
                            <wps:spPr>
                              <a:xfrm>
                                <a:off x="0" y="0"/>
                                <a:ext cx="6985" cy="24955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margin-left:359.65pt;margin-top:11.95pt;height:19.65pt;width:0.55pt;z-index:251741184;mso-width-relative:page;mso-height-relative:page;" filled="f" stroked="t" coordsize="21600,21600" o:gfxdata="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Qbl5vWAAAACQEAAA8AAAAAAAAAAQAgAAAA&#10;IgAAAGRycy9kb3ducmV2LnhtbFBLAQIUABQAAAAIAIdO4kBTFbgqDQIAAAMEAAAOAAAAAAAAAAEA&#10;IAAAACUBAABkcnMvZTJvRG9jLnhtbFBLBQYAAAAABgAGAFkBAACkBQAAAAA=&#10;">
                      <v:fill on="f" focussize="0,0"/>
                      <v:stroke color="#000000" joinstyle="round" dashstyle="dash" endarrow="block"/>
                      <v:imagedata o:title=""/>
                      <o:lock v:ext="edit" aspectratio="f"/>
                    </v:shape>
                  </w:pict>
                </mc:Fallback>
              </mc:AlternateContent>
            </w:r>
            <w:r>
              <w:rPr>
                <w:b/>
                <w:color w:val="auto"/>
                <w:sz w:val="44"/>
                <w:szCs w:val="44"/>
              </w:rPr>
              <mc:AlternateContent>
                <mc:Choice Requires="wps">
                  <w:drawing>
                    <wp:anchor distT="0" distB="0" distL="114300" distR="114300" simplePos="0" relativeHeight="251739136" behindDoc="0" locked="0" layoutInCell="1" allowOverlap="1">
                      <wp:simplePos x="0" y="0"/>
                      <wp:positionH relativeFrom="column">
                        <wp:posOffset>3984625</wp:posOffset>
                      </wp:positionH>
                      <wp:positionV relativeFrom="paragraph">
                        <wp:posOffset>73025</wp:posOffset>
                      </wp:positionV>
                      <wp:extent cx="217170" cy="1905"/>
                      <wp:effectExtent l="0" t="36830" r="11430" b="37465"/>
                      <wp:wrapNone/>
                      <wp:docPr id="97" name="直接箭头连接符 97"/>
                      <wp:cNvGraphicFramePr/>
                      <a:graphic xmlns:a="http://schemas.openxmlformats.org/drawingml/2006/main">
                        <a:graphicData uri="http://schemas.microsoft.com/office/word/2010/wordprocessingShape">
                          <wps:wsp>
                            <wps:cNvCnPr/>
                            <wps:spPr>
                              <a:xfrm>
                                <a:off x="0" y="0"/>
                                <a:ext cx="217170" cy="190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margin-left:313.75pt;margin-top:5.75pt;height:0.15pt;width:17.1pt;z-index:251739136;mso-width-relative:page;mso-height-relative:page;" filled="f" stroked="t" coordsize="21600,21600" o:gfxdata="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BP6rjXVAAAACQEAAA8AAAAAAAAAAQAgAAAAIgAA&#10;AGRycy9kb3ducmV2LnhtbFBLAQIUABQAAAAIAIdO4kD/FvAhCwIAAAEEAAAOAAAAAAAAAAEAIAAA&#10;ACQBAABkcnMvZTJvRG9jLnhtbFBLBQYAAAAABgAGAFkBAAChBQAAAAA=&#10;">
                      <v:fill on="f" focussize="0,0"/>
                      <v:stroke color="#000000" joinstyle="round" dashstyle="dash" endarrow="block"/>
                      <v:imagedata o:title=""/>
                      <o:lock v:ext="edit" aspectratio="f"/>
                    </v:shape>
                  </w:pict>
                </mc:Fallback>
              </mc:AlternateContent>
            </w:r>
            <w:r>
              <w:rPr>
                <w:color w:val="auto"/>
              </w:rPr>
              <mc:AlternateContent>
                <mc:Choice Requires="wps">
                  <w:drawing>
                    <wp:anchor distT="0" distB="0" distL="114300" distR="114300" simplePos="0" relativeHeight="251706368" behindDoc="0" locked="0" layoutInCell="1" allowOverlap="1">
                      <wp:simplePos x="0" y="0"/>
                      <wp:positionH relativeFrom="column">
                        <wp:posOffset>2182495</wp:posOffset>
                      </wp:positionH>
                      <wp:positionV relativeFrom="paragraph">
                        <wp:posOffset>41910</wp:posOffset>
                      </wp:positionV>
                      <wp:extent cx="560705" cy="283210"/>
                      <wp:effectExtent l="5080" t="4445" r="5715" b="17145"/>
                      <wp:wrapNone/>
                      <wp:docPr id="176" name="文本框 176"/>
                      <wp:cNvGraphicFramePr/>
                      <a:graphic xmlns:a="http://schemas.openxmlformats.org/drawingml/2006/main">
                        <a:graphicData uri="http://schemas.microsoft.com/office/word/2010/wordprocessingShape">
                          <wps:wsp>
                            <wps:cNvSpPr txBox="1"/>
                            <wps:spPr>
                              <a:xfrm>
                                <a:off x="0" y="0"/>
                                <a:ext cx="560705" cy="2832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r>
                                    <w:rPr>
                                      <w:rFonts w:hint="eastAsia"/>
                                    </w:rPr>
                                    <w:t>治疗</w:t>
                                  </w:r>
                                </w:p>
                              </w:txbxContent>
                            </wps:txbx>
                            <wps:bodyPr upright="1"/>
                          </wps:wsp>
                        </a:graphicData>
                      </a:graphic>
                    </wp:anchor>
                  </w:drawing>
                </mc:Choice>
                <mc:Fallback>
                  <w:pict>
                    <v:shape id="_x0000_s1026" o:spid="_x0000_s1026" o:spt="202" type="#_x0000_t202" style="position:absolute;left:0pt;margin-left:171.85pt;margin-top:3.3pt;height:22.3pt;width:44.15pt;z-index:251706368;mso-width-relative:page;mso-height-relative:page;" fillcolor="#FFFFFF" filled="t" stroked="t" coordsize="21600,21600" o:gfxdata="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ELaVwdgAAAAIAQAADwAAAAAA&#10;AAABACAAAAAiAAAAZHJzL2Rvd25yZXYueG1sUEsBAhQAFAAAAAgAh07iQOYLNYETAgAARwQAAA4A&#10;AAAAAAAAAQAgAAAAJwEAAGRycy9lMm9Eb2MueG1sUEsFBgAAAAAGAAYAWQEAAKwFAAAAAA==&#10;">
                      <v:fill on="t" focussize="0,0"/>
                      <v:stroke color="#000000" joinstyle="miter"/>
                      <v:imagedata o:title=""/>
                      <o:lock v:ext="edit" aspectratio="f"/>
                      <v:textbox>
                        <w:txbxContent>
                          <w:p>
                            <w:r>
                              <w:rPr>
                                <w:rFonts w:hint="eastAsia"/>
                              </w:rPr>
                              <w:t>治疗</w:t>
                            </w:r>
                          </w:p>
                        </w:txbxContent>
                      </v:textbox>
                    </v:shape>
                  </w:pict>
                </mc:Fallback>
              </mc:AlternateContent>
            </w:r>
          </w:p>
          <w:p>
            <w:pPr>
              <w:pStyle w:val="9"/>
              <w:rPr>
                <w:color w:val="auto"/>
              </w:rPr>
            </w:pPr>
            <w:r>
              <w:rPr>
                <w:b/>
                <w:color w:val="auto"/>
                <w:sz w:val="44"/>
                <w:szCs w:val="44"/>
              </w:rPr>
              <mc:AlternateContent>
                <mc:Choice Requires="wps">
                  <w:drawing>
                    <wp:anchor distT="0" distB="0" distL="114300" distR="114300" simplePos="0" relativeHeight="251742208" behindDoc="0" locked="0" layoutInCell="1" allowOverlap="1">
                      <wp:simplePos x="0" y="0"/>
                      <wp:positionH relativeFrom="column">
                        <wp:posOffset>4257040</wp:posOffset>
                      </wp:positionH>
                      <wp:positionV relativeFrom="paragraph">
                        <wp:posOffset>240030</wp:posOffset>
                      </wp:positionV>
                      <wp:extent cx="767715" cy="311785"/>
                      <wp:effectExtent l="0" t="0" r="13335" b="12065"/>
                      <wp:wrapNone/>
                      <wp:docPr id="186" name="矩形 186"/>
                      <wp:cNvGraphicFramePr/>
                      <a:graphic xmlns:a="http://schemas.openxmlformats.org/drawingml/2006/main">
                        <a:graphicData uri="http://schemas.microsoft.com/office/word/2010/wordprocessingShape">
                          <wps:wsp>
                            <wps:cNvSpPr/>
                            <wps:spPr>
                              <a:xfrm>
                                <a:off x="0" y="0"/>
                                <a:ext cx="767715" cy="311785"/>
                              </a:xfrm>
                              <a:prstGeom prst="rect">
                                <a:avLst/>
                              </a:prstGeom>
                              <a:solidFill>
                                <a:srgbClr val="FFFFFF"/>
                              </a:solidFill>
                              <a:ln>
                                <a:noFill/>
                              </a:ln>
                              <a:effectLst/>
                            </wps:spPr>
                            <wps:txbx>
                              <w:txbxContent>
                                <w:p>
                                  <w:r>
                                    <w:rPr>
                                      <w:rFonts w:hint="eastAsia"/>
                                    </w:rPr>
                                    <w:t>预处理池</w:t>
                                  </w:r>
                                </w:p>
                              </w:txbxContent>
                            </wps:txbx>
                            <wps:bodyPr upright="1"/>
                          </wps:wsp>
                        </a:graphicData>
                      </a:graphic>
                    </wp:anchor>
                  </w:drawing>
                </mc:Choice>
                <mc:Fallback>
                  <w:pict>
                    <v:rect id="_x0000_s1026" o:spid="_x0000_s1026" o:spt="1" style="position:absolute;left:0pt;margin-left:335.2pt;margin-top:18.9pt;height:24.55pt;width:60.45pt;z-index:251742208;mso-width-relative:page;mso-height-relative:page;" fillcolor="#FFFFFF" filled="t" stroked="f" coordsize="21600,21600" o:gfxdata="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zKx3fXAAAACQEAAA8AAAAAAAAAAQAgAAAAIgAAAGRycy9kb3ducmV2LnhtbFBLAQIU&#10;ABQAAAAIAIdO4kDAopPguwEAAHsDAAAOAAAAAAAAAAEAIAAAACYBAABkcnMvZTJvRG9jLnhtbFBL&#10;BQYAAAAABgAGAFkBAABTBQAAAAA=&#10;">
                      <v:fill on="t" focussize="0,0"/>
                      <v:stroke on="f"/>
                      <v:imagedata o:title=""/>
                      <o:lock v:ext="edit" aspectratio="f"/>
                      <v:textbox>
                        <w:txbxContent>
                          <w:p>
                            <w:r>
                              <w:rPr>
                                <w:rFonts w:hint="eastAsia"/>
                              </w:rPr>
                              <w:t>预处理池</w:t>
                            </w:r>
                          </w:p>
                        </w:txbxContent>
                      </v:textbox>
                    </v:rect>
                  </w:pict>
                </mc:Fallback>
              </mc:AlternateContent>
            </w:r>
            <w:r>
              <w:rPr>
                <w:b/>
                <w:color w:val="auto"/>
                <w:sz w:val="44"/>
                <w:szCs w:val="44"/>
              </w:rPr>
              <mc:AlternateContent>
                <mc:Choice Requires="wps">
                  <w:drawing>
                    <wp:anchor distT="0" distB="0" distL="114300" distR="114300" simplePos="0" relativeHeight="251736064" behindDoc="0" locked="0" layoutInCell="1" allowOverlap="1">
                      <wp:simplePos x="0" y="0"/>
                      <wp:positionH relativeFrom="column">
                        <wp:posOffset>1051560</wp:posOffset>
                      </wp:positionH>
                      <wp:positionV relativeFrom="paragraph">
                        <wp:posOffset>44450</wp:posOffset>
                      </wp:positionV>
                      <wp:extent cx="723265" cy="793115"/>
                      <wp:effectExtent l="0" t="0" r="0" b="0"/>
                      <wp:wrapNone/>
                      <wp:docPr id="94" name="矩形 94"/>
                      <wp:cNvGraphicFramePr/>
                      <a:graphic xmlns:a="http://schemas.openxmlformats.org/drawingml/2006/main">
                        <a:graphicData uri="http://schemas.microsoft.com/office/word/2010/wordprocessingShape">
                          <wps:wsp>
                            <wps:cNvSpPr/>
                            <wps:spPr>
                              <a:xfrm>
                                <a:off x="0" y="0"/>
                                <a:ext cx="723265" cy="793115"/>
                              </a:xfrm>
                              <a:prstGeom prst="rect">
                                <a:avLst/>
                              </a:prstGeom>
                              <a:noFill/>
                              <a:ln>
                                <a:noFill/>
                              </a:ln>
                              <a:effectLst/>
                            </wps:spPr>
                            <wps:txbx>
                              <w:txbxContent>
                                <w:p>
                                  <w:pPr>
                                    <w:rPr>
                                      <w:szCs w:val="21"/>
                                    </w:rPr>
                                  </w:pPr>
                                  <w:r>
                                    <w:rPr>
                                      <w:rFonts w:hint="eastAsia"/>
                                      <w:szCs w:val="21"/>
                                    </w:rPr>
                                    <w:t>病理性医疗废物、化学性废物</w:t>
                                  </w:r>
                                </w:p>
                              </w:txbxContent>
                            </wps:txbx>
                            <wps:bodyPr upright="1"/>
                          </wps:wsp>
                        </a:graphicData>
                      </a:graphic>
                    </wp:anchor>
                  </w:drawing>
                </mc:Choice>
                <mc:Fallback>
                  <w:pict>
                    <v:rect id="_x0000_s1026" o:spid="_x0000_s1026" o:spt="1" style="position:absolute;left:0pt;margin-left:82.8pt;margin-top:3.5pt;height:62.45pt;width:56.95pt;z-index:251736064;mso-width-relative:page;mso-height-relative:page;" filled="f" stroked="f" coordsize="21600,21600" o:gfxdata="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CngYlN2QAAAAkB&#10;AAAPAAAAAAAAAAEAIAAAACIAAABkcnMvZG93bnJldi54bWxQSwECFAAUAAAACACHTuJAnI4sUqgB&#10;AABQAwAADgAAAAAAAAABACAAAAAoAQAAZHJzL2Uyb0RvYy54bWxQSwUGAAAAAAYABgBZAQAAQgUA&#10;AAAA&#10;">
                      <v:fill on="f" focussize="0,0"/>
                      <v:stroke on="f"/>
                      <v:imagedata o:title=""/>
                      <o:lock v:ext="edit" aspectratio="f"/>
                      <v:textbox>
                        <w:txbxContent>
                          <w:p>
                            <w:pPr>
                              <w:rPr>
                                <w:szCs w:val="21"/>
                              </w:rPr>
                            </w:pPr>
                            <w:r>
                              <w:rPr>
                                <w:rFonts w:hint="eastAsia"/>
                                <w:szCs w:val="21"/>
                              </w:rPr>
                              <w:t>病理性医疗废物、化学性废物</w:t>
                            </w:r>
                          </w:p>
                        </w:txbxContent>
                      </v:textbox>
                    </v:rect>
                  </w:pict>
                </mc:Fallback>
              </mc:AlternateContent>
            </w:r>
            <w:r>
              <w:rPr>
                <w:color w:val="auto"/>
                <w:sz w:val="21"/>
              </w:rPr>
              <mc:AlternateContent>
                <mc:Choice Requires="wps">
                  <w:drawing>
                    <wp:anchor distT="0" distB="0" distL="114300" distR="114300" simplePos="0" relativeHeight="251746304" behindDoc="0" locked="0" layoutInCell="1" allowOverlap="1">
                      <wp:simplePos x="0" y="0"/>
                      <wp:positionH relativeFrom="column">
                        <wp:posOffset>3190875</wp:posOffset>
                      </wp:positionH>
                      <wp:positionV relativeFrom="paragraph">
                        <wp:posOffset>150495</wp:posOffset>
                      </wp:positionV>
                      <wp:extent cx="1905" cy="498475"/>
                      <wp:effectExtent l="6350" t="0" r="10795" b="15875"/>
                      <wp:wrapNone/>
                      <wp:docPr id="168" name="直接连接符 168"/>
                      <wp:cNvGraphicFramePr/>
                      <a:graphic xmlns:a="http://schemas.openxmlformats.org/drawingml/2006/main">
                        <a:graphicData uri="http://schemas.microsoft.com/office/word/2010/wordprocessingShape">
                          <wps:wsp>
                            <wps:cNvCnPr/>
                            <wps:spPr>
                              <a:xfrm>
                                <a:off x="0" y="0"/>
                                <a:ext cx="1905" cy="49847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251.25pt;margin-top:11.85pt;height:39.25pt;width:0.15pt;z-index:251746304;mso-width-relative:page;mso-height-relative:page;" filled="f" stroked="t" coordsize="21600,21600" o:gfxdata="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y77B9gAAAAKAQAADwAAAAAAAAABACAAAAAiAAAAZHJzL2Rvd25yZXYueG1sUEsBAhQAFAAAAAgA&#10;h07iQG8XGb3sAQAAxgMAAA4AAAAAAAAAAQAgAAAAJwEAAGRycy9lMm9Eb2MueG1sUEsFBgAAAAAG&#10;AAYAWQEAAIUFAAAAAA==&#10;">
                      <v:fill on="f" focussize="0,0"/>
                      <v:stroke weight="1pt" color="#000000" miterlimit="8" joinstyle="miter"/>
                      <v:imagedata o:title=""/>
                      <o:lock v:ext="edit" aspectratio="f"/>
                    </v:line>
                  </w:pict>
                </mc:Fallback>
              </mc:AlternateContent>
            </w:r>
            <w:r>
              <w:rPr>
                <w:color w:val="auto"/>
                <w:sz w:val="21"/>
              </w:rPr>
              <mc:AlternateContent>
                <mc:Choice Requires="wps">
                  <w:drawing>
                    <wp:anchor distT="0" distB="0" distL="114300" distR="114300" simplePos="0" relativeHeight="251745280" behindDoc="0" locked="0" layoutInCell="1" allowOverlap="1">
                      <wp:simplePos x="0" y="0"/>
                      <wp:positionH relativeFrom="column">
                        <wp:posOffset>2740660</wp:posOffset>
                      </wp:positionH>
                      <wp:positionV relativeFrom="paragraph">
                        <wp:posOffset>154305</wp:posOffset>
                      </wp:positionV>
                      <wp:extent cx="445770" cy="3175"/>
                      <wp:effectExtent l="0" t="0" r="0" b="0"/>
                      <wp:wrapNone/>
                      <wp:docPr id="167" name="直接连接符 167"/>
                      <wp:cNvGraphicFramePr/>
                      <a:graphic xmlns:a="http://schemas.openxmlformats.org/drawingml/2006/main">
                        <a:graphicData uri="http://schemas.microsoft.com/office/word/2010/wordprocessingShape">
                          <wps:wsp>
                            <wps:cNvCnPr/>
                            <wps:spPr>
                              <a:xfrm>
                                <a:off x="3991610" y="3980180"/>
                                <a:ext cx="445770" cy="3175"/>
                              </a:xfrm>
                              <a:prstGeom prst="line">
                                <a:avLst/>
                              </a:prstGeom>
                              <a:noFill/>
                              <a:ln w="12700" cap="flat" cmpd="sng" algn="ctr">
                                <a:solidFill>
                                  <a:srgbClr val="000000"/>
                                </a:solidFill>
                                <a:prstDash val="solid"/>
                                <a:miter lim="800000"/>
                              </a:ln>
                              <a:effectLst/>
                            </wps:spPr>
                            <wps:bodyPr/>
                          </wps:wsp>
                        </a:graphicData>
                      </a:graphic>
                    </wp:anchor>
                  </w:drawing>
                </mc:Choice>
                <mc:Fallback>
                  <w:pict>
                    <v:line id="_x0000_s1026" o:spid="_x0000_s1026" o:spt="20" style="position:absolute;left:0pt;margin-left:215.8pt;margin-top:12.15pt;height:0.25pt;width:35.1pt;z-index:251745280;mso-width-relative:page;mso-height-relative:page;" filled="f" stroked="t" coordsize="21600,21600" o:gfxdata="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SnUGV2AAAAAkBAAAPAAAAAAAAAAEAIAAAACIAAABkcnMvZG93bnJldi54bWxQ&#10;SwECFAAUAAAACACHTuJA9lQRePcBAADSAwAADgAAAAAAAAABACAAAAAnAQAAZHJzL2Uyb0RvYy54&#10;bWxQSwUGAAAAAAYABgBZAQAAkAUAAAAA&#10;">
                      <v:fill on="f" focussize="0,0"/>
                      <v:stroke weight="1pt" color="#000000" miterlimit="8" joinstyle="miter"/>
                      <v:imagedata o:title=""/>
                      <o:lock v:ext="edit" aspectratio="f"/>
                    </v:line>
                  </w:pict>
                </mc:Fallback>
              </mc:AlternateContent>
            </w:r>
            <w:r>
              <w:rPr>
                <w:color w:val="auto"/>
                <w:sz w:val="21"/>
              </w:rPr>
              <mc:AlternateContent>
                <mc:Choice Requires="wps">
                  <w:drawing>
                    <wp:anchor distT="0" distB="0" distL="114300" distR="114300" simplePos="0" relativeHeight="251719680" behindDoc="0" locked="0" layoutInCell="1" allowOverlap="1">
                      <wp:simplePos x="0" y="0"/>
                      <wp:positionH relativeFrom="column">
                        <wp:posOffset>2496185</wp:posOffset>
                      </wp:positionH>
                      <wp:positionV relativeFrom="paragraph">
                        <wp:posOffset>170180</wp:posOffset>
                      </wp:positionV>
                      <wp:extent cx="5080" cy="334010"/>
                      <wp:effectExtent l="34290" t="0" r="36830" b="8890"/>
                      <wp:wrapNone/>
                      <wp:docPr id="64" name="直接连接符 64"/>
                      <wp:cNvGraphicFramePr/>
                      <a:graphic xmlns:a="http://schemas.openxmlformats.org/drawingml/2006/main">
                        <a:graphicData uri="http://schemas.microsoft.com/office/word/2010/wordprocessingShape">
                          <wps:wsp>
                            <wps:cNvCnPr/>
                            <wps:spPr>
                              <a:xfrm>
                                <a:off x="0" y="0"/>
                                <a:ext cx="5080" cy="3340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196.55pt;margin-top:13.4pt;height:26.3pt;width:0.4pt;z-index:251719680;mso-width-relative:page;mso-height-relative:page;" filled="f" stroked="t" coordsize="21600,21600" o:gfxdata="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EOEXx2QAAAAkBAAAPAAAAAAAAAAEAIAAAACIAAABkcnMv&#10;ZG93bnJldi54bWxQSwECFAAUAAAACACHTuJAURJmlwICAAD6AwAADgAAAAAAAAABACAAAAAoAQAA&#10;ZHJzL2Uyb0RvYy54bWxQSwUGAAAAAAYABgBZAQAAnAUAAAAA&#10;">
                      <v:fill on="f" focussize="0,0"/>
                      <v:stroke color="#000000" joinstyle="round" endarrow="block"/>
                      <v:imagedata o:title=""/>
                      <o:lock v:ext="edit" aspectratio="f"/>
                    </v:line>
                  </w:pict>
                </mc:Fallback>
              </mc:AlternateContent>
            </w:r>
          </w:p>
          <w:p>
            <w:pPr>
              <w:rPr>
                <w:color w:val="auto"/>
              </w:rPr>
            </w:pPr>
            <w:r>
              <w:rPr>
                <w:b/>
                <w:color w:val="auto"/>
                <w:sz w:val="44"/>
                <w:szCs w:val="44"/>
              </w:rPr>
              <mc:AlternateContent>
                <mc:Choice Requires="wps">
                  <w:drawing>
                    <wp:anchor distT="0" distB="0" distL="114300" distR="114300" simplePos="0" relativeHeight="251735040" behindDoc="0" locked="0" layoutInCell="1" allowOverlap="1">
                      <wp:simplePos x="0" y="0"/>
                      <wp:positionH relativeFrom="column">
                        <wp:posOffset>1778000</wp:posOffset>
                      </wp:positionH>
                      <wp:positionV relativeFrom="paragraph">
                        <wp:posOffset>2540</wp:posOffset>
                      </wp:positionV>
                      <wp:extent cx="240030" cy="635"/>
                      <wp:effectExtent l="0" t="38100" r="7620" b="37465"/>
                      <wp:wrapNone/>
                      <wp:docPr id="93" name="直接箭头连接符 93"/>
                      <wp:cNvGraphicFramePr/>
                      <a:graphic xmlns:a="http://schemas.openxmlformats.org/drawingml/2006/main">
                        <a:graphicData uri="http://schemas.microsoft.com/office/word/2010/wordprocessingShape">
                          <wps:wsp>
                            <wps:cNvCnPr/>
                            <wps:spPr>
                              <a:xfrm flipH="1" flipV="1">
                                <a:off x="0" y="0"/>
                                <a:ext cx="240030" cy="635"/>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140pt;margin-top:0.2pt;height:0.05pt;width:18.9pt;z-index:251735040;mso-width-relative:page;mso-height-relative:page;" filled="f" stroked="t" coordsize="21600,21600" o:gfxdata="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EceoErWAAAABQEAAA8AAAAA&#10;AAAAAQAgAAAAIgAAAGRycy9kb3ducmV2LnhtbFBLAQIUABQAAAAIAIdO4kCW+mNNFgIAABQEAAAO&#10;AAAAAAAAAAEAIAAAACUBAABkcnMvZTJvRG9jLnhtbFBLBQYAAAAABgAGAFkBAACtBQAAAAA=&#10;">
                      <v:fill on="f" focussize="0,0"/>
                      <v:stroke color="#000000" joinstyle="round" dashstyle="dash" endarrow="block"/>
                      <v:imagedata o:title=""/>
                      <o:lock v:ext="edit" aspectratio="f"/>
                    </v:shape>
                  </w:pict>
                </mc:Fallback>
              </mc:AlternateContent>
            </w:r>
          </w:p>
          <w:p>
            <w:pPr>
              <w:pStyle w:val="7"/>
              <w:rPr>
                <w:rFonts w:ascii="Times New Roman" w:hAnsi="Times New Roman" w:cs="Times New Roman"/>
                <w:color w:val="auto"/>
              </w:rPr>
            </w:pPr>
            <w:r>
              <w:rPr>
                <w:b/>
                <w:color w:val="auto"/>
                <w:sz w:val="44"/>
                <w:szCs w:val="44"/>
              </w:rPr>
              <mc:AlternateContent>
                <mc:Choice Requires="wps">
                  <w:drawing>
                    <wp:anchor distT="0" distB="0" distL="114300" distR="114300" simplePos="0" relativeHeight="251747328" behindDoc="0" locked="0" layoutInCell="1" allowOverlap="1">
                      <wp:simplePos x="0" y="0"/>
                      <wp:positionH relativeFrom="column">
                        <wp:posOffset>2619375</wp:posOffset>
                      </wp:positionH>
                      <wp:positionV relativeFrom="paragraph">
                        <wp:posOffset>226695</wp:posOffset>
                      </wp:positionV>
                      <wp:extent cx="583565" cy="2540"/>
                      <wp:effectExtent l="0" t="37465" r="6985" b="36195"/>
                      <wp:wrapNone/>
                      <wp:docPr id="169" name="直接箭头连接符 169"/>
                      <wp:cNvGraphicFramePr/>
                      <a:graphic xmlns:a="http://schemas.openxmlformats.org/drawingml/2006/main">
                        <a:graphicData uri="http://schemas.microsoft.com/office/word/2010/wordprocessingShape">
                          <wps:wsp>
                            <wps:cNvCnPr/>
                            <wps:spPr>
                              <a:xfrm flipH="1" flipV="1">
                                <a:off x="0" y="0"/>
                                <a:ext cx="583565" cy="2540"/>
                              </a:xfrm>
                              <a:prstGeom prst="straightConnector1">
                                <a:avLst/>
                              </a:prstGeom>
                              <a:ln w="9525" cap="flat" cmpd="sng">
                                <a:solidFill>
                                  <a:srgbClr val="000000"/>
                                </a:solidFill>
                                <a:prstDash val="solid"/>
                                <a:headEnd type="none" w="med" len="med"/>
                                <a:tailEnd type="triangle" w="med" len="med"/>
                              </a:ln>
                              <a:effectLst/>
                            </wps:spPr>
                            <wps:bodyPr/>
                          </wps:wsp>
                        </a:graphicData>
                      </a:graphic>
                    </wp:anchor>
                  </w:drawing>
                </mc:Choice>
                <mc:Fallback>
                  <w:pict>
                    <v:shape id="_x0000_s1026" o:spid="_x0000_s1026" o:spt="32" type="#_x0000_t32" style="position:absolute;left:0pt;flip:x y;margin-left:206.25pt;margin-top:17.85pt;height:0.2pt;width:45.95pt;z-index:251747328;mso-width-relative:page;mso-height-relative:page;" filled="f" stroked="t" coordsize="21600,21600" o:gfxdata="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X74Kp2AAAAAkB&#10;AAAPAAAAAAAAAAEAIAAAACIAAABkcnMvZG93bnJldi54bWxQSwECFAAUAAAACACHTuJAPpFclBsC&#10;AAAYBAAADgAAAAAAAAABACAAAAAnAQAAZHJzL2Uyb0RvYy54bWxQSwUGAAAAAAYABgBZAQAAtAUA&#10;AAAA&#10;">
                      <v:fill on="f" focussize="0,0"/>
                      <v:stroke color="#000000" joinstyle="round" endarrow="block"/>
                      <v:imagedata o:title=""/>
                      <o:lock v:ext="edit" aspectratio="f"/>
                    </v:shape>
                  </w:pict>
                </mc:Fallback>
              </mc:AlternateContent>
            </w:r>
            <w:r>
              <w:rPr>
                <w:b/>
                <w:color w:val="auto"/>
                <w:sz w:val="44"/>
                <w:szCs w:val="44"/>
              </w:rPr>
              <mc:AlternateContent>
                <mc:Choice Requires="wps">
                  <w:drawing>
                    <wp:anchor distT="0" distB="0" distL="114300" distR="114300" simplePos="0" relativeHeight="251743232" behindDoc="0" locked="0" layoutInCell="1" allowOverlap="1">
                      <wp:simplePos x="0" y="0"/>
                      <wp:positionH relativeFrom="column">
                        <wp:posOffset>4574540</wp:posOffset>
                      </wp:positionH>
                      <wp:positionV relativeFrom="paragraph">
                        <wp:posOffset>52070</wp:posOffset>
                      </wp:positionV>
                      <wp:extent cx="11430" cy="246380"/>
                      <wp:effectExtent l="29845" t="0" r="34925" b="1270"/>
                      <wp:wrapNone/>
                      <wp:docPr id="229" name="直接箭头连接符 229"/>
                      <wp:cNvGraphicFramePr/>
                      <a:graphic xmlns:a="http://schemas.openxmlformats.org/drawingml/2006/main">
                        <a:graphicData uri="http://schemas.microsoft.com/office/word/2010/wordprocessingShape">
                          <wps:wsp>
                            <wps:cNvCnPr/>
                            <wps:spPr>
                              <a:xfrm>
                                <a:off x="0" y="0"/>
                                <a:ext cx="11430" cy="246380"/>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margin-left:360.2pt;margin-top:4.1pt;height:19.4pt;width:0.9pt;z-index:251743232;mso-width-relative:page;mso-height-relative:page;" filled="f" stroked="t" coordsize="21600,21600" o:gfxdata="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pf8nPVAAAACAEAAA8AAAAAAAAAAQAg&#10;AAAAIgAAAGRycy9kb3ducmV2LnhtbFBLAQIUABQAAAAIAIdO4kAobYzREQIAAAQEAAAOAAAAAAAA&#10;AAEAIAAAACQBAABkcnMvZTJvRG9jLnhtbFBLBQYAAAAABgAGAFkBAACnBQAAAAA=&#10;">
                      <v:fill on="f" focussize="0,0"/>
                      <v:stroke color="#000000" joinstyle="round" dashstyle="dash" endarrow="block"/>
                      <v:imagedata o:title=""/>
                      <o:lock v:ext="edit" aspectratio="f"/>
                    </v:shape>
                  </w:pict>
                </mc:Fallback>
              </mc:AlternateContent>
            </w:r>
            <w:r>
              <w:rPr>
                <w:rFonts w:ascii="Times New Roman" w:hAnsi="Times New Roman" w:cs="Times New Roman"/>
                <w:color w:val="auto"/>
              </w:rPr>
              <mc:AlternateContent>
                <mc:Choice Requires="wps">
                  <w:drawing>
                    <wp:anchor distT="0" distB="0" distL="114300" distR="114300" simplePos="0" relativeHeight="251753472" behindDoc="0" locked="0" layoutInCell="1" allowOverlap="1">
                      <wp:simplePos x="0" y="0"/>
                      <wp:positionH relativeFrom="column">
                        <wp:posOffset>911860</wp:posOffset>
                      </wp:positionH>
                      <wp:positionV relativeFrom="paragraph">
                        <wp:posOffset>146050</wp:posOffset>
                      </wp:positionV>
                      <wp:extent cx="5080" cy="334010"/>
                      <wp:effectExtent l="34290" t="0" r="36830" b="8890"/>
                      <wp:wrapNone/>
                      <wp:docPr id="36" name="直接连接符 36"/>
                      <wp:cNvGraphicFramePr/>
                      <a:graphic xmlns:a="http://schemas.openxmlformats.org/drawingml/2006/main">
                        <a:graphicData uri="http://schemas.microsoft.com/office/word/2010/wordprocessingShape">
                          <wps:wsp>
                            <wps:cNvCnPr/>
                            <wps:spPr>
                              <a:xfrm>
                                <a:off x="0" y="0"/>
                                <a:ext cx="5080" cy="334010"/>
                              </a:xfrm>
                              <a:prstGeom prst="line">
                                <a:avLst/>
                              </a:prstGeom>
                              <a:ln w="9525" cap="flat" cmpd="sng">
                                <a:solidFill>
                                  <a:srgbClr val="000000"/>
                                </a:solidFill>
                                <a:prstDash val="dash"/>
                                <a:headEnd type="none" w="med" len="med"/>
                                <a:tailEnd type="triangle" w="med" len="med"/>
                              </a:ln>
                              <a:effectLst/>
                            </wps:spPr>
                            <wps:bodyPr upright="1"/>
                          </wps:wsp>
                        </a:graphicData>
                      </a:graphic>
                    </wp:anchor>
                  </w:drawing>
                </mc:Choice>
                <mc:Fallback>
                  <w:pict>
                    <v:line id="_x0000_s1026" o:spid="_x0000_s1026" o:spt="20" style="position:absolute;left:0pt;margin-left:71.8pt;margin-top:11.5pt;height:26.3pt;width:0.4pt;z-index:251753472;mso-width-relative:page;mso-height-relative:page;" filled="f" stroked="t" coordsize="21600,21600" o:gfxdata="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&#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PvnNTraAAAACQEAAA8AAAAAAAAAAQAgAAAAIgAAAGRy&#10;cy9kb3ducmV2LnhtbFBLAQIUABQAAAAIAIdO4kCRs9DlAwIAAPkDAAAOAAAAAAAAAAEAIAAAACkB&#10;AABkcnMvZTJvRG9jLnhtbFBLBQYAAAAABgAGAFkBAACeBQAAAAA=&#10;">
                      <v:fill on="f" focussize="0,0"/>
                      <v:stroke color="#000000" joinstyle="round" dashstyle="dash" endarrow="block"/>
                      <v:imagedata o:title=""/>
                      <o:lock v:ext="edit" aspectratio="f"/>
                    </v:line>
                  </w:pict>
                </mc:Fallback>
              </mc:AlternateContent>
            </w:r>
            <w:r>
              <w:rPr>
                <w:b/>
                <w:color w:val="auto"/>
                <w:sz w:val="44"/>
                <w:szCs w:val="44"/>
              </w:rPr>
              <mc:AlternateContent>
                <mc:Choice Requires="wps">
                  <w:drawing>
                    <wp:anchor distT="0" distB="0" distL="114300" distR="114300" simplePos="0" relativeHeight="251737088" behindDoc="0" locked="0" layoutInCell="1" allowOverlap="1">
                      <wp:simplePos x="0" y="0"/>
                      <wp:positionH relativeFrom="column">
                        <wp:posOffset>889635</wp:posOffset>
                      </wp:positionH>
                      <wp:positionV relativeFrom="paragraph">
                        <wp:posOffset>112395</wp:posOffset>
                      </wp:positionV>
                      <wp:extent cx="227965" cy="3810"/>
                      <wp:effectExtent l="0" t="36830" r="635" b="35560"/>
                      <wp:wrapNone/>
                      <wp:docPr id="95" name="直接箭头连接符 95"/>
                      <wp:cNvGraphicFramePr/>
                      <a:graphic xmlns:a="http://schemas.openxmlformats.org/drawingml/2006/main">
                        <a:graphicData uri="http://schemas.microsoft.com/office/word/2010/wordprocessingShape">
                          <wps:wsp>
                            <wps:cNvCnPr/>
                            <wps:spPr>
                              <a:xfrm flipH="1" flipV="1">
                                <a:off x="0" y="0"/>
                                <a:ext cx="227965" cy="3810"/>
                              </a:xfrm>
                              <a:prstGeom prst="straightConnector1">
                                <a:avLst/>
                              </a:prstGeom>
                              <a:ln w="9525" cap="flat" cmpd="sng">
                                <a:solidFill>
                                  <a:srgbClr val="000000"/>
                                </a:solidFill>
                                <a:prstDash val="dash"/>
                                <a:headEnd type="none" w="med" len="med"/>
                                <a:tailEnd type="triangle" w="med" len="med"/>
                              </a:ln>
                              <a:effectLst/>
                            </wps:spPr>
                            <wps:bodyPr/>
                          </wps:wsp>
                        </a:graphicData>
                      </a:graphic>
                    </wp:anchor>
                  </w:drawing>
                </mc:Choice>
                <mc:Fallback>
                  <w:pict>
                    <v:shape id="_x0000_s1026" o:spid="_x0000_s1026" o:spt="32" type="#_x0000_t32" style="position:absolute;left:0pt;flip:x y;margin-left:70.05pt;margin-top:8.85pt;height:0.3pt;width:17.95pt;z-index:251737088;mso-width-relative:page;mso-height-relative:page;" filled="f" stroked="t" coordsize="21600,21600" o:gfxdata="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YqzSs2AAAAAkBAAAP&#10;AAAAAAAAAAEAIAAAACIAAABkcnMvZG93bnJldi54bWxQSwECFAAUAAAACACHTuJA1iiWqBgCAAAV&#10;BAAADgAAAAAAAAABACAAAAAnAQAAZHJzL2Uyb0RvYy54bWxQSwUGAAAAAAYABgBZAQAAsQUAAAAA&#10;">
                      <v:fill on="f" focussize="0,0"/>
                      <v:stroke color="#000000" joinstyle="round" dashstyle="dash" endarrow="block"/>
                      <v:imagedata o:title=""/>
                      <o:lock v:ext="edit" aspectratio="f"/>
                    </v:shape>
                  </w:pict>
                </mc:Fallback>
              </mc:AlternateContent>
            </w:r>
            <w:r>
              <w:rPr>
                <w:rFonts w:ascii="Times New Roman" w:hAnsi="Times New Roman" w:cs="Times New Roman"/>
                <w:color w:val="auto"/>
              </w:rPr>
              <mc:AlternateContent>
                <mc:Choice Requires="wps">
                  <w:drawing>
                    <wp:anchor distT="0" distB="0" distL="114300" distR="114300" simplePos="0" relativeHeight="251681792" behindDoc="0" locked="0" layoutInCell="1" allowOverlap="1">
                      <wp:simplePos x="0" y="0"/>
                      <wp:positionH relativeFrom="column">
                        <wp:posOffset>2251075</wp:posOffset>
                      </wp:positionH>
                      <wp:positionV relativeFrom="paragraph">
                        <wp:posOffset>68580</wp:posOffset>
                      </wp:positionV>
                      <wp:extent cx="468630" cy="283210"/>
                      <wp:effectExtent l="0" t="0" r="7620" b="2540"/>
                      <wp:wrapNone/>
                      <wp:docPr id="42" name="文本框 42"/>
                      <wp:cNvGraphicFramePr/>
                      <a:graphic xmlns:a="http://schemas.openxmlformats.org/drawingml/2006/main">
                        <a:graphicData uri="http://schemas.microsoft.com/office/word/2010/wordprocessingShape">
                          <wps:wsp>
                            <wps:cNvSpPr txBox="1"/>
                            <wps:spPr>
                              <a:xfrm>
                                <a:off x="0" y="0"/>
                                <a:ext cx="468630" cy="283210"/>
                              </a:xfrm>
                              <a:prstGeom prst="rect">
                                <a:avLst/>
                              </a:prstGeom>
                              <a:solidFill>
                                <a:srgbClr val="FFFFFF"/>
                              </a:solidFill>
                              <a:ln w="9525" cap="flat" cmpd="sng">
                                <a:noFill/>
                                <a:prstDash val="solid"/>
                                <a:miter/>
                                <a:headEnd type="none" w="med" len="med"/>
                                <a:tailEnd type="none" w="med" len="med"/>
                              </a:ln>
                              <a:effectLst/>
                            </wps:spPr>
                            <wps:txbx>
                              <w:txbxContent>
                                <w:p>
                                  <w:r>
                                    <w:rPr>
                                      <w:rFonts w:hint="eastAsia"/>
                                    </w:rPr>
                                    <w:t>离开</w:t>
                                  </w:r>
                                </w:p>
                              </w:txbxContent>
                            </wps:txbx>
                            <wps:bodyPr upright="1"/>
                          </wps:wsp>
                        </a:graphicData>
                      </a:graphic>
                    </wp:anchor>
                  </w:drawing>
                </mc:Choice>
                <mc:Fallback>
                  <w:pict>
                    <v:shape id="_x0000_s1026" o:spid="_x0000_s1026" o:spt="202" type="#_x0000_t202" style="position:absolute;left:0pt;margin-left:177.25pt;margin-top:5.4pt;height:22.3pt;width:36.9pt;z-index:251681792;mso-width-relative:page;mso-height-relative:page;" fillcolor="#FFFFFF" filled="t" stroked="f" coordsize="21600,21600" o:gfxdata="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M4rYL1wAAAAkBAAAPAAAAAAAAAAEAIAAA&#10;ACIAAABkcnMvZG93bnJldi54bWxQSwECFAAUAAAACACHTuJAKsN4yg0CAAAcBAAADgAAAAAAAAAB&#10;ACAAAAAmAQAAZHJzL2Uyb0RvYy54bWxQSwUGAAAAAAYABgBZAQAApQUAAAAA&#10;">
                      <v:fill on="t" focussize="0,0"/>
                      <v:stroke on="f" joinstyle="miter"/>
                      <v:imagedata o:title=""/>
                      <o:lock v:ext="edit" aspectratio="f"/>
                      <v:textbox>
                        <w:txbxContent>
                          <w:p>
                            <w:r>
                              <w:rPr>
                                <w:rFonts w:hint="eastAsia"/>
                              </w:rPr>
                              <w:t>离开</w:t>
                            </w:r>
                          </w:p>
                        </w:txbxContent>
                      </v:textbox>
                    </v:shape>
                  </w:pict>
                </mc:Fallback>
              </mc:AlternateContent>
            </w:r>
          </w:p>
          <w:p>
            <w:pPr>
              <w:rPr>
                <w:color w:val="auto"/>
              </w:rPr>
            </w:pPr>
            <w:r>
              <w:rPr>
                <w:b/>
                <w:color w:val="auto"/>
                <w:sz w:val="28"/>
                <w:szCs w:val="28"/>
              </w:rPr>
              <mc:AlternateContent>
                <mc:Choice Requires="wps">
                  <w:drawing>
                    <wp:anchor distT="0" distB="0" distL="114300" distR="114300" simplePos="0" relativeHeight="251744256" behindDoc="0" locked="0" layoutInCell="1" allowOverlap="1">
                      <wp:simplePos x="0" y="0"/>
                      <wp:positionH relativeFrom="column">
                        <wp:posOffset>4285615</wp:posOffset>
                      </wp:positionH>
                      <wp:positionV relativeFrom="paragraph">
                        <wp:posOffset>75565</wp:posOffset>
                      </wp:positionV>
                      <wp:extent cx="620395" cy="468630"/>
                      <wp:effectExtent l="0" t="0" r="8255" b="7620"/>
                      <wp:wrapNone/>
                      <wp:docPr id="98" name="矩形 98"/>
                      <wp:cNvGraphicFramePr/>
                      <a:graphic xmlns:a="http://schemas.openxmlformats.org/drawingml/2006/main">
                        <a:graphicData uri="http://schemas.microsoft.com/office/word/2010/wordprocessingShape">
                          <wps:wsp>
                            <wps:cNvSpPr/>
                            <wps:spPr>
                              <a:xfrm>
                                <a:off x="0" y="0"/>
                                <a:ext cx="620395" cy="468630"/>
                              </a:xfrm>
                              <a:prstGeom prst="rect">
                                <a:avLst/>
                              </a:prstGeom>
                              <a:solidFill>
                                <a:srgbClr val="FFFFFF"/>
                              </a:solidFill>
                              <a:ln>
                                <a:noFill/>
                              </a:ln>
                              <a:effectLst/>
                            </wps:spPr>
                            <wps:txbx>
                              <w:txbxContent>
                                <w:p>
                                  <w:pPr>
                                    <w:rPr>
                                      <w:rFonts w:ascii="宋体" w:hAnsi="宋体" w:cs="宋体"/>
                                    </w:rPr>
                                  </w:pPr>
                                  <w:r>
                                    <w:rPr>
                                      <w:rFonts w:hint="eastAsia" w:ascii="宋体" w:hAnsi="宋体" w:cs="宋体"/>
                                    </w:rPr>
                                    <w:t>城镇污</w:t>
                                  </w:r>
                                </w:p>
                                <w:p>
                                  <w:pPr>
                                    <w:rPr>
                                      <w:rFonts w:ascii="宋体" w:hAnsi="宋体" w:cs="宋体"/>
                                    </w:rPr>
                                  </w:pPr>
                                  <w:r>
                                    <w:rPr>
                                      <w:rFonts w:hint="eastAsia" w:ascii="宋体" w:hAnsi="宋体" w:cs="宋体"/>
                                    </w:rPr>
                                    <w:t>水管网</w:t>
                                  </w:r>
                                </w:p>
                              </w:txbxContent>
                            </wps:txbx>
                            <wps:bodyPr upright="1"/>
                          </wps:wsp>
                        </a:graphicData>
                      </a:graphic>
                    </wp:anchor>
                  </w:drawing>
                </mc:Choice>
                <mc:Fallback>
                  <w:pict>
                    <v:rect id="_x0000_s1026" o:spid="_x0000_s1026" o:spt="1" style="position:absolute;left:0pt;margin-left:337.45pt;margin-top:5.95pt;height:36.9pt;width:48.85pt;z-index:251744256;mso-width-relative:page;mso-height-relative:page;" fillcolor="#FFFFFF" filled="t" stroked="f" coordsize="21600,21600" o:gfxdata="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cBMcdNgAAAAJAQAADwAAAAAAAAABACAAAAAiAAAAZHJzL2Rvd25yZXYueG1sUEsB&#10;AhQAFAAAAAgAh07iQAgHScu8AQAAeQMAAA4AAAAAAAAAAQAgAAAAJwEAAGRycy9lMm9Eb2MueG1s&#10;UEsFBgAAAAAGAAYAWQEAAFUFAAAAAA==&#10;">
                      <v:fill on="t" focussize="0,0"/>
                      <v:stroke on="f"/>
                      <v:imagedata o:title=""/>
                      <o:lock v:ext="edit" aspectratio="f"/>
                      <v:textbox>
                        <w:txbxContent>
                          <w:p>
                            <w:pPr>
                              <w:rPr>
                                <w:rFonts w:ascii="宋体" w:hAnsi="宋体" w:cs="宋体"/>
                              </w:rPr>
                            </w:pPr>
                            <w:r>
                              <w:rPr>
                                <w:rFonts w:hint="eastAsia" w:ascii="宋体" w:hAnsi="宋体" w:cs="宋体"/>
                              </w:rPr>
                              <w:t>城镇污</w:t>
                            </w:r>
                          </w:p>
                          <w:p>
                            <w:pPr>
                              <w:rPr>
                                <w:rFonts w:ascii="宋体" w:hAnsi="宋体" w:cs="宋体"/>
                              </w:rPr>
                            </w:pPr>
                            <w:r>
                              <w:rPr>
                                <w:rFonts w:hint="eastAsia" w:ascii="宋体" w:hAnsi="宋体" w:cs="宋体"/>
                              </w:rPr>
                              <w:t>水管网</w:t>
                            </w:r>
                          </w:p>
                        </w:txbxContent>
                      </v:textbox>
                    </v:rect>
                  </w:pict>
                </mc:Fallback>
              </mc:AlternateContent>
            </w:r>
          </w:p>
          <w:p>
            <w:pPr>
              <w:pStyle w:val="7"/>
              <w:rPr>
                <w:color w:val="auto"/>
              </w:rPr>
            </w:pPr>
            <w:r>
              <w:rPr>
                <w:b/>
                <w:color w:val="auto"/>
                <w:sz w:val="28"/>
                <w:szCs w:val="28"/>
              </w:rPr>
              <mc:AlternateContent>
                <mc:Choice Requires="wps">
                  <w:drawing>
                    <wp:anchor distT="0" distB="0" distL="114300" distR="114300" simplePos="0" relativeHeight="251738112" behindDoc="0" locked="0" layoutInCell="1" allowOverlap="1">
                      <wp:simplePos x="0" y="0"/>
                      <wp:positionH relativeFrom="column">
                        <wp:posOffset>443865</wp:posOffset>
                      </wp:positionH>
                      <wp:positionV relativeFrom="paragraph">
                        <wp:posOffset>81280</wp:posOffset>
                      </wp:positionV>
                      <wp:extent cx="861695" cy="1183005"/>
                      <wp:effectExtent l="0" t="0" r="14605" b="17145"/>
                      <wp:wrapNone/>
                      <wp:docPr id="96" name="矩形 96"/>
                      <wp:cNvGraphicFramePr/>
                      <a:graphic xmlns:a="http://schemas.openxmlformats.org/drawingml/2006/main">
                        <a:graphicData uri="http://schemas.microsoft.com/office/word/2010/wordprocessingShape">
                          <wps:wsp>
                            <wps:cNvSpPr/>
                            <wps:spPr>
                              <a:xfrm>
                                <a:off x="0" y="0"/>
                                <a:ext cx="861695" cy="1183005"/>
                              </a:xfrm>
                              <a:prstGeom prst="rect">
                                <a:avLst/>
                              </a:prstGeom>
                              <a:solidFill>
                                <a:srgbClr val="FFFFFF"/>
                              </a:solidFill>
                              <a:ln>
                                <a:noFill/>
                              </a:ln>
                              <a:effectLst/>
                            </wps:spPr>
                            <wps:txbx>
                              <w:txbxContent>
                                <w:p>
                                  <w:pPr>
                                    <w:rPr>
                                      <w:rFonts w:ascii="宋体" w:hAnsi="宋体" w:cs="宋体"/>
                                    </w:rPr>
                                  </w:pPr>
                                  <w:r>
                                    <w:rPr>
                                      <w:szCs w:val="21"/>
                                      <w:lang w:val="zh-CN"/>
                                    </w:rPr>
                                    <w:t>集中收集于医疗垃圾暂存区，定期委托</w:t>
                                  </w:r>
                                  <w:r>
                                    <w:rPr>
                                      <w:rFonts w:hint="eastAsia"/>
                                      <w:szCs w:val="21"/>
                                      <w:lang w:val="zh-CN"/>
                                    </w:rPr>
                                    <w:t>有资质单位</w:t>
                                  </w:r>
                                  <w:r>
                                    <w:rPr>
                                      <w:szCs w:val="21"/>
                                      <w:lang w:val="zh-CN"/>
                                    </w:rPr>
                                    <w:t>进行清运处理</w:t>
                                  </w:r>
                                </w:p>
                              </w:txbxContent>
                            </wps:txbx>
                            <wps:bodyPr upright="1"/>
                          </wps:wsp>
                        </a:graphicData>
                      </a:graphic>
                    </wp:anchor>
                  </w:drawing>
                </mc:Choice>
                <mc:Fallback>
                  <w:pict>
                    <v:rect id="_x0000_s1026" o:spid="_x0000_s1026" o:spt="1" style="position:absolute;left:0pt;margin-left:34.95pt;margin-top:6.4pt;height:93.15pt;width:67.85pt;z-index:251738112;mso-width-relative:page;mso-height-relative:page;" fillcolor="#FFFFFF" filled="t" stroked="f" coordsize="21600,21600" o:gfxdata="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ZVH27WAAAACQEAAA8AAAAAAAAAAQAgAAAAIgAAAGRycy9kb3ducmV2LnhtbFBLAQIU&#10;ABQAAAAIAIdO4kCAiAFLvAEAAHoDAAAOAAAAAAAAAAEAIAAAACUBAABkcnMvZTJvRG9jLnhtbFBL&#10;BQYAAAAABgAGAFkBAABTBQAAAAA=&#10;">
                      <v:fill on="t" focussize="0,0"/>
                      <v:stroke on="f"/>
                      <v:imagedata o:title=""/>
                      <o:lock v:ext="edit" aspectratio="f"/>
                      <v:textbox>
                        <w:txbxContent>
                          <w:p>
                            <w:pPr>
                              <w:rPr>
                                <w:rFonts w:ascii="宋体" w:hAnsi="宋体" w:cs="宋体"/>
                              </w:rPr>
                            </w:pPr>
                            <w:r>
                              <w:rPr>
                                <w:szCs w:val="21"/>
                                <w:lang w:val="zh-CN"/>
                              </w:rPr>
                              <w:t>集中收集于医疗垃圾暂存区，定期委托</w:t>
                            </w:r>
                            <w:r>
                              <w:rPr>
                                <w:rFonts w:hint="eastAsia"/>
                                <w:szCs w:val="21"/>
                                <w:lang w:val="zh-CN"/>
                              </w:rPr>
                              <w:t>有资质单位</w:t>
                            </w:r>
                            <w:r>
                              <w:rPr>
                                <w:szCs w:val="21"/>
                                <w:lang w:val="zh-CN"/>
                              </w:rPr>
                              <w:t>进行清运处理</w:t>
                            </w:r>
                          </w:p>
                        </w:txbxContent>
                      </v:textbox>
                    </v:rect>
                  </w:pict>
                </mc:Fallback>
              </mc:AlternateContent>
            </w:r>
          </w:p>
          <w:p>
            <w:pPr>
              <w:pStyle w:val="9"/>
              <w:rPr>
                <w:color w:val="auto"/>
              </w:rPr>
            </w:pPr>
          </w:p>
          <w:p>
            <w:pPr>
              <w:pStyle w:val="9"/>
              <w:rPr>
                <w:color w:val="auto"/>
              </w:rPr>
            </w:pPr>
          </w:p>
          <w:p>
            <w:pPr>
              <w:pStyle w:val="9"/>
              <w:rPr>
                <w:color w:val="auto"/>
              </w:rPr>
            </w:pPr>
          </w:p>
          <w:p>
            <w:pPr>
              <w:pStyle w:val="9"/>
              <w:rPr>
                <w:color w:val="auto"/>
              </w:rPr>
            </w:pPr>
            <w:r>
              <w:rPr>
                <w:color w:val="auto"/>
                <w:sz w:val="21"/>
              </w:rPr>
              <mc:AlternateContent>
                <mc:Choice Requires="wps">
                  <w:drawing>
                    <wp:anchor distT="0" distB="0" distL="114300" distR="114300" simplePos="0" relativeHeight="251662336" behindDoc="0" locked="0" layoutInCell="1" allowOverlap="1">
                      <wp:simplePos x="0" y="0"/>
                      <wp:positionH relativeFrom="column">
                        <wp:posOffset>256540</wp:posOffset>
                      </wp:positionH>
                      <wp:positionV relativeFrom="paragraph">
                        <wp:posOffset>271145</wp:posOffset>
                      </wp:positionV>
                      <wp:extent cx="4435475" cy="276860"/>
                      <wp:effectExtent l="0" t="0" r="3175" b="8890"/>
                      <wp:wrapNone/>
                      <wp:docPr id="79" name="文本框 79"/>
                      <wp:cNvGraphicFramePr/>
                      <a:graphic xmlns:a="http://schemas.openxmlformats.org/drawingml/2006/main">
                        <a:graphicData uri="http://schemas.microsoft.com/office/word/2010/wordprocessingShape">
                          <wps:wsp>
                            <wps:cNvSpPr txBox="1"/>
                            <wps:spPr>
                              <a:xfrm>
                                <a:off x="0" y="0"/>
                                <a:ext cx="4435475" cy="276860"/>
                              </a:xfrm>
                              <a:prstGeom prst="rect">
                                <a:avLst/>
                              </a:prstGeom>
                              <a:solidFill>
                                <a:srgbClr val="FFFFFF"/>
                              </a:solidFill>
                              <a:ln>
                                <a:noFill/>
                              </a:ln>
                              <a:effectLst/>
                            </wps:spPr>
                            <wps:txbx>
                              <w:txbxContent>
                                <w:p>
                                  <w:pPr>
                                    <w:jc w:val="center"/>
                                    <w:rPr>
                                      <w:rFonts w:hint="eastAsia" w:ascii="Times New Roman" w:hAnsi="Times New Roman" w:eastAsia="宋体" w:cs="Times New Roman"/>
                                      <w:b/>
                                      <w:color w:val="000000"/>
                                    </w:rPr>
                                  </w:pPr>
                                  <w:r>
                                    <w:rPr>
                                      <w:rFonts w:hint="eastAsia" w:ascii="Times New Roman" w:hAnsi="Times New Roman" w:eastAsia="宋体" w:cs="Times New Roman"/>
                                      <w:b/>
                                      <w:color w:val="000000"/>
                                    </w:rPr>
                                    <w:t>图2-</w:t>
                                  </w:r>
                                  <w:r>
                                    <w:rPr>
                                      <w:rFonts w:hint="eastAsia" w:ascii="Times New Roman" w:hAnsi="Times New Roman" w:eastAsia="宋体" w:cs="Times New Roman"/>
                                      <w:b/>
                                      <w:color w:val="000000"/>
                                      <w:lang w:val="en-US" w:eastAsia="zh-CN"/>
                                    </w:rPr>
                                    <w:t>3</w:t>
                                  </w:r>
                                  <w:r>
                                    <w:rPr>
                                      <w:rFonts w:hint="eastAsia" w:ascii="Times New Roman" w:hAnsi="Times New Roman" w:eastAsia="宋体" w:cs="Times New Roman"/>
                                      <w:b/>
                                      <w:color w:val="000000"/>
                                    </w:rPr>
                                    <w:t xml:space="preserve">  项目运营期宠物医疗工艺流程及产污环节图</w:t>
                                  </w:r>
                                </w:p>
                                <w:p>
                                  <w:pPr>
                                    <w:pStyle w:val="9"/>
                                    <w:ind w:right="130"/>
                                    <w:jc w:val="center"/>
                                    <w:rPr>
                                      <w:b/>
                                      <w:color w:val="000000"/>
                                    </w:rPr>
                                  </w:pPr>
                                </w:p>
                                <w:p/>
                              </w:txbxContent>
                            </wps:txbx>
                            <wps:bodyPr upright="1"/>
                          </wps:wsp>
                        </a:graphicData>
                      </a:graphic>
                    </wp:anchor>
                  </w:drawing>
                </mc:Choice>
                <mc:Fallback>
                  <w:pict>
                    <v:shape id="_x0000_s1026" o:spid="_x0000_s1026" o:spt="202" type="#_x0000_t202" style="position:absolute;left:0pt;margin-left:20.2pt;margin-top:21.35pt;height:21.8pt;width:349.25pt;z-index:251662336;mso-width-relative:page;mso-height-relative:page;" fillcolor="#FFFFFF" filled="t" stroked="f" coordsize="21600,21600" o:gfxdata="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mLlnr1wAAAAgBAAAPAAAAAAAAAAEAIAAAACIAAABkcnMv&#10;ZG93bnJldi54bWxQSwECFAAUAAAACACHTuJAmdYA98sBAACHAwAADgAAAAAAAAABACAAAAAmAQAA&#10;ZHJzL2Uyb0RvYy54bWxQSwUGAAAAAAYABgBZAQAAYwUAAAAA&#10;">
                      <v:fill on="t" focussize="0,0"/>
                      <v:stroke on="f"/>
                      <v:imagedata o:title=""/>
                      <o:lock v:ext="edit" aspectratio="f"/>
                      <v:textbox>
                        <w:txbxContent>
                          <w:p>
                            <w:pPr>
                              <w:jc w:val="center"/>
                              <w:rPr>
                                <w:rFonts w:hint="eastAsia" w:ascii="Times New Roman" w:hAnsi="Times New Roman" w:eastAsia="宋体" w:cs="Times New Roman"/>
                                <w:b/>
                                <w:color w:val="000000"/>
                              </w:rPr>
                            </w:pPr>
                            <w:r>
                              <w:rPr>
                                <w:rFonts w:hint="eastAsia" w:ascii="Times New Roman" w:hAnsi="Times New Roman" w:eastAsia="宋体" w:cs="Times New Roman"/>
                                <w:b/>
                                <w:color w:val="000000"/>
                              </w:rPr>
                              <w:t>图2-</w:t>
                            </w:r>
                            <w:r>
                              <w:rPr>
                                <w:rFonts w:hint="eastAsia" w:ascii="Times New Roman" w:hAnsi="Times New Roman" w:eastAsia="宋体" w:cs="Times New Roman"/>
                                <w:b/>
                                <w:color w:val="000000"/>
                                <w:lang w:val="en-US" w:eastAsia="zh-CN"/>
                              </w:rPr>
                              <w:t>3</w:t>
                            </w:r>
                            <w:r>
                              <w:rPr>
                                <w:rFonts w:hint="eastAsia" w:ascii="Times New Roman" w:hAnsi="Times New Roman" w:eastAsia="宋体" w:cs="Times New Roman"/>
                                <w:b/>
                                <w:color w:val="000000"/>
                              </w:rPr>
                              <w:t xml:space="preserve">  项目运营期宠物医疗工艺流程及产污环节图</w:t>
                            </w:r>
                          </w:p>
                          <w:p>
                            <w:pPr>
                              <w:pStyle w:val="9"/>
                              <w:ind w:right="130"/>
                              <w:jc w:val="center"/>
                              <w:rPr>
                                <w:b/>
                                <w:color w:val="000000"/>
                              </w:rPr>
                            </w:pPr>
                          </w:p>
                          <w:p/>
                        </w:txbxContent>
                      </v:textbox>
                    </v:shape>
                  </w:pict>
                </mc:Fallback>
              </mc:AlternateContent>
            </w:r>
          </w:p>
          <w:p>
            <w:pPr>
              <w:spacing w:line="360" w:lineRule="auto"/>
              <w:rPr>
                <w:color w:val="auto"/>
              </w:rPr>
            </w:pPr>
          </w:p>
          <w:p>
            <w:pPr>
              <w:spacing w:line="360" w:lineRule="auto"/>
              <w:ind w:firstLine="420" w:firstLineChars="200"/>
              <w:rPr>
                <w:color w:val="auto"/>
              </w:rPr>
            </w:pPr>
          </w:p>
          <w:p>
            <w:pPr>
              <w:spacing w:line="360" w:lineRule="auto"/>
              <w:ind w:firstLine="420" w:firstLineChars="200"/>
              <w:rPr>
                <w:color w:val="auto"/>
              </w:rPr>
            </w:pPr>
            <w:r>
              <w:rPr>
                <w:rFonts w:hint="eastAsia"/>
                <w:color w:val="auto"/>
              </w:rPr>
              <w:t>（</w:t>
            </w:r>
            <w:r>
              <w:rPr>
                <w:rFonts w:hint="eastAsia"/>
                <w:color w:val="auto"/>
                <w:lang w:val="en-US" w:eastAsia="zh-CN"/>
              </w:rPr>
              <w:t>1</w:t>
            </w:r>
            <w:r>
              <w:rPr>
                <w:rFonts w:hint="eastAsia"/>
                <w:color w:val="auto"/>
              </w:rPr>
              <w:t xml:space="preserve">）各科室进行诊断流程简述： </w:t>
            </w:r>
          </w:p>
          <w:p>
            <w:pPr>
              <w:spacing w:line="360" w:lineRule="auto"/>
              <w:ind w:firstLine="420" w:firstLineChars="200"/>
              <w:rPr>
                <w:color w:val="auto"/>
              </w:rPr>
            </w:pPr>
            <w:r>
              <w:rPr>
                <w:rFonts w:hint="eastAsia"/>
                <w:color w:val="auto"/>
              </w:rPr>
              <w:t xml:space="preserve">诊疗室：主要对宠物进行常见疾病的治疗，产生的污染物主要为棉球、药品等医疗废物和诊断过程产生的医疗废水。 </w:t>
            </w:r>
          </w:p>
          <w:p>
            <w:pPr>
              <w:spacing w:line="360" w:lineRule="auto"/>
              <w:ind w:firstLine="420" w:firstLineChars="200"/>
              <w:rPr>
                <w:color w:val="auto"/>
              </w:rPr>
            </w:pPr>
            <w:r>
              <w:rPr>
                <w:rFonts w:hint="eastAsia"/>
                <w:color w:val="auto"/>
              </w:rPr>
              <w:t>化验室：主要为宠物进行血常规、尿常规检查，采用成品试剂检验盒，产生的污染物主要为带有宠物血液的棉球、试管</w:t>
            </w:r>
            <w:r>
              <w:rPr>
                <w:rFonts w:hint="eastAsia"/>
                <w:color w:val="auto"/>
                <w:lang w:eastAsia="zh-CN"/>
              </w:rPr>
              <w:t>、废</w:t>
            </w:r>
            <w:r>
              <w:rPr>
                <w:rFonts w:hint="eastAsia"/>
                <w:color w:val="auto"/>
              </w:rPr>
              <w:t xml:space="preserve">试剂检验盒等。 </w:t>
            </w:r>
          </w:p>
          <w:p>
            <w:pPr>
              <w:spacing w:line="360" w:lineRule="auto"/>
              <w:ind w:firstLine="420" w:firstLineChars="200"/>
              <w:rPr>
                <w:color w:val="auto"/>
              </w:rPr>
            </w:pPr>
            <w:r>
              <w:rPr>
                <w:rFonts w:hint="eastAsia"/>
                <w:color w:val="auto"/>
              </w:rPr>
              <w:t>手术室：主要开展宠物常规骨科手术和绝育手术等，产生的污染物产生的污染物主要为宠物病理组织、棉球、纱布等医疗废物和手术过程产生的医疗废水。</w:t>
            </w:r>
          </w:p>
          <w:p>
            <w:pPr>
              <w:spacing w:line="360" w:lineRule="auto"/>
              <w:ind w:firstLine="210" w:firstLineChars="100"/>
              <w:rPr>
                <w:color w:val="auto"/>
              </w:rPr>
            </w:pPr>
          </w:p>
          <w:p>
            <w:pPr>
              <w:spacing w:line="360" w:lineRule="auto"/>
              <w:rPr>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448" w:hRule="atLeast"/>
          <w:jc w:val="center"/>
        </w:trPr>
        <w:tc>
          <w:tcPr>
            <w:tcW w:w="823" w:type="dxa"/>
            <w:noWrap/>
            <w:vAlign w:val="center"/>
          </w:tcPr>
          <w:p>
            <w:pPr>
              <w:pStyle w:val="19"/>
              <w:adjustRightInd w:val="0"/>
              <w:snapToGrid w:val="0"/>
              <w:spacing w:before="0" w:beforeAutospacing="0" w:after="0" w:afterAutospacing="0"/>
              <w:jc w:val="center"/>
              <w:rPr>
                <w:rFonts w:ascii="Times New Roman" w:hAnsi="Times New Roman"/>
                <w:color w:val="auto"/>
                <w:sz w:val="21"/>
                <w:szCs w:val="21"/>
              </w:rPr>
            </w:pPr>
            <w:r>
              <w:rPr>
                <w:rFonts w:ascii="Times New Roman" w:hAnsi="Times New Roman"/>
                <w:bCs/>
                <w:color w:val="auto"/>
                <w:kern w:val="2"/>
                <w:sz w:val="21"/>
                <w:szCs w:val="21"/>
              </w:rPr>
              <w:t>与项目有关的原有环境污染问题</w:t>
            </w:r>
          </w:p>
        </w:tc>
        <w:tc>
          <w:tcPr>
            <w:tcW w:w="8161" w:type="dxa"/>
            <w:noWrap/>
          </w:tcPr>
          <w:p>
            <w:pPr>
              <w:tabs>
                <w:tab w:val="left" w:pos="8190"/>
              </w:tabs>
              <w:spacing w:line="360" w:lineRule="auto"/>
              <w:rPr>
                <w:rFonts w:hint="eastAsia" w:eastAsia="宋体"/>
                <w:color w:val="auto"/>
                <w:sz w:val="21"/>
                <w:szCs w:val="21"/>
                <w:lang w:val="en-US" w:eastAsia="zh-CN"/>
              </w:rPr>
            </w:pPr>
            <w:r>
              <w:rPr>
                <w:rFonts w:hint="default" w:ascii="Times New Roman" w:hAnsi="Times New Roman" w:eastAsia="宋体" w:cs="Times New Roman"/>
                <w:b/>
                <w:bCs/>
                <w:color w:val="auto"/>
                <w:sz w:val="21"/>
                <w:szCs w:val="21"/>
                <w:lang w:val="en-US" w:eastAsia="zh-CN"/>
              </w:rPr>
              <w:t xml:space="preserve">  </w:t>
            </w:r>
            <w:r>
              <w:rPr>
                <w:rFonts w:hint="eastAsia"/>
                <w:color w:val="auto"/>
              </w:rPr>
              <w:t>项目为新建项目，无原有环境问题</w:t>
            </w:r>
            <w:r>
              <w:rPr>
                <w:rFonts w:hint="eastAsia"/>
                <w:color w:val="auto"/>
                <w:lang w:eastAsia="zh-CN"/>
              </w:rPr>
              <w:t>。</w:t>
            </w:r>
          </w:p>
          <w:p>
            <w:pPr>
              <w:spacing w:line="360" w:lineRule="auto"/>
              <w:rPr>
                <w:rFonts w:ascii="Times New Roman" w:hAnsi="Times New Roman" w:cs="Times New Roman"/>
                <w:b/>
                <w:bCs/>
                <w:color w:val="auto"/>
                <w:kern w:val="2"/>
                <w:sz w:val="21"/>
                <w:szCs w:val="21"/>
              </w:rPr>
            </w:pPr>
          </w:p>
          <w:p>
            <w:pPr>
              <w:spacing w:line="360" w:lineRule="auto"/>
              <w:rPr>
                <w:color w:val="auto"/>
                <w:szCs w:val="21"/>
              </w:rPr>
            </w:pPr>
          </w:p>
          <w:p>
            <w:pPr>
              <w:pStyle w:val="31"/>
              <w:wordWrap w:val="0"/>
              <w:topLinePunct/>
              <w:autoSpaceDE/>
              <w:autoSpaceDN/>
              <w:spacing w:line="360" w:lineRule="auto"/>
              <w:ind w:firstLine="482"/>
              <w:rPr>
                <w:rFonts w:ascii="Times New Roman" w:hAnsi="Times New Roman" w:cs="Times New Roman"/>
                <w:color w:val="auto"/>
                <w:sz w:val="21"/>
                <w:szCs w:val="21"/>
              </w:rPr>
            </w:pPr>
          </w:p>
          <w:p>
            <w:pPr>
              <w:spacing w:line="360" w:lineRule="auto"/>
              <w:ind w:firstLine="420" w:firstLineChars="200"/>
              <w:jc w:val="left"/>
              <w:rPr>
                <w:color w:val="auto"/>
                <w:szCs w:val="21"/>
              </w:rPr>
            </w:pPr>
          </w:p>
        </w:tc>
      </w:tr>
    </w:tbl>
    <w:p>
      <w:pPr>
        <w:pStyle w:val="19"/>
        <w:jc w:val="center"/>
        <w:rPr>
          <w:rFonts w:ascii="Times New Roman" w:hAnsi="Times New Roman" w:eastAsia="黑体"/>
          <w:snapToGrid w:val="0"/>
          <w:color w:val="auto"/>
          <w:sz w:val="36"/>
          <w:szCs w:val="36"/>
        </w:rPr>
        <w:sectPr>
          <w:footerReference r:id="rId7" w:type="default"/>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9"/>
        <w:adjustRightInd w:val="0"/>
        <w:snapToGrid w:val="0"/>
        <w:spacing w:before="0" w:beforeAutospacing="0" w:after="0" w:afterAutospacing="0" w:line="14" w:lineRule="auto"/>
        <w:jc w:val="center"/>
        <w:outlineLvl w:val="0"/>
        <w:rPr>
          <w:rFonts w:ascii="Times New Roman" w:hAnsi="Times New Roman" w:eastAsia="黑体"/>
          <w:snapToGrid w:val="0"/>
          <w:color w:val="auto"/>
          <w:sz w:val="30"/>
          <w:szCs w:val="30"/>
        </w:rPr>
      </w:pPr>
    </w:p>
    <w:p>
      <w:pPr>
        <w:pStyle w:val="19"/>
        <w:jc w:val="center"/>
        <w:outlineLvl w:val="0"/>
        <w:rPr>
          <w:rFonts w:ascii="Times New Roman" w:hAnsi="Times New Roman" w:eastAsia="黑体"/>
          <w:snapToGrid w:val="0"/>
          <w:color w:val="auto"/>
          <w:sz w:val="30"/>
          <w:szCs w:val="30"/>
        </w:rPr>
      </w:pPr>
      <w:r>
        <w:rPr>
          <w:rFonts w:ascii="Times New Roman" w:hAnsi="Times New Roman" w:eastAsia="黑体"/>
          <w:snapToGrid w:val="0"/>
          <w:color w:val="auto"/>
          <w:sz w:val="30"/>
          <w:szCs w:val="30"/>
        </w:rPr>
        <w:t>三、区域环境质量现状、环境保护目标及评价标准</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00"/>
        <w:gridCol w:w="819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800" w:type="dxa"/>
            <w:noWrap/>
            <w:vAlign w:val="center"/>
          </w:tcPr>
          <w:p>
            <w:pPr>
              <w:adjustRightInd w:val="0"/>
              <w:snapToGrid w:val="0"/>
              <w:jc w:val="center"/>
              <w:rPr>
                <w:color w:val="auto"/>
                <w:kern w:val="0"/>
                <w:szCs w:val="21"/>
              </w:rPr>
            </w:pPr>
            <w:r>
              <w:rPr>
                <w:color w:val="auto"/>
                <w:kern w:val="0"/>
                <w:szCs w:val="21"/>
              </w:rPr>
              <w:t>区域</w:t>
            </w:r>
          </w:p>
          <w:p>
            <w:pPr>
              <w:adjustRightInd w:val="0"/>
              <w:snapToGrid w:val="0"/>
              <w:jc w:val="center"/>
              <w:rPr>
                <w:color w:val="auto"/>
                <w:kern w:val="0"/>
                <w:szCs w:val="21"/>
              </w:rPr>
            </w:pPr>
            <w:r>
              <w:rPr>
                <w:color w:val="auto"/>
                <w:kern w:val="0"/>
                <w:szCs w:val="21"/>
              </w:rPr>
              <w:t>环境</w:t>
            </w:r>
          </w:p>
          <w:p>
            <w:pPr>
              <w:adjustRightInd w:val="0"/>
              <w:snapToGrid w:val="0"/>
              <w:jc w:val="center"/>
              <w:rPr>
                <w:color w:val="auto"/>
                <w:kern w:val="0"/>
                <w:szCs w:val="21"/>
              </w:rPr>
            </w:pPr>
            <w:r>
              <w:rPr>
                <w:color w:val="auto"/>
                <w:kern w:val="0"/>
                <w:szCs w:val="21"/>
              </w:rPr>
              <w:t>质量</w:t>
            </w:r>
          </w:p>
          <w:p>
            <w:pPr>
              <w:adjustRightInd w:val="0"/>
              <w:snapToGrid w:val="0"/>
              <w:jc w:val="center"/>
              <w:rPr>
                <w:color w:val="auto"/>
                <w:kern w:val="0"/>
                <w:szCs w:val="21"/>
              </w:rPr>
            </w:pPr>
            <w:r>
              <w:rPr>
                <w:color w:val="auto"/>
                <w:kern w:val="0"/>
                <w:szCs w:val="21"/>
              </w:rPr>
              <w:t>现状</w:t>
            </w:r>
          </w:p>
        </w:tc>
        <w:tc>
          <w:tcPr>
            <w:tcW w:w="8190" w:type="dxa"/>
            <w:noWrap/>
            <w:vAlign w:val="center"/>
          </w:tcPr>
          <w:p>
            <w:pPr>
              <w:pStyle w:val="34"/>
              <w:spacing w:line="360" w:lineRule="auto"/>
              <w:ind w:firstLine="0" w:firstLineChars="0"/>
              <w:outlineLvl w:val="2"/>
              <w:rPr>
                <w:b/>
                <w:color w:val="auto"/>
                <w:sz w:val="24"/>
              </w:rPr>
            </w:pPr>
            <w:r>
              <w:rPr>
                <w:b/>
                <w:color w:val="auto"/>
                <w:sz w:val="24"/>
              </w:rPr>
              <w:t>3.1.1大气环境现状及主要环境问题</w:t>
            </w:r>
          </w:p>
          <w:p>
            <w:pPr>
              <w:widowControl/>
              <w:spacing w:line="360" w:lineRule="auto"/>
              <w:ind w:firstLine="420" w:firstLineChars="200"/>
              <w:rPr>
                <w:color w:val="auto"/>
                <w:szCs w:val="21"/>
              </w:rPr>
            </w:pPr>
            <w:r>
              <w:rPr>
                <w:color w:val="auto"/>
                <w:szCs w:val="21"/>
              </w:rPr>
              <w:t>根据《环境影响评价技术导则大气环境》</w:t>
            </w:r>
            <w:r>
              <w:rPr>
                <w:rFonts w:hint="eastAsia"/>
                <w:color w:val="auto"/>
                <w:szCs w:val="21"/>
              </w:rPr>
              <w:t>（</w:t>
            </w:r>
            <w:r>
              <w:rPr>
                <w:color w:val="auto"/>
                <w:szCs w:val="21"/>
              </w:rPr>
              <w:t>HJ2.2-2018</w:t>
            </w:r>
            <w:r>
              <w:rPr>
                <w:rFonts w:hint="eastAsia"/>
                <w:color w:val="auto"/>
                <w:szCs w:val="21"/>
              </w:rPr>
              <w:t>）</w:t>
            </w:r>
            <w:r>
              <w:rPr>
                <w:color w:val="auto"/>
                <w:szCs w:val="21"/>
              </w:rPr>
              <w:t>，项目所在区域达标情况判定优先采用国家或地方生态环境主管部门公布发布的环境质量公告或环境质量报告中的数据或结论。</w:t>
            </w:r>
          </w:p>
          <w:p>
            <w:pPr>
              <w:widowControl/>
              <w:spacing w:line="360" w:lineRule="auto"/>
              <w:ind w:firstLine="420" w:firstLineChars="200"/>
              <w:rPr>
                <w:rFonts w:hint="eastAsia"/>
                <w:color w:val="auto"/>
                <w:szCs w:val="21"/>
                <w:lang w:eastAsia="zh-CN"/>
              </w:rPr>
            </w:pPr>
            <w:r>
              <w:rPr>
                <w:color w:val="auto"/>
                <w:szCs w:val="21"/>
              </w:rPr>
              <w:t>本项目位于四川省广元市</w:t>
            </w:r>
            <w:r>
              <w:rPr>
                <w:rFonts w:hint="eastAsia"/>
                <w:color w:val="auto"/>
                <w:szCs w:val="21"/>
                <w:lang w:eastAsia="zh-CN"/>
              </w:rPr>
              <w:t>苍溪县陵江镇江南二环路</w:t>
            </w:r>
            <w:r>
              <w:rPr>
                <w:rFonts w:hint="eastAsia"/>
                <w:color w:val="auto"/>
                <w:szCs w:val="21"/>
                <w:lang w:val="en-US" w:eastAsia="zh-CN"/>
              </w:rPr>
              <w:t>1栋1单元1-3号</w:t>
            </w:r>
            <w:r>
              <w:rPr>
                <w:rFonts w:hint="eastAsia"/>
                <w:color w:val="auto"/>
                <w:szCs w:val="21"/>
              </w:rPr>
              <w:t>，</w:t>
            </w:r>
            <w:r>
              <w:rPr>
                <w:rFonts w:hint="eastAsia"/>
                <w:color w:val="auto"/>
                <w:szCs w:val="21"/>
                <w:lang w:eastAsia="zh-CN"/>
              </w:rPr>
              <w:t>本项目采用了苍溪县人民政府</w:t>
            </w:r>
            <w:r>
              <w:rPr>
                <w:rFonts w:hint="eastAsia"/>
                <w:color w:val="auto"/>
                <w:szCs w:val="21"/>
                <w:lang w:val="en-US" w:eastAsia="zh-CN"/>
              </w:rPr>
              <w:t>2022年6月发布的</w:t>
            </w:r>
            <w:r>
              <w:rPr>
                <w:color w:val="auto"/>
                <w:szCs w:val="21"/>
              </w:rPr>
              <w:t>《</w:t>
            </w:r>
            <w:r>
              <w:rPr>
                <w:rFonts w:hint="eastAsia"/>
                <w:color w:val="auto"/>
                <w:szCs w:val="21"/>
                <w:lang w:eastAsia="zh-CN"/>
              </w:rPr>
              <w:t>苍溪县</w:t>
            </w:r>
            <w:r>
              <w:rPr>
                <w:rFonts w:hint="eastAsia"/>
                <w:color w:val="auto"/>
                <w:szCs w:val="21"/>
                <w:lang w:val="en-US" w:eastAsia="zh-CN"/>
              </w:rPr>
              <w:t>2021年度环境状况公报</w:t>
            </w:r>
            <w:r>
              <w:rPr>
                <w:color w:val="auto"/>
                <w:szCs w:val="21"/>
              </w:rPr>
              <w:t>》，</w:t>
            </w:r>
            <w:r>
              <w:rPr>
                <w:rFonts w:hint="eastAsia"/>
                <w:color w:val="auto"/>
                <w:szCs w:val="21"/>
                <w:lang w:eastAsia="zh-CN"/>
              </w:rPr>
              <w:t>作为空气质量达标区的判定依据。</w:t>
            </w:r>
          </w:p>
          <w:p>
            <w:pPr>
              <w:pStyle w:val="2"/>
              <w:adjustRightInd w:val="0"/>
              <w:snapToGrid w:val="0"/>
              <w:ind w:firstLine="0"/>
              <w:jc w:val="center"/>
              <w:rPr>
                <w:rFonts w:hint="default" w:eastAsia="宋体"/>
                <w:color w:val="auto"/>
                <w:lang w:val="en-US" w:eastAsia="zh-CN"/>
              </w:rPr>
            </w:pPr>
            <w:r>
              <w:rPr>
                <w:rFonts w:eastAsia="宋体"/>
                <w:b/>
                <w:bCs/>
                <w:color w:val="auto"/>
                <w:sz w:val="18"/>
                <w:szCs w:val="18"/>
              </w:rPr>
              <w:t>表3-</w:t>
            </w:r>
            <w:r>
              <w:rPr>
                <w:rFonts w:hint="eastAsia" w:eastAsia="宋体"/>
                <w:b/>
                <w:bCs/>
                <w:color w:val="auto"/>
                <w:sz w:val="18"/>
                <w:szCs w:val="18"/>
              </w:rPr>
              <w:t>1</w:t>
            </w:r>
            <w:r>
              <w:rPr>
                <w:rFonts w:eastAsia="宋体"/>
                <w:b/>
                <w:bCs/>
                <w:color w:val="auto"/>
                <w:sz w:val="18"/>
                <w:szCs w:val="18"/>
              </w:rPr>
              <w:t xml:space="preserve"> </w:t>
            </w:r>
            <w:r>
              <w:rPr>
                <w:rFonts w:hint="eastAsia" w:eastAsia="宋体"/>
                <w:b/>
                <w:bCs/>
                <w:color w:val="auto"/>
                <w:sz w:val="18"/>
                <w:szCs w:val="18"/>
                <w:lang w:eastAsia="zh-CN"/>
              </w:rPr>
              <w:t>苍溪县</w:t>
            </w:r>
            <w:r>
              <w:rPr>
                <w:rFonts w:hint="eastAsia" w:eastAsia="宋体"/>
                <w:b/>
                <w:bCs/>
                <w:color w:val="auto"/>
                <w:sz w:val="18"/>
                <w:szCs w:val="18"/>
                <w:lang w:val="en-US" w:eastAsia="zh-CN"/>
              </w:rPr>
              <w:t>2021年环境空气优良天数统计表</w:t>
            </w:r>
          </w:p>
          <w:tbl>
            <w:tblPr>
              <w:tblStyle w:val="22"/>
              <w:tblW w:w="8174" w:type="dxa"/>
              <w:tblInd w:w="-9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33"/>
              <w:gridCol w:w="538"/>
              <w:gridCol w:w="538"/>
              <w:gridCol w:w="538"/>
              <w:gridCol w:w="538"/>
              <w:gridCol w:w="538"/>
              <w:gridCol w:w="539"/>
              <w:gridCol w:w="539"/>
              <w:gridCol w:w="539"/>
              <w:gridCol w:w="539"/>
              <w:gridCol w:w="539"/>
              <w:gridCol w:w="539"/>
              <w:gridCol w:w="539"/>
              <w:gridCol w:w="539"/>
              <w:gridCol w:w="53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633" w:type="dxa"/>
                  <w:vMerge w:val="restart"/>
                  <w:tcBorders>
                    <w:tl2br w:val="nil"/>
                    <w:tr2bl w:val="nil"/>
                  </w:tcBorders>
                </w:tcPr>
                <w:p>
                  <w:pPr>
                    <w:widowControl/>
                    <w:spacing w:line="360" w:lineRule="auto"/>
                    <w:rPr>
                      <w:rFonts w:hint="eastAsia" w:eastAsia="宋体"/>
                      <w:b/>
                      <w:bCs/>
                      <w:color w:val="auto"/>
                      <w:sz w:val="18"/>
                      <w:szCs w:val="18"/>
                      <w:vertAlign w:val="baseline"/>
                      <w:lang w:eastAsia="zh-CN"/>
                    </w:rPr>
                  </w:pPr>
                  <w:r>
                    <w:rPr>
                      <w:rFonts w:hint="eastAsia"/>
                      <w:b/>
                      <w:bCs/>
                      <w:color w:val="auto"/>
                      <w:sz w:val="18"/>
                      <w:szCs w:val="18"/>
                      <w:vertAlign w:val="baseline"/>
                      <w:lang w:eastAsia="zh-CN"/>
                    </w:rPr>
                    <w:t>监测年份</w:t>
                  </w:r>
                </w:p>
              </w:tc>
              <w:tc>
                <w:tcPr>
                  <w:tcW w:w="1076" w:type="dxa"/>
                  <w:gridSpan w:val="2"/>
                  <w:tcBorders>
                    <w:tl2br w:val="nil"/>
                    <w:tr2bl w:val="nil"/>
                  </w:tcBorders>
                </w:tcPr>
                <w:p>
                  <w:pPr>
                    <w:widowControl/>
                    <w:spacing w:line="360" w:lineRule="auto"/>
                    <w:rPr>
                      <w:rFonts w:hint="eastAsia" w:eastAsia="宋体"/>
                      <w:b/>
                      <w:bCs/>
                      <w:color w:val="auto"/>
                      <w:sz w:val="18"/>
                      <w:szCs w:val="18"/>
                      <w:vertAlign w:val="baseline"/>
                      <w:lang w:eastAsia="zh-CN"/>
                    </w:rPr>
                  </w:pPr>
                  <w:r>
                    <w:rPr>
                      <w:rFonts w:hint="eastAsia"/>
                      <w:b/>
                      <w:bCs/>
                      <w:color w:val="auto"/>
                      <w:sz w:val="18"/>
                      <w:szCs w:val="18"/>
                      <w:vertAlign w:val="baseline"/>
                      <w:lang w:eastAsia="zh-CN"/>
                    </w:rPr>
                    <w:t>一级（优）</w:t>
                  </w:r>
                </w:p>
              </w:tc>
              <w:tc>
                <w:tcPr>
                  <w:tcW w:w="1076" w:type="dxa"/>
                  <w:gridSpan w:val="2"/>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二级（良）</w:t>
                  </w:r>
                </w:p>
              </w:tc>
              <w:tc>
                <w:tcPr>
                  <w:tcW w:w="1077" w:type="dxa"/>
                  <w:gridSpan w:val="2"/>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三级（轻度污染）</w:t>
                  </w:r>
                </w:p>
              </w:tc>
              <w:tc>
                <w:tcPr>
                  <w:tcW w:w="1078" w:type="dxa"/>
                  <w:gridSpan w:val="2"/>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四级（中度污染）</w:t>
                  </w:r>
                </w:p>
              </w:tc>
              <w:tc>
                <w:tcPr>
                  <w:tcW w:w="1078" w:type="dxa"/>
                  <w:gridSpan w:val="2"/>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五级（重度污染）</w:t>
                  </w:r>
                </w:p>
              </w:tc>
              <w:tc>
                <w:tcPr>
                  <w:tcW w:w="1078" w:type="dxa"/>
                  <w:gridSpan w:val="2"/>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六级（严重污染）</w:t>
                  </w:r>
                </w:p>
              </w:tc>
              <w:tc>
                <w:tcPr>
                  <w:tcW w:w="1078" w:type="dxa"/>
                  <w:gridSpan w:val="2"/>
                  <w:tcBorders>
                    <w:tl2br w:val="nil"/>
                    <w:tr2bl w:val="nil"/>
                  </w:tcBorders>
                  <w:vAlign w:val="top"/>
                </w:tcPr>
                <w:p>
                  <w:pPr>
                    <w:widowControl/>
                    <w:spacing w:line="360" w:lineRule="auto"/>
                    <w:rPr>
                      <w:rFonts w:hint="eastAsia" w:eastAsia="宋体"/>
                      <w:b/>
                      <w:bCs/>
                      <w:color w:val="auto"/>
                      <w:sz w:val="18"/>
                      <w:szCs w:val="18"/>
                      <w:vertAlign w:val="baseline"/>
                      <w:lang w:eastAsia="zh-CN"/>
                    </w:rPr>
                  </w:pPr>
                  <w:r>
                    <w:rPr>
                      <w:rFonts w:hint="eastAsia"/>
                      <w:b/>
                      <w:bCs/>
                      <w:color w:val="auto"/>
                      <w:sz w:val="18"/>
                      <w:szCs w:val="18"/>
                      <w:vertAlign w:val="baseline"/>
                      <w:lang w:eastAsia="zh-CN"/>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633" w:type="dxa"/>
                  <w:vMerge w:val="continue"/>
                  <w:tcBorders>
                    <w:tl2br w:val="nil"/>
                    <w:tr2bl w:val="nil"/>
                  </w:tcBorders>
                </w:tcPr>
                <w:p>
                  <w:pPr>
                    <w:widowControl/>
                    <w:spacing w:line="360" w:lineRule="auto"/>
                    <w:rPr>
                      <w:b/>
                      <w:bCs/>
                      <w:color w:val="auto"/>
                      <w:sz w:val="18"/>
                      <w:szCs w:val="18"/>
                      <w:vertAlign w:val="baseline"/>
                    </w:rPr>
                  </w:pPr>
                </w:p>
              </w:tc>
              <w:tc>
                <w:tcPr>
                  <w:tcW w:w="538" w:type="dxa"/>
                  <w:tcBorders>
                    <w:tl2br w:val="nil"/>
                    <w:tr2bl w:val="nil"/>
                  </w:tcBorders>
                </w:tcPr>
                <w:p>
                  <w:pPr>
                    <w:widowControl/>
                    <w:spacing w:line="360" w:lineRule="auto"/>
                    <w:rPr>
                      <w:rFonts w:hint="eastAsia" w:eastAsia="宋体"/>
                      <w:b/>
                      <w:bCs/>
                      <w:color w:val="auto"/>
                      <w:sz w:val="18"/>
                      <w:szCs w:val="18"/>
                      <w:vertAlign w:val="baseline"/>
                      <w:lang w:eastAsia="zh-CN"/>
                    </w:rPr>
                  </w:pPr>
                  <w:r>
                    <w:rPr>
                      <w:rFonts w:hint="eastAsia"/>
                      <w:b/>
                      <w:bCs/>
                      <w:color w:val="auto"/>
                      <w:sz w:val="18"/>
                      <w:szCs w:val="18"/>
                      <w:vertAlign w:val="baseline"/>
                      <w:lang w:eastAsia="zh-CN"/>
                    </w:rPr>
                    <w:t>天数（天）</w:t>
                  </w:r>
                </w:p>
              </w:tc>
              <w:tc>
                <w:tcPr>
                  <w:tcW w:w="538" w:type="dxa"/>
                  <w:tcBorders>
                    <w:tl2br w:val="nil"/>
                    <w:tr2bl w:val="nil"/>
                  </w:tcBorders>
                </w:tcPr>
                <w:p>
                  <w:pPr>
                    <w:widowControl/>
                    <w:spacing w:line="360" w:lineRule="auto"/>
                    <w:rPr>
                      <w:rFonts w:hint="eastAsia" w:eastAsia="宋体"/>
                      <w:b/>
                      <w:bCs/>
                      <w:color w:val="auto"/>
                      <w:sz w:val="18"/>
                      <w:szCs w:val="18"/>
                      <w:vertAlign w:val="baseline"/>
                      <w:lang w:eastAsia="zh-CN"/>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c>
                <w:tcPr>
                  <w:tcW w:w="538"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天数（天）</w:t>
                  </w:r>
                </w:p>
              </w:tc>
              <w:tc>
                <w:tcPr>
                  <w:tcW w:w="538"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c>
                <w:tcPr>
                  <w:tcW w:w="538"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天数（天）</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天数（天）</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天数（天）</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天数（天）</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天数（天）</w:t>
                  </w:r>
                </w:p>
              </w:tc>
              <w:tc>
                <w:tcPr>
                  <w:tcW w:w="539" w:type="dxa"/>
                  <w:tcBorders>
                    <w:tl2br w:val="nil"/>
                    <w:tr2bl w:val="nil"/>
                  </w:tcBorders>
                  <w:vAlign w:val="top"/>
                </w:tcPr>
                <w:p>
                  <w:pPr>
                    <w:widowControl/>
                    <w:spacing w:line="360" w:lineRule="auto"/>
                    <w:rPr>
                      <w:b/>
                      <w:bCs/>
                      <w:color w:val="auto"/>
                      <w:sz w:val="18"/>
                      <w:szCs w:val="18"/>
                      <w:vertAlign w:val="baseline"/>
                    </w:rPr>
                  </w:pPr>
                  <w:r>
                    <w:rPr>
                      <w:rFonts w:hint="eastAsia"/>
                      <w:b/>
                      <w:bCs/>
                      <w:color w:val="auto"/>
                      <w:sz w:val="18"/>
                      <w:szCs w:val="18"/>
                      <w:vertAlign w:val="baseline"/>
                      <w:lang w:eastAsia="zh-CN"/>
                    </w:rPr>
                    <w:t>比例（</w:t>
                  </w:r>
                  <w:r>
                    <w:rPr>
                      <w:rFonts w:hint="eastAsia"/>
                      <w:b/>
                      <w:bCs/>
                      <w:color w:val="auto"/>
                      <w:sz w:val="18"/>
                      <w:szCs w:val="18"/>
                      <w:vertAlign w:val="baseline"/>
                      <w:lang w:val="en-US" w:eastAsia="zh-CN"/>
                    </w:rPr>
                    <w:t>%</w:t>
                  </w:r>
                  <w:r>
                    <w:rPr>
                      <w:rFonts w:hint="eastAsia"/>
                      <w:b/>
                      <w:bCs/>
                      <w:color w:val="auto"/>
                      <w:sz w:val="18"/>
                      <w:szCs w:val="18"/>
                      <w:vertAlign w:val="baseline"/>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633"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2020年</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169</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46.17</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176</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48.09</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20</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5.46</w:t>
                  </w:r>
                </w:p>
              </w:tc>
              <w:tc>
                <w:tcPr>
                  <w:tcW w:w="539" w:type="dxa"/>
                  <w:tcBorders>
                    <w:tl2br w:val="nil"/>
                    <w:tr2bl w:val="nil"/>
                  </w:tcBorders>
                </w:tcPr>
                <w:p>
                  <w:pPr>
                    <w:widowControl/>
                    <w:spacing w:line="360" w:lineRule="auto"/>
                    <w:rPr>
                      <w:rFonts w:hint="eastAsia" w:eastAsia="宋体"/>
                      <w:color w:val="auto"/>
                      <w:sz w:val="18"/>
                      <w:szCs w:val="18"/>
                      <w:vertAlign w:val="baseline"/>
                      <w:lang w:val="en-US" w:eastAsia="zh-CN"/>
                    </w:rPr>
                  </w:pPr>
                  <w:r>
                    <w:rPr>
                      <w:rFonts w:hint="eastAsia"/>
                      <w:color w:val="auto"/>
                      <w:sz w:val="18"/>
                      <w:szCs w:val="18"/>
                      <w:vertAlign w:val="baseline"/>
                      <w:lang w:val="en-US" w:eastAsia="zh-CN"/>
                    </w:rPr>
                    <w:t>1</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0.27</w:t>
                  </w:r>
                </w:p>
              </w:tc>
              <w:tc>
                <w:tcPr>
                  <w:tcW w:w="539" w:type="dxa"/>
                  <w:tcBorders>
                    <w:tl2br w:val="nil"/>
                    <w:tr2bl w:val="nil"/>
                  </w:tcBorders>
                </w:tcPr>
                <w:p>
                  <w:pPr>
                    <w:widowControl/>
                    <w:spacing w:line="360" w:lineRule="auto"/>
                    <w:rPr>
                      <w:rFonts w:hint="eastAsia" w:eastAsia="宋体"/>
                      <w:color w:val="auto"/>
                      <w:sz w:val="18"/>
                      <w:szCs w:val="18"/>
                      <w:vertAlign w:val="baseline"/>
                      <w:lang w:val="en-US" w:eastAsia="zh-CN"/>
                    </w:rPr>
                  </w:pPr>
                  <w:r>
                    <w:rPr>
                      <w:rFonts w:hint="eastAsia"/>
                      <w:color w:val="auto"/>
                      <w:sz w:val="18"/>
                      <w:szCs w:val="18"/>
                      <w:vertAlign w:val="baseline"/>
                      <w:lang w:val="en-US" w:eastAsia="zh-CN"/>
                    </w:rPr>
                    <w:t>0</w:t>
                  </w:r>
                </w:p>
              </w:tc>
              <w:tc>
                <w:tcPr>
                  <w:tcW w:w="539" w:type="dxa"/>
                  <w:tcBorders>
                    <w:tl2br w:val="nil"/>
                    <w:tr2bl w:val="nil"/>
                  </w:tcBorders>
                </w:tcPr>
                <w:p>
                  <w:pPr>
                    <w:widowControl/>
                    <w:spacing w:line="360" w:lineRule="auto"/>
                    <w:rPr>
                      <w:rFonts w:hint="eastAsia" w:eastAsia="宋体"/>
                      <w:color w:val="auto"/>
                      <w:sz w:val="18"/>
                      <w:szCs w:val="18"/>
                      <w:vertAlign w:val="baseline"/>
                      <w:lang w:val="en-US" w:eastAsia="zh-CN"/>
                    </w:rPr>
                  </w:pPr>
                  <w:r>
                    <w:rPr>
                      <w:rFonts w:hint="eastAsia"/>
                      <w:color w:val="auto"/>
                      <w:sz w:val="18"/>
                      <w:szCs w:val="18"/>
                      <w:vertAlign w:val="baseline"/>
                      <w:lang w:val="en-US" w:eastAsia="zh-CN"/>
                    </w:rPr>
                    <w:t>0</w:t>
                  </w:r>
                </w:p>
              </w:tc>
              <w:tc>
                <w:tcPr>
                  <w:tcW w:w="539" w:type="dxa"/>
                  <w:tcBorders>
                    <w:tl2br w:val="nil"/>
                    <w:tr2bl w:val="nil"/>
                  </w:tcBorders>
                  <w:vAlign w:val="top"/>
                </w:tcPr>
                <w:p>
                  <w:pPr>
                    <w:widowControl/>
                    <w:spacing w:line="360" w:lineRule="auto"/>
                    <w:rPr>
                      <w:color w:val="auto"/>
                      <w:sz w:val="18"/>
                      <w:szCs w:val="18"/>
                      <w:vertAlign w:val="baseline"/>
                    </w:rPr>
                  </w:pPr>
                  <w:r>
                    <w:rPr>
                      <w:rFonts w:hint="eastAsia"/>
                      <w:color w:val="auto"/>
                      <w:sz w:val="18"/>
                      <w:szCs w:val="18"/>
                      <w:vertAlign w:val="baseline"/>
                      <w:lang w:val="en-US" w:eastAsia="zh-CN"/>
                    </w:rPr>
                    <w:t>0</w:t>
                  </w:r>
                </w:p>
              </w:tc>
              <w:tc>
                <w:tcPr>
                  <w:tcW w:w="539" w:type="dxa"/>
                  <w:tcBorders>
                    <w:tl2br w:val="nil"/>
                    <w:tr2bl w:val="nil"/>
                  </w:tcBorders>
                  <w:vAlign w:val="top"/>
                </w:tcPr>
                <w:p>
                  <w:pPr>
                    <w:widowControl/>
                    <w:spacing w:line="360" w:lineRule="auto"/>
                    <w:rPr>
                      <w:color w:val="auto"/>
                      <w:sz w:val="18"/>
                      <w:szCs w:val="18"/>
                      <w:vertAlign w:val="baseline"/>
                    </w:rPr>
                  </w:pPr>
                  <w:r>
                    <w:rPr>
                      <w:rFonts w:hint="eastAsia"/>
                      <w:color w:val="auto"/>
                      <w:sz w:val="18"/>
                      <w:szCs w:val="18"/>
                      <w:vertAlign w:val="baseline"/>
                      <w:lang w:val="en-US" w:eastAsia="zh-CN"/>
                    </w:rPr>
                    <w:t>0</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345</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94.26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33"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2021年</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182</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49.9</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159</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43.6</w:t>
                  </w:r>
                </w:p>
              </w:tc>
              <w:tc>
                <w:tcPr>
                  <w:tcW w:w="538"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23</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6.3</w:t>
                  </w:r>
                </w:p>
              </w:tc>
              <w:tc>
                <w:tcPr>
                  <w:tcW w:w="539" w:type="dxa"/>
                  <w:tcBorders>
                    <w:tl2br w:val="nil"/>
                    <w:tr2bl w:val="nil"/>
                  </w:tcBorders>
                </w:tcPr>
                <w:p>
                  <w:pPr>
                    <w:widowControl/>
                    <w:spacing w:line="360" w:lineRule="auto"/>
                    <w:rPr>
                      <w:rFonts w:hint="eastAsia" w:eastAsia="宋体"/>
                      <w:color w:val="auto"/>
                      <w:sz w:val="18"/>
                      <w:szCs w:val="18"/>
                      <w:vertAlign w:val="baseline"/>
                      <w:lang w:val="en-US" w:eastAsia="zh-CN"/>
                    </w:rPr>
                  </w:pPr>
                  <w:r>
                    <w:rPr>
                      <w:rFonts w:hint="eastAsia"/>
                      <w:color w:val="auto"/>
                      <w:sz w:val="18"/>
                      <w:szCs w:val="18"/>
                      <w:vertAlign w:val="baseline"/>
                      <w:lang w:val="en-US" w:eastAsia="zh-CN"/>
                    </w:rPr>
                    <w:t>0</w:t>
                  </w:r>
                </w:p>
              </w:tc>
              <w:tc>
                <w:tcPr>
                  <w:tcW w:w="539" w:type="dxa"/>
                  <w:tcBorders>
                    <w:tl2br w:val="nil"/>
                    <w:tr2bl w:val="nil"/>
                  </w:tcBorders>
                </w:tcPr>
                <w:p>
                  <w:pPr>
                    <w:widowControl/>
                    <w:spacing w:line="360" w:lineRule="auto"/>
                    <w:rPr>
                      <w:rFonts w:hint="eastAsia" w:eastAsia="宋体"/>
                      <w:color w:val="auto"/>
                      <w:sz w:val="18"/>
                      <w:szCs w:val="18"/>
                      <w:vertAlign w:val="baseline"/>
                      <w:lang w:val="en-US" w:eastAsia="zh-CN"/>
                    </w:rPr>
                  </w:pPr>
                  <w:r>
                    <w:rPr>
                      <w:rFonts w:hint="eastAsia"/>
                      <w:color w:val="auto"/>
                      <w:sz w:val="18"/>
                      <w:szCs w:val="18"/>
                      <w:vertAlign w:val="baseline"/>
                      <w:lang w:val="en-US" w:eastAsia="zh-CN"/>
                    </w:rPr>
                    <w:t>0</w:t>
                  </w:r>
                </w:p>
              </w:tc>
              <w:tc>
                <w:tcPr>
                  <w:tcW w:w="539" w:type="dxa"/>
                  <w:tcBorders>
                    <w:tl2br w:val="nil"/>
                    <w:tr2bl w:val="nil"/>
                  </w:tcBorders>
                </w:tcPr>
                <w:p>
                  <w:pPr>
                    <w:widowControl/>
                    <w:spacing w:line="360" w:lineRule="auto"/>
                    <w:rPr>
                      <w:rFonts w:hint="eastAsia" w:eastAsia="宋体"/>
                      <w:color w:val="auto"/>
                      <w:sz w:val="18"/>
                      <w:szCs w:val="18"/>
                      <w:vertAlign w:val="baseline"/>
                      <w:lang w:val="en-US" w:eastAsia="zh-CN"/>
                    </w:rPr>
                  </w:pPr>
                  <w:r>
                    <w:rPr>
                      <w:rFonts w:hint="eastAsia"/>
                      <w:color w:val="auto"/>
                      <w:sz w:val="18"/>
                      <w:szCs w:val="18"/>
                      <w:vertAlign w:val="baseline"/>
                      <w:lang w:val="en-US" w:eastAsia="zh-CN"/>
                    </w:rPr>
                    <w:t>1</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0.3</w:t>
                  </w:r>
                </w:p>
              </w:tc>
              <w:tc>
                <w:tcPr>
                  <w:tcW w:w="539" w:type="dxa"/>
                  <w:tcBorders>
                    <w:tl2br w:val="nil"/>
                    <w:tr2bl w:val="nil"/>
                  </w:tcBorders>
                  <w:vAlign w:val="top"/>
                </w:tcPr>
                <w:p>
                  <w:pPr>
                    <w:widowControl/>
                    <w:spacing w:line="360" w:lineRule="auto"/>
                    <w:rPr>
                      <w:color w:val="auto"/>
                      <w:sz w:val="18"/>
                      <w:szCs w:val="18"/>
                      <w:vertAlign w:val="baseline"/>
                    </w:rPr>
                  </w:pPr>
                  <w:r>
                    <w:rPr>
                      <w:rFonts w:hint="eastAsia"/>
                      <w:color w:val="auto"/>
                      <w:sz w:val="18"/>
                      <w:szCs w:val="18"/>
                      <w:vertAlign w:val="baseline"/>
                      <w:lang w:val="en-US" w:eastAsia="zh-CN"/>
                    </w:rPr>
                    <w:t>0</w:t>
                  </w:r>
                </w:p>
              </w:tc>
              <w:tc>
                <w:tcPr>
                  <w:tcW w:w="539" w:type="dxa"/>
                  <w:tcBorders>
                    <w:tl2br w:val="nil"/>
                    <w:tr2bl w:val="nil"/>
                  </w:tcBorders>
                  <w:vAlign w:val="top"/>
                </w:tcPr>
                <w:p>
                  <w:pPr>
                    <w:widowControl/>
                    <w:spacing w:line="360" w:lineRule="auto"/>
                    <w:rPr>
                      <w:color w:val="auto"/>
                      <w:sz w:val="18"/>
                      <w:szCs w:val="18"/>
                      <w:vertAlign w:val="baseline"/>
                    </w:rPr>
                  </w:pPr>
                  <w:r>
                    <w:rPr>
                      <w:rFonts w:hint="eastAsia"/>
                      <w:color w:val="auto"/>
                      <w:sz w:val="18"/>
                      <w:szCs w:val="18"/>
                      <w:vertAlign w:val="baseline"/>
                      <w:lang w:val="en-US" w:eastAsia="zh-CN"/>
                    </w:rPr>
                    <w:t>0</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341</w:t>
                  </w:r>
                </w:p>
              </w:tc>
              <w:tc>
                <w:tcPr>
                  <w:tcW w:w="539" w:type="dxa"/>
                  <w:tcBorders>
                    <w:tl2br w:val="nil"/>
                    <w:tr2bl w:val="nil"/>
                  </w:tcBorders>
                </w:tcPr>
                <w:p>
                  <w:pPr>
                    <w:widowControl/>
                    <w:spacing w:line="360" w:lineRule="auto"/>
                    <w:rPr>
                      <w:rFonts w:hint="default" w:eastAsia="宋体"/>
                      <w:color w:val="auto"/>
                      <w:sz w:val="18"/>
                      <w:szCs w:val="18"/>
                      <w:vertAlign w:val="baseline"/>
                      <w:lang w:val="en-US" w:eastAsia="zh-CN"/>
                    </w:rPr>
                  </w:pPr>
                  <w:r>
                    <w:rPr>
                      <w:rFonts w:hint="eastAsia"/>
                      <w:color w:val="auto"/>
                      <w:sz w:val="18"/>
                      <w:szCs w:val="18"/>
                      <w:vertAlign w:val="baseline"/>
                      <w:lang w:val="en-US" w:eastAsia="zh-CN"/>
                    </w:rPr>
                    <w:t>93.4</w:t>
                  </w:r>
                </w:p>
              </w:tc>
            </w:tr>
          </w:tbl>
          <w:p>
            <w:pPr>
              <w:pStyle w:val="2"/>
              <w:adjustRightInd w:val="0"/>
              <w:snapToGrid w:val="0"/>
              <w:ind w:firstLine="1446" w:firstLineChars="800"/>
              <w:jc w:val="both"/>
              <w:rPr>
                <w:rFonts w:eastAsia="宋体"/>
                <w:color w:val="auto"/>
                <w:sz w:val="18"/>
                <w:szCs w:val="18"/>
              </w:rPr>
            </w:pPr>
            <w:r>
              <w:rPr>
                <w:rFonts w:eastAsia="宋体"/>
                <w:b/>
                <w:bCs/>
                <w:color w:val="auto"/>
                <w:sz w:val="18"/>
                <w:szCs w:val="18"/>
              </w:rPr>
              <w:t>表3-</w:t>
            </w:r>
            <w:r>
              <w:rPr>
                <w:rFonts w:hint="eastAsia" w:eastAsia="宋体"/>
                <w:b/>
                <w:bCs/>
                <w:color w:val="auto"/>
                <w:sz w:val="18"/>
                <w:szCs w:val="18"/>
                <w:lang w:val="en-US" w:eastAsia="zh-CN"/>
              </w:rPr>
              <w:t>2</w:t>
            </w:r>
            <w:r>
              <w:rPr>
                <w:rFonts w:eastAsia="宋体"/>
                <w:b/>
                <w:bCs/>
                <w:color w:val="auto"/>
                <w:sz w:val="18"/>
                <w:szCs w:val="18"/>
              </w:rPr>
              <w:t xml:space="preserve"> </w:t>
            </w:r>
            <w:r>
              <w:rPr>
                <w:rFonts w:hint="eastAsia" w:eastAsia="宋体"/>
                <w:b/>
                <w:bCs/>
                <w:color w:val="auto"/>
                <w:sz w:val="18"/>
                <w:szCs w:val="18"/>
                <w:lang w:eastAsia="zh-CN"/>
              </w:rPr>
              <w:t>大气污染物环境质量现状</w:t>
            </w:r>
            <w:r>
              <w:rPr>
                <w:rFonts w:eastAsia="宋体"/>
                <w:b/>
                <w:color w:val="auto"/>
                <w:sz w:val="18"/>
                <w:szCs w:val="18"/>
              </w:rPr>
              <w:t>（</w:t>
            </w:r>
            <w:r>
              <w:rPr>
                <w:rFonts w:hint="eastAsia" w:eastAsia="宋体"/>
                <w:b/>
                <w:color w:val="auto"/>
                <w:sz w:val="18"/>
                <w:szCs w:val="18"/>
              </w:rPr>
              <w:t>注：</w:t>
            </w:r>
            <w:r>
              <w:rPr>
                <w:rFonts w:eastAsia="宋体"/>
                <w:b/>
                <w:bCs/>
                <w:color w:val="auto"/>
                <w:sz w:val="18"/>
                <w:szCs w:val="18"/>
              </w:rPr>
              <w:t>CO</w:t>
            </w:r>
            <w:r>
              <w:rPr>
                <w:rFonts w:hint="eastAsia" w:eastAsia="宋体"/>
                <w:b/>
                <w:bCs/>
                <w:color w:val="auto"/>
                <w:sz w:val="18"/>
                <w:szCs w:val="18"/>
              </w:rPr>
              <w:t>单位为</w:t>
            </w:r>
            <w:r>
              <w:rPr>
                <w:rFonts w:hint="eastAsia" w:eastAsia="宋体"/>
                <w:b/>
                <w:color w:val="auto"/>
                <w:sz w:val="18"/>
                <w:szCs w:val="18"/>
              </w:rPr>
              <w:t>m</w:t>
            </w:r>
            <w:r>
              <w:rPr>
                <w:rFonts w:eastAsia="宋体"/>
                <w:b/>
                <w:color w:val="auto"/>
                <w:sz w:val="18"/>
                <w:szCs w:val="18"/>
              </w:rPr>
              <w:t>g/m</w:t>
            </w:r>
            <w:r>
              <w:rPr>
                <w:rFonts w:eastAsia="宋体"/>
                <w:b/>
                <w:color w:val="auto"/>
                <w:sz w:val="18"/>
                <w:szCs w:val="18"/>
                <w:vertAlign w:val="superscript"/>
              </w:rPr>
              <w:t>3</w:t>
            </w:r>
            <w:r>
              <w:rPr>
                <w:rFonts w:eastAsia="宋体"/>
                <w:b/>
                <w:color w:val="auto"/>
                <w:sz w:val="18"/>
                <w:szCs w:val="18"/>
              </w:rPr>
              <w:t>）</w:t>
            </w:r>
          </w:p>
          <w:tbl>
            <w:tblPr>
              <w:tblStyle w:val="21"/>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1564"/>
              <w:gridCol w:w="1631"/>
              <w:gridCol w:w="1605"/>
              <w:gridCol w:w="1072"/>
              <w:gridCol w:w="104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50" w:hRule="atLeast"/>
                <w:jc w:val="center"/>
              </w:trPr>
              <w:tc>
                <w:tcPr>
                  <w:tcW w:w="650" w:type="pct"/>
                  <w:tcBorders>
                    <w:tl2br w:val="nil"/>
                    <w:tr2bl w:val="nil"/>
                  </w:tcBorders>
                  <w:noWrap/>
                  <w:vAlign w:val="center"/>
                </w:tcPr>
                <w:p>
                  <w:pPr>
                    <w:pStyle w:val="2"/>
                    <w:adjustRightInd w:val="0"/>
                    <w:snapToGrid w:val="0"/>
                    <w:ind w:firstLine="0"/>
                    <w:jc w:val="center"/>
                    <w:rPr>
                      <w:rFonts w:eastAsia="宋体"/>
                      <w:b/>
                      <w:bCs/>
                      <w:color w:val="auto"/>
                      <w:sz w:val="18"/>
                      <w:szCs w:val="18"/>
                    </w:rPr>
                  </w:pPr>
                  <w:r>
                    <w:rPr>
                      <w:rFonts w:hint="eastAsia" w:eastAsia="宋体"/>
                      <w:b/>
                      <w:bCs/>
                      <w:color w:val="auto"/>
                      <w:sz w:val="18"/>
                      <w:szCs w:val="18"/>
                    </w:rPr>
                    <w:t>污染物</w:t>
                  </w:r>
                </w:p>
              </w:tc>
              <w:tc>
                <w:tcPr>
                  <w:tcW w:w="983" w:type="pct"/>
                  <w:tcBorders>
                    <w:tl2br w:val="nil"/>
                    <w:tr2bl w:val="nil"/>
                  </w:tcBorders>
                  <w:noWrap/>
                  <w:vAlign w:val="center"/>
                </w:tcPr>
                <w:p>
                  <w:pPr>
                    <w:pStyle w:val="2"/>
                    <w:adjustRightInd w:val="0"/>
                    <w:snapToGrid w:val="0"/>
                    <w:ind w:firstLine="181" w:firstLineChars="100"/>
                    <w:rPr>
                      <w:rFonts w:eastAsia="宋体"/>
                      <w:b/>
                      <w:bCs/>
                      <w:color w:val="auto"/>
                      <w:sz w:val="18"/>
                      <w:szCs w:val="18"/>
                    </w:rPr>
                  </w:pPr>
                  <w:r>
                    <w:rPr>
                      <w:rFonts w:hint="eastAsia" w:eastAsia="宋体"/>
                      <w:b/>
                      <w:bCs/>
                      <w:color w:val="auto"/>
                      <w:sz w:val="18"/>
                      <w:szCs w:val="18"/>
                    </w:rPr>
                    <w:t>年评价指标</w:t>
                  </w:r>
                </w:p>
              </w:tc>
              <w:tc>
                <w:tcPr>
                  <w:tcW w:w="1025" w:type="pct"/>
                  <w:tcBorders>
                    <w:tl2br w:val="nil"/>
                    <w:tr2bl w:val="nil"/>
                  </w:tcBorders>
                  <w:noWrap/>
                  <w:vAlign w:val="center"/>
                </w:tcPr>
                <w:p>
                  <w:pPr>
                    <w:pStyle w:val="2"/>
                    <w:adjustRightInd w:val="0"/>
                    <w:snapToGrid w:val="0"/>
                    <w:ind w:firstLine="0"/>
                    <w:jc w:val="center"/>
                    <w:rPr>
                      <w:rFonts w:eastAsia="宋体"/>
                      <w:b/>
                      <w:bCs/>
                      <w:color w:val="auto"/>
                      <w:sz w:val="18"/>
                      <w:szCs w:val="18"/>
                    </w:rPr>
                  </w:pPr>
                  <w:r>
                    <w:rPr>
                      <w:rFonts w:hint="eastAsia" w:eastAsia="宋体"/>
                      <w:b/>
                      <w:bCs/>
                      <w:color w:val="auto"/>
                      <w:sz w:val="18"/>
                      <w:szCs w:val="18"/>
                    </w:rPr>
                    <w:t>现状浓度/（</w:t>
                  </w:r>
                  <w:r>
                    <w:rPr>
                      <w:rFonts w:eastAsia="宋体"/>
                      <w:b/>
                      <w:bCs/>
                      <w:color w:val="auto"/>
                      <w:kern w:val="0"/>
                      <w:sz w:val="18"/>
                      <w:szCs w:val="18"/>
                    </w:rPr>
                    <w:t>μg/m</w:t>
                  </w:r>
                  <w:r>
                    <w:rPr>
                      <w:rFonts w:eastAsia="宋体"/>
                      <w:b/>
                      <w:bCs/>
                      <w:color w:val="auto"/>
                      <w:kern w:val="0"/>
                      <w:sz w:val="18"/>
                      <w:szCs w:val="18"/>
                      <w:vertAlign w:val="superscript"/>
                    </w:rPr>
                    <w:t>3</w:t>
                  </w:r>
                  <w:r>
                    <w:rPr>
                      <w:rFonts w:hint="eastAsia" w:eastAsia="宋体"/>
                      <w:b/>
                      <w:bCs/>
                      <w:color w:val="auto"/>
                      <w:sz w:val="18"/>
                      <w:szCs w:val="18"/>
                    </w:rPr>
                    <w:t>）</w:t>
                  </w:r>
                </w:p>
              </w:tc>
              <w:tc>
                <w:tcPr>
                  <w:tcW w:w="1008" w:type="pct"/>
                  <w:tcBorders>
                    <w:tl2br w:val="nil"/>
                    <w:tr2bl w:val="nil"/>
                  </w:tcBorders>
                  <w:noWrap/>
                  <w:vAlign w:val="center"/>
                </w:tcPr>
                <w:p>
                  <w:pPr>
                    <w:pStyle w:val="2"/>
                    <w:adjustRightInd w:val="0"/>
                    <w:snapToGrid w:val="0"/>
                    <w:ind w:firstLine="0"/>
                    <w:jc w:val="center"/>
                    <w:rPr>
                      <w:rFonts w:eastAsia="宋体"/>
                      <w:b/>
                      <w:bCs/>
                      <w:color w:val="auto"/>
                      <w:sz w:val="18"/>
                      <w:szCs w:val="18"/>
                    </w:rPr>
                  </w:pPr>
                  <w:r>
                    <w:rPr>
                      <w:rFonts w:hint="eastAsia" w:eastAsia="宋体"/>
                      <w:b/>
                      <w:bCs/>
                      <w:color w:val="auto"/>
                      <w:sz w:val="18"/>
                      <w:szCs w:val="18"/>
                    </w:rPr>
                    <w:t>标准值/（</w:t>
                  </w:r>
                  <w:r>
                    <w:rPr>
                      <w:rFonts w:eastAsia="宋体"/>
                      <w:b/>
                      <w:bCs/>
                      <w:color w:val="auto"/>
                      <w:kern w:val="0"/>
                      <w:sz w:val="18"/>
                      <w:szCs w:val="18"/>
                    </w:rPr>
                    <w:t>μg/m</w:t>
                  </w:r>
                  <w:r>
                    <w:rPr>
                      <w:rFonts w:eastAsia="宋体"/>
                      <w:b/>
                      <w:bCs/>
                      <w:color w:val="auto"/>
                      <w:kern w:val="0"/>
                      <w:sz w:val="18"/>
                      <w:szCs w:val="18"/>
                      <w:vertAlign w:val="superscript"/>
                    </w:rPr>
                    <w:t>3</w:t>
                  </w:r>
                  <w:r>
                    <w:rPr>
                      <w:rFonts w:hint="eastAsia" w:eastAsia="宋体"/>
                      <w:b/>
                      <w:bCs/>
                      <w:color w:val="auto"/>
                      <w:sz w:val="18"/>
                      <w:szCs w:val="18"/>
                    </w:rPr>
                    <w:t>）</w:t>
                  </w:r>
                </w:p>
              </w:tc>
              <w:tc>
                <w:tcPr>
                  <w:tcW w:w="673" w:type="pct"/>
                  <w:tcBorders>
                    <w:tl2br w:val="nil"/>
                    <w:tr2bl w:val="nil"/>
                  </w:tcBorders>
                  <w:noWrap/>
                  <w:vAlign w:val="center"/>
                </w:tcPr>
                <w:p>
                  <w:pPr>
                    <w:pStyle w:val="2"/>
                    <w:adjustRightInd w:val="0"/>
                    <w:snapToGrid w:val="0"/>
                    <w:ind w:firstLine="0"/>
                    <w:jc w:val="center"/>
                    <w:rPr>
                      <w:rFonts w:eastAsia="宋体"/>
                      <w:b/>
                      <w:bCs/>
                      <w:color w:val="auto"/>
                      <w:sz w:val="18"/>
                      <w:szCs w:val="18"/>
                    </w:rPr>
                  </w:pPr>
                  <w:r>
                    <w:rPr>
                      <w:rFonts w:hint="eastAsia" w:eastAsia="宋体"/>
                      <w:b/>
                      <w:bCs/>
                      <w:color w:val="auto"/>
                      <w:sz w:val="18"/>
                      <w:szCs w:val="18"/>
                    </w:rPr>
                    <w:t>占标率/%</w:t>
                  </w:r>
                </w:p>
              </w:tc>
              <w:tc>
                <w:tcPr>
                  <w:tcW w:w="658" w:type="pct"/>
                  <w:tcBorders>
                    <w:tl2br w:val="nil"/>
                    <w:tr2bl w:val="nil"/>
                  </w:tcBorders>
                  <w:noWrap/>
                  <w:vAlign w:val="center"/>
                </w:tcPr>
                <w:p>
                  <w:pPr>
                    <w:pStyle w:val="2"/>
                    <w:adjustRightInd w:val="0"/>
                    <w:snapToGrid w:val="0"/>
                    <w:ind w:firstLine="0"/>
                    <w:jc w:val="center"/>
                    <w:rPr>
                      <w:rFonts w:eastAsia="宋体"/>
                      <w:b/>
                      <w:bCs/>
                      <w:color w:val="auto"/>
                      <w:sz w:val="18"/>
                      <w:szCs w:val="18"/>
                    </w:rPr>
                  </w:pPr>
                  <w:r>
                    <w:rPr>
                      <w:rFonts w:hint="eastAsia" w:eastAsia="宋体"/>
                      <w:b/>
                      <w:bCs/>
                      <w:color w:val="auto"/>
                      <w:sz w:val="18"/>
                      <w:szCs w:val="18"/>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650"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eastAsia="宋体"/>
                      <w:b/>
                      <w:bCs/>
                      <w:color w:val="auto"/>
                      <w:sz w:val="18"/>
                      <w:szCs w:val="18"/>
                    </w:rPr>
                    <w:t>SO</w:t>
                  </w:r>
                  <w:r>
                    <w:rPr>
                      <w:rFonts w:eastAsia="宋体"/>
                      <w:b/>
                      <w:bCs/>
                      <w:color w:val="auto"/>
                      <w:sz w:val="18"/>
                      <w:szCs w:val="18"/>
                      <w:vertAlign w:val="subscript"/>
                    </w:rPr>
                    <w:t>2</w:t>
                  </w:r>
                </w:p>
              </w:tc>
              <w:tc>
                <w:tcPr>
                  <w:tcW w:w="983"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年平均质量浓度</w:t>
                  </w:r>
                </w:p>
              </w:tc>
              <w:tc>
                <w:tcPr>
                  <w:tcW w:w="1025"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4.5</w:t>
                  </w:r>
                </w:p>
              </w:tc>
              <w:tc>
                <w:tcPr>
                  <w:tcW w:w="100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60</w:t>
                  </w:r>
                </w:p>
              </w:tc>
              <w:tc>
                <w:tcPr>
                  <w:tcW w:w="673"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7.5</w:t>
                  </w:r>
                </w:p>
              </w:tc>
              <w:tc>
                <w:tcPr>
                  <w:tcW w:w="65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650"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eastAsia="宋体"/>
                      <w:b/>
                      <w:bCs/>
                      <w:color w:val="auto"/>
                      <w:sz w:val="18"/>
                      <w:szCs w:val="18"/>
                    </w:rPr>
                    <w:t>NO</w:t>
                  </w:r>
                  <w:r>
                    <w:rPr>
                      <w:rFonts w:eastAsia="宋体"/>
                      <w:b/>
                      <w:bCs/>
                      <w:color w:val="auto"/>
                      <w:sz w:val="18"/>
                      <w:szCs w:val="18"/>
                      <w:vertAlign w:val="subscript"/>
                    </w:rPr>
                    <w:t>2</w:t>
                  </w:r>
                </w:p>
              </w:tc>
              <w:tc>
                <w:tcPr>
                  <w:tcW w:w="983"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年平均质量浓度</w:t>
                  </w:r>
                </w:p>
              </w:tc>
              <w:tc>
                <w:tcPr>
                  <w:tcW w:w="1025"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13.6</w:t>
                  </w:r>
                </w:p>
              </w:tc>
              <w:tc>
                <w:tcPr>
                  <w:tcW w:w="100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40</w:t>
                  </w:r>
                </w:p>
              </w:tc>
              <w:tc>
                <w:tcPr>
                  <w:tcW w:w="673"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34</w:t>
                  </w:r>
                </w:p>
              </w:tc>
              <w:tc>
                <w:tcPr>
                  <w:tcW w:w="65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650"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eastAsia="宋体"/>
                      <w:b/>
                      <w:bCs/>
                      <w:color w:val="auto"/>
                      <w:sz w:val="18"/>
                      <w:szCs w:val="18"/>
                    </w:rPr>
                    <w:t>PM</w:t>
                  </w:r>
                  <w:r>
                    <w:rPr>
                      <w:rFonts w:eastAsia="宋体"/>
                      <w:b/>
                      <w:bCs/>
                      <w:color w:val="auto"/>
                      <w:sz w:val="18"/>
                      <w:szCs w:val="18"/>
                      <w:vertAlign w:val="subscript"/>
                    </w:rPr>
                    <w:t>10</w:t>
                  </w:r>
                </w:p>
              </w:tc>
              <w:tc>
                <w:tcPr>
                  <w:tcW w:w="983"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年平均质量浓度</w:t>
                  </w:r>
                </w:p>
              </w:tc>
              <w:tc>
                <w:tcPr>
                  <w:tcW w:w="1025"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rPr>
                    <w:t>4</w:t>
                  </w:r>
                  <w:r>
                    <w:rPr>
                      <w:rFonts w:hint="eastAsia" w:eastAsia="宋体"/>
                      <w:color w:val="auto"/>
                      <w:sz w:val="18"/>
                      <w:szCs w:val="18"/>
                      <w:lang w:val="en-US" w:eastAsia="zh-CN"/>
                    </w:rPr>
                    <w:t>1.8</w:t>
                  </w:r>
                </w:p>
              </w:tc>
              <w:tc>
                <w:tcPr>
                  <w:tcW w:w="100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70</w:t>
                  </w:r>
                </w:p>
              </w:tc>
              <w:tc>
                <w:tcPr>
                  <w:tcW w:w="673"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59.8</w:t>
                  </w:r>
                </w:p>
              </w:tc>
              <w:tc>
                <w:tcPr>
                  <w:tcW w:w="65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650"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eastAsia="宋体"/>
                      <w:b/>
                      <w:bCs/>
                      <w:color w:val="auto"/>
                      <w:sz w:val="18"/>
                      <w:szCs w:val="18"/>
                    </w:rPr>
                    <w:t>PM</w:t>
                  </w:r>
                  <w:r>
                    <w:rPr>
                      <w:rFonts w:eastAsia="宋体"/>
                      <w:b/>
                      <w:bCs/>
                      <w:color w:val="auto"/>
                      <w:sz w:val="18"/>
                      <w:szCs w:val="18"/>
                      <w:vertAlign w:val="subscript"/>
                    </w:rPr>
                    <w:t>2.5</w:t>
                  </w:r>
                </w:p>
              </w:tc>
              <w:tc>
                <w:tcPr>
                  <w:tcW w:w="983"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年平均质量浓度</w:t>
                  </w:r>
                </w:p>
              </w:tc>
              <w:tc>
                <w:tcPr>
                  <w:tcW w:w="1025"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31.9</w:t>
                  </w:r>
                </w:p>
              </w:tc>
              <w:tc>
                <w:tcPr>
                  <w:tcW w:w="100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35</w:t>
                  </w:r>
                </w:p>
              </w:tc>
              <w:tc>
                <w:tcPr>
                  <w:tcW w:w="673"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91.1</w:t>
                  </w:r>
                </w:p>
              </w:tc>
              <w:tc>
                <w:tcPr>
                  <w:tcW w:w="65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650"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eastAsia="宋体"/>
                      <w:b/>
                      <w:bCs/>
                      <w:color w:val="auto"/>
                      <w:sz w:val="18"/>
                      <w:szCs w:val="18"/>
                    </w:rPr>
                    <w:t>CO</w:t>
                  </w:r>
                </w:p>
              </w:tc>
              <w:tc>
                <w:tcPr>
                  <w:tcW w:w="983" w:type="pct"/>
                  <w:tcBorders>
                    <w:tl2br w:val="nil"/>
                    <w:tr2bl w:val="nil"/>
                  </w:tcBorders>
                  <w:noWrap/>
                  <w:vAlign w:val="center"/>
                </w:tcPr>
                <w:p>
                  <w:pPr>
                    <w:pStyle w:val="2"/>
                    <w:adjustRightInd w:val="0"/>
                    <w:snapToGrid w:val="0"/>
                    <w:ind w:firstLine="0"/>
                    <w:rPr>
                      <w:rFonts w:eastAsia="宋体"/>
                      <w:color w:val="auto"/>
                      <w:sz w:val="18"/>
                      <w:szCs w:val="18"/>
                    </w:rPr>
                  </w:pPr>
                  <w:r>
                    <w:rPr>
                      <w:rFonts w:hint="eastAsia" w:eastAsia="宋体"/>
                      <w:color w:val="auto"/>
                      <w:sz w:val="18"/>
                      <w:szCs w:val="18"/>
                    </w:rPr>
                    <w:t>第95百分位数日平均质量浓度</w:t>
                  </w:r>
                </w:p>
              </w:tc>
              <w:tc>
                <w:tcPr>
                  <w:tcW w:w="1025"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1.0</w:t>
                  </w:r>
                </w:p>
              </w:tc>
              <w:tc>
                <w:tcPr>
                  <w:tcW w:w="100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4</w:t>
                  </w:r>
                </w:p>
              </w:tc>
              <w:tc>
                <w:tcPr>
                  <w:tcW w:w="673"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25.00</w:t>
                  </w:r>
                </w:p>
              </w:tc>
              <w:tc>
                <w:tcPr>
                  <w:tcW w:w="65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650"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eastAsia="宋体"/>
                      <w:b/>
                      <w:bCs/>
                      <w:color w:val="auto"/>
                      <w:sz w:val="18"/>
                      <w:szCs w:val="18"/>
                    </w:rPr>
                    <w:t>O</w:t>
                  </w:r>
                  <w:r>
                    <w:rPr>
                      <w:rFonts w:eastAsia="宋体"/>
                      <w:b/>
                      <w:bCs/>
                      <w:color w:val="auto"/>
                      <w:sz w:val="18"/>
                      <w:szCs w:val="18"/>
                      <w:vertAlign w:val="subscript"/>
                    </w:rPr>
                    <w:t>3</w:t>
                  </w:r>
                </w:p>
              </w:tc>
              <w:tc>
                <w:tcPr>
                  <w:tcW w:w="983" w:type="pct"/>
                  <w:tcBorders>
                    <w:tl2br w:val="nil"/>
                    <w:tr2bl w:val="nil"/>
                  </w:tcBorders>
                  <w:noWrap/>
                  <w:vAlign w:val="center"/>
                </w:tcPr>
                <w:p>
                  <w:pPr>
                    <w:pStyle w:val="2"/>
                    <w:adjustRightInd w:val="0"/>
                    <w:snapToGrid w:val="0"/>
                    <w:ind w:firstLine="0"/>
                    <w:rPr>
                      <w:rFonts w:eastAsia="宋体"/>
                      <w:color w:val="auto"/>
                      <w:sz w:val="18"/>
                      <w:szCs w:val="18"/>
                    </w:rPr>
                  </w:pPr>
                  <w:r>
                    <w:rPr>
                      <w:rFonts w:hint="eastAsia" w:eastAsia="宋体"/>
                      <w:color w:val="auto"/>
                      <w:sz w:val="18"/>
                      <w:szCs w:val="18"/>
                    </w:rPr>
                    <w:t>第90百分位数日平均质量浓度</w:t>
                  </w:r>
                </w:p>
              </w:tc>
              <w:tc>
                <w:tcPr>
                  <w:tcW w:w="1025"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113.6</w:t>
                  </w:r>
                </w:p>
              </w:tc>
              <w:tc>
                <w:tcPr>
                  <w:tcW w:w="100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160</w:t>
                  </w:r>
                </w:p>
              </w:tc>
              <w:tc>
                <w:tcPr>
                  <w:tcW w:w="673" w:type="pct"/>
                  <w:tcBorders>
                    <w:tl2br w:val="nil"/>
                    <w:tr2bl w:val="nil"/>
                  </w:tcBorders>
                  <w:noWrap/>
                  <w:vAlign w:val="center"/>
                </w:tcPr>
                <w:p>
                  <w:pPr>
                    <w:pStyle w:val="2"/>
                    <w:adjustRightInd w:val="0"/>
                    <w:snapToGrid w:val="0"/>
                    <w:ind w:firstLine="0"/>
                    <w:jc w:val="center"/>
                    <w:rPr>
                      <w:rFonts w:hint="default" w:eastAsia="宋体"/>
                      <w:color w:val="auto"/>
                      <w:sz w:val="18"/>
                      <w:szCs w:val="18"/>
                      <w:lang w:val="en-US" w:eastAsia="zh-CN"/>
                    </w:rPr>
                  </w:pPr>
                  <w:r>
                    <w:rPr>
                      <w:rFonts w:hint="eastAsia" w:eastAsia="宋体"/>
                      <w:color w:val="auto"/>
                      <w:sz w:val="18"/>
                      <w:szCs w:val="18"/>
                      <w:lang w:val="en-US" w:eastAsia="zh-CN"/>
                    </w:rPr>
                    <w:t>71</w:t>
                  </w:r>
                </w:p>
              </w:tc>
              <w:tc>
                <w:tcPr>
                  <w:tcW w:w="658" w:type="pct"/>
                  <w:tcBorders>
                    <w:tl2br w:val="nil"/>
                    <w:tr2bl w:val="nil"/>
                  </w:tcBorders>
                  <w:noWrap/>
                  <w:vAlign w:val="center"/>
                </w:tcPr>
                <w:p>
                  <w:pPr>
                    <w:pStyle w:val="2"/>
                    <w:adjustRightInd w:val="0"/>
                    <w:snapToGrid w:val="0"/>
                    <w:ind w:firstLine="0"/>
                    <w:jc w:val="center"/>
                    <w:rPr>
                      <w:rFonts w:eastAsia="宋体"/>
                      <w:color w:val="auto"/>
                      <w:sz w:val="18"/>
                      <w:szCs w:val="18"/>
                    </w:rPr>
                  </w:pPr>
                  <w:r>
                    <w:rPr>
                      <w:rFonts w:hint="eastAsia" w:eastAsia="宋体"/>
                      <w:color w:val="auto"/>
                      <w:sz w:val="18"/>
                      <w:szCs w:val="18"/>
                    </w:rPr>
                    <w:t>达标</w:t>
                  </w:r>
                </w:p>
              </w:tc>
            </w:tr>
          </w:tbl>
          <w:p>
            <w:pPr>
              <w:pStyle w:val="34"/>
              <w:keepNext w:val="0"/>
              <w:keepLines w:val="0"/>
              <w:pageBreakBefore w:val="0"/>
              <w:widowControl w:val="0"/>
              <w:kinsoku/>
              <w:wordWrap w:val="0"/>
              <w:overflowPunct/>
              <w:topLinePunct/>
              <w:autoSpaceDE/>
              <w:autoSpaceDN/>
              <w:bidi w:val="0"/>
              <w:adjustRightInd/>
              <w:snapToGrid/>
              <w:spacing w:line="360" w:lineRule="auto"/>
              <w:ind w:firstLine="482"/>
              <w:textAlignment w:val="auto"/>
              <w:outlineLvl w:val="2"/>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由上表可知，本项目所在地大气环境中6项基本污染物均满足</w:t>
            </w:r>
            <w:r>
              <w:rPr>
                <w:color w:val="auto"/>
                <w:szCs w:val="21"/>
              </w:rPr>
              <w:t>《</w:t>
            </w:r>
            <w:r>
              <w:rPr>
                <w:rFonts w:hint="eastAsia"/>
                <w:color w:val="auto"/>
                <w:szCs w:val="21"/>
                <w:lang w:eastAsia="zh-CN"/>
              </w:rPr>
              <w:t>环境空气质量标准</w:t>
            </w:r>
            <w:r>
              <w:rPr>
                <w:color w:val="auto"/>
                <w:szCs w:val="21"/>
              </w:rPr>
              <w:t>》</w:t>
            </w:r>
            <w:r>
              <w:rPr>
                <w:rFonts w:hint="eastAsia"/>
                <w:color w:val="auto"/>
                <w:szCs w:val="21"/>
              </w:rPr>
              <w:t>（</w:t>
            </w:r>
            <w:r>
              <w:rPr>
                <w:rFonts w:hint="eastAsia"/>
                <w:color w:val="auto"/>
                <w:szCs w:val="21"/>
                <w:lang w:val="en-US" w:eastAsia="zh-CN"/>
              </w:rPr>
              <w:t>GB3095</w:t>
            </w:r>
            <w:r>
              <w:rPr>
                <w:color w:val="auto"/>
                <w:szCs w:val="21"/>
              </w:rPr>
              <w:t>-201</w:t>
            </w:r>
            <w:r>
              <w:rPr>
                <w:rFonts w:hint="eastAsia"/>
                <w:color w:val="auto"/>
                <w:szCs w:val="21"/>
                <w:lang w:val="en-US" w:eastAsia="zh-CN"/>
              </w:rPr>
              <w:t>2</w:t>
            </w:r>
            <w:r>
              <w:rPr>
                <w:rFonts w:hint="eastAsia"/>
                <w:color w:val="auto"/>
                <w:szCs w:val="21"/>
              </w:rPr>
              <w:t>）</w:t>
            </w:r>
            <w:r>
              <w:rPr>
                <w:rFonts w:hint="eastAsia"/>
                <w:color w:val="auto"/>
                <w:szCs w:val="21"/>
                <w:lang w:eastAsia="zh-CN"/>
              </w:rPr>
              <w:t>及其修改单（生态环境部公告</w:t>
            </w:r>
            <w:r>
              <w:rPr>
                <w:rFonts w:hint="eastAsia"/>
                <w:color w:val="auto"/>
                <w:szCs w:val="21"/>
                <w:lang w:val="en-US" w:eastAsia="zh-CN"/>
              </w:rPr>
              <w:t>2018年第29号</w:t>
            </w:r>
            <w:r>
              <w:rPr>
                <w:rFonts w:hint="eastAsia"/>
                <w:color w:val="auto"/>
                <w:szCs w:val="21"/>
                <w:lang w:eastAsia="zh-CN"/>
              </w:rPr>
              <w:t>）中二类标准要求。项目所在评价区域为达标区。</w:t>
            </w:r>
          </w:p>
          <w:p>
            <w:pPr>
              <w:pStyle w:val="34"/>
              <w:spacing w:line="360" w:lineRule="auto"/>
              <w:ind w:left="0" w:leftChars="0" w:firstLine="0" w:firstLineChars="0"/>
              <w:outlineLvl w:val="2"/>
              <w:rPr>
                <w:b/>
                <w:color w:val="auto"/>
                <w:sz w:val="24"/>
              </w:rPr>
            </w:pPr>
            <w:r>
              <w:rPr>
                <w:b/>
                <w:color w:val="auto"/>
                <w:sz w:val="24"/>
              </w:rPr>
              <w:t>3.1.2地表水环境现状及主要环境问题</w:t>
            </w:r>
          </w:p>
          <w:p>
            <w:pPr>
              <w:wordWrap w:val="0"/>
              <w:topLinePunct/>
              <w:spacing w:line="360" w:lineRule="auto"/>
              <w:ind w:firstLine="420" w:firstLineChars="200"/>
              <w:rPr>
                <w:color w:val="auto"/>
                <w:szCs w:val="21"/>
              </w:rPr>
            </w:pPr>
            <w:r>
              <w:rPr>
                <w:rFonts w:hint="eastAsia"/>
                <w:color w:val="auto"/>
                <w:szCs w:val="21"/>
              </w:rPr>
              <w:t>宠物治疗废水、</w:t>
            </w:r>
            <w:r>
              <w:rPr>
                <w:rFonts w:hint="eastAsia"/>
                <w:color w:val="auto"/>
                <w:szCs w:val="21"/>
                <w:lang w:eastAsia="zh-CN"/>
              </w:rPr>
              <w:t>宠物做手术器械和</w:t>
            </w:r>
            <w:r>
              <w:rPr>
                <w:rFonts w:hint="eastAsia"/>
                <w:color w:val="auto"/>
                <w:szCs w:val="21"/>
              </w:rPr>
              <w:t>地面</w:t>
            </w:r>
            <w:r>
              <w:rPr>
                <w:rFonts w:hint="eastAsia"/>
                <w:color w:val="auto"/>
                <w:szCs w:val="21"/>
                <w:lang w:eastAsia="zh-CN"/>
              </w:rPr>
              <w:t>、宠物笼</w:t>
            </w:r>
            <w:r>
              <w:rPr>
                <w:rFonts w:hint="eastAsia"/>
                <w:color w:val="auto"/>
                <w:szCs w:val="21"/>
              </w:rPr>
              <w:t>清洁废水收集至污水</w:t>
            </w:r>
            <w:r>
              <w:rPr>
                <w:rFonts w:hint="eastAsia"/>
                <w:color w:val="auto"/>
                <w:szCs w:val="21"/>
                <w:lang w:eastAsia="zh-CN"/>
              </w:rPr>
              <w:t>消毒池</w:t>
            </w:r>
            <w:r>
              <w:rPr>
                <w:rFonts w:hint="eastAsia"/>
                <w:color w:val="auto"/>
                <w:szCs w:val="21"/>
              </w:rPr>
              <w:t>进行处理，处理后</w:t>
            </w:r>
            <w:r>
              <w:rPr>
                <w:color w:val="auto"/>
                <w:szCs w:val="21"/>
              </w:rPr>
              <w:t>达到《</w:t>
            </w:r>
            <w:r>
              <w:rPr>
                <w:rFonts w:hint="eastAsia"/>
                <w:color w:val="auto"/>
                <w:szCs w:val="21"/>
              </w:rPr>
              <w:t>医疗机构水污染物排放标准</w:t>
            </w:r>
            <w:r>
              <w:rPr>
                <w:color w:val="auto"/>
                <w:szCs w:val="21"/>
              </w:rPr>
              <w:t>》（GB</w:t>
            </w:r>
            <w:r>
              <w:rPr>
                <w:rFonts w:hint="eastAsia"/>
                <w:color w:val="auto"/>
                <w:szCs w:val="21"/>
              </w:rPr>
              <w:t>18466</w:t>
            </w:r>
            <w:r>
              <w:rPr>
                <w:color w:val="auto"/>
                <w:szCs w:val="21"/>
              </w:rPr>
              <w:t>-</w:t>
            </w:r>
            <w:r>
              <w:rPr>
                <w:rFonts w:hint="eastAsia"/>
                <w:color w:val="auto"/>
                <w:szCs w:val="21"/>
              </w:rPr>
              <w:t>2005</w:t>
            </w:r>
            <w:r>
              <w:rPr>
                <w:color w:val="auto"/>
                <w:szCs w:val="21"/>
              </w:rPr>
              <w:t>）</w:t>
            </w:r>
            <w:r>
              <w:rPr>
                <w:rFonts w:hint="eastAsia"/>
                <w:color w:val="auto"/>
                <w:szCs w:val="21"/>
              </w:rPr>
              <w:t>表2中“预处理标准”标准限值要求再和工作人员污水排至已建的预处理池进行处理，排入市政污水管网，进入</w:t>
            </w:r>
            <w:r>
              <w:rPr>
                <w:rFonts w:hint="eastAsia"/>
                <w:color w:val="auto"/>
                <w:szCs w:val="21"/>
                <w:lang w:eastAsia="zh-CN"/>
              </w:rPr>
              <w:t>苍溪县石家坝城市污水处理厂，最终排入嘉陵江</w:t>
            </w:r>
            <w:r>
              <w:rPr>
                <w:rFonts w:hint="eastAsia"/>
                <w:color w:val="auto"/>
                <w:szCs w:val="21"/>
              </w:rPr>
              <w:t>。</w:t>
            </w:r>
            <w:r>
              <w:rPr>
                <w:color w:val="auto"/>
                <w:szCs w:val="21"/>
              </w:rPr>
              <w:t>优先采用国务院生态环境保护主管部门统一发布的水环境状况信息。为了解项目所在区域地表水质量现状，</w:t>
            </w:r>
            <w:r>
              <w:rPr>
                <w:rFonts w:hint="eastAsia"/>
                <w:color w:val="auto"/>
                <w:szCs w:val="21"/>
                <w:lang w:eastAsia="zh-CN"/>
              </w:rPr>
              <w:t>本项目采用了苍溪县人民政府</w:t>
            </w:r>
            <w:r>
              <w:rPr>
                <w:rFonts w:hint="eastAsia"/>
                <w:color w:val="auto"/>
                <w:szCs w:val="21"/>
                <w:lang w:val="en-US" w:eastAsia="zh-CN"/>
              </w:rPr>
              <w:t>2022年6月发布的</w:t>
            </w:r>
            <w:r>
              <w:rPr>
                <w:color w:val="auto"/>
                <w:szCs w:val="21"/>
              </w:rPr>
              <w:t>《</w:t>
            </w:r>
            <w:r>
              <w:rPr>
                <w:rFonts w:hint="eastAsia"/>
                <w:color w:val="auto"/>
                <w:szCs w:val="21"/>
                <w:lang w:eastAsia="zh-CN"/>
              </w:rPr>
              <w:t>苍溪县</w:t>
            </w:r>
            <w:r>
              <w:rPr>
                <w:rFonts w:hint="eastAsia"/>
                <w:color w:val="auto"/>
                <w:szCs w:val="21"/>
                <w:lang w:val="en-US" w:eastAsia="zh-CN"/>
              </w:rPr>
              <w:t>2021年度环境状况公报</w:t>
            </w:r>
            <w:r>
              <w:rPr>
                <w:color w:val="auto"/>
                <w:szCs w:val="21"/>
              </w:rPr>
              <w:t>》城</w:t>
            </w:r>
            <w:r>
              <w:rPr>
                <w:color w:val="auto"/>
                <w:spacing w:val="1"/>
                <w:szCs w:val="21"/>
              </w:rPr>
              <w:t>市水环境</w:t>
            </w:r>
            <w:r>
              <w:rPr>
                <w:color w:val="auto"/>
                <w:szCs w:val="21"/>
              </w:rPr>
              <w:t>质量状况相关数据下表</w:t>
            </w:r>
            <w:r>
              <w:rPr>
                <w:rFonts w:hint="eastAsia"/>
                <w:color w:val="auto"/>
                <w:szCs w:val="21"/>
              </w:rPr>
              <w:t>。</w:t>
            </w:r>
          </w:p>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表3-</w:t>
            </w:r>
            <w:r>
              <w:rPr>
                <w:rFonts w:hint="eastAsia" w:ascii="Times New Roman" w:hAnsi="Times New Roman" w:cs="Times New Roman"/>
                <w:b/>
                <w:bCs/>
                <w:color w:val="auto"/>
                <w:sz w:val="18"/>
                <w:szCs w:val="18"/>
                <w:lang w:val="en-US" w:eastAsia="zh-CN"/>
              </w:rPr>
              <w:t>3</w:t>
            </w:r>
            <w:r>
              <w:rPr>
                <w:rFonts w:ascii="Times New Roman" w:hAnsi="Times New Roman" w:cs="Times New Roman"/>
                <w:b/>
                <w:bCs/>
                <w:color w:val="auto"/>
                <w:sz w:val="18"/>
                <w:szCs w:val="18"/>
              </w:rPr>
              <w:t xml:space="preserve">  广元区主要流域水质监测情况表</w:t>
            </w:r>
          </w:p>
          <w:tbl>
            <w:tblPr>
              <w:tblStyle w:val="21"/>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11"/>
              <w:gridCol w:w="914"/>
              <w:gridCol w:w="754"/>
              <w:gridCol w:w="636"/>
              <w:gridCol w:w="1251"/>
              <w:gridCol w:w="1190"/>
              <w:gridCol w:w="999"/>
              <w:gridCol w:w="131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71"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河流</w:t>
                  </w:r>
                </w:p>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名称</w:t>
                  </w:r>
                </w:p>
              </w:tc>
              <w:tc>
                <w:tcPr>
                  <w:tcW w:w="573"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断面名称</w:t>
                  </w:r>
                </w:p>
              </w:tc>
              <w:tc>
                <w:tcPr>
                  <w:tcW w:w="473"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属性</w:t>
                  </w:r>
                </w:p>
              </w:tc>
              <w:tc>
                <w:tcPr>
                  <w:tcW w:w="399"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类别</w:t>
                  </w:r>
                </w:p>
              </w:tc>
              <w:tc>
                <w:tcPr>
                  <w:tcW w:w="785"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规定</w:t>
                  </w:r>
                  <w:r>
                    <w:rPr>
                      <w:rFonts w:hint="eastAsia" w:ascii="Times New Roman" w:hAnsi="Times New Roman" w:cs="Times New Roman"/>
                      <w:b/>
                      <w:bCs/>
                      <w:color w:val="auto"/>
                      <w:sz w:val="18"/>
                      <w:szCs w:val="18"/>
                      <w:lang w:eastAsia="zh-CN"/>
                    </w:rPr>
                    <w:t>水功能</w:t>
                  </w:r>
                  <w:r>
                    <w:rPr>
                      <w:rFonts w:ascii="Times New Roman" w:hAnsi="Times New Roman" w:cs="Times New Roman"/>
                      <w:b/>
                      <w:bCs/>
                      <w:color w:val="auto"/>
                      <w:sz w:val="18"/>
                      <w:szCs w:val="18"/>
                    </w:rPr>
                    <w:t>类别</w:t>
                  </w:r>
                </w:p>
              </w:tc>
              <w:tc>
                <w:tcPr>
                  <w:tcW w:w="746"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hint="eastAsia" w:ascii="Times New Roman" w:hAnsi="Times New Roman" w:cs="Times New Roman"/>
                      <w:b/>
                      <w:bCs/>
                      <w:color w:val="auto"/>
                      <w:sz w:val="18"/>
                      <w:szCs w:val="18"/>
                      <w:lang w:eastAsia="zh-CN"/>
                    </w:rPr>
                    <w:t>实断面水质评价测</w:t>
                  </w:r>
                  <w:r>
                    <w:rPr>
                      <w:rFonts w:ascii="Times New Roman" w:hAnsi="Times New Roman" w:cs="Times New Roman"/>
                      <w:b/>
                      <w:bCs/>
                      <w:color w:val="auto"/>
                      <w:sz w:val="18"/>
                      <w:szCs w:val="18"/>
                    </w:rPr>
                    <w:t>类别</w:t>
                  </w:r>
                </w:p>
              </w:tc>
              <w:tc>
                <w:tcPr>
                  <w:tcW w:w="626"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hint="eastAsia" w:ascii="Times New Roman" w:hAnsi="Times New Roman" w:cs="Times New Roman"/>
                      <w:b/>
                      <w:bCs/>
                      <w:color w:val="auto"/>
                      <w:sz w:val="18"/>
                      <w:szCs w:val="18"/>
                      <w:lang w:eastAsia="zh-CN"/>
                    </w:rPr>
                    <w:t>河流评价</w:t>
                  </w:r>
                </w:p>
              </w:tc>
              <w:tc>
                <w:tcPr>
                  <w:tcW w:w="823" w:type="pct"/>
                  <w:tcBorders>
                    <w:tl2br w:val="nil"/>
                    <w:tr2bl w:val="nil"/>
                  </w:tcBorders>
                  <w:noWrap/>
                  <w:vAlign w:val="center"/>
                </w:tcPr>
                <w:p>
                  <w:pPr>
                    <w:pStyle w:val="31"/>
                    <w:jc w:val="center"/>
                    <w:rPr>
                      <w:rFonts w:ascii="Times New Roman" w:hAnsi="Times New Roman" w:cs="Times New Roman"/>
                      <w:b/>
                      <w:bCs/>
                      <w:color w:val="auto"/>
                      <w:sz w:val="18"/>
                      <w:szCs w:val="18"/>
                    </w:rPr>
                  </w:pPr>
                  <w:r>
                    <w:rPr>
                      <w:rFonts w:ascii="Times New Roman" w:hAnsi="Times New Roman" w:cs="Times New Roman"/>
                      <w:b/>
                      <w:bCs/>
                      <w:color w:val="auto"/>
                      <w:sz w:val="18"/>
                      <w:szCs w:val="18"/>
                    </w:rPr>
                    <w:t>主要污染物指标/超标倍数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3" w:hRule="atLeast"/>
                <w:jc w:val="center"/>
              </w:trPr>
              <w:tc>
                <w:tcPr>
                  <w:tcW w:w="571" w:type="pct"/>
                  <w:tcBorders>
                    <w:tl2br w:val="nil"/>
                    <w:tr2bl w:val="nil"/>
                  </w:tcBorders>
                  <w:noWrap/>
                  <w:vAlign w:val="center"/>
                </w:tcPr>
                <w:p>
                  <w:pPr>
                    <w:jc w:val="center"/>
                    <w:rPr>
                      <w:color w:val="auto"/>
                      <w:sz w:val="18"/>
                      <w:szCs w:val="18"/>
                    </w:rPr>
                  </w:pPr>
                  <w:r>
                    <w:rPr>
                      <w:color w:val="auto"/>
                      <w:sz w:val="18"/>
                      <w:szCs w:val="18"/>
                    </w:rPr>
                    <w:t>嘉陵江</w:t>
                  </w:r>
                </w:p>
              </w:tc>
              <w:tc>
                <w:tcPr>
                  <w:tcW w:w="573" w:type="pct"/>
                  <w:tcBorders>
                    <w:tl2br w:val="nil"/>
                    <w:tr2bl w:val="nil"/>
                  </w:tcBorders>
                  <w:noWrap/>
                  <w:vAlign w:val="center"/>
                </w:tcPr>
                <w:p>
                  <w:pPr>
                    <w:pStyle w:val="31"/>
                    <w:jc w:val="center"/>
                    <w:rPr>
                      <w:rFonts w:hint="eastAsia" w:ascii="Times New Roman" w:hAnsi="Times New Roman" w:eastAsia="宋体" w:cs="Times New Roman"/>
                      <w:color w:val="auto"/>
                      <w:sz w:val="18"/>
                      <w:szCs w:val="18"/>
                      <w:lang w:eastAsia="zh-CN"/>
                    </w:rPr>
                  </w:pPr>
                  <w:r>
                    <w:rPr>
                      <w:rFonts w:hint="eastAsia" w:ascii="Times New Roman" w:hAnsi="Times New Roman" w:cs="Times New Roman"/>
                      <w:color w:val="auto"/>
                      <w:sz w:val="18"/>
                      <w:szCs w:val="18"/>
                      <w:lang w:eastAsia="zh-CN"/>
                    </w:rPr>
                    <w:t>金银渡</w:t>
                  </w:r>
                </w:p>
              </w:tc>
              <w:tc>
                <w:tcPr>
                  <w:tcW w:w="473" w:type="pct"/>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eastAsia="zh-CN"/>
                    </w:rPr>
                    <w:t>省</w:t>
                  </w:r>
                  <w:r>
                    <w:rPr>
                      <w:rFonts w:ascii="Times New Roman" w:hAnsi="Times New Roman" w:cs="Times New Roman"/>
                      <w:color w:val="auto"/>
                      <w:sz w:val="18"/>
                      <w:szCs w:val="18"/>
                    </w:rPr>
                    <w:t>控</w:t>
                  </w:r>
                </w:p>
              </w:tc>
              <w:tc>
                <w:tcPr>
                  <w:tcW w:w="399" w:type="pct"/>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河流</w:t>
                  </w:r>
                </w:p>
              </w:tc>
              <w:tc>
                <w:tcPr>
                  <w:tcW w:w="785" w:type="pct"/>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仿宋" w:hAnsi="仿宋" w:eastAsia="仿宋" w:cs="仿宋"/>
                      <w:color w:val="auto"/>
                      <w:sz w:val="18"/>
                      <w:szCs w:val="18"/>
                    </w:rPr>
                    <w:t>Ⅲ</w:t>
                  </w:r>
                  <w:r>
                    <w:rPr>
                      <w:rFonts w:ascii="Times New Roman" w:hAnsi="Times New Roman" w:cs="Times New Roman"/>
                      <w:color w:val="auto"/>
                      <w:sz w:val="18"/>
                      <w:szCs w:val="18"/>
                    </w:rPr>
                    <w:t>类</w:t>
                  </w:r>
                </w:p>
              </w:tc>
              <w:tc>
                <w:tcPr>
                  <w:tcW w:w="746" w:type="pct"/>
                  <w:tcBorders>
                    <w:tl2br w:val="nil"/>
                    <w:tr2bl w:val="nil"/>
                  </w:tcBorders>
                  <w:noWrap/>
                  <w:vAlign w:val="center"/>
                </w:tcPr>
                <w:p>
                  <w:pPr>
                    <w:jc w:val="center"/>
                    <w:rPr>
                      <w:color w:val="auto"/>
                      <w:sz w:val="18"/>
                      <w:szCs w:val="18"/>
                    </w:rPr>
                  </w:pPr>
                  <w:r>
                    <w:rPr>
                      <w:color w:val="auto"/>
                      <w:sz w:val="18"/>
                      <w:szCs w:val="18"/>
                    </w:rPr>
                    <w:t>Ⅱ类</w:t>
                  </w:r>
                </w:p>
              </w:tc>
              <w:tc>
                <w:tcPr>
                  <w:tcW w:w="626" w:type="pct"/>
                  <w:tcBorders>
                    <w:tl2br w:val="nil"/>
                    <w:tr2bl w:val="nil"/>
                  </w:tcBorders>
                  <w:noWrap/>
                  <w:vAlign w:val="center"/>
                </w:tcPr>
                <w:p>
                  <w:pPr>
                    <w:jc w:val="center"/>
                    <w:rPr>
                      <w:color w:val="auto"/>
                      <w:sz w:val="18"/>
                      <w:szCs w:val="18"/>
                    </w:rPr>
                  </w:pPr>
                  <w:r>
                    <w:rPr>
                      <w:color w:val="auto"/>
                      <w:sz w:val="18"/>
                      <w:szCs w:val="18"/>
                    </w:rPr>
                    <w:t>Ⅰ类</w:t>
                  </w:r>
                </w:p>
              </w:tc>
              <w:tc>
                <w:tcPr>
                  <w:tcW w:w="823" w:type="pct"/>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w:t>
                  </w:r>
                </w:p>
              </w:tc>
            </w:tr>
          </w:tbl>
          <w:p>
            <w:pPr>
              <w:adjustRightInd w:val="0"/>
              <w:snapToGrid w:val="0"/>
              <w:spacing w:line="360" w:lineRule="auto"/>
              <w:ind w:firstLine="420" w:firstLineChars="200"/>
              <w:rPr>
                <w:b/>
                <w:color w:val="auto"/>
                <w:sz w:val="24"/>
              </w:rPr>
            </w:pPr>
            <w:r>
              <w:rPr>
                <w:rFonts w:hint="eastAsia" w:ascii="Times New Roman" w:hAnsi="Times New Roman" w:eastAsia="宋体" w:cs="Times New Roman"/>
                <w:color w:val="auto"/>
                <w:kern w:val="2"/>
                <w:sz w:val="21"/>
                <w:szCs w:val="21"/>
                <w:lang w:val="en-US" w:eastAsia="zh-CN" w:bidi="ar-SA"/>
              </w:rPr>
              <w:t>由上表可知，</w:t>
            </w:r>
            <w:r>
              <w:rPr>
                <w:rFonts w:hint="eastAsia"/>
                <w:color w:val="auto"/>
                <w:szCs w:val="21"/>
              </w:rPr>
              <w:t>嘉陵江</w:t>
            </w:r>
            <w:r>
              <w:rPr>
                <w:color w:val="auto"/>
                <w:szCs w:val="21"/>
              </w:rPr>
              <w:t>监测断面均满足《地表水环境质量标准》（GB3838</w:t>
            </w:r>
            <w:r>
              <w:rPr>
                <w:rFonts w:hint="eastAsia"/>
                <w:color w:val="auto"/>
                <w:szCs w:val="21"/>
              </w:rPr>
              <w:t>-</w:t>
            </w:r>
            <w:r>
              <w:rPr>
                <w:color w:val="auto"/>
                <w:szCs w:val="21"/>
              </w:rPr>
              <w:t>2002）Ⅲ类标准要求，环境质量较好。</w:t>
            </w:r>
            <w:bookmarkStart w:id="4" w:name="_Toc259091849"/>
            <w:bookmarkStart w:id="5" w:name="_Toc269299861"/>
            <w:bookmarkStart w:id="6" w:name="_Toc258896313"/>
          </w:p>
          <w:p>
            <w:pPr>
              <w:pStyle w:val="34"/>
              <w:spacing w:line="360" w:lineRule="auto"/>
              <w:ind w:firstLine="482"/>
              <w:outlineLvl w:val="2"/>
              <w:rPr>
                <w:b/>
                <w:color w:val="auto"/>
                <w:sz w:val="24"/>
              </w:rPr>
            </w:pPr>
            <w:r>
              <w:rPr>
                <w:b/>
                <w:color w:val="auto"/>
                <w:sz w:val="24"/>
              </w:rPr>
              <w:t>3.1.3声环境</w:t>
            </w:r>
            <w:bookmarkEnd w:id="4"/>
            <w:bookmarkEnd w:id="5"/>
            <w:bookmarkEnd w:id="6"/>
            <w:r>
              <w:rPr>
                <w:b/>
                <w:color w:val="auto"/>
                <w:sz w:val="24"/>
              </w:rPr>
              <w:t>现状及主要环境问题</w:t>
            </w:r>
          </w:p>
          <w:p>
            <w:pPr>
              <w:numPr>
                <w:ilvl w:val="0"/>
                <w:numId w:val="5"/>
              </w:numPr>
              <w:spacing w:line="360" w:lineRule="auto"/>
              <w:ind w:firstLine="480"/>
              <w:rPr>
                <w:bCs/>
                <w:color w:val="auto"/>
                <w:szCs w:val="21"/>
              </w:rPr>
            </w:pPr>
            <w:r>
              <w:rPr>
                <w:bCs/>
                <w:color w:val="auto"/>
                <w:szCs w:val="21"/>
              </w:rPr>
              <w:t>监测点位：在项目</w:t>
            </w:r>
            <w:r>
              <w:rPr>
                <w:rFonts w:hint="eastAsia"/>
                <w:bCs/>
                <w:color w:val="auto"/>
                <w:szCs w:val="21"/>
              </w:rPr>
              <w:t>地北侧</w:t>
            </w:r>
            <w:r>
              <w:rPr>
                <w:bCs/>
                <w:color w:val="auto"/>
                <w:szCs w:val="21"/>
              </w:rPr>
              <w:t>厂界外1m处</w:t>
            </w:r>
            <w:r>
              <w:rPr>
                <w:rFonts w:hint="eastAsia"/>
                <w:bCs/>
                <w:color w:val="auto"/>
                <w:szCs w:val="21"/>
              </w:rPr>
              <w:t>；项目南侧最近居民外1米处</w:t>
            </w:r>
            <w:r>
              <w:rPr>
                <w:bCs/>
                <w:color w:val="auto"/>
                <w:szCs w:val="21"/>
              </w:rPr>
              <w:t>分别设点进行了噪声监测</w:t>
            </w:r>
            <w:r>
              <w:rPr>
                <w:rFonts w:hint="eastAsia"/>
                <w:bCs/>
                <w:color w:val="auto"/>
                <w:szCs w:val="21"/>
              </w:rPr>
              <w:t>，</w:t>
            </w:r>
            <w:r>
              <w:rPr>
                <w:bCs/>
                <w:color w:val="auto"/>
                <w:szCs w:val="21"/>
              </w:rPr>
              <w:t>具体监测点布设见下表。</w:t>
            </w:r>
          </w:p>
          <w:p>
            <w:pPr>
              <w:jc w:val="center"/>
              <w:rPr>
                <w:b/>
                <w:color w:val="auto"/>
                <w:sz w:val="18"/>
                <w:szCs w:val="18"/>
              </w:rPr>
            </w:pPr>
            <w:r>
              <w:rPr>
                <w:b/>
                <w:color w:val="auto"/>
                <w:sz w:val="18"/>
                <w:szCs w:val="18"/>
              </w:rPr>
              <w:t>表3-</w:t>
            </w:r>
            <w:r>
              <w:rPr>
                <w:rFonts w:hint="eastAsia"/>
                <w:b/>
                <w:color w:val="auto"/>
                <w:sz w:val="18"/>
                <w:szCs w:val="18"/>
                <w:lang w:val="en-US" w:eastAsia="zh-CN"/>
              </w:rPr>
              <w:t>4</w:t>
            </w:r>
            <w:r>
              <w:rPr>
                <w:b/>
                <w:color w:val="auto"/>
                <w:sz w:val="18"/>
                <w:szCs w:val="18"/>
              </w:rPr>
              <w:t>声环境现状监测点位</w:t>
            </w:r>
          </w:p>
          <w:tbl>
            <w:tblPr>
              <w:tblStyle w:val="21"/>
              <w:tblW w:w="8039"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4595"/>
              <w:gridCol w:w="206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81" w:type="dxa"/>
                  <w:tcBorders>
                    <w:tl2br w:val="nil"/>
                    <w:tr2bl w:val="nil"/>
                  </w:tcBorders>
                  <w:noWrap/>
                  <w:vAlign w:val="center"/>
                </w:tcPr>
                <w:p>
                  <w:pPr>
                    <w:spacing w:line="360" w:lineRule="auto"/>
                    <w:jc w:val="center"/>
                    <w:rPr>
                      <w:color w:val="auto"/>
                      <w:sz w:val="18"/>
                      <w:szCs w:val="18"/>
                    </w:rPr>
                  </w:pPr>
                  <w:r>
                    <w:rPr>
                      <w:color w:val="auto"/>
                      <w:sz w:val="18"/>
                      <w:szCs w:val="18"/>
                    </w:rPr>
                    <w:t>监测点位</w:t>
                  </w:r>
                </w:p>
              </w:tc>
              <w:tc>
                <w:tcPr>
                  <w:tcW w:w="4595" w:type="dxa"/>
                  <w:tcBorders>
                    <w:tl2br w:val="nil"/>
                    <w:tr2bl w:val="nil"/>
                  </w:tcBorders>
                  <w:noWrap/>
                  <w:vAlign w:val="center"/>
                </w:tcPr>
                <w:p>
                  <w:pPr>
                    <w:spacing w:line="360" w:lineRule="auto"/>
                    <w:jc w:val="center"/>
                    <w:rPr>
                      <w:color w:val="auto"/>
                      <w:sz w:val="18"/>
                      <w:szCs w:val="18"/>
                    </w:rPr>
                  </w:pPr>
                  <w:r>
                    <w:rPr>
                      <w:color w:val="auto"/>
                      <w:sz w:val="18"/>
                      <w:szCs w:val="18"/>
                    </w:rPr>
                    <w:t>具体位置</w:t>
                  </w:r>
                </w:p>
              </w:tc>
              <w:tc>
                <w:tcPr>
                  <w:tcW w:w="2063" w:type="dxa"/>
                  <w:tcBorders>
                    <w:tl2br w:val="nil"/>
                    <w:tr2bl w:val="nil"/>
                  </w:tcBorders>
                  <w:noWrap/>
                  <w:vAlign w:val="center"/>
                </w:tcPr>
                <w:p>
                  <w:pPr>
                    <w:ind w:firstLine="723" w:firstLineChars="400"/>
                    <w:rPr>
                      <w:color w:val="auto"/>
                      <w:sz w:val="18"/>
                      <w:szCs w:val="18"/>
                    </w:rPr>
                  </w:pPr>
                  <w:r>
                    <w:rPr>
                      <w:b/>
                      <w:color w:val="auto"/>
                      <w:sz w:val="18"/>
                      <w:szCs w:val="18"/>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381" w:type="dxa"/>
                  <w:tcBorders>
                    <w:tl2br w:val="nil"/>
                    <w:tr2bl w:val="nil"/>
                  </w:tcBorders>
                  <w:noWrap/>
                  <w:vAlign w:val="center"/>
                </w:tcPr>
                <w:p>
                  <w:pPr>
                    <w:jc w:val="center"/>
                    <w:rPr>
                      <w:color w:val="auto"/>
                      <w:sz w:val="18"/>
                      <w:szCs w:val="18"/>
                    </w:rPr>
                  </w:pPr>
                  <w:r>
                    <w:rPr>
                      <w:color w:val="auto"/>
                      <w:sz w:val="18"/>
                      <w:szCs w:val="18"/>
                    </w:rPr>
                    <w:t>1#</w:t>
                  </w:r>
                </w:p>
              </w:tc>
              <w:tc>
                <w:tcPr>
                  <w:tcW w:w="4595" w:type="dxa"/>
                  <w:tcBorders>
                    <w:tl2br w:val="nil"/>
                    <w:tr2bl w:val="nil"/>
                  </w:tcBorders>
                  <w:noWrap/>
                  <w:vAlign w:val="center"/>
                </w:tcPr>
                <w:p>
                  <w:pPr>
                    <w:adjustRightInd w:val="0"/>
                    <w:snapToGrid w:val="0"/>
                    <w:spacing w:line="360" w:lineRule="exact"/>
                    <w:jc w:val="center"/>
                    <w:rPr>
                      <w:color w:val="auto"/>
                      <w:sz w:val="18"/>
                      <w:szCs w:val="18"/>
                    </w:rPr>
                  </w:pPr>
                  <w:r>
                    <w:rPr>
                      <w:color w:val="auto"/>
                      <w:sz w:val="18"/>
                      <w:szCs w:val="18"/>
                    </w:rPr>
                    <w:t>1#：项目北侧场界红线外1m处</w:t>
                  </w:r>
                </w:p>
              </w:tc>
              <w:tc>
                <w:tcPr>
                  <w:tcW w:w="2063" w:type="dxa"/>
                  <w:tcBorders>
                    <w:tl2br w:val="nil"/>
                    <w:tr2bl w:val="nil"/>
                  </w:tcBorders>
                  <w:noWrap/>
                  <w:vAlign w:val="center"/>
                </w:tcPr>
                <w:p>
                  <w:pPr>
                    <w:jc w:val="center"/>
                    <w:rPr>
                      <w:color w:val="auto"/>
                      <w:sz w:val="18"/>
                      <w:szCs w:val="18"/>
                    </w:rPr>
                  </w:pPr>
                  <w:r>
                    <w:rPr>
                      <w:color w:val="auto"/>
                      <w:sz w:val="18"/>
                      <w:szCs w:val="18"/>
                    </w:rPr>
                    <w:t>厂界噪声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381" w:type="dxa"/>
                  <w:tcBorders>
                    <w:tl2br w:val="nil"/>
                    <w:tr2bl w:val="nil"/>
                  </w:tcBorders>
                  <w:noWrap/>
                  <w:vAlign w:val="center"/>
                </w:tcPr>
                <w:p>
                  <w:pPr>
                    <w:jc w:val="center"/>
                    <w:rPr>
                      <w:color w:val="auto"/>
                      <w:sz w:val="18"/>
                      <w:szCs w:val="18"/>
                    </w:rPr>
                  </w:pPr>
                  <w:r>
                    <w:rPr>
                      <w:color w:val="auto"/>
                      <w:sz w:val="18"/>
                      <w:szCs w:val="18"/>
                    </w:rPr>
                    <w:t>2#</w:t>
                  </w:r>
                </w:p>
              </w:tc>
              <w:tc>
                <w:tcPr>
                  <w:tcW w:w="4595" w:type="dxa"/>
                  <w:tcBorders>
                    <w:tl2br w:val="nil"/>
                    <w:tr2bl w:val="nil"/>
                  </w:tcBorders>
                  <w:noWrap/>
                  <w:vAlign w:val="center"/>
                </w:tcPr>
                <w:p>
                  <w:pPr>
                    <w:adjustRightInd w:val="0"/>
                    <w:snapToGrid w:val="0"/>
                    <w:spacing w:line="360" w:lineRule="exact"/>
                    <w:jc w:val="center"/>
                    <w:rPr>
                      <w:color w:val="auto"/>
                      <w:sz w:val="18"/>
                      <w:szCs w:val="18"/>
                    </w:rPr>
                  </w:pPr>
                  <w:r>
                    <w:rPr>
                      <w:rFonts w:hint="eastAsia"/>
                      <w:color w:val="auto"/>
                      <w:sz w:val="18"/>
                      <w:szCs w:val="18"/>
                    </w:rPr>
                    <w:t>2</w:t>
                  </w:r>
                  <w:r>
                    <w:rPr>
                      <w:color w:val="auto"/>
                      <w:sz w:val="18"/>
                      <w:szCs w:val="18"/>
                    </w:rPr>
                    <w:t>#：项目</w:t>
                  </w:r>
                  <w:r>
                    <w:rPr>
                      <w:rFonts w:hint="eastAsia"/>
                      <w:color w:val="auto"/>
                      <w:sz w:val="18"/>
                      <w:szCs w:val="18"/>
                    </w:rPr>
                    <w:t>南</w:t>
                  </w:r>
                  <w:r>
                    <w:rPr>
                      <w:color w:val="auto"/>
                      <w:sz w:val="18"/>
                      <w:szCs w:val="18"/>
                    </w:rPr>
                    <w:t>侧场界红线外最近住户外1m处</w:t>
                  </w:r>
                </w:p>
              </w:tc>
              <w:tc>
                <w:tcPr>
                  <w:tcW w:w="2063" w:type="dxa"/>
                  <w:tcBorders>
                    <w:tl2br w:val="nil"/>
                    <w:tr2bl w:val="nil"/>
                  </w:tcBorders>
                  <w:noWrap/>
                  <w:vAlign w:val="center"/>
                </w:tcPr>
                <w:p>
                  <w:pPr>
                    <w:jc w:val="center"/>
                    <w:rPr>
                      <w:color w:val="auto"/>
                      <w:sz w:val="18"/>
                      <w:szCs w:val="18"/>
                    </w:rPr>
                  </w:pPr>
                  <w:r>
                    <w:rPr>
                      <w:rFonts w:hint="eastAsia"/>
                      <w:color w:val="auto"/>
                      <w:sz w:val="18"/>
                      <w:szCs w:val="18"/>
                    </w:rPr>
                    <w:t>敏感点</w:t>
                  </w:r>
                  <w:r>
                    <w:rPr>
                      <w:color w:val="auto"/>
                      <w:sz w:val="18"/>
                      <w:szCs w:val="18"/>
                    </w:rPr>
                    <w:t>噪声</w:t>
                  </w:r>
                </w:p>
              </w:tc>
            </w:tr>
          </w:tbl>
          <w:p>
            <w:pPr>
              <w:numPr>
                <w:ilvl w:val="0"/>
                <w:numId w:val="5"/>
              </w:numPr>
              <w:spacing w:line="360" w:lineRule="auto"/>
              <w:ind w:firstLine="480"/>
              <w:rPr>
                <w:bCs/>
                <w:color w:val="auto"/>
                <w:szCs w:val="21"/>
              </w:rPr>
            </w:pPr>
            <w:r>
              <w:rPr>
                <w:bCs/>
                <w:color w:val="auto"/>
                <w:szCs w:val="21"/>
              </w:rPr>
              <w:t>监测单位及监测时间：监测单位为</w:t>
            </w:r>
            <w:r>
              <w:rPr>
                <w:rFonts w:hint="eastAsia"/>
                <w:bCs/>
                <w:color w:val="auto"/>
                <w:szCs w:val="21"/>
              </w:rPr>
              <w:t>四川卡夫检测技术有限公司</w:t>
            </w:r>
            <w:r>
              <w:rPr>
                <w:bCs/>
                <w:color w:val="auto"/>
                <w:szCs w:val="21"/>
              </w:rPr>
              <w:t>，监测时间为202</w:t>
            </w:r>
            <w:r>
              <w:rPr>
                <w:rFonts w:hint="eastAsia"/>
                <w:bCs/>
                <w:color w:val="auto"/>
                <w:szCs w:val="21"/>
                <w:lang w:val="en-US" w:eastAsia="zh-CN"/>
              </w:rPr>
              <w:t>3</w:t>
            </w:r>
            <w:r>
              <w:rPr>
                <w:bCs/>
                <w:color w:val="auto"/>
                <w:szCs w:val="21"/>
              </w:rPr>
              <w:t>年</w:t>
            </w:r>
            <w:r>
              <w:rPr>
                <w:rFonts w:hint="eastAsia"/>
                <w:bCs/>
                <w:color w:val="auto"/>
                <w:szCs w:val="21"/>
                <w:lang w:val="en-US" w:eastAsia="zh-CN"/>
              </w:rPr>
              <w:t>5</w:t>
            </w:r>
            <w:r>
              <w:rPr>
                <w:bCs/>
                <w:color w:val="auto"/>
                <w:szCs w:val="21"/>
              </w:rPr>
              <w:t>月</w:t>
            </w:r>
            <w:r>
              <w:rPr>
                <w:rFonts w:hint="eastAsia"/>
                <w:bCs/>
                <w:color w:val="auto"/>
                <w:szCs w:val="21"/>
                <w:lang w:val="en-US" w:eastAsia="zh-CN"/>
              </w:rPr>
              <w:t>04</w:t>
            </w:r>
            <w:r>
              <w:rPr>
                <w:bCs/>
                <w:color w:val="auto"/>
                <w:szCs w:val="21"/>
              </w:rPr>
              <w:t>日</w:t>
            </w:r>
            <w:r>
              <w:rPr>
                <w:rFonts w:hint="eastAsia"/>
                <w:bCs/>
                <w:color w:val="auto"/>
                <w:szCs w:val="21"/>
                <w:lang w:val="en-US" w:eastAsia="zh-CN"/>
              </w:rPr>
              <w:t>~5月05日</w:t>
            </w:r>
            <w:r>
              <w:rPr>
                <w:bCs/>
                <w:color w:val="auto"/>
                <w:szCs w:val="21"/>
              </w:rPr>
              <w:t>。</w:t>
            </w:r>
          </w:p>
          <w:p>
            <w:pPr>
              <w:spacing w:line="360" w:lineRule="auto"/>
              <w:ind w:firstLine="480"/>
              <w:rPr>
                <w:bCs/>
                <w:color w:val="auto"/>
                <w:szCs w:val="21"/>
              </w:rPr>
            </w:pPr>
            <w:r>
              <w:rPr>
                <w:bCs/>
                <w:color w:val="auto"/>
                <w:szCs w:val="21"/>
              </w:rPr>
              <w:t>3、监测方法：按《声环境质量标准》（GB3096-2008）中有关规定进行。</w:t>
            </w:r>
          </w:p>
          <w:p>
            <w:pPr>
              <w:spacing w:line="360" w:lineRule="auto"/>
              <w:ind w:firstLine="480"/>
              <w:rPr>
                <w:bCs/>
                <w:color w:val="auto"/>
                <w:szCs w:val="21"/>
              </w:rPr>
            </w:pPr>
            <w:r>
              <w:rPr>
                <w:bCs/>
                <w:color w:val="auto"/>
                <w:szCs w:val="21"/>
              </w:rPr>
              <w:t>4、监测频率：</w:t>
            </w:r>
            <w:r>
              <w:rPr>
                <w:rFonts w:hint="eastAsia"/>
                <w:bCs/>
                <w:color w:val="auto"/>
                <w:szCs w:val="21"/>
                <w:lang w:eastAsia="zh-CN"/>
              </w:rPr>
              <w:t>检查</w:t>
            </w:r>
            <w:r>
              <w:rPr>
                <w:rFonts w:hint="eastAsia"/>
                <w:bCs/>
                <w:color w:val="auto"/>
                <w:szCs w:val="21"/>
                <w:lang w:val="en-US" w:eastAsia="zh-CN"/>
              </w:rPr>
              <w:t>2天，</w:t>
            </w:r>
            <w:r>
              <w:rPr>
                <w:bCs/>
                <w:color w:val="auto"/>
                <w:szCs w:val="21"/>
              </w:rPr>
              <w:t>各测点昼间及夜间的等效连续A声级，昼间</w:t>
            </w:r>
            <w:r>
              <w:rPr>
                <w:rFonts w:hint="eastAsia"/>
                <w:bCs/>
                <w:color w:val="auto"/>
                <w:szCs w:val="21"/>
                <w:lang w:eastAsia="zh-CN"/>
              </w:rPr>
              <w:t>夜间各</w:t>
            </w:r>
            <w:r>
              <w:rPr>
                <w:bCs/>
                <w:color w:val="auto"/>
                <w:szCs w:val="21"/>
              </w:rPr>
              <w:t>测一次。</w:t>
            </w:r>
          </w:p>
          <w:p>
            <w:pPr>
              <w:spacing w:line="360" w:lineRule="auto"/>
              <w:ind w:firstLine="480"/>
              <w:rPr>
                <w:b/>
                <w:color w:val="auto"/>
                <w:szCs w:val="21"/>
              </w:rPr>
            </w:pPr>
            <w:r>
              <w:rPr>
                <w:bCs/>
                <w:color w:val="auto"/>
                <w:szCs w:val="21"/>
              </w:rPr>
              <w:t>5、检测及评价结果：声环境监测及评价结果统计见下表。</w:t>
            </w:r>
          </w:p>
          <w:p>
            <w:pPr>
              <w:jc w:val="center"/>
              <w:rPr>
                <w:rFonts w:eastAsia="仿宋_GB2312"/>
                <w:color w:val="auto"/>
                <w:sz w:val="18"/>
                <w:szCs w:val="18"/>
              </w:rPr>
            </w:pPr>
            <w:r>
              <w:rPr>
                <w:b/>
                <w:color w:val="auto"/>
                <w:sz w:val="18"/>
                <w:szCs w:val="18"/>
              </w:rPr>
              <w:t>表3-</w:t>
            </w:r>
            <w:r>
              <w:rPr>
                <w:rFonts w:hint="eastAsia"/>
                <w:b/>
                <w:color w:val="auto"/>
                <w:sz w:val="18"/>
                <w:szCs w:val="18"/>
                <w:lang w:val="en-US" w:eastAsia="zh-CN"/>
              </w:rPr>
              <w:t>5</w:t>
            </w:r>
            <w:r>
              <w:rPr>
                <w:b/>
                <w:color w:val="auto"/>
                <w:sz w:val="18"/>
                <w:szCs w:val="18"/>
              </w:rPr>
              <w:t xml:space="preserve">   噪声监测及评价结果 单位dB（A）</w:t>
            </w:r>
          </w:p>
          <w:tbl>
            <w:tblPr>
              <w:tblStyle w:val="21"/>
              <w:tblW w:w="8339"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51"/>
              <w:gridCol w:w="1190"/>
              <w:gridCol w:w="1751"/>
              <w:gridCol w:w="1751"/>
              <w:gridCol w:w="1046"/>
              <w:gridCol w:w="1042"/>
              <w:gridCol w:w="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2741" w:type="dxa"/>
                  <w:gridSpan w:val="2"/>
                  <w:vMerge w:val="restart"/>
                  <w:tcBorders>
                    <w:tl2br w:val="nil"/>
                    <w:tr2bl w:val="nil"/>
                  </w:tcBorders>
                  <w:noWrap/>
                </w:tcPr>
                <w:p>
                  <w:pPr>
                    <w:ind w:firstLine="180" w:firstLineChars="100"/>
                    <w:rPr>
                      <w:color w:val="auto"/>
                      <w:sz w:val="18"/>
                      <w:szCs w:val="18"/>
                    </w:rPr>
                  </w:pPr>
                  <w:r>
                    <w:rPr>
                      <w:color w:val="auto"/>
                      <w:sz w:val="18"/>
                      <w:szCs w:val="18"/>
                    </w:rPr>
                    <mc:AlternateContent>
                      <mc:Choice Requires="wps">
                        <w:drawing>
                          <wp:anchor distT="0" distB="0" distL="114300" distR="114300" simplePos="0" relativeHeight="251661312" behindDoc="0" locked="0" layoutInCell="1" allowOverlap="1">
                            <wp:simplePos x="0" y="0"/>
                            <wp:positionH relativeFrom="column">
                              <wp:posOffset>-31115</wp:posOffset>
                            </wp:positionH>
                            <wp:positionV relativeFrom="paragraph">
                              <wp:posOffset>635</wp:posOffset>
                            </wp:positionV>
                            <wp:extent cx="1703070" cy="350520"/>
                            <wp:effectExtent l="1270" t="4445" r="10160" b="6985"/>
                            <wp:wrapNone/>
                            <wp:docPr id="101" name="直接连接符 101"/>
                            <wp:cNvGraphicFramePr/>
                            <a:graphic xmlns:a="http://schemas.openxmlformats.org/drawingml/2006/main">
                              <a:graphicData uri="http://schemas.microsoft.com/office/word/2010/wordprocessingShape">
                                <wps:wsp>
                                  <wps:cNvCnPr/>
                                  <wps:spPr>
                                    <a:xfrm>
                                      <a:off x="0" y="0"/>
                                      <a:ext cx="1703070" cy="35052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2.45pt;margin-top:0.05pt;height:27.6pt;width:134.1pt;z-index:251661312;mso-width-relative:page;mso-height-relative:page;" filled="f" stroked="t" coordsize="21600,21600" o:gfxdata="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2VpSJ9UAAAAGAQAADwAAAAAAAAABACAAAAAiAAAAZHJzL2Rvd25y&#10;ZXYueG1sUEsBAhQAFAAAAAgAh07iQFbKV+MBAgAA+wMAAA4AAAAAAAAAAQAgAAAAJAEAAGRycy9l&#10;Mm9Eb2MueG1sUEsFBgAAAAAGAAYAWQEAAJcFAAAAAA==&#10;">
                            <v:fill on="f" focussize="0,0"/>
                            <v:stroke color="#000000" joinstyle="round"/>
                            <v:imagedata o:title=""/>
                            <o:lock v:ext="edit" aspectratio="f"/>
                          </v:line>
                        </w:pict>
                      </mc:Fallback>
                    </mc:AlternateContent>
                  </w:r>
                  <w:r>
                    <w:rPr>
                      <w:color w:val="auto"/>
                      <w:sz w:val="18"/>
                      <w:szCs w:val="18"/>
                    </w:rPr>
                    <w:t xml:space="preserve">              监测时间</w:t>
                  </w:r>
                </w:p>
                <w:p>
                  <w:pPr>
                    <w:ind w:firstLine="900" w:firstLineChars="500"/>
                    <w:rPr>
                      <w:color w:val="auto"/>
                      <w:sz w:val="18"/>
                      <w:szCs w:val="18"/>
                    </w:rPr>
                  </w:pPr>
                  <w:r>
                    <w:rPr>
                      <w:color w:val="auto"/>
                      <w:sz w:val="18"/>
                      <w:szCs w:val="18"/>
                    </w:rPr>
                    <w:t>点位</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color w:val="auto"/>
                      <w:sz w:val="18"/>
                      <w:szCs w:val="18"/>
                    </w:rPr>
                    <w:t>20</w:t>
                  </w:r>
                  <w:r>
                    <w:rPr>
                      <w:rFonts w:hint="eastAsia"/>
                      <w:color w:val="auto"/>
                      <w:sz w:val="18"/>
                      <w:szCs w:val="18"/>
                      <w:lang w:val="en-US" w:eastAsia="zh-CN"/>
                    </w:rPr>
                    <w:t>23</w:t>
                  </w:r>
                  <w:r>
                    <w:rPr>
                      <w:color w:val="auto"/>
                      <w:sz w:val="18"/>
                      <w:szCs w:val="18"/>
                    </w:rPr>
                    <w:t>.</w:t>
                  </w:r>
                  <w:r>
                    <w:rPr>
                      <w:rFonts w:hint="eastAsia"/>
                      <w:color w:val="auto"/>
                      <w:sz w:val="18"/>
                      <w:szCs w:val="18"/>
                      <w:lang w:val="en-US" w:eastAsia="zh-CN"/>
                    </w:rPr>
                    <w:t>5</w:t>
                  </w:r>
                  <w:r>
                    <w:rPr>
                      <w:color w:val="auto"/>
                      <w:sz w:val="18"/>
                      <w:szCs w:val="18"/>
                    </w:rPr>
                    <w:t>.</w:t>
                  </w:r>
                  <w:r>
                    <w:rPr>
                      <w:rFonts w:hint="eastAsia"/>
                      <w:color w:val="auto"/>
                      <w:sz w:val="18"/>
                      <w:szCs w:val="18"/>
                      <w:lang w:val="en-US" w:eastAsia="zh-CN"/>
                    </w:rPr>
                    <w:t>04</w:t>
                  </w:r>
                </w:p>
              </w:tc>
              <w:tc>
                <w:tcPr>
                  <w:tcW w:w="1751" w:type="dxa"/>
                  <w:tcBorders>
                    <w:tl2br w:val="nil"/>
                    <w:tr2bl w:val="nil"/>
                  </w:tcBorders>
                  <w:noWrap/>
                  <w:vAlign w:val="center"/>
                </w:tcPr>
                <w:p>
                  <w:pPr>
                    <w:jc w:val="center"/>
                    <w:rPr>
                      <w:rFonts w:hint="default"/>
                      <w:color w:val="auto"/>
                      <w:sz w:val="18"/>
                      <w:szCs w:val="18"/>
                      <w:lang w:val="en-US"/>
                    </w:rPr>
                  </w:pPr>
                  <w:r>
                    <w:rPr>
                      <w:color w:val="auto"/>
                      <w:sz w:val="18"/>
                      <w:szCs w:val="18"/>
                    </w:rPr>
                    <w:t>20</w:t>
                  </w:r>
                  <w:r>
                    <w:rPr>
                      <w:rFonts w:hint="eastAsia"/>
                      <w:color w:val="auto"/>
                      <w:sz w:val="18"/>
                      <w:szCs w:val="18"/>
                      <w:lang w:val="en-US" w:eastAsia="zh-CN"/>
                    </w:rPr>
                    <w:t>23</w:t>
                  </w:r>
                  <w:r>
                    <w:rPr>
                      <w:color w:val="auto"/>
                      <w:sz w:val="18"/>
                      <w:szCs w:val="18"/>
                    </w:rPr>
                    <w:t>.</w:t>
                  </w:r>
                  <w:r>
                    <w:rPr>
                      <w:rFonts w:hint="eastAsia"/>
                      <w:color w:val="auto"/>
                      <w:sz w:val="18"/>
                      <w:szCs w:val="18"/>
                      <w:lang w:val="en-US" w:eastAsia="zh-CN"/>
                    </w:rPr>
                    <w:t>5</w:t>
                  </w:r>
                  <w:r>
                    <w:rPr>
                      <w:color w:val="auto"/>
                      <w:sz w:val="18"/>
                      <w:szCs w:val="18"/>
                    </w:rPr>
                    <w:t>.</w:t>
                  </w:r>
                  <w:r>
                    <w:rPr>
                      <w:rFonts w:hint="eastAsia"/>
                      <w:color w:val="auto"/>
                      <w:sz w:val="18"/>
                      <w:szCs w:val="18"/>
                      <w:lang w:val="en-US" w:eastAsia="zh-CN"/>
                    </w:rPr>
                    <w:t>05</w:t>
                  </w:r>
                </w:p>
              </w:tc>
              <w:tc>
                <w:tcPr>
                  <w:tcW w:w="1046" w:type="dxa"/>
                  <w:vMerge w:val="restart"/>
                  <w:tcBorders>
                    <w:tl2br w:val="nil"/>
                    <w:tr2bl w:val="nil"/>
                  </w:tcBorders>
                  <w:noWrap/>
                  <w:vAlign w:val="center"/>
                </w:tcPr>
                <w:p>
                  <w:pPr>
                    <w:jc w:val="center"/>
                    <w:rPr>
                      <w:color w:val="auto"/>
                      <w:sz w:val="18"/>
                      <w:szCs w:val="18"/>
                    </w:rPr>
                  </w:pPr>
                  <w:r>
                    <w:rPr>
                      <w:rFonts w:hint="eastAsia"/>
                      <w:color w:val="auto"/>
                      <w:sz w:val="18"/>
                      <w:szCs w:val="18"/>
                    </w:rPr>
                    <w:t>标准限值</w:t>
                  </w:r>
                </w:p>
              </w:tc>
              <w:tc>
                <w:tcPr>
                  <w:tcW w:w="1050" w:type="dxa"/>
                  <w:gridSpan w:val="2"/>
                  <w:vMerge w:val="restart"/>
                  <w:tcBorders>
                    <w:tl2br w:val="nil"/>
                    <w:tr2bl w:val="nil"/>
                  </w:tcBorders>
                  <w:noWrap/>
                  <w:vAlign w:val="center"/>
                </w:tcPr>
                <w:p>
                  <w:pPr>
                    <w:jc w:val="center"/>
                    <w:rPr>
                      <w:color w:val="auto"/>
                      <w:sz w:val="18"/>
                      <w:szCs w:val="18"/>
                    </w:rPr>
                  </w:pPr>
                  <w:r>
                    <w:rPr>
                      <w:color w:val="auto"/>
                      <w:sz w:val="18"/>
                      <w:szCs w:val="18"/>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2741" w:type="dxa"/>
                  <w:gridSpan w:val="2"/>
                  <w:vMerge w:val="continue"/>
                  <w:tcBorders>
                    <w:tl2br w:val="nil"/>
                    <w:tr2bl w:val="nil"/>
                  </w:tcBorders>
                  <w:noWrap/>
                </w:tcPr>
                <w:p>
                  <w:pPr>
                    <w:jc w:val="center"/>
                    <w:rPr>
                      <w:color w:val="auto"/>
                      <w:sz w:val="18"/>
                      <w:szCs w:val="18"/>
                    </w:rPr>
                  </w:pPr>
                </w:p>
              </w:tc>
              <w:tc>
                <w:tcPr>
                  <w:tcW w:w="1751" w:type="dxa"/>
                  <w:tcBorders>
                    <w:tl2br w:val="nil"/>
                    <w:tr2bl w:val="nil"/>
                  </w:tcBorders>
                  <w:noWrap/>
                  <w:vAlign w:val="center"/>
                </w:tcPr>
                <w:p>
                  <w:pPr>
                    <w:jc w:val="center"/>
                    <w:rPr>
                      <w:color w:val="auto"/>
                      <w:sz w:val="18"/>
                      <w:szCs w:val="18"/>
                    </w:rPr>
                  </w:pPr>
                  <w:r>
                    <w:rPr>
                      <w:color w:val="auto"/>
                      <w:sz w:val="18"/>
                      <w:szCs w:val="18"/>
                    </w:rPr>
                    <w:t>Leq</w:t>
                  </w:r>
                </w:p>
              </w:tc>
              <w:tc>
                <w:tcPr>
                  <w:tcW w:w="1751" w:type="dxa"/>
                  <w:tcBorders>
                    <w:tl2br w:val="nil"/>
                    <w:tr2bl w:val="nil"/>
                  </w:tcBorders>
                  <w:noWrap/>
                  <w:vAlign w:val="center"/>
                </w:tcPr>
                <w:p>
                  <w:pPr>
                    <w:jc w:val="center"/>
                    <w:rPr>
                      <w:color w:val="auto"/>
                      <w:sz w:val="18"/>
                      <w:szCs w:val="18"/>
                    </w:rPr>
                  </w:pPr>
                  <w:r>
                    <w:rPr>
                      <w:color w:val="auto"/>
                      <w:sz w:val="18"/>
                      <w:szCs w:val="18"/>
                    </w:rPr>
                    <w:t>Leq</w:t>
                  </w:r>
                </w:p>
              </w:tc>
              <w:tc>
                <w:tcPr>
                  <w:tcW w:w="1046" w:type="dxa"/>
                  <w:vMerge w:val="continue"/>
                  <w:tcBorders>
                    <w:tl2br w:val="nil"/>
                    <w:tr2bl w:val="nil"/>
                  </w:tcBorders>
                  <w:noWrap/>
                  <w:vAlign w:val="center"/>
                </w:tcPr>
                <w:p>
                  <w:pPr>
                    <w:jc w:val="center"/>
                    <w:rPr>
                      <w:color w:val="auto"/>
                      <w:sz w:val="18"/>
                      <w:szCs w:val="18"/>
                    </w:rPr>
                  </w:pPr>
                </w:p>
              </w:tc>
              <w:tc>
                <w:tcPr>
                  <w:tcW w:w="1050" w:type="dxa"/>
                  <w:gridSpan w:val="2"/>
                  <w:vMerge w:val="continue"/>
                  <w:tcBorders>
                    <w:tl2br w:val="nil"/>
                    <w:tr2bl w:val="nil"/>
                  </w:tcBorders>
                  <w:noWrap/>
                  <w:vAlign w:val="center"/>
                </w:tcPr>
                <w:p>
                  <w:pPr>
                    <w:jc w:val="center"/>
                    <w:rPr>
                      <w:color w:val="auto"/>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81" w:hRule="atLeast"/>
                <w:jc w:val="center"/>
              </w:trPr>
              <w:tc>
                <w:tcPr>
                  <w:tcW w:w="1551" w:type="dxa"/>
                  <w:vMerge w:val="restart"/>
                  <w:tcBorders>
                    <w:tl2br w:val="nil"/>
                    <w:tr2bl w:val="nil"/>
                  </w:tcBorders>
                  <w:noWrap/>
                  <w:vAlign w:val="center"/>
                </w:tcPr>
                <w:p>
                  <w:pPr>
                    <w:jc w:val="center"/>
                    <w:rPr>
                      <w:color w:val="auto"/>
                      <w:sz w:val="18"/>
                      <w:szCs w:val="18"/>
                    </w:rPr>
                  </w:pPr>
                  <w:r>
                    <w:rPr>
                      <w:color w:val="auto"/>
                      <w:sz w:val="18"/>
                      <w:szCs w:val="18"/>
                    </w:rPr>
                    <w:t>1#</w:t>
                  </w:r>
                </w:p>
              </w:tc>
              <w:tc>
                <w:tcPr>
                  <w:tcW w:w="1190" w:type="dxa"/>
                  <w:tcBorders>
                    <w:tl2br w:val="nil"/>
                    <w:tr2bl w:val="nil"/>
                  </w:tcBorders>
                  <w:noWrap/>
                  <w:vAlign w:val="center"/>
                </w:tcPr>
                <w:p>
                  <w:pPr>
                    <w:jc w:val="center"/>
                    <w:rPr>
                      <w:color w:val="auto"/>
                      <w:sz w:val="18"/>
                      <w:szCs w:val="18"/>
                    </w:rPr>
                  </w:pPr>
                  <w:r>
                    <w:rPr>
                      <w:color w:val="auto"/>
                      <w:sz w:val="18"/>
                      <w:szCs w:val="18"/>
                    </w:rPr>
                    <w:t>昼间</w:t>
                  </w:r>
                </w:p>
              </w:tc>
              <w:tc>
                <w:tcPr>
                  <w:tcW w:w="1751" w:type="dxa"/>
                  <w:tcBorders>
                    <w:tl2br w:val="nil"/>
                    <w:tr2bl w:val="nil"/>
                  </w:tcBorders>
                  <w:noWrap/>
                  <w:vAlign w:val="center"/>
                </w:tcPr>
                <w:p>
                  <w:pPr>
                    <w:jc w:val="center"/>
                    <w:rPr>
                      <w:rFonts w:hint="eastAsia" w:eastAsia="宋体"/>
                      <w:color w:val="auto"/>
                      <w:sz w:val="18"/>
                      <w:szCs w:val="18"/>
                      <w:lang w:val="en-US" w:eastAsia="zh-CN"/>
                    </w:rPr>
                  </w:pPr>
                  <w:r>
                    <w:rPr>
                      <w:rFonts w:hint="eastAsia"/>
                      <w:color w:val="auto"/>
                      <w:sz w:val="18"/>
                      <w:szCs w:val="18"/>
                    </w:rPr>
                    <w:t>5</w:t>
                  </w:r>
                  <w:r>
                    <w:rPr>
                      <w:rFonts w:hint="eastAsia"/>
                      <w:color w:val="auto"/>
                      <w:sz w:val="18"/>
                      <w:szCs w:val="18"/>
                      <w:lang w:val="en-US" w:eastAsia="zh-CN"/>
                    </w:rPr>
                    <w:t>6</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53.4</w:t>
                  </w:r>
                </w:p>
              </w:tc>
              <w:tc>
                <w:tcPr>
                  <w:tcW w:w="1046" w:type="dxa"/>
                  <w:tcBorders>
                    <w:tl2br w:val="nil"/>
                    <w:tr2bl w:val="nil"/>
                  </w:tcBorders>
                  <w:noWrap/>
                  <w:vAlign w:val="center"/>
                </w:tcPr>
                <w:p>
                  <w:pPr>
                    <w:jc w:val="center"/>
                    <w:rPr>
                      <w:color w:val="auto"/>
                      <w:sz w:val="18"/>
                      <w:szCs w:val="18"/>
                    </w:rPr>
                  </w:pPr>
                  <w:r>
                    <w:rPr>
                      <w:rFonts w:hint="eastAsia"/>
                      <w:color w:val="auto"/>
                      <w:sz w:val="18"/>
                      <w:szCs w:val="18"/>
                    </w:rPr>
                    <w:t>60</w:t>
                  </w:r>
                </w:p>
              </w:tc>
              <w:tc>
                <w:tcPr>
                  <w:tcW w:w="1042" w:type="dxa"/>
                  <w:tcBorders>
                    <w:tl2br w:val="nil"/>
                    <w:tr2bl w:val="nil"/>
                  </w:tcBorders>
                  <w:noWrap/>
                  <w:vAlign w:val="center"/>
                </w:tcPr>
                <w:p>
                  <w:pPr>
                    <w:jc w:val="center"/>
                    <w:rPr>
                      <w:color w:val="auto"/>
                      <w:sz w:val="18"/>
                      <w:szCs w:val="18"/>
                    </w:rPr>
                  </w:pPr>
                  <w:r>
                    <w:rPr>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81" w:hRule="atLeast"/>
                <w:jc w:val="center"/>
              </w:trPr>
              <w:tc>
                <w:tcPr>
                  <w:tcW w:w="1551" w:type="dxa"/>
                  <w:vMerge w:val="continue"/>
                  <w:tcBorders>
                    <w:tl2br w:val="nil"/>
                    <w:tr2bl w:val="nil"/>
                  </w:tcBorders>
                  <w:noWrap/>
                  <w:vAlign w:val="center"/>
                </w:tcPr>
                <w:p>
                  <w:pPr>
                    <w:jc w:val="center"/>
                    <w:rPr>
                      <w:color w:val="auto"/>
                      <w:sz w:val="18"/>
                      <w:szCs w:val="18"/>
                    </w:rPr>
                  </w:pPr>
                </w:p>
              </w:tc>
              <w:tc>
                <w:tcPr>
                  <w:tcW w:w="1190" w:type="dxa"/>
                  <w:tcBorders>
                    <w:tl2br w:val="nil"/>
                    <w:tr2bl w:val="nil"/>
                  </w:tcBorders>
                  <w:noWrap/>
                  <w:vAlign w:val="center"/>
                </w:tcPr>
                <w:p>
                  <w:pPr>
                    <w:jc w:val="center"/>
                    <w:rPr>
                      <w:rFonts w:hint="eastAsia" w:eastAsia="宋体"/>
                      <w:color w:val="auto"/>
                      <w:sz w:val="18"/>
                      <w:szCs w:val="18"/>
                      <w:lang w:eastAsia="zh-CN"/>
                    </w:rPr>
                  </w:pPr>
                  <w:r>
                    <w:rPr>
                      <w:rFonts w:hint="eastAsia"/>
                      <w:color w:val="auto"/>
                      <w:sz w:val="18"/>
                      <w:szCs w:val="18"/>
                      <w:lang w:eastAsia="zh-CN"/>
                    </w:rPr>
                    <w:t>夜间</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46.1</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47.3</w:t>
                  </w:r>
                </w:p>
              </w:tc>
              <w:tc>
                <w:tcPr>
                  <w:tcW w:w="1046"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50</w:t>
                  </w:r>
                </w:p>
              </w:tc>
              <w:tc>
                <w:tcPr>
                  <w:tcW w:w="1042" w:type="dxa"/>
                  <w:tcBorders>
                    <w:tl2br w:val="nil"/>
                    <w:tr2bl w:val="nil"/>
                  </w:tcBorders>
                  <w:noWrap/>
                  <w:vAlign w:val="center"/>
                </w:tcPr>
                <w:p>
                  <w:pPr>
                    <w:jc w:val="center"/>
                    <w:rPr>
                      <w:color w:val="auto"/>
                      <w:sz w:val="18"/>
                      <w:szCs w:val="18"/>
                    </w:rPr>
                  </w:pPr>
                  <w:r>
                    <w:rPr>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81" w:hRule="atLeast"/>
                <w:jc w:val="center"/>
              </w:trPr>
              <w:tc>
                <w:tcPr>
                  <w:tcW w:w="1551" w:type="dxa"/>
                  <w:vMerge w:val="restart"/>
                  <w:tcBorders>
                    <w:tl2br w:val="nil"/>
                    <w:tr2bl w:val="nil"/>
                  </w:tcBorders>
                  <w:noWrap/>
                  <w:vAlign w:val="center"/>
                </w:tcPr>
                <w:p>
                  <w:pPr>
                    <w:jc w:val="center"/>
                    <w:rPr>
                      <w:color w:val="auto"/>
                      <w:sz w:val="18"/>
                      <w:szCs w:val="18"/>
                    </w:rPr>
                  </w:pPr>
                  <w:r>
                    <w:rPr>
                      <w:color w:val="auto"/>
                      <w:sz w:val="18"/>
                      <w:szCs w:val="18"/>
                    </w:rPr>
                    <w:t>2#</w:t>
                  </w:r>
                </w:p>
              </w:tc>
              <w:tc>
                <w:tcPr>
                  <w:tcW w:w="1190" w:type="dxa"/>
                  <w:tcBorders>
                    <w:tl2br w:val="nil"/>
                    <w:tr2bl w:val="nil"/>
                  </w:tcBorders>
                  <w:noWrap/>
                  <w:vAlign w:val="center"/>
                </w:tcPr>
                <w:p>
                  <w:pPr>
                    <w:jc w:val="center"/>
                    <w:rPr>
                      <w:color w:val="auto"/>
                      <w:sz w:val="18"/>
                      <w:szCs w:val="18"/>
                    </w:rPr>
                  </w:pPr>
                  <w:r>
                    <w:rPr>
                      <w:color w:val="auto"/>
                      <w:sz w:val="18"/>
                      <w:szCs w:val="18"/>
                    </w:rPr>
                    <w:t>昼间</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56.2</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54.8</w:t>
                  </w:r>
                </w:p>
              </w:tc>
              <w:tc>
                <w:tcPr>
                  <w:tcW w:w="1046" w:type="dxa"/>
                  <w:tcBorders>
                    <w:tl2br w:val="nil"/>
                    <w:tr2bl w:val="nil"/>
                  </w:tcBorders>
                  <w:noWrap/>
                  <w:vAlign w:val="center"/>
                </w:tcPr>
                <w:p>
                  <w:pPr>
                    <w:jc w:val="center"/>
                    <w:rPr>
                      <w:rFonts w:hint="eastAsia"/>
                      <w:color w:val="auto"/>
                      <w:sz w:val="18"/>
                      <w:szCs w:val="18"/>
                    </w:rPr>
                  </w:pPr>
                  <w:r>
                    <w:rPr>
                      <w:rFonts w:hint="eastAsia"/>
                      <w:color w:val="auto"/>
                      <w:sz w:val="18"/>
                      <w:szCs w:val="18"/>
                    </w:rPr>
                    <w:t>60</w:t>
                  </w:r>
                </w:p>
              </w:tc>
              <w:tc>
                <w:tcPr>
                  <w:tcW w:w="1042" w:type="dxa"/>
                  <w:tcBorders>
                    <w:tl2br w:val="nil"/>
                    <w:tr2bl w:val="nil"/>
                  </w:tcBorders>
                  <w:noWrap/>
                  <w:vAlign w:val="center"/>
                </w:tcPr>
                <w:p>
                  <w:pPr>
                    <w:jc w:val="center"/>
                    <w:rPr>
                      <w:color w:val="auto"/>
                      <w:sz w:val="18"/>
                      <w:szCs w:val="18"/>
                    </w:rPr>
                  </w:pPr>
                  <w:r>
                    <w:rPr>
                      <w:color w:val="auto"/>
                      <w:sz w:val="18"/>
                      <w:szCs w:val="18"/>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gridAfter w:val="1"/>
                <w:wAfter w:w="8" w:type="dxa"/>
                <w:trHeight w:val="281" w:hRule="atLeast"/>
                <w:jc w:val="center"/>
              </w:trPr>
              <w:tc>
                <w:tcPr>
                  <w:tcW w:w="1551" w:type="dxa"/>
                  <w:vMerge w:val="continue"/>
                  <w:tcBorders>
                    <w:tl2br w:val="nil"/>
                    <w:tr2bl w:val="nil"/>
                  </w:tcBorders>
                  <w:noWrap/>
                  <w:vAlign w:val="center"/>
                </w:tcPr>
                <w:p>
                  <w:pPr>
                    <w:jc w:val="center"/>
                    <w:rPr>
                      <w:color w:val="auto"/>
                      <w:sz w:val="18"/>
                      <w:szCs w:val="18"/>
                    </w:rPr>
                  </w:pPr>
                </w:p>
              </w:tc>
              <w:tc>
                <w:tcPr>
                  <w:tcW w:w="1190" w:type="dxa"/>
                  <w:tcBorders>
                    <w:tl2br w:val="nil"/>
                    <w:tr2bl w:val="nil"/>
                  </w:tcBorders>
                  <w:noWrap/>
                  <w:vAlign w:val="center"/>
                </w:tcPr>
                <w:p>
                  <w:pPr>
                    <w:jc w:val="center"/>
                    <w:rPr>
                      <w:rFonts w:hint="eastAsia" w:eastAsia="宋体"/>
                      <w:color w:val="auto"/>
                      <w:sz w:val="18"/>
                      <w:szCs w:val="18"/>
                      <w:lang w:eastAsia="zh-CN"/>
                    </w:rPr>
                  </w:pPr>
                  <w:r>
                    <w:rPr>
                      <w:rFonts w:hint="eastAsia"/>
                      <w:color w:val="auto"/>
                      <w:sz w:val="18"/>
                      <w:szCs w:val="18"/>
                      <w:lang w:eastAsia="zh-CN"/>
                    </w:rPr>
                    <w:t>夜间</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45.9</w:t>
                  </w:r>
                </w:p>
              </w:tc>
              <w:tc>
                <w:tcPr>
                  <w:tcW w:w="1751" w:type="dxa"/>
                  <w:tcBorders>
                    <w:tl2br w:val="nil"/>
                    <w:tr2bl w:val="nil"/>
                  </w:tcBorders>
                  <w:noWrap/>
                  <w:vAlign w:val="center"/>
                </w:tcPr>
                <w:p>
                  <w:pPr>
                    <w:jc w:val="center"/>
                    <w:rPr>
                      <w:rFonts w:hint="default" w:eastAsia="宋体"/>
                      <w:color w:val="auto"/>
                      <w:sz w:val="18"/>
                      <w:szCs w:val="18"/>
                      <w:lang w:val="en-US" w:eastAsia="zh-CN"/>
                    </w:rPr>
                  </w:pPr>
                  <w:r>
                    <w:rPr>
                      <w:rFonts w:hint="eastAsia"/>
                      <w:color w:val="auto"/>
                      <w:sz w:val="18"/>
                      <w:szCs w:val="18"/>
                      <w:lang w:val="en-US" w:eastAsia="zh-CN"/>
                    </w:rPr>
                    <w:t>45.6</w:t>
                  </w:r>
                </w:p>
              </w:tc>
              <w:tc>
                <w:tcPr>
                  <w:tcW w:w="1046" w:type="dxa"/>
                  <w:tcBorders>
                    <w:tl2br w:val="nil"/>
                    <w:tr2bl w:val="nil"/>
                  </w:tcBorders>
                  <w:noWrap/>
                  <w:vAlign w:val="center"/>
                </w:tcPr>
                <w:p>
                  <w:pPr>
                    <w:jc w:val="center"/>
                    <w:rPr>
                      <w:rFonts w:hint="eastAsia"/>
                      <w:color w:val="auto"/>
                      <w:sz w:val="18"/>
                      <w:szCs w:val="18"/>
                    </w:rPr>
                  </w:pPr>
                  <w:r>
                    <w:rPr>
                      <w:rFonts w:hint="eastAsia"/>
                      <w:color w:val="auto"/>
                      <w:sz w:val="18"/>
                      <w:szCs w:val="18"/>
                      <w:lang w:val="en-US" w:eastAsia="zh-CN"/>
                    </w:rPr>
                    <w:t>50</w:t>
                  </w:r>
                </w:p>
              </w:tc>
              <w:tc>
                <w:tcPr>
                  <w:tcW w:w="1042" w:type="dxa"/>
                  <w:tcBorders>
                    <w:tl2br w:val="nil"/>
                    <w:tr2bl w:val="nil"/>
                  </w:tcBorders>
                  <w:noWrap/>
                  <w:vAlign w:val="center"/>
                </w:tcPr>
                <w:p>
                  <w:pPr>
                    <w:jc w:val="center"/>
                    <w:rPr>
                      <w:color w:val="auto"/>
                      <w:sz w:val="18"/>
                      <w:szCs w:val="18"/>
                    </w:rPr>
                  </w:pPr>
                  <w:r>
                    <w:rPr>
                      <w:color w:val="auto"/>
                      <w:sz w:val="18"/>
                      <w:szCs w:val="18"/>
                    </w:rPr>
                    <w:t>达标</w:t>
                  </w:r>
                </w:p>
              </w:tc>
            </w:tr>
          </w:tbl>
          <w:p>
            <w:pPr>
              <w:spacing w:line="360" w:lineRule="auto"/>
              <w:ind w:firstLine="420" w:firstLineChars="200"/>
              <w:rPr>
                <w:color w:val="auto"/>
                <w:kern w:val="0"/>
                <w:szCs w:val="21"/>
              </w:rPr>
            </w:pPr>
            <w:r>
              <w:rPr>
                <w:bCs/>
                <w:color w:val="auto"/>
                <w:szCs w:val="21"/>
              </w:rPr>
              <w:t>从上表可见，项目</w:t>
            </w:r>
            <w:r>
              <w:rPr>
                <w:rFonts w:hint="eastAsia"/>
                <w:bCs/>
                <w:color w:val="auto"/>
                <w:szCs w:val="21"/>
              </w:rPr>
              <w:t>北侧</w:t>
            </w:r>
            <w:r>
              <w:rPr>
                <w:bCs/>
                <w:color w:val="auto"/>
                <w:szCs w:val="21"/>
              </w:rPr>
              <w:t>厂界噪声能满足《声环境质量标准》（GB3096-2008）中的2类标准进行</w:t>
            </w:r>
            <w:r>
              <w:rPr>
                <w:rFonts w:hint="eastAsia"/>
                <w:bCs/>
                <w:color w:val="auto"/>
                <w:szCs w:val="21"/>
              </w:rPr>
              <w:t>，南侧</w:t>
            </w:r>
            <w:r>
              <w:rPr>
                <w:bCs/>
                <w:color w:val="auto"/>
                <w:szCs w:val="21"/>
              </w:rPr>
              <w:t>厂界外最近居民噪声监测点位的昼间噪声值均能满足《声环境质量标准》（GB3096-2008）中</w:t>
            </w:r>
            <w:r>
              <w:rPr>
                <w:rFonts w:hint="eastAsia"/>
                <w:bCs/>
                <w:color w:val="auto"/>
                <w:szCs w:val="21"/>
              </w:rPr>
              <w:t>2</w:t>
            </w:r>
            <w:r>
              <w:rPr>
                <w:bCs/>
                <w:color w:val="auto"/>
                <w:szCs w:val="21"/>
              </w:rPr>
              <w:t>类标准要求。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96" w:hRule="atLeast"/>
          <w:jc w:val="center"/>
        </w:trPr>
        <w:tc>
          <w:tcPr>
            <w:tcW w:w="800" w:type="dxa"/>
            <w:noWrap/>
            <w:vAlign w:val="center"/>
          </w:tcPr>
          <w:p>
            <w:pPr>
              <w:adjustRightInd w:val="0"/>
              <w:snapToGrid w:val="0"/>
              <w:jc w:val="center"/>
              <w:rPr>
                <w:color w:val="auto"/>
                <w:kern w:val="0"/>
                <w:szCs w:val="21"/>
              </w:rPr>
            </w:pPr>
            <w:r>
              <w:rPr>
                <w:color w:val="auto"/>
                <w:kern w:val="0"/>
                <w:szCs w:val="21"/>
              </w:rPr>
              <w:t>环境</w:t>
            </w:r>
          </w:p>
          <w:p>
            <w:pPr>
              <w:adjustRightInd w:val="0"/>
              <w:snapToGrid w:val="0"/>
              <w:jc w:val="center"/>
              <w:rPr>
                <w:color w:val="auto"/>
                <w:kern w:val="0"/>
                <w:szCs w:val="21"/>
              </w:rPr>
            </w:pPr>
            <w:r>
              <w:rPr>
                <w:color w:val="auto"/>
                <w:kern w:val="0"/>
                <w:szCs w:val="21"/>
              </w:rPr>
              <w:t>保护</w:t>
            </w:r>
          </w:p>
          <w:p>
            <w:pPr>
              <w:adjustRightInd w:val="0"/>
              <w:snapToGrid w:val="0"/>
              <w:jc w:val="center"/>
              <w:rPr>
                <w:color w:val="auto"/>
                <w:kern w:val="0"/>
                <w:szCs w:val="21"/>
              </w:rPr>
            </w:pPr>
            <w:r>
              <w:rPr>
                <w:color w:val="auto"/>
                <w:kern w:val="0"/>
                <w:szCs w:val="21"/>
              </w:rPr>
              <w:t>目标</w:t>
            </w:r>
          </w:p>
        </w:tc>
        <w:tc>
          <w:tcPr>
            <w:tcW w:w="8190" w:type="dxa"/>
            <w:noWrap/>
            <w:vAlign w:val="center"/>
          </w:tcPr>
          <w:p>
            <w:pPr>
              <w:numPr>
                <w:ilvl w:val="0"/>
                <w:numId w:val="6"/>
              </w:numPr>
              <w:spacing w:line="360" w:lineRule="auto"/>
              <w:ind w:firstLine="420" w:firstLineChars="200"/>
              <w:rPr>
                <w:color w:val="auto"/>
              </w:rPr>
            </w:pPr>
            <w:r>
              <w:rPr>
                <w:rFonts w:hint="eastAsia"/>
                <w:color w:val="auto"/>
              </w:rPr>
              <w:t>大气环境：</w:t>
            </w:r>
            <w:r>
              <w:rPr>
                <w:color w:val="auto"/>
              </w:rPr>
              <w:t>不因项目实施而改变评价区域内环境空气质量，项目周围500m范围内环境空气质量应满足《环境空气质量标准》（GB3095-2012）</w:t>
            </w:r>
            <w:r>
              <w:rPr>
                <w:rFonts w:hint="eastAsia"/>
                <w:color w:val="auto"/>
              </w:rPr>
              <w:t>及其修改单</w:t>
            </w:r>
            <w:r>
              <w:rPr>
                <w:color w:val="auto"/>
              </w:rPr>
              <w:t>中二级标准要求。</w:t>
            </w:r>
          </w:p>
          <w:p>
            <w:pPr>
              <w:wordWrap w:val="0"/>
              <w:topLinePunct/>
              <w:spacing w:line="360" w:lineRule="auto"/>
              <w:ind w:firstLine="420" w:firstLineChars="200"/>
              <w:rPr>
                <w:color w:val="auto"/>
              </w:rPr>
            </w:pPr>
            <w:r>
              <w:rPr>
                <w:color w:val="auto"/>
              </w:rPr>
              <w:t>2、</w:t>
            </w:r>
            <w:r>
              <w:rPr>
                <w:rFonts w:hint="eastAsia"/>
                <w:color w:val="auto"/>
              </w:rPr>
              <w:t>声环境：</w:t>
            </w:r>
            <w:r>
              <w:rPr>
                <w:color w:val="auto"/>
              </w:rPr>
              <w:t>项目周围50m范围内声学环境质量满足《声环境质量标准》（GB3096-2008）2类标准。</w:t>
            </w:r>
          </w:p>
          <w:p>
            <w:pPr>
              <w:spacing w:line="360" w:lineRule="auto"/>
              <w:ind w:firstLine="420" w:firstLineChars="200"/>
              <w:rPr>
                <w:color w:val="auto"/>
              </w:rPr>
            </w:pPr>
            <w:r>
              <w:rPr>
                <w:color w:val="auto"/>
              </w:rPr>
              <w:t>3、</w:t>
            </w:r>
            <w:r>
              <w:rPr>
                <w:rFonts w:hint="eastAsia"/>
                <w:color w:val="auto"/>
              </w:rPr>
              <w:t>地表水环境：</w:t>
            </w:r>
            <w:r>
              <w:rPr>
                <w:color w:val="auto"/>
              </w:rPr>
              <w:t>不因项目的实施而改变评价段现有的水体功能，即</w:t>
            </w:r>
            <w:r>
              <w:rPr>
                <w:rFonts w:hint="eastAsia"/>
                <w:color w:val="auto"/>
              </w:rPr>
              <w:t>嘉陵江</w:t>
            </w:r>
            <w:r>
              <w:rPr>
                <w:color w:val="auto"/>
              </w:rPr>
              <w:t>水体水质应满足《地表水环境质量标准》（GB3838-2002）中Ⅲ类标准限值要求。</w:t>
            </w:r>
          </w:p>
          <w:p>
            <w:pPr>
              <w:spacing w:line="360" w:lineRule="auto"/>
              <w:ind w:firstLine="420" w:firstLineChars="200"/>
              <w:rPr>
                <w:color w:val="auto"/>
              </w:rPr>
            </w:pPr>
            <w:r>
              <w:rPr>
                <w:color w:val="auto"/>
              </w:rPr>
              <w:t>4、</w:t>
            </w:r>
            <w:r>
              <w:rPr>
                <w:rFonts w:hint="eastAsia"/>
                <w:color w:val="auto"/>
              </w:rPr>
              <w:t>地下水环境：</w:t>
            </w:r>
            <w:r>
              <w:rPr>
                <w:color w:val="auto"/>
              </w:rPr>
              <w:t>项目500m范围内的地下水集中式饮用水水源和热水、矿泉水、温泉等特殊地下水资源。</w:t>
            </w:r>
          </w:p>
          <w:p>
            <w:pPr>
              <w:jc w:val="center"/>
              <w:rPr>
                <w:b/>
                <w:bCs/>
                <w:color w:val="auto"/>
                <w:sz w:val="18"/>
                <w:szCs w:val="18"/>
              </w:rPr>
            </w:pPr>
            <w:r>
              <w:rPr>
                <w:b/>
                <w:bCs/>
                <w:color w:val="auto"/>
                <w:sz w:val="18"/>
                <w:szCs w:val="18"/>
              </w:rPr>
              <w:t>表3-</w:t>
            </w:r>
            <w:r>
              <w:rPr>
                <w:rFonts w:hint="eastAsia"/>
                <w:b/>
                <w:bCs/>
                <w:color w:val="auto"/>
                <w:sz w:val="18"/>
                <w:szCs w:val="18"/>
                <w:lang w:val="en-US" w:eastAsia="zh-CN"/>
              </w:rPr>
              <w:t>6</w:t>
            </w:r>
            <w:r>
              <w:rPr>
                <w:b/>
                <w:bCs/>
                <w:color w:val="auto"/>
                <w:sz w:val="18"/>
                <w:szCs w:val="18"/>
              </w:rPr>
              <w:t xml:space="preserve">  项目环境保护目标</w:t>
            </w:r>
          </w:p>
          <w:tbl>
            <w:tblPr>
              <w:tblStyle w:val="21"/>
              <w:tblW w:w="8258"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907"/>
              <w:gridCol w:w="1591"/>
              <w:gridCol w:w="845"/>
              <w:gridCol w:w="817"/>
              <w:gridCol w:w="948"/>
              <w:gridCol w:w="1419"/>
              <w:gridCol w:w="1731"/>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743" w:hRule="atLeast"/>
                <w:jc w:val="center"/>
              </w:trPr>
              <w:tc>
                <w:tcPr>
                  <w:tcW w:w="907" w:type="dxa"/>
                  <w:tcBorders>
                    <w:tl2br w:val="nil"/>
                    <w:tr2bl w:val="nil"/>
                  </w:tcBorders>
                  <w:noWrap/>
                  <w:vAlign w:val="center"/>
                </w:tcPr>
                <w:p>
                  <w:pPr>
                    <w:adjustRightInd w:val="0"/>
                    <w:snapToGrid w:val="0"/>
                    <w:jc w:val="center"/>
                    <w:rPr>
                      <w:color w:val="auto"/>
                      <w:sz w:val="18"/>
                      <w:szCs w:val="18"/>
                    </w:rPr>
                  </w:pPr>
                  <w:r>
                    <w:rPr>
                      <w:color w:val="auto"/>
                      <w:sz w:val="18"/>
                      <w:szCs w:val="18"/>
                    </w:rPr>
                    <w:t>环境</w:t>
                  </w:r>
                </w:p>
                <w:p>
                  <w:pPr>
                    <w:adjustRightInd w:val="0"/>
                    <w:snapToGrid w:val="0"/>
                    <w:jc w:val="center"/>
                    <w:rPr>
                      <w:color w:val="auto"/>
                      <w:sz w:val="18"/>
                      <w:szCs w:val="18"/>
                    </w:rPr>
                  </w:pPr>
                  <w:r>
                    <w:rPr>
                      <w:color w:val="auto"/>
                      <w:sz w:val="18"/>
                      <w:szCs w:val="18"/>
                    </w:rPr>
                    <w:t>要素</w:t>
                  </w:r>
                </w:p>
              </w:tc>
              <w:tc>
                <w:tcPr>
                  <w:tcW w:w="5620" w:type="dxa"/>
                  <w:gridSpan w:val="5"/>
                  <w:tcBorders>
                    <w:tl2br w:val="nil"/>
                    <w:tr2bl w:val="nil"/>
                  </w:tcBorders>
                  <w:noWrap/>
                  <w:vAlign w:val="center"/>
                </w:tcPr>
                <w:p>
                  <w:pPr>
                    <w:adjustRightInd w:val="0"/>
                    <w:snapToGrid w:val="0"/>
                    <w:jc w:val="center"/>
                    <w:rPr>
                      <w:color w:val="auto"/>
                      <w:sz w:val="18"/>
                      <w:szCs w:val="18"/>
                    </w:rPr>
                  </w:pPr>
                  <w:r>
                    <w:rPr>
                      <w:color w:val="auto"/>
                      <w:sz w:val="18"/>
                      <w:szCs w:val="18"/>
                    </w:rPr>
                    <w:t>保护目标</w:t>
                  </w:r>
                </w:p>
              </w:tc>
              <w:tc>
                <w:tcPr>
                  <w:tcW w:w="1731" w:type="dxa"/>
                  <w:tcBorders>
                    <w:tl2br w:val="nil"/>
                    <w:tr2bl w:val="nil"/>
                  </w:tcBorders>
                  <w:noWrap/>
                  <w:vAlign w:val="center"/>
                </w:tcPr>
                <w:p>
                  <w:pPr>
                    <w:adjustRightInd w:val="0"/>
                    <w:snapToGrid w:val="0"/>
                    <w:jc w:val="center"/>
                    <w:rPr>
                      <w:color w:val="auto"/>
                      <w:sz w:val="18"/>
                      <w:szCs w:val="18"/>
                    </w:rPr>
                  </w:pPr>
                  <w:r>
                    <w:rPr>
                      <w:color w:val="auto"/>
                      <w:sz w:val="18"/>
                      <w:szCs w:val="18"/>
                    </w:rPr>
                    <w:t>保护级别</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678" w:hRule="atLeast"/>
                <w:jc w:val="center"/>
              </w:trPr>
              <w:tc>
                <w:tcPr>
                  <w:tcW w:w="907" w:type="dxa"/>
                  <w:tcBorders>
                    <w:tl2br w:val="nil"/>
                    <w:tr2bl w:val="nil"/>
                  </w:tcBorders>
                  <w:noWrap/>
                  <w:vAlign w:val="center"/>
                </w:tcPr>
                <w:p>
                  <w:pPr>
                    <w:adjustRightInd w:val="0"/>
                    <w:snapToGrid w:val="0"/>
                    <w:jc w:val="center"/>
                    <w:rPr>
                      <w:color w:val="auto"/>
                      <w:sz w:val="18"/>
                      <w:szCs w:val="18"/>
                    </w:rPr>
                  </w:pPr>
                  <w:r>
                    <w:rPr>
                      <w:color w:val="auto"/>
                      <w:sz w:val="18"/>
                      <w:szCs w:val="18"/>
                    </w:rPr>
                    <w:t>水环境</w:t>
                  </w:r>
                </w:p>
              </w:tc>
              <w:tc>
                <w:tcPr>
                  <w:tcW w:w="5620" w:type="dxa"/>
                  <w:gridSpan w:val="5"/>
                  <w:tcBorders>
                    <w:tl2br w:val="nil"/>
                    <w:tr2bl w:val="nil"/>
                  </w:tcBorders>
                  <w:noWrap/>
                  <w:vAlign w:val="center"/>
                </w:tcPr>
                <w:p>
                  <w:pPr>
                    <w:adjustRightInd w:val="0"/>
                    <w:snapToGrid w:val="0"/>
                    <w:jc w:val="center"/>
                    <w:rPr>
                      <w:rFonts w:hint="eastAsia"/>
                      <w:color w:val="auto"/>
                      <w:sz w:val="18"/>
                      <w:szCs w:val="18"/>
                    </w:rPr>
                  </w:pPr>
                  <w:r>
                    <w:rPr>
                      <w:rFonts w:hint="eastAsia"/>
                      <w:color w:val="auto"/>
                      <w:sz w:val="18"/>
                      <w:szCs w:val="18"/>
                    </w:rPr>
                    <w:t xml:space="preserve">        </w:t>
                  </w:r>
                  <w:r>
                    <w:rPr>
                      <w:rFonts w:hint="eastAsia"/>
                      <w:color w:val="auto"/>
                      <w:sz w:val="18"/>
                      <w:szCs w:val="18"/>
                      <w:lang w:eastAsia="zh-CN"/>
                    </w:rPr>
                    <w:t>北侧</w:t>
                  </w:r>
                  <w:r>
                    <w:rPr>
                      <w:rFonts w:hint="eastAsia"/>
                      <w:color w:val="auto"/>
                      <w:sz w:val="18"/>
                      <w:szCs w:val="18"/>
                    </w:rPr>
                    <w:t xml:space="preserve"> 1</w:t>
                  </w:r>
                  <w:r>
                    <w:rPr>
                      <w:rFonts w:hint="eastAsia"/>
                      <w:color w:val="auto"/>
                      <w:sz w:val="18"/>
                      <w:szCs w:val="18"/>
                      <w:lang w:val="en-US" w:eastAsia="zh-CN"/>
                    </w:rPr>
                    <w:t>05</w:t>
                  </w:r>
                  <w:r>
                    <w:rPr>
                      <w:rFonts w:hint="eastAsia"/>
                      <w:color w:val="auto"/>
                      <w:sz w:val="18"/>
                      <w:szCs w:val="18"/>
                    </w:rPr>
                    <w:t xml:space="preserve">m  </w:t>
                  </w:r>
                  <w:r>
                    <w:rPr>
                      <w:rFonts w:hint="eastAsia"/>
                      <w:color w:val="auto"/>
                      <w:sz w:val="18"/>
                      <w:szCs w:val="18"/>
                      <w:lang w:eastAsia="zh-CN"/>
                    </w:rPr>
                    <w:t>嘉陵江</w:t>
                  </w:r>
                </w:p>
                <w:p>
                  <w:pPr>
                    <w:adjustRightInd w:val="0"/>
                    <w:snapToGrid w:val="0"/>
                    <w:rPr>
                      <w:color w:val="auto"/>
                      <w:sz w:val="18"/>
                      <w:szCs w:val="18"/>
                    </w:rPr>
                  </w:pPr>
                  <w:r>
                    <w:rPr>
                      <w:rFonts w:hint="eastAsia"/>
                      <w:color w:val="auto"/>
                      <w:sz w:val="18"/>
                      <w:szCs w:val="18"/>
                    </w:rPr>
                    <w:t xml:space="preserve">                   </w:t>
                  </w:r>
                </w:p>
              </w:tc>
              <w:tc>
                <w:tcPr>
                  <w:tcW w:w="1731" w:type="dxa"/>
                  <w:tcBorders>
                    <w:tl2br w:val="nil"/>
                    <w:tr2bl w:val="nil"/>
                  </w:tcBorders>
                  <w:noWrap/>
                  <w:vAlign w:val="center"/>
                </w:tcPr>
                <w:p>
                  <w:pPr>
                    <w:wordWrap w:val="0"/>
                    <w:topLinePunct/>
                    <w:adjustRightInd w:val="0"/>
                    <w:snapToGrid w:val="0"/>
                    <w:jc w:val="center"/>
                    <w:rPr>
                      <w:color w:val="auto"/>
                      <w:sz w:val="18"/>
                      <w:szCs w:val="18"/>
                    </w:rPr>
                  </w:pPr>
                  <w:r>
                    <w:rPr>
                      <w:color w:val="auto"/>
                      <w:sz w:val="18"/>
                      <w:szCs w:val="18"/>
                    </w:rPr>
                    <w:t>《地表水环境质量标准》（GB3838-2002）Ⅲ类</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56" w:hRule="atLeast"/>
                <w:jc w:val="center"/>
              </w:trPr>
              <w:tc>
                <w:tcPr>
                  <w:tcW w:w="907" w:type="dxa"/>
                  <w:vMerge w:val="restart"/>
                  <w:tcBorders>
                    <w:tl2br w:val="nil"/>
                    <w:tr2bl w:val="nil"/>
                  </w:tcBorders>
                  <w:noWrap/>
                  <w:vAlign w:val="center"/>
                </w:tcPr>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p>
                <w:p>
                  <w:pPr>
                    <w:adjustRightInd w:val="0"/>
                    <w:snapToGrid w:val="0"/>
                    <w:jc w:val="center"/>
                    <w:rPr>
                      <w:color w:val="auto"/>
                      <w:sz w:val="18"/>
                      <w:szCs w:val="18"/>
                    </w:rPr>
                  </w:pPr>
                  <w:r>
                    <w:rPr>
                      <w:color w:val="auto"/>
                      <w:sz w:val="18"/>
                      <w:szCs w:val="18"/>
                    </w:rPr>
                    <w:t>大气</w:t>
                  </w:r>
                </w:p>
                <w:p>
                  <w:pPr>
                    <w:adjustRightInd w:val="0"/>
                    <w:snapToGrid w:val="0"/>
                    <w:jc w:val="center"/>
                    <w:rPr>
                      <w:color w:val="auto"/>
                      <w:sz w:val="18"/>
                      <w:szCs w:val="18"/>
                    </w:rPr>
                  </w:pPr>
                  <w:r>
                    <w:rPr>
                      <w:color w:val="auto"/>
                      <w:sz w:val="18"/>
                      <w:szCs w:val="18"/>
                    </w:rPr>
                    <w:t>环境</w:t>
                  </w:r>
                </w:p>
              </w:tc>
              <w:tc>
                <w:tcPr>
                  <w:tcW w:w="1591" w:type="dxa"/>
                  <w:vMerge w:val="restart"/>
                  <w:tcBorders>
                    <w:tl2br w:val="nil"/>
                    <w:tr2bl w:val="nil"/>
                  </w:tcBorders>
                  <w:noWrap/>
                  <w:vAlign w:val="center"/>
                </w:tcPr>
                <w:p>
                  <w:pPr>
                    <w:adjustRightInd w:val="0"/>
                    <w:snapToGrid w:val="0"/>
                    <w:jc w:val="center"/>
                    <w:rPr>
                      <w:color w:val="auto"/>
                      <w:sz w:val="18"/>
                      <w:szCs w:val="18"/>
                    </w:rPr>
                  </w:pPr>
                  <w:r>
                    <w:rPr>
                      <w:color w:val="auto"/>
                      <w:sz w:val="18"/>
                      <w:szCs w:val="18"/>
                    </w:rPr>
                    <w:t>保护目标</w:t>
                  </w:r>
                </w:p>
              </w:tc>
              <w:tc>
                <w:tcPr>
                  <w:tcW w:w="1662" w:type="dxa"/>
                  <w:gridSpan w:val="2"/>
                  <w:tcBorders>
                    <w:tl2br w:val="nil"/>
                    <w:tr2bl w:val="nil"/>
                  </w:tcBorders>
                  <w:noWrap/>
                  <w:vAlign w:val="center"/>
                </w:tcPr>
                <w:p>
                  <w:pPr>
                    <w:adjustRightInd w:val="0"/>
                    <w:snapToGrid w:val="0"/>
                    <w:jc w:val="center"/>
                    <w:rPr>
                      <w:color w:val="auto"/>
                      <w:sz w:val="18"/>
                      <w:szCs w:val="18"/>
                    </w:rPr>
                  </w:pPr>
                  <w:r>
                    <w:rPr>
                      <w:color w:val="auto"/>
                      <w:sz w:val="18"/>
                      <w:szCs w:val="18"/>
                    </w:rPr>
                    <w:t>中心点坐标/m</w:t>
                  </w:r>
                </w:p>
              </w:tc>
              <w:tc>
                <w:tcPr>
                  <w:tcW w:w="948" w:type="dxa"/>
                  <w:vMerge w:val="restart"/>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相对厂址方位</w:t>
                  </w:r>
                </w:p>
              </w:tc>
              <w:tc>
                <w:tcPr>
                  <w:tcW w:w="1419" w:type="dxa"/>
                  <w:vMerge w:val="restart"/>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相对厂界最近距离/m</w:t>
                  </w:r>
                </w:p>
              </w:tc>
              <w:tc>
                <w:tcPr>
                  <w:tcW w:w="1731" w:type="dxa"/>
                  <w:vMerge w:val="restart"/>
                  <w:tcBorders>
                    <w:tl2br w:val="nil"/>
                    <w:tr2bl w:val="nil"/>
                  </w:tcBorders>
                  <w:noWrap/>
                  <w:vAlign w:val="center"/>
                </w:tcPr>
                <w:p>
                  <w:pPr>
                    <w:adjustRightInd w:val="0"/>
                    <w:snapToGrid w:val="0"/>
                    <w:jc w:val="both"/>
                    <w:rPr>
                      <w:color w:val="auto"/>
                      <w:sz w:val="18"/>
                      <w:szCs w:val="18"/>
                    </w:rPr>
                  </w:pPr>
                </w:p>
                <w:p>
                  <w:pPr>
                    <w:adjustRightInd w:val="0"/>
                    <w:snapToGrid w:val="0"/>
                    <w:jc w:val="center"/>
                    <w:rPr>
                      <w:color w:val="auto"/>
                      <w:sz w:val="18"/>
                      <w:szCs w:val="18"/>
                    </w:rPr>
                  </w:pPr>
                  <w:r>
                    <w:rPr>
                      <w:color w:val="auto"/>
                      <w:sz w:val="18"/>
                      <w:szCs w:val="18"/>
                    </w:rPr>
                    <w:t>《环境空气质量标准》（GB3095—2012）及其修改单</w:t>
                  </w:r>
                </w:p>
                <w:p>
                  <w:pPr>
                    <w:adjustRightInd w:val="0"/>
                    <w:snapToGrid w:val="0"/>
                    <w:jc w:val="center"/>
                    <w:rPr>
                      <w:color w:val="auto"/>
                      <w:sz w:val="18"/>
                      <w:szCs w:val="18"/>
                    </w:rPr>
                  </w:pPr>
                  <w:r>
                    <w:rPr>
                      <w:color w:val="auto"/>
                      <w:sz w:val="18"/>
                      <w:szCs w:val="18"/>
                    </w:rPr>
                    <w:t>二级标准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50"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vMerge w:val="continue"/>
                  <w:tcBorders>
                    <w:tl2br w:val="nil"/>
                    <w:tr2bl w:val="nil"/>
                  </w:tcBorders>
                  <w:noWrap/>
                  <w:vAlign w:val="center"/>
                </w:tcPr>
                <w:p>
                  <w:pPr>
                    <w:adjustRightInd w:val="0"/>
                    <w:snapToGrid w:val="0"/>
                    <w:jc w:val="center"/>
                    <w:rPr>
                      <w:color w:val="auto"/>
                      <w:sz w:val="18"/>
                      <w:szCs w:val="18"/>
                    </w:rPr>
                  </w:pPr>
                </w:p>
              </w:tc>
              <w:tc>
                <w:tcPr>
                  <w:tcW w:w="845" w:type="dxa"/>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X</w:t>
                  </w:r>
                </w:p>
              </w:tc>
              <w:tc>
                <w:tcPr>
                  <w:tcW w:w="817" w:type="dxa"/>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Y</w:t>
                  </w:r>
                </w:p>
              </w:tc>
              <w:tc>
                <w:tcPr>
                  <w:tcW w:w="948" w:type="dxa"/>
                  <w:vMerge w:val="continue"/>
                  <w:tcBorders>
                    <w:tl2br w:val="nil"/>
                    <w:tr2bl w:val="nil"/>
                  </w:tcBorders>
                  <w:noWrap/>
                  <w:vAlign w:val="center"/>
                </w:tcPr>
                <w:p>
                  <w:pPr>
                    <w:adjustRightInd w:val="0"/>
                    <w:snapToGrid w:val="0"/>
                    <w:jc w:val="center"/>
                    <w:rPr>
                      <w:color w:val="auto"/>
                      <w:sz w:val="18"/>
                      <w:szCs w:val="18"/>
                    </w:rPr>
                  </w:pPr>
                </w:p>
              </w:tc>
              <w:tc>
                <w:tcPr>
                  <w:tcW w:w="1419" w:type="dxa"/>
                  <w:vMerge w:val="continue"/>
                  <w:tcBorders>
                    <w:tl2br w:val="nil"/>
                    <w:tr2bl w:val="nil"/>
                  </w:tcBorders>
                  <w:noWrap/>
                  <w:vAlign w:val="center"/>
                </w:tcPr>
                <w:p>
                  <w:pPr>
                    <w:adjustRightInd w:val="0"/>
                    <w:snapToGrid w:val="0"/>
                    <w:jc w:val="center"/>
                    <w:rPr>
                      <w:color w:val="auto"/>
                      <w:sz w:val="18"/>
                      <w:szCs w:val="18"/>
                    </w:rPr>
                  </w:pP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rFonts w:hint="eastAsia"/>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80</w:t>
                  </w:r>
                  <w:r>
                    <w:rPr>
                      <w:color w:val="auto"/>
                      <w:sz w:val="18"/>
                      <w:szCs w:val="18"/>
                    </w:rPr>
                    <w:t>户</w:t>
                  </w:r>
                  <w:r>
                    <w:rPr>
                      <w:rFonts w:hint="eastAsia"/>
                      <w:color w:val="auto"/>
                      <w:sz w:val="18"/>
                      <w:szCs w:val="18"/>
                      <w:lang w:val="en-US" w:eastAsia="zh-CN"/>
                    </w:rPr>
                    <w:t>250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45</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25</w:t>
                  </w:r>
                </w:p>
              </w:tc>
              <w:tc>
                <w:tcPr>
                  <w:tcW w:w="948" w:type="dxa"/>
                  <w:vMerge w:val="restart"/>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南侧</w:t>
                  </w:r>
                </w:p>
              </w:tc>
              <w:tc>
                <w:tcPr>
                  <w:tcW w:w="1419" w:type="dxa"/>
                  <w:tcBorders>
                    <w:tl2br w:val="nil"/>
                    <w:tr2bl w:val="nil"/>
                  </w:tcBorders>
                  <w:noWrap/>
                  <w:vAlign w:val="center"/>
                </w:tcPr>
                <w:p>
                  <w:pPr>
                    <w:pStyle w:val="31"/>
                    <w:jc w:val="center"/>
                    <w:rPr>
                      <w:rFonts w:hint="default" w:ascii="Times New Roman" w:hAnsi="Times New Roman" w:eastAsia="宋体" w:cs="Times New Roman"/>
                      <w:color w:val="auto"/>
                      <w:sz w:val="18"/>
                      <w:szCs w:val="18"/>
                      <w:lang w:val="en-US" w:eastAsia="zh-CN"/>
                    </w:rPr>
                  </w:pPr>
                  <w:r>
                    <w:rPr>
                      <w:rFonts w:hint="eastAsia" w:ascii="Times New Roman" w:hAnsi="Times New Roman" w:cs="Times New Roman"/>
                      <w:color w:val="auto"/>
                      <w:sz w:val="18"/>
                      <w:szCs w:val="18"/>
                      <w:lang w:val="en-US" w:eastAsia="zh-CN"/>
                    </w:rPr>
                    <w:t>50</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3"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60</w:t>
                  </w:r>
                  <w:r>
                    <w:rPr>
                      <w:color w:val="auto"/>
                      <w:sz w:val="18"/>
                      <w:szCs w:val="18"/>
                    </w:rPr>
                    <w:t>户</w:t>
                  </w:r>
                  <w:r>
                    <w:rPr>
                      <w:rFonts w:hint="eastAsia"/>
                      <w:color w:val="auto"/>
                      <w:sz w:val="18"/>
                      <w:szCs w:val="18"/>
                      <w:lang w:val="en-US" w:eastAsia="zh-CN"/>
                    </w:rPr>
                    <w:t>200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200</w:t>
                  </w:r>
                </w:p>
              </w:tc>
              <w:tc>
                <w:tcPr>
                  <w:tcW w:w="817"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25</w:t>
                  </w:r>
                </w:p>
              </w:tc>
              <w:tc>
                <w:tcPr>
                  <w:tcW w:w="948" w:type="dxa"/>
                  <w:vMerge w:val="continue"/>
                  <w:tcBorders>
                    <w:tl2br w:val="nil"/>
                    <w:tr2bl w:val="nil"/>
                  </w:tcBorders>
                  <w:noWrap/>
                  <w:vAlign w:val="center"/>
                </w:tcPr>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rPr>
                    <w:t>205</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3"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rFonts w:hint="eastAsia"/>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100</w:t>
                  </w:r>
                  <w:r>
                    <w:rPr>
                      <w:color w:val="auto"/>
                      <w:sz w:val="18"/>
                      <w:szCs w:val="18"/>
                    </w:rPr>
                    <w:t>户</w:t>
                  </w:r>
                  <w:r>
                    <w:rPr>
                      <w:rFonts w:hint="eastAsia"/>
                      <w:color w:val="auto"/>
                      <w:sz w:val="18"/>
                      <w:szCs w:val="18"/>
                      <w:lang w:val="en-US" w:eastAsia="zh-CN"/>
                    </w:rPr>
                    <w:t>200</w:t>
                  </w:r>
                  <w:r>
                    <w:rPr>
                      <w:color w:val="auto"/>
                      <w:sz w:val="18"/>
                      <w:szCs w:val="18"/>
                    </w:rPr>
                    <w:t>人）</w:t>
                  </w:r>
                </w:p>
              </w:tc>
              <w:tc>
                <w:tcPr>
                  <w:tcW w:w="845"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260</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15</w:t>
                  </w:r>
                </w:p>
              </w:tc>
              <w:tc>
                <w:tcPr>
                  <w:tcW w:w="948" w:type="dxa"/>
                  <w:vMerge w:val="continue"/>
                  <w:tcBorders>
                    <w:tl2br w:val="nil"/>
                    <w:tr2bl w:val="nil"/>
                  </w:tcBorders>
                  <w:noWrap/>
                  <w:vAlign w:val="center"/>
                </w:tcPr>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hint="default" w:ascii="Times New Roman" w:hAnsi="Times New Roman" w:eastAsia="宋体" w:cs="Times New Roman"/>
                      <w:color w:val="auto"/>
                      <w:sz w:val="18"/>
                      <w:szCs w:val="18"/>
                      <w:lang w:val="en-US" w:eastAsia="zh-CN"/>
                    </w:rPr>
                  </w:pPr>
                  <w:r>
                    <w:rPr>
                      <w:rFonts w:hint="eastAsia" w:ascii="Times New Roman" w:hAnsi="Times New Roman" w:cs="Times New Roman"/>
                      <w:color w:val="auto"/>
                      <w:sz w:val="18"/>
                      <w:szCs w:val="18"/>
                    </w:rPr>
                    <w:t>2</w:t>
                  </w:r>
                  <w:r>
                    <w:rPr>
                      <w:rFonts w:hint="eastAsia" w:ascii="Times New Roman" w:hAnsi="Times New Roman" w:cs="Times New Roman"/>
                      <w:color w:val="auto"/>
                      <w:sz w:val="18"/>
                      <w:szCs w:val="18"/>
                      <w:lang w:val="en-US" w:eastAsia="zh-CN"/>
                    </w:rPr>
                    <w:t>80</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3"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rPr>
                    <w:t>50</w:t>
                  </w:r>
                  <w:r>
                    <w:rPr>
                      <w:color w:val="auto"/>
                      <w:sz w:val="18"/>
                      <w:szCs w:val="18"/>
                    </w:rPr>
                    <w:t>户</w:t>
                  </w:r>
                  <w:r>
                    <w:rPr>
                      <w:rFonts w:hint="eastAsia"/>
                      <w:color w:val="auto"/>
                      <w:sz w:val="18"/>
                      <w:szCs w:val="18"/>
                    </w:rPr>
                    <w:t>150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rFonts w:hint="eastAsia"/>
                      <w:color w:val="auto"/>
                      <w:sz w:val="18"/>
                      <w:szCs w:val="18"/>
                    </w:rPr>
                    <w:t>+</w:t>
                  </w:r>
                  <w:r>
                    <w:rPr>
                      <w:rFonts w:hint="eastAsia"/>
                      <w:color w:val="auto"/>
                      <w:sz w:val="18"/>
                      <w:szCs w:val="18"/>
                      <w:lang w:val="en-US" w:eastAsia="zh-CN"/>
                    </w:rPr>
                    <w:t>395</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-10</w:t>
                  </w:r>
                </w:p>
              </w:tc>
              <w:tc>
                <w:tcPr>
                  <w:tcW w:w="948" w:type="dxa"/>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北侧</w:t>
                  </w: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402</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3"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50</w:t>
                  </w:r>
                  <w:r>
                    <w:rPr>
                      <w:color w:val="auto"/>
                      <w:sz w:val="18"/>
                      <w:szCs w:val="18"/>
                    </w:rPr>
                    <w:t>户</w:t>
                  </w:r>
                  <w:r>
                    <w:rPr>
                      <w:rFonts w:hint="eastAsia"/>
                      <w:color w:val="auto"/>
                      <w:sz w:val="18"/>
                      <w:szCs w:val="18"/>
                      <w:lang w:val="en-US" w:eastAsia="zh-CN"/>
                    </w:rPr>
                    <w:t>200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25</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25</w:t>
                  </w:r>
                </w:p>
              </w:tc>
              <w:tc>
                <w:tcPr>
                  <w:tcW w:w="948" w:type="dxa"/>
                  <w:vMerge w:val="restart"/>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西侧</w:t>
                  </w:r>
                </w:p>
              </w:tc>
              <w:tc>
                <w:tcPr>
                  <w:tcW w:w="1419" w:type="dxa"/>
                  <w:tcBorders>
                    <w:tl2br w:val="nil"/>
                    <w:tr2bl w:val="nil"/>
                  </w:tcBorders>
                  <w:noWrap/>
                  <w:vAlign w:val="center"/>
                </w:tcPr>
                <w:p>
                  <w:pPr>
                    <w:pStyle w:val="31"/>
                    <w:jc w:val="center"/>
                    <w:rPr>
                      <w:rFonts w:hint="default" w:ascii="Times New Roman" w:hAnsi="Times New Roman" w:eastAsia="宋体" w:cs="Times New Roman"/>
                      <w:color w:val="auto"/>
                      <w:sz w:val="18"/>
                      <w:szCs w:val="18"/>
                      <w:lang w:val="en-US" w:eastAsia="zh-CN"/>
                    </w:rPr>
                  </w:pPr>
                  <w:r>
                    <w:rPr>
                      <w:rFonts w:hint="eastAsia" w:ascii="Times New Roman" w:hAnsi="Times New Roman" w:cs="Times New Roman"/>
                      <w:color w:val="auto"/>
                      <w:sz w:val="18"/>
                      <w:szCs w:val="18"/>
                      <w:lang w:val="en-US" w:eastAsia="zh-CN"/>
                    </w:rPr>
                    <w:t>紧邻</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3"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rFonts w:hint="eastAsia"/>
                      <w:color w:val="auto"/>
                      <w:sz w:val="18"/>
                      <w:szCs w:val="18"/>
                    </w:rPr>
                  </w:pPr>
                  <w:r>
                    <w:rPr>
                      <w:rFonts w:hint="eastAsia"/>
                      <w:color w:val="auto"/>
                      <w:sz w:val="18"/>
                      <w:szCs w:val="18"/>
                      <w:lang w:eastAsia="zh-CN"/>
                    </w:rPr>
                    <w:t>北京汉顾国际幼教</w:t>
                  </w:r>
                  <w:r>
                    <w:rPr>
                      <w:rFonts w:hint="eastAsia"/>
                      <w:color w:val="auto"/>
                      <w:sz w:val="18"/>
                      <w:szCs w:val="18"/>
                      <w:lang w:val="en-US" w:eastAsia="zh-CN"/>
                    </w:rPr>
                    <w:t>(100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70</w:t>
                  </w:r>
                </w:p>
              </w:tc>
              <w:tc>
                <w:tcPr>
                  <w:tcW w:w="817"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15</w:t>
                  </w:r>
                </w:p>
              </w:tc>
              <w:tc>
                <w:tcPr>
                  <w:tcW w:w="948" w:type="dxa"/>
                  <w:vMerge w:val="continue"/>
                  <w:tcBorders>
                    <w:tl2br w:val="nil"/>
                    <w:tr2bl w:val="nil"/>
                  </w:tcBorders>
                  <w:noWrap/>
                  <w:vAlign w:val="center"/>
                </w:tcPr>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hint="default"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val="en-US" w:eastAsia="zh-CN"/>
                    </w:rPr>
                    <w:t>80m</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25"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500</w:t>
                  </w:r>
                  <w:r>
                    <w:rPr>
                      <w:color w:val="auto"/>
                      <w:sz w:val="18"/>
                      <w:szCs w:val="18"/>
                    </w:rPr>
                    <w:t>户</w:t>
                  </w:r>
                  <w:r>
                    <w:rPr>
                      <w:rFonts w:hint="eastAsia"/>
                      <w:color w:val="auto"/>
                      <w:sz w:val="18"/>
                      <w:szCs w:val="18"/>
                      <w:lang w:val="en-US" w:eastAsia="zh-CN"/>
                    </w:rPr>
                    <w:t>1500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100</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5</w:t>
                  </w:r>
                  <w:r>
                    <w:rPr>
                      <w:color w:val="auto"/>
                      <w:sz w:val="18"/>
                      <w:szCs w:val="18"/>
                    </w:rPr>
                    <w:t>0</w:t>
                  </w:r>
                </w:p>
              </w:tc>
              <w:tc>
                <w:tcPr>
                  <w:tcW w:w="948" w:type="dxa"/>
                  <w:vMerge w:val="continue"/>
                  <w:tcBorders>
                    <w:tl2br w:val="nil"/>
                    <w:tr2bl w:val="nil"/>
                  </w:tcBorders>
                  <w:noWrap/>
                  <w:vAlign w:val="center"/>
                </w:tcPr>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108</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400</w:t>
                  </w:r>
                  <w:r>
                    <w:rPr>
                      <w:color w:val="auto"/>
                      <w:sz w:val="18"/>
                      <w:szCs w:val="18"/>
                    </w:rPr>
                    <w:t>户</w:t>
                  </w:r>
                  <w:r>
                    <w:rPr>
                      <w:rFonts w:hint="eastAsia"/>
                      <w:color w:val="auto"/>
                      <w:sz w:val="18"/>
                      <w:szCs w:val="18"/>
                      <w:lang w:val="en-US" w:eastAsia="zh-CN"/>
                    </w:rPr>
                    <w:t>1</w:t>
                  </w:r>
                  <w:r>
                    <w:rPr>
                      <w:rFonts w:hint="eastAsia"/>
                      <w:color w:val="auto"/>
                      <w:sz w:val="18"/>
                      <w:szCs w:val="18"/>
                    </w:rPr>
                    <w:t>200</w:t>
                  </w:r>
                  <w:r>
                    <w:rPr>
                      <w:color w:val="auto"/>
                      <w:sz w:val="18"/>
                      <w:szCs w:val="18"/>
                    </w:rPr>
                    <w:t>人）</w:t>
                  </w:r>
                </w:p>
              </w:tc>
              <w:tc>
                <w:tcPr>
                  <w:tcW w:w="845"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rPr>
                    <w:t>1</w:t>
                  </w:r>
                  <w:r>
                    <w:rPr>
                      <w:color w:val="auto"/>
                      <w:sz w:val="18"/>
                      <w:szCs w:val="18"/>
                    </w:rPr>
                    <w:t>30</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+1</w:t>
                  </w:r>
                  <w:r>
                    <w:rPr>
                      <w:rFonts w:hint="eastAsia"/>
                      <w:color w:val="auto"/>
                      <w:sz w:val="18"/>
                      <w:szCs w:val="18"/>
                    </w:rPr>
                    <w:t>5</w:t>
                  </w:r>
                </w:p>
              </w:tc>
              <w:tc>
                <w:tcPr>
                  <w:tcW w:w="948" w:type="dxa"/>
                  <w:vMerge w:val="continue"/>
                  <w:tcBorders>
                    <w:tl2br w:val="nil"/>
                    <w:tr2bl w:val="nil"/>
                  </w:tcBorders>
                  <w:noWrap/>
                  <w:vAlign w:val="center"/>
                </w:tcPr>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436</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659"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1</w:t>
                  </w:r>
                  <w:r>
                    <w:rPr>
                      <w:color w:val="auto"/>
                      <w:sz w:val="18"/>
                      <w:szCs w:val="18"/>
                    </w:rPr>
                    <w:t>0</w:t>
                  </w:r>
                  <w:r>
                    <w:rPr>
                      <w:rFonts w:hint="eastAsia"/>
                      <w:color w:val="auto"/>
                      <w:sz w:val="18"/>
                      <w:szCs w:val="18"/>
                      <w:lang w:val="en-US" w:eastAsia="zh-CN"/>
                    </w:rPr>
                    <w:t>0</w:t>
                  </w:r>
                  <w:r>
                    <w:rPr>
                      <w:color w:val="auto"/>
                      <w:sz w:val="18"/>
                      <w:szCs w:val="18"/>
                    </w:rPr>
                    <w:t>户</w:t>
                  </w:r>
                  <w:r>
                    <w:rPr>
                      <w:rFonts w:hint="eastAsia"/>
                      <w:color w:val="auto"/>
                      <w:sz w:val="18"/>
                      <w:szCs w:val="18"/>
                      <w:lang w:val="en-US" w:eastAsia="zh-CN"/>
                    </w:rPr>
                    <w:t>400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15</w:t>
                  </w:r>
                </w:p>
              </w:tc>
              <w:tc>
                <w:tcPr>
                  <w:tcW w:w="817"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325</w:t>
                  </w:r>
                </w:p>
              </w:tc>
              <w:tc>
                <w:tcPr>
                  <w:tcW w:w="948" w:type="dxa"/>
                  <w:vMerge w:val="restart"/>
                  <w:tcBorders>
                    <w:tl2br w:val="nil"/>
                    <w:tr2bl w:val="nil"/>
                  </w:tcBorders>
                  <w:noWrap/>
                  <w:vAlign w:val="center"/>
                </w:tcPr>
                <w:p>
                  <w:pPr>
                    <w:pStyle w:val="31"/>
                    <w:jc w:val="both"/>
                    <w:rPr>
                      <w:rFonts w:ascii="Times New Roman" w:hAnsi="Times New Roman" w:cs="Times New Roman"/>
                      <w:color w:val="auto"/>
                      <w:sz w:val="18"/>
                      <w:szCs w:val="18"/>
                    </w:rPr>
                  </w:pPr>
                  <w:r>
                    <w:rPr>
                      <w:rFonts w:hint="eastAsia" w:ascii="Times New Roman" w:hAnsi="Times New Roman" w:cs="Times New Roman"/>
                      <w:color w:val="auto"/>
                      <w:sz w:val="18"/>
                      <w:szCs w:val="18"/>
                    </w:rPr>
                    <w:t>西</w:t>
                  </w:r>
                  <w:r>
                    <w:rPr>
                      <w:rFonts w:hint="eastAsia" w:ascii="Times New Roman" w:hAnsi="Times New Roman" w:cs="Times New Roman"/>
                      <w:color w:val="auto"/>
                      <w:sz w:val="18"/>
                      <w:szCs w:val="18"/>
                      <w:lang w:eastAsia="zh-CN"/>
                    </w:rPr>
                    <w:t>南</w:t>
                  </w:r>
                  <w:r>
                    <w:rPr>
                      <w:rFonts w:hint="eastAsia" w:ascii="Times New Roman" w:hAnsi="Times New Roman" w:cs="Times New Roman"/>
                      <w:color w:val="auto"/>
                      <w:sz w:val="18"/>
                      <w:szCs w:val="18"/>
                    </w:rPr>
                    <w:t>侧</w:t>
                  </w:r>
                </w:p>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255</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659"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60</w:t>
                  </w:r>
                  <w:r>
                    <w:rPr>
                      <w:color w:val="auto"/>
                      <w:sz w:val="18"/>
                      <w:szCs w:val="18"/>
                    </w:rPr>
                    <w:t>户</w:t>
                  </w:r>
                  <w:r>
                    <w:rPr>
                      <w:rFonts w:hint="eastAsia"/>
                      <w:color w:val="auto"/>
                      <w:sz w:val="18"/>
                      <w:szCs w:val="18"/>
                    </w:rPr>
                    <w:t>2</w:t>
                  </w:r>
                  <w:r>
                    <w:rPr>
                      <w:rFonts w:hint="eastAsia"/>
                      <w:color w:val="auto"/>
                      <w:sz w:val="18"/>
                      <w:szCs w:val="18"/>
                      <w:lang w:val="en-US" w:eastAsia="zh-CN"/>
                    </w:rPr>
                    <w:t>0</w:t>
                  </w:r>
                  <w:r>
                    <w:rPr>
                      <w:rFonts w:hint="eastAsia"/>
                      <w:color w:val="auto"/>
                      <w:sz w:val="18"/>
                      <w:szCs w:val="18"/>
                    </w:rPr>
                    <w:t>0</w:t>
                  </w:r>
                  <w:r>
                    <w:rPr>
                      <w:color w:val="auto"/>
                      <w:sz w:val="18"/>
                      <w:szCs w:val="18"/>
                    </w:rPr>
                    <w:t>人）</w:t>
                  </w:r>
                </w:p>
              </w:tc>
              <w:tc>
                <w:tcPr>
                  <w:tcW w:w="845"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500</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225</w:t>
                  </w:r>
                </w:p>
              </w:tc>
              <w:tc>
                <w:tcPr>
                  <w:tcW w:w="948" w:type="dxa"/>
                  <w:vMerge w:val="continue"/>
                  <w:tcBorders>
                    <w:tl2br w:val="nil"/>
                    <w:tr2bl w:val="nil"/>
                  </w:tcBorders>
                  <w:noWrap/>
                  <w:vAlign w:val="center"/>
                </w:tcPr>
                <w:p>
                  <w:pPr>
                    <w:pStyle w:val="31"/>
                    <w:jc w:val="center"/>
                    <w:rPr>
                      <w:rFonts w:ascii="Times New Roman" w:hAnsi="Times New Roman" w:cs="Times New Roman"/>
                      <w:color w:val="auto"/>
                      <w:sz w:val="18"/>
                      <w:szCs w:val="18"/>
                    </w:rPr>
                  </w:pP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560</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659" w:hRule="atLeast"/>
                <w:jc w:val="center"/>
              </w:trPr>
              <w:tc>
                <w:tcPr>
                  <w:tcW w:w="907" w:type="dxa"/>
                  <w:vMerge w:val="continue"/>
                  <w:tcBorders>
                    <w:tl2br w:val="nil"/>
                    <w:tr2bl w:val="nil"/>
                  </w:tcBorders>
                  <w:noWrap/>
                  <w:vAlign w:val="center"/>
                </w:tcPr>
                <w:p>
                  <w:pPr>
                    <w:adjustRightInd w:val="0"/>
                    <w:snapToGrid w:val="0"/>
                    <w:jc w:val="center"/>
                    <w:rPr>
                      <w:color w:val="auto"/>
                      <w:sz w:val="18"/>
                      <w:szCs w:val="18"/>
                    </w:rPr>
                  </w:pP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60</w:t>
                  </w:r>
                  <w:r>
                    <w:rPr>
                      <w:color w:val="auto"/>
                      <w:sz w:val="18"/>
                      <w:szCs w:val="18"/>
                    </w:rPr>
                    <w:t>户</w:t>
                  </w:r>
                  <w:r>
                    <w:rPr>
                      <w:rFonts w:hint="eastAsia"/>
                      <w:color w:val="auto"/>
                      <w:sz w:val="18"/>
                      <w:szCs w:val="18"/>
                      <w:lang w:val="en-US" w:eastAsia="zh-CN"/>
                    </w:rPr>
                    <w:t>200</w:t>
                  </w:r>
                  <w:r>
                    <w:rPr>
                      <w:color w:val="auto"/>
                      <w:sz w:val="18"/>
                      <w:szCs w:val="18"/>
                    </w:rPr>
                    <w:t>人）</w:t>
                  </w:r>
                </w:p>
              </w:tc>
              <w:tc>
                <w:tcPr>
                  <w:tcW w:w="845"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rPr>
                    <w:t>1</w:t>
                  </w:r>
                  <w:r>
                    <w:rPr>
                      <w:color w:val="auto"/>
                      <w:sz w:val="18"/>
                      <w:szCs w:val="18"/>
                    </w:rPr>
                    <w:t>5</w:t>
                  </w:r>
                </w:p>
              </w:tc>
              <w:tc>
                <w:tcPr>
                  <w:tcW w:w="817" w:type="dxa"/>
                  <w:tcBorders>
                    <w:tl2br w:val="nil"/>
                    <w:tr2bl w:val="nil"/>
                  </w:tcBorders>
                  <w:noWrap/>
                  <w:vAlign w:val="center"/>
                </w:tcPr>
                <w:p>
                  <w:pPr>
                    <w:adjustRightInd w:val="0"/>
                    <w:snapToGrid w:val="0"/>
                    <w:jc w:val="center"/>
                    <w:rPr>
                      <w:rFonts w:hint="default" w:eastAsia="宋体"/>
                      <w:color w:val="auto"/>
                      <w:sz w:val="18"/>
                      <w:szCs w:val="18"/>
                      <w:lang w:val="en-US" w:eastAsia="zh-CN"/>
                    </w:rPr>
                  </w:pPr>
                  <w:r>
                    <w:rPr>
                      <w:color w:val="auto"/>
                      <w:sz w:val="18"/>
                      <w:szCs w:val="18"/>
                    </w:rPr>
                    <w:t>-</w:t>
                  </w:r>
                  <w:r>
                    <w:rPr>
                      <w:rFonts w:hint="eastAsia"/>
                      <w:color w:val="auto"/>
                      <w:sz w:val="18"/>
                      <w:szCs w:val="18"/>
                      <w:lang w:val="en-US" w:eastAsia="zh-CN"/>
                    </w:rPr>
                    <w:t>175</w:t>
                  </w:r>
                </w:p>
              </w:tc>
              <w:tc>
                <w:tcPr>
                  <w:tcW w:w="948"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rPr>
                    <w:t>东南侧</w:t>
                  </w: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190</w:t>
                  </w:r>
                </w:p>
              </w:tc>
              <w:tc>
                <w:tcPr>
                  <w:tcW w:w="1731" w:type="dxa"/>
                  <w:vMerge w:val="continue"/>
                  <w:tcBorders>
                    <w:tl2br w:val="nil"/>
                    <w:tr2bl w:val="nil"/>
                  </w:tcBorders>
                  <w:noWrap/>
                  <w:vAlign w:val="center"/>
                </w:tcPr>
                <w:p>
                  <w:pPr>
                    <w:adjustRightInd w:val="0"/>
                    <w:snapToGrid w:val="0"/>
                    <w:jc w:val="center"/>
                    <w:rPr>
                      <w:color w:val="auto"/>
                      <w:sz w:val="18"/>
                      <w:szCs w:val="18"/>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659" w:hRule="atLeast"/>
                <w:jc w:val="center"/>
              </w:trPr>
              <w:tc>
                <w:tcPr>
                  <w:tcW w:w="907" w:type="dxa"/>
                  <w:tcBorders>
                    <w:tl2br w:val="nil"/>
                    <w:tr2bl w:val="nil"/>
                  </w:tcBorders>
                  <w:noWrap/>
                  <w:vAlign w:val="center"/>
                </w:tcPr>
                <w:p>
                  <w:pPr>
                    <w:adjustRightInd w:val="0"/>
                    <w:snapToGrid w:val="0"/>
                    <w:jc w:val="center"/>
                    <w:rPr>
                      <w:color w:val="auto"/>
                      <w:sz w:val="18"/>
                      <w:szCs w:val="18"/>
                    </w:rPr>
                  </w:pPr>
                  <w:r>
                    <w:rPr>
                      <w:color w:val="auto"/>
                      <w:sz w:val="18"/>
                      <w:szCs w:val="18"/>
                    </w:rPr>
                    <w:t>声环境</w:t>
                  </w:r>
                </w:p>
              </w:tc>
              <w:tc>
                <w:tcPr>
                  <w:tcW w:w="1591" w:type="dxa"/>
                  <w:tcBorders>
                    <w:tl2br w:val="nil"/>
                    <w:tr2bl w:val="nil"/>
                  </w:tcBorders>
                  <w:noWrap/>
                  <w:vAlign w:val="center"/>
                </w:tcPr>
                <w:p>
                  <w:pPr>
                    <w:adjustRightInd w:val="0"/>
                    <w:snapToGrid w:val="0"/>
                    <w:rPr>
                      <w:color w:val="auto"/>
                      <w:sz w:val="18"/>
                      <w:szCs w:val="18"/>
                    </w:rPr>
                  </w:pPr>
                  <w:r>
                    <w:rPr>
                      <w:rFonts w:hint="eastAsia"/>
                      <w:color w:val="auto"/>
                      <w:sz w:val="18"/>
                      <w:szCs w:val="18"/>
                    </w:rPr>
                    <w:t>当地</w:t>
                  </w:r>
                  <w:r>
                    <w:rPr>
                      <w:color w:val="auto"/>
                      <w:sz w:val="18"/>
                      <w:szCs w:val="18"/>
                    </w:rPr>
                    <w:t>住户（</w:t>
                  </w:r>
                  <w:r>
                    <w:rPr>
                      <w:rFonts w:hint="eastAsia"/>
                      <w:color w:val="auto"/>
                      <w:sz w:val="18"/>
                      <w:szCs w:val="18"/>
                      <w:lang w:val="en-US" w:eastAsia="zh-CN"/>
                    </w:rPr>
                    <w:t>100</w:t>
                  </w:r>
                  <w:r>
                    <w:rPr>
                      <w:color w:val="auto"/>
                      <w:sz w:val="18"/>
                      <w:szCs w:val="18"/>
                    </w:rPr>
                    <w:t>户</w:t>
                  </w:r>
                  <w:r>
                    <w:rPr>
                      <w:rFonts w:hint="eastAsia"/>
                      <w:color w:val="auto"/>
                      <w:sz w:val="18"/>
                      <w:szCs w:val="18"/>
                      <w:lang w:val="en-US" w:eastAsia="zh-CN"/>
                    </w:rPr>
                    <w:t>400</w:t>
                  </w:r>
                  <w:r>
                    <w:rPr>
                      <w:color w:val="auto"/>
                      <w:sz w:val="18"/>
                      <w:szCs w:val="18"/>
                    </w:rPr>
                    <w:t>人）</w:t>
                  </w:r>
                </w:p>
              </w:tc>
              <w:tc>
                <w:tcPr>
                  <w:tcW w:w="845"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25</w:t>
                  </w:r>
                </w:p>
              </w:tc>
              <w:tc>
                <w:tcPr>
                  <w:tcW w:w="817" w:type="dxa"/>
                  <w:tcBorders>
                    <w:tl2br w:val="nil"/>
                    <w:tr2bl w:val="nil"/>
                  </w:tcBorders>
                  <w:noWrap/>
                  <w:vAlign w:val="center"/>
                </w:tcPr>
                <w:p>
                  <w:pPr>
                    <w:adjustRightInd w:val="0"/>
                    <w:snapToGrid w:val="0"/>
                    <w:jc w:val="center"/>
                    <w:rPr>
                      <w:color w:val="auto"/>
                      <w:sz w:val="18"/>
                      <w:szCs w:val="18"/>
                    </w:rPr>
                  </w:pPr>
                  <w:r>
                    <w:rPr>
                      <w:color w:val="auto"/>
                      <w:sz w:val="18"/>
                      <w:szCs w:val="18"/>
                    </w:rPr>
                    <w:t>+</w:t>
                  </w:r>
                  <w:r>
                    <w:rPr>
                      <w:rFonts w:hint="eastAsia"/>
                      <w:color w:val="auto"/>
                      <w:sz w:val="18"/>
                      <w:szCs w:val="18"/>
                      <w:lang w:val="en-US" w:eastAsia="zh-CN"/>
                    </w:rPr>
                    <w:t>25</w:t>
                  </w:r>
                </w:p>
              </w:tc>
              <w:tc>
                <w:tcPr>
                  <w:tcW w:w="948" w:type="dxa"/>
                  <w:tcBorders>
                    <w:tl2br w:val="nil"/>
                    <w:tr2bl w:val="nil"/>
                  </w:tcBorders>
                  <w:noWrap/>
                  <w:vAlign w:val="center"/>
                </w:tcPr>
                <w:p>
                  <w:pPr>
                    <w:pStyle w:val="31"/>
                    <w:jc w:val="center"/>
                    <w:rPr>
                      <w:rFonts w:ascii="Times New Roman" w:hAnsi="Times New Roman" w:cs="Times New Roman"/>
                      <w:color w:val="auto"/>
                      <w:sz w:val="18"/>
                      <w:szCs w:val="18"/>
                    </w:rPr>
                  </w:pPr>
                  <w:r>
                    <w:rPr>
                      <w:rFonts w:ascii="Times New Roman" w:hAnsi="Times New Roman" w:cs="Times New Roman"/>
                      <w:color w:val="auto"/>
                      <w:sz w:val="18"/>
                      <w:szCs w:val="18"/>
                    </w:rPr>
                    <w:t>西侧</w:t>
                  </w:r>
                </w:p>
              </w:tc>
              <w:tc>
                <w:tcPr>
                  <w:tcW w:w="1419" w:type="dxa"/>
                  <w:tcBorders>
                    <w:tl2br w:val="nil"/>
                    <w:tr2bl w:val="nil"/>
                  </w:tcBorders>
                  <w:noWrap/>
                  <w:vAlign w:val="center"/>
                </w:tcPr>
                <w:p>
                  <w:pPr>
                    <w:pStyle w:val="31"/>
                    <w:jc w:val="center"/>
                    <w:rPr>
                      <w:rFonts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30</w:t>
                  </w:r>
                </w:p>
              </w:tc>
              <w:tc>
                <w:tcPr>
                  <w:tcW w:w="1731" w:type="dxa"/>
                  <w:tcBorders>
                    <w:tl2br w:val="nil"/>
                    <w:tr2bl w:val="nil"/>
                  </w:tcBorders>
                  <w:noWrap/>
                  <w:vAlign w:val="center"/>
                </w:tcPr>
                <w:p>
                  <w:pPr>
                    <w:adjustRightInd w:val="0"/>
                    <w:snapToGrid w:val="0"/>
                    <w:jc w:val="center"/>
                    <w:rPr>
                      <w:color w:val="auto"/>
                      <w:sz w:val="18"/>
                      <w:szCs w:val="18"/>
                    </w:rPr>
                  </w:pPr>
                  <w:r>
                    <w:rPr>
                      <w:color w:val="auto"/>
                      <w:sz w:val="18"/>
                      <w:szCs w:val="18"/>
                    </w:rPr>
                    <w:t>《声环境质量标准》（GB3096-2008）2类标准</w:t>
                  </w:r>
                </w:p>
              </w:tc>
            </w:tr>
          </w:tbl>
          <w:p>
            <w:pPr>
              <w:pStyle w:val="2"/>
              <w:ind w:firstLine="0"/>
              <w:rPr>
                <w:color w:val="auto"/>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81" w:hRule="atLeast"/>
          <w:jc w:val="center"/>
        </w:trPr>
        <w:tc>
          <w:tcPr>
            <w:tcW w:w="800" w:type="dxa"/>
            <w:noWrap/>
            <w:tcMar>
              <w:left w:w="28" w:type="dxa"/>
              <w:right w:w="28" w:type="dxa"/>
            </w:tcMar>
            <w:vAlign w:val="center"/>
          </w:tcPr>
          <w:p>
            <w:pPr>
              <w:adjustRightInd w:val="0"/>
              <w:snapToGrid w:val="0"/>
              <w:jc w:val="center"/>
              <w:rPr>
                <w:color w:val="auto"/>
                <w:kern w:val="0"/>
                <w:szCs w:val="21"/>
              </w:rPr>
            </w:pPr>
            <w:r>
              <w:rPr>
                <w:color w:val="auto"/>
                <w:kern w:val="0"/>
                <w:szCs w:val="21"/>
              </w:rPr>
              <w:t>污染</w:t>
            </w:r>
          </w:p>
          <w:p>
            <w:pPr>
              <w:adjustRightInd w:val="0"/>
              <w:snapToGrid w:val="0"/>
              <w:jc w:val="center"/>
              <w:rPr>
                <w:color w:val="auto"/>
                <w:kern w:val="0"/>
                <w:szCs w:val="21"/>
              </w:rPr>
            </w:pPr>
            <w:r>
              <w:rPr>
                <w:color w:val="auto"/>
                <w:kern w:val="0"/>
                <w:szCs w:val="21"/>
              </w:rPr>
              <w:t>物排</w:t>
            </w:r>
          </w:p>
          <w:p>
            <w:pPr>
              <w:adjustRightInd w:val="0"/>
              <w:snapToGrid w:val="0"/>
              <w:jc w:val="center"/>
              <w:rPr>
                <w:color w:val="auto"/>
                <w:kern w:val="0"/>
                <w:szCs w:val="21"/>
              </w:rPr>
            </w:pPr>
            <w:r>
              <w:rPr>
                <w:color w:val="auto"/>
                <w:kern w:val="0"/>
                <w:szCs w:val="21"/>
              </w:rPr>
              <w:t>放控</w:t>
            </w:r>
          </w:p>
          <w:p>
            <w:pPr>
              <w:adjustRightInd w:val="0"/>
              <w:snapToGrid w:val="0"/>
              <w:jc w:val="center"/>
              <w:rPr>
                <w:color w:val="auto"/>
                <w:kern w:val="0"/>
                <w:szCs w:val="21"/>
              </w:rPr>
            </w:pPr>
            <w:r>
              <w:rPr>
                <w:color w:val="auto"/>
                <w:kern w:val="0"/>
                <w:szCs w:val="21"/>
              </w:rPr>
              <w:t>制标</w:t>
            </w:r>
          </w:p>
          <w:p>
            <w:pPr>
              <w:adjustRightInd w:val="0"/>
              <w:snapToGrid w:val="0"/>
              <w:jc w:val="center"/>
              <w:rPr>
                <w:color w:val="auto"/>
                <w:kern w:val="0"/>
                <w:szCs w:val="21"/>
              </w:rPr>
            </w:pPr>
            <w:r>
              <w:rPr>
                <w:color w:val="auto"/>
                <w:kern w:val="0"/>
                <w:szCs w:val="21"/>
              </w:rPr>
              <w:t>准</w:t>
            </w:r>
          </w:p>
        </w:tc>
        <w:tc>
          <w:tcPr>
            <w:tcW w:w="8190" w:type="dxa"/>
            <w:noWrap/>
            <w:vAlign w:val="center"/>
          </w:tcPr>
          <w:p>
            <w:pPr>
              <w:wordWrap w:val="0"/>
              <w:topLinePunct/>
              <w:adjustRightInd w:val="0"/>
              <w:snapToGrid w:val="0"/>
              <w:spacing w:line="360" w:lineRule="auto"/>
              <w:ind w:firstLine="420" w:firstLineChars="200"/>
              <w:rPr>
                <w:color w:val="auto"/>
                <w:spacing w:val="-2"/>
                <w:szCs w:val="21"/>
              </w:rPr>
            </w:pPr>
            <w:r>
              <w:rPr>
                <w:rFonts w:hint="eastAsia"/>
                <w:color w:val="auto"/>
                <w:szCs w:val="21"/>
              </w:rPr>
              <w:t>1、</w:t>
            </w:r>
            <w:r>
              <w:rPr>
                <w:color w:val="auto"/>
                <w:szCs w:val="21"/>
              </w:rPr>
              <w:t>大气：</w:t>
            </w:r>
            <w:r>
              <w:rPr>
                <w:color w:val="auto"/>
                <w:spacing w:val="-2"/>
                <w:szCs w:val="21"/>
              </w:rPr>
              <w:t>环境空气</w:t>
            </w:r>
            <w:r>
              <w:rPr>
                <w:color w:val="auto"/>
                <w:kern w:val="0"/>
                <w:szCs w:val="21"/>
              </w:rPr>
              <w:t>SO</w:t>
            </w:r>
            <w:r>
              <w:rPr>
                <w:color w:val="auto"/>
                <w:kern w:val="0"/>
                <w:szCs w:val="21"/>
                <w:vertAlign w:val="subscript"/>
              </w:rPr>
              <w:t>2</w:t>
            </w:r>
            <w:r>
              <w:rPr>
                <w:rFonts w:hint="eastAsia"/>
                <w:color w:val="auto"/>
                <w:kern w:val="0"/>
                <w:szCs w:val="21"/>
              </w:rPr>
              <w:t>、</w:t>
            </w:r>
            <w:r>
              <w:rPr>
                <w:color w:val="auto"/>
                <w:kern w:val="0"/>
                <w:szCs w:val="21"/>
              </w:rPr>
              <w:t>NO</w:t>
            </w:r>
            <w:r>
              <w:rPr>
                <w:color w:val="auto"/>
                <w:kern w:val="0"/>
                <w:szCs w:val="21"/>
                <w:vertAlign w:val="subscript"/>
              </w:rPr>
              <w:t>2</w:t>
            </w:r>
            <w:r>
              <w:rPr>
                <w:rFonts w:hint="eastAsia"/>
                <w:color w:val="auto"/>
                <w:kern w:val="0"/>
                <w:szCs w:val="21"/>
              </w:rPr>
              <w:t>、CO、</w:t>
            </w:r>
            <w:r>
              <w:rPr>
                <w:color w:val="auto"/>
                <w:kern w:val="0"/>
                <w:szCs w:val="21"/>
              </w:rPr>
              <w:t>O</w:t>
            </w:r>
            <w:r>
              <w:rPr>
                <w:color w:val="auto"/>
                <w:kern w:val="0"/>
                <w:szCs w:val="21"/>
                <w:vertAlign w:val="subscript"/>
              </w:rPr>
              <w:t>3</w:t>
            </w:r>
            <w:r>
              <w:rPr>
                <w:rFonts w:hint="eastAsia"/>
                <w:color w:val="auto"/>
                <w:kern w:val="0"/>
                <w:szCs w:val="21"/>
              </w:rPr>
              <w:t>、PM</w:t>
            </w:r>
            <w:r>
              <w:rPr>
                <w:rFonts w:hint="eastAsia"/>
                <w:color w:val="auto"/>
                <w:kern w:val="0"/>
                <w:szCs w:val="21"/>
                <w:vertAlign w:val="subscript"/>
              </w:rPr>
              <w:t>10</w:t>
            </w:r>
            <w:r>
              <w:rPr>
                <w:rFonts w:hint="eastAsia"/>
                <w:color w:val="auto"/>
                <w:kern w:val="0"/>
                <w:szCs w:val="21"/>
              </w:rPr>
              <w:t>、PM</w:t>
            </w:r>
            <w:r>
              <w:rPr>
                <w:rFonts w:hint="eastAsia"/>
                <w:color w:val="auto"/>
                <w:kern w:val="0"/>
                <w:szCs w:val="21"/>
                <w:vertAlign w:val="subscript"/>
              </w:rPr>
              <w:t>2.5</w:t>
            </w:r>
            <w:r>
              <w:rPr>
                <w:color w:val="auto"/>
                <w:spacing w:val="-2"/>
                <w:szCs w:val="21"/>
              </w:rPr>
              <w:t>执行《环境空气质量标准》（GB3095-2012）</w:t>
            </w:r>
            <w:r>
              <w:rPr>
                <w:rFonts w:hint="eastAsia"/>
                <w:color w:val="auto"/>
                <w:spacing w:val="-2"/>
                <w:szCs w:val="21"/>
              </w:rPr>
              <w:t>及其修改单</w:t>
            </w:r>
            <w:r>
              <w:rPr>
                <w:color w:val="auto"/>
                <w:spacing w:val="-2"/>
                <w:szCs w:val="21"/>
              </w:rPr>
              <w:t>中二级标准</w:t>
            </w:r>
            <w:r>
              <w:rPr>
                <w:rFonts w:hint="eastAsia"/>
                <w:color w:val="auto"/>
                <w:spacing w:val="-2"/>
                <w:szCs w:val="21"/>
              </w:rPr>
              <w:t>；</w:t>
            </w:r>
            <w:r>
              <w:rPr>
                <w:color w:val="auto"/>
                <w:szCs w:val="21"/>
              </w:rPr>
              <w:t>根据《环境影响评价技术导则 大气环境》（HJ2.2-2018），对于GB3095及地方环境质量标准中未包含的污染物，可参照附录D中的标准；NH</w:t>
            </w:r>
            <w:r>
              <w:rPr>
                <w:rFonts w:hint="eastAsia"/>
                <w:color w:val="auto"/>
                <w:szCs w:val="21"/>
                <w:vertAlign w:val="subscript"/>
              </w:rPr>
              <w:t>3</w:t>
            </w:r>
            <w:r>
              <w:rPr>
                <w:color w:val="auto"/>
                <w:szCs w:val="21"/>
              </w:rPr>
              <w:t>和H</w:t>
            </w:r>
            <w:r>
              <w:rPr>
                <w:rFonts w:hint="eastAsia"/>
                <w:color w:val="auto"/>
                <w:szCs w:val="21"/>
                <w:vertAlign w:val="subscript"/>
              </w:rPr>
              <w:t>2</w:t>
            </w:r>
            <w:r>
              <w:rPr>
                <w:color w:val="auto"/>
                <w:szCs w:val="21"/>
              </w:rPr>
              <w:t>S参照执行大气导则附录D中的浓度限值，具体的标准限值见表</w:t>
            </w:r>
            <w:r>
              <w:rPr>
                <w:rFonts w:hint="eastAsia"/>
                <w:color w:val="auto"/>
                <w:szCs w:val="21"/>
              </w:rPr>
              <w:t>3</w:t>
            </w:r>
            <w:r>
              <w:rPr>
                <w:color w:val="auto"/>
                <w:szCs w:val="21"/>
              </w:rPr>
              <w:t>-</w:t>
            </w:r>
            <w:r>
              <w:rPr>
                <w:rFonts w:hint="eastAsia"/>
                <w:color w:val="auto"/>
                <w:szCs w:val="21"/>
                <w:lang w:val="en-US" w:eastAsia="zh-CN"/>
              </w:rPr>
              <w:t>7</w:t>
            </w:r>
            <w:r>
              <w:rPr>
                <w:rFonts w:hint="eastAsia"/>
                <w:color w:val="auto"/>
                <w:szCs w:val="21"/>
              </w:rPr>
              <w:t>、</w:t>
            </w:r>
            <w:r>
              <w:rPr>
                <w:color w:val="auto"/>
                <w:szCs w:val="21"/>
              </w:rPr>
              <w:t>表</w:t>
            </w:r>
            <w:r>
              <w:rPr>
                <w:rFonts w:hint="eastAsia"/>
                <w:color w:val="auto"/>
                <w:szCs w:val="21"/>
              </w:rPr>
              <w:t>3</w:t>
            </w:r>
            <w:r>
              <w:rPr>
                <w:color w:val="auto"/>
                <w:szCs w:val="21"/>
              </w:rPr>
              <w:t>-</w:t>
            </w:r>
            <w:r>
              <w:rPr>
                <w:rFonts w:hint="eastAsia"/>
                <w:color w:val="auto"/>
                <w:szCs w:val="21"/>
                <w:lang w:val="en-US" w:eastAsia="zh-CN"/>
              </w:rPr>
              <w:t>8</w:t>
            </w:r>
            <w:r>
              <w:rPr>
                <w:rFonts w:hint="eastAsia"/>
                <w:color w:val="auto"/>
                <w:szCs w:val="21"/>
              </w:rPr>
              <w:t>。</w:t>
            </w:r>
          </w:p>
          <w:p>
            <w:pPr>
              <w:jc w:val="center"/>
              <w:rPr>
                <w:b/>
                <w:bCs/>
                <w:color w:val="auto"/>
                <w:sz w:val="18"/>
                <w:szCs w:val="18"/>
                <w:vertAlign w:val="superscript"/>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lang w:val="en-US" w:eastAsia="zh-CN"/>
              </w:rPr>
              <w:t>7</w:t>
            </w:r>
            <w:r>
              <w:rPr>
                <w:b/>
                <w:color w:val="auto"/>
                <w:sz w:val="18"/>
                <w:szCs w:val="18"/>
              </w:rPr>
              <w:t xml:space="preserve">    环境空气质量标准    </w:t>
            </w:r>
          </w:p>
          <w:tbl>
            <w:tblPr>
              <w:tblStyle w:val="21"/>
              <w:tblW w:w="4998" w:type="pct"/>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62"/>
              <w:gridCol w:w="2097"/>
              <w:gridCol w:w="2088"/>
              <w:gridCol w:w="1263"/>
              <w:gridCol w:w="126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序号</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污染物项目</w:t>
                  </w:r>
                </w:p>
              </w:tc>
              <w:tc>
                <w:tcPr>
                  <w:tcW w:w="1309"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平均时间</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浓度限值</w:t>
                  </w:r>
                </w:p>
              </w:tc>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vMerge w:val="continue"/>
                  <w:tcBorders>
                    <w:tl2br w:val="nil"/>
                    <w:tr2bl w:val="nil"/>
                  </w:tcBorders>
                  <w:noWrap/>
                  <w:vAlign w:val="center"/>
                </w:tcPr>
                <w:p>
                  <w:pPr>
                    <w:widowControl/>
                    <w:jc w:val="center"/>
                    <w:rPr>
                      <w:color w:val="auto"/>
                      <w:kern w:val="0"/>
                      <w:sz w:val="18"/>
                      <w:szCs w:val="18"/>
                    </w:rPr>
                  </w:pP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二级</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1</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二氧化硫（SO</w:t>
                  </w:r>
                  <w:r>
                    <w:rPr>
                      <w:color w:val="auto"/>
                      <w:kern w:val="0"/>
                      <w:sz w:val="18"/>
                      <w:szCs w:val="18"/>
                      <w:vertAlign w:val="subscript"/>
                    </w:rPr>
                    <w:t>2</w:t>
                  </w:r>
                  <w:r>
                    <w:rPr>
                      <w:color w:val="auto"/>
                      <w:kern w:val="0"/>
                      <w:sz w:val="18"/>
                      <w:szCs w:val="18"/>
                    </w:rPr>
                    <w:t>）</w:t>
                  </w: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年平均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60</w:t>
                  </w:r>
                </w:p>
              </w:tc>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μg/m</w:t>
                  </w:r>
                  <w:r>
                    <w:rPr>
                      <w:color w:val="auto"/>
                      <w:kern w:val="0"/>
                      <w:sz w:val="18"/>
                      <w:szCs w:val="18"/>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24小时平均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150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1小时平均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500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2</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二氧化</w:t>
                  </w:r>
                  <w:r>
                    <w:rPr>
                      <w:rFonts w:hint="eastAsia"/>
                      <w:color w:val="auto"/>
                      <w:kern w:val="0"/>
                      <w:sz w:val="18"/>
                      <w:szCs w:val="18"/>
                      <w:lang w:eastAsia="zh-CN"/>
                    </w:rPr>
                    <w:t>氮</w:t>
                  </w:r>
                  <w:r>
                    <w:rPr>
                      <w:color w:val="auto"/>
                      <w:kern w:val="0"/>
                      <w:sz w:val="18"/>
                      <w:szCs w:val="18"/>
                    </w:rPr>
                    <w:t>（NO</w:t>
                  </w:r>
                  <w:r>
                    <w:rPr>
                      <w:color w:val="auto"/>
                      <w:kern w:val="0"/>
                      <w:sz w:val="18"/>
                      <w:szCs w:val="18"/>
                      <w:vertAlign w:val="subscript"/>
                    </w:rPr>
                    <w:t>2</w:t>
                  </w:r>
                  <w:r>
                    <w:rPr>
                      <w:color w:val="auto"/>
                      <w:kern w:val="0"/>
                      <w:sz w:val="18"/>
                      <w:szCs w:val="18"/>
                    </w:rPr>
                    <w:t>）</w:t>
                  </w: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年平均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40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24小时平均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80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1小时平均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200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3</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一氧化碳（CO）</w:t>
                  </w: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24小时平均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4</w:t>
                  </w:r>
                </w:p>
              </w:tc>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mg/m</w:t>
                  </w:r>
                  <w:r>
                    <w:rPr>
                      <w:color w:val="auto"/>
                      <w:kern w:val="0"/>
                      <w:sz w:val="18"/>
                      <w:szCs w:val="18"/>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1小时平均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10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4</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臭氧（O</w:t>
                  </w:r>
                  <w:r>
                    <w:rPr>
                      <w:color w:val="auto"/>
                      <w:kern w:val="0"/>
                      <w:sz w:val="18"/>
                      <w:szCs w:val="18"/>
                      <w:vertAlign w:val="subscript"/>
                    </w:rPr>
                    <w:t>3</w:t>
                  </w:r>
                  <w:r>
                    <w:rPr>
                      <w:color w:val="auto"/>
                      <w:kern w:val="0"/>
                      <w:sz w:val="18"/>
                      <w:szCs w:val="18"/>
                    </w:rPr>
                    <w:t>）</w:t>
                  </w: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日最大8小时平均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160</w:t>
                  </w:r>
                </w:p>
              </w:tc>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μg/m</w:t>
                  </w:r>
                  <w:r>
                    <w:rPr>
                      <w:color w:val="auto"/>
                      <w:kern w:val="0"/>
                      <w:sz w:val="18"/>
                      <w:szCs w:val="18"/>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1小时平均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200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5</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颗粒物（粒径小于等于10μm）</w:t>
                  </w: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年平均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70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24小时平均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150</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6</w:t>
                  </w:r>
                </w:p>
              </w:tc>
              <w:tc>
                <w:tcPr>
                  <w:tcW w:w="1314" w:type="pct"/>
                  <w:vMerge w:val="restart"/>
                  <w:tcBorders>
                    <w:tl2br w:val="nil"/>
                    <w:tr2bl w:val="nil"/>
                  </w:tcBorders>
                  <w:noWrap/>
                  <w:vAlign w:val="center"/>
                </w:tcPr>
                <w:p>
                  <w:pPr>
                    <w:widowControl/>
                    <w:jc w:val="center"/>
                    <w:rPr>
                      <w:color w:val="auto"/>
                      <w:kern w:val="0"/>
                      <w:sz w:val="18"/>
                      <w:szCs w:val="18"/>
                    </w:rPr>
                  </w:pPr>
                  <w:r>
                    <w:rPr>
                      <w:color w:val="auto"/>
                      <w:kern w:val="0"/>
                      <w:sz w:val="18"/>
                      <w:szCs w:val="18"/>
                    </w:rPr>
                    <w:t>颗粒物（粒径小于等于2.5μm）</w:t>
                  </w: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年平均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35</w:t>
                  </w:r>
                </w:p>
              </w:tc>
              <w:tc>
                <w:tcPr>
                  <w:tcW w:w="791" w:type="pct"/>
                  <w:vMerge w:val="continue"/>
                  <w:tcBorders>
                    <w:tl2br w:val="nil"/>
                    <w:tr2bl w:val="nil"/>
                  </w:tcBorders>
                  <w:noWrap/>
                  <w:vAlign w:val="center"/>
                </w:tcPr>
                <w:p>
                  <w:pPr>
                    <w:widowControl/>
                    <w:jc w:val="center"/>
                    <w:rPr>
                      <w:color w:val="auto"/>
                      <w:kern w:val="0"/>
                      <w:sz w:val="18"/>
                      <w:szCs w:val="18"/>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1" w:type="pct"/>
                  <w:vMerge w:val="continue"/>
                  <w:tcBorders>
                    <w:tl2br w:val="nil"/>
                    <w:tr2bl w:val="nil"/>
                  </w:tcBorders>
                  <w:noWrap/>
                  <w:vAlign w:val="center"/>
                </w:tcPr>
                <w:p>
                  <w:pPr>
                    <w:widowControl/>
                    <w:jc w:val="center"/>
                    <w:rPr>
                      <w:color w:val="auto"/>
                      <w:kern w:val="0"/>
                      <w:sz w:val="18"/>
                      <w:szCs w:val="18"/>
                    </w:rPr>
                  </w:pPr>
                </w:p>
              </w:tc>
              <w:tc>
                <w:tcPr>
                  <w:tcW w:w="1314" w:type="pct"/>
                  <w:vMerge w:val="continue"/>
                  <w:tcBorders>
                    <w:tl2br w:val="nil"/>
                    <w:tr2bl w:val="nil"/>
                  </w:tcBorders>
                  <w:noWrap/>
                  <w:vAlign w:val="center"/>
                </w:tcPr>
                <w:p>
                  <w:pPr>
                    <w:widowControl/>
                    <w:jc w:val="center"/>
                    <w:rPr>
                      <w:color w:val="auto"/>
                      <w:kern w:val="0"/>
                      <w:sz w:val="18"/>
                      <w:szCs w:val="18"/>
                    </w:rPr>
                  </w:pPr>
                </w:p>
              </w:tc>
              <w:tc>
                <w:tcPr>
                  <w:tcW w:w="1309" w:type="pct"/>
                  <w:tcBorders>
                    <w:tl2br w:val="nil"/>
                    <w:tr2bl w:val="nil"/>
                  </w:tcBorders>
                  <w:noWrap/>
                  <w:vAlign w:val="center"/>
                </w:tcPr>
                <w:p>
                  <w:pPr>
                    <w:widowControl/>
                    <w:jc w:val="center"/>
                    <w:rPr>
                      <w:color w:val="auto"/>
                      <w:kern w:val="0"/>
                      <w:sz w:val="18"/>
                      <w:szCs w:val="18"/>
                    </w:rPr>
                  </w:pPr>
                  <w:r>
                    <w:rPr>
                      <w:color w:val="auto"/>
                      <w:kern w:val="0"/>
                      <w:sz w:val="18"/>
                      <w:szCs w:val="18"/>
                    </w:rPr>
                    <w:t>24小时平均</w:t>
                  </w:r>
                </w:p>
              </w:tc>
              <w:tc>
                <w:tcPr>
                  <w:tcW w:w="792" w:type="pct"/>
                  <w:tcBorders>
                    <w:tl2br w:val="nil"/>
                    <w:tr2bl w:val="nil"/>
                  </w:tcBorders>
                  <w:noWrap/>
                  <w:vAlign w:val="center"/>
                </w:tcPr>
                <w:p>
                  <w:pPr>
                    <w:widowControl/>
                    <w:jc w:val="center"/>
                    <w:rPr>
                      <w:color w:val="auto"/>
                      <w:kern w:val="0"/>
                      <w:sz w:val="18"/>
                      <w:szCs w:val="18"/>
                    </w:rPr>
                  </w:pPr>
                  <w:r>
                    <w:rPr>
                      <w:color w:val="auto"/>
                      <w:kern w:val="0"/>
                      <w:sz w:val="18"/>
                      <w:szCs w:val="18"/>
                    </w:rPr>
                    <w:t>75</w:t>
                  </w:r>
                </w:p>
              </w:tc>
              <w:tc>
                <w:tcPr>
                  <w:tcW w:w="791" w:type="pct"/>
                  <w:vMerge w:val="continue"/>
                  <w:tcBorders>
                    <w:tl2br w:val="nil"/>
                    <w:tr2bl w:val="nil"/>
                  </w:tcBorders>
                  <w:noWrap/>
                  <w:vAlign w:val="center"/>
                </w:tcPr>
                <w:p>
                  <w:pPr>
                    <w:widowControl/>
                    <w:jc w:val="center"/>
                    <w:rPr>
                      <w:color w:val="auto"/>
                      <w:kern w:val="0"/>
                      <w:sz w:val="18"/>
                      <w:szCs w:val="18"/>
                    </w:rPr>
                  </w:pPr>
                </w:p>
              </w:tc>
            </w:tr>
          </w:tbl>
          <w:p>
            <w:pPr>
              <w:adjustRightInd w:val="0"/>
              <w:snapToGrid w:val="0"/>
              <w:spacing w:line="240" w:lineRule="auto"/>
              <w:ind w:firstLine="904" w:firstLineChars="500"/>
              <w:rPr>
                <w:color w:val="auto"/>
                <w:sz w:val="18"/>
                <w:szCs w:val="18"/>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lang w:val="en-US" w:eastAsia="zh-CN"/>
              </w:rPr>
              <w:t>8</w:t>
            </w:r>
            <w:r>
              <w:rPr>
                <w:b/>
                <w:color w:val="auto"/>
                <w:sz w:val="18"/>
                <w:szCs w:val="18"/>
              </w:rPr>
              <w:t xml:space="preserve">  大气导则附录D中其他污染物空气质量浓度参考限值（摘录）</w:t>
            </w:r>
          </w:p>
          <w:tbl>
            <w:tblPr>
              <w:tblStyle w:val="21"/>
              <w:tblW w:w="8039"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009"/>
              <w:gridCol w:w="2010"/>
              <w:gridCol w:w="2010"/>
              <w:gridCol w:w="201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2009" w:type="dxa"/>
                  <w:noWrap/>
                  <w:vAlign w:val="center"/>
                </w:tcPr>
                <w:p>
                  <w:pPr>
                    <w:adjustRightInd w:val="0"/>
                    <w:snapToGrid w:val="0"/>
                    <w:spacing w:line="320" w:lineRule="exact"/>
                    <w:jc w:val="center"/>
                    <w:rPr>
                      <w:color w:val="auto"/>
                      <w:sz w:val="18"/>
                      <w:szCs w:val="18"/>
                    </w:rPr>
                  </w:pPr>
                  <w:r>
                    <w:rPr>
                      <w:color w:val="auto"/>
                      <w:sz w:val="18"/>
                      <w:szCs w:val="18"/>
                    </w:rPr>
                    <w:t>污染物名称</w:t>
                  </w:r>
                </w:p>
              </w:tc>
              <w:tc>
                <w:tcPr>
                  <w:tcW w:w="2010" w:type="dxa"/>
                  <w:noWrap/>
                  <w:vAlign w:val="center"/>
                </w:tcPr>
                <w:p>
                  <w:pPr>
                    <w:adjustRightInd w:val="0"/>
                    <w:snapToGrid w:val="0"/>
                    <w:spacing w:line="320" w:lineRule="exact"/>
                    <w:ind w:firstLine="540" w:firstLineChars="300"/>
                    <w:jc w:val="both"/>
                    <w:rPr>
                      <w:color w:val="auto"/>
                      <w:sz w:val="18"/>
                      <w:szCs w:val="18"/>
                    </w:rPr>
                  </w:pPr>
                  <w:r>
                    <w:rPr>
                      <w:color w:val="auto"/>
                      <w:sz w:val="18"/>
                      <w:szCs w:val="18"/>
                    </w:rPr>
                    <w:t>平均时间</w:t>
                  </w:r>
                </w:p>
              </w:tc>
              <w:tc>
                <w:tcPr>
                  <w:tcW w:w="2010" w:type="dxa"/>
                  <w:noWrap/>
                  <w:vAlign w:val="center"/>
                </w:tcPr>
                <w:p>
                  <w:pPr>
                    <w:adjustRightInd w:val="0"/>
                    <w:snapToGrid w:val="0"/>
                    <w:spacing w:line="320" w:lineRule="exact"/>
                    <w:jc w:val="center"/>
                    <w:rPr>
                      <w:color w:val="auto"/>
                      <w:sz w:val="18"/>
                      <w:szCs w:val="18"/>
                    </w:rPr>
                  </w:pPr>
                  <w:r>
                    <w:rPr>
                      <w:color w:val="auto"/>
                      <w:sz w:val="18"/>
                      <w:szCs w:val="18"/>
                    </w:rPr>
                    <w:t>大气导则附录D</w:t>
                  </w:r>
                </w:p>
              </w:tc>
              <w:tc>
                <w:tcPr>
                  <w:tcW w:w="2010" w:type="dxa"/>
                  <w:noWrap/>
                  <w:vAlign w:val="center"/>
                </w:tcPr>
                <w:p>
                  <w:pPr>
                    <w:adjustRightInd w:val="0"/>
                    <w:snapToGrid w:val="0"/>
                    <w:spacing w:line="320" w:lineRule="exact"/>
                    <w:jc w:val="center"/>
                    <w:rPr>
                      <w:color w:val="auto"/>
                      <w:sz w:val="18"/>
                      <w:szCs w:val="18"/>
                    </w:rPr>
                  </w:pPr>
                  <w:r>
                    <w:rPr>
                      <w:color w:val="auto"/>
                      <w:sz w:val="18"/>
                      <w:szCs w:val="18"/>
                    </w:rPr>
                    <w:t>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09" w:type="dxa"/>
                  <w:noWrap/>
                </w:tcPr>
                <w:p>
                  <w:pPr>
                    <w:adjustRightInd w:val="0"/>
                    <w:snapToGrid w:val="0"/>
                    <w:spacing w:line="360" w:lineRule="auto"/>
                    <w:rPr>
                      <w:color w:val="auto"/>
                      <w:sz w:val="18"/>
                      <w:szCs w:val="18"/>
                      <w:vertAlign w:val="subscript"/>
                    </w:rPr>
                  </w:pPr>
                  <w:r>
                    <w:rPr>
                      <w:color w:val="auto"/>
                      <w:sz w:val="18"/>
                      <w:szCs w:val="18"/>
                    </w:rPr>
                    <w:t xml:space="preserve">       NH</w:t>
                  </w:r>
                  <w:r>
                    <w:rPr>
                      <w:color w:val="auto"/>
                      <w:sz w:val="18"/>
                      <w:szCs w:val="18"/>
                      <w:vertAlign w:val="subscript"/>
                    </w:rPr>
                    <w:t>3</w:t>
                  </w:r>
                </w:p>
              </w:tc>
              <w:tc>
                <w:tcPr>
                  <w:tcW w:w="2010" w:type="dxa"/>
                  <w:noWrap/>
                </w:tcPr>
                <w:p>
                  <w:pPr>
                    <w:adjustRightInd w:val="0"/>
                    <w:snapToGrid w:val="0"/>
                    <w:spacing w:line="360" w:lineRule="auto"/>
                    <w:jc w:val="center"/>
                    <w:rPr>
                      <w:rFonts w:hint="eastAsia" w:eastAsia="宋体"/>
                      <w:color w:val="auto"/>
                      <w:sz w:val="18"/>
                      <w:szCs w:val="18"/>
                      <w:lang w:val="en-US" w:eastAsia="zh-CN"/>
                    </w:rPr>
                  </w:pPr>
                  <w:r>
                    <w:rPr>
                      <w:rFonts w:hint="eastAsia"/>
                      <w:color w:val="auto"/>
                      <w:sz w:val="18"/>
                      <w:szCs w:val="18"/>
                      <w:lang w:val="en-US" w:eastAsia="zh-CN"/>
                    </w:rPr>
                    <w:t>1h平均</w:t>
                  </w:r>
                </w:p>
              </w:tc>
              <w:tc>
                <w:tcPr>
                  <w:tcW w:w="2010" w:type="dxa"/>
                  <w:noWrap/>
                </w:tcPr>
                <w:p>
                  <w:pPr>
                    <w:adjustRightInd w:val="0"/>
                    <w:snapToGrid w:val="0"/>
                    <w:spacing w:line="320" w:lineRule="exact"/>
                    <w:ind w:firstLine="720" w:firstLineChars="400"/>
                    <w:jc w:val="both"/>
                    <w:rPr>
                      <w:color w:val="auto"/>
                      <w:sz w:val="18"/>
                      <w:szCs w:val="18"/>
                    </w:rPr>
                  </w:pPr>
                  <w:r>
                    <w:rPr>
                      <w:color w:val="auto"/>
                      <w:sz w:val="18"/>
                      <w:szCs w:val="18"/>
                    </w:rPr>
                    <w:t>200</w:t>
                  </w:r>
                </w:p>
              </w:tc>
              <w:tc>
                <w:tcPr>
                  <w:tcW w:w="2010" w:type="dxa"/>
                  <w:vMerge w:val="restart"/>
                  <w:noWrap/>
                </w:tcPr>
                <w:p>
                  <w:pPr>
                    <w:adjustRightInd w:val="0"/>
                    <w:snapToGrid w:val="0"/>
                    <w:spacing w:line="360" w:lineRule="auto"/>
                    <w:ind w:firstLine="540" w:firstLineChars="300"/>
                    <w:rPr>
                      <w:color w:val="auto"/>
                      <w:sz w:val="18"/>
                      <w:szCs w:val="18"/>
                    </w:rPr>
                  </w:pPr>
                  <w:r>
                    <w:rPr>
                      <w:color w:val="auto"/>
                      <w:sz w:val="18"/>
                      <w:szCs w:val="18"/>
                    </w:rPr>
                    <w:t>μg/m</w:t>
                  </w:r>
                  <w:r>
                    <w:rPr>
                      <w:color w:val="auto"/>
                      <w:sz w:val="18"/>
                      <w:szCs w:val="18"/>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09" w:type="dxa"/>
                  <w:noWrap/>
                </w:tcPr>
                <w:p>
                  <w:pPr>
                    <w:adjustRightInd w:val="0"/>
                    <w:snapToGrid w:val="0"/>
                    <w:spacing w:line="360" w:lineRule="auto"/>
                    <w:rPr>
                      <w:color w:val="auto"/>
                      <w:sz w:val="18"/>
                      <w:szCs w:val="18"/>
                    </w:rPr>
                  </w:pPr>
                  <w:r>
                    <w:rPr>
                      <w:color w:val="auto"/>
                      <w:sz w:val="18"/>
                      <w:szCs w:val="18"/>
                    </w:rPr>
                    <w:t xml:space="preserve">       H</w:t>
                  </w:r>
                  <w:r>
                    <w:rPr>
                      <w:color w:val="auto"/>
                      <w:sz w:val="18"/>
                      <w:szCs w:val="18"/>
                      <w:vertAlign w:val="subscript"/>
                    </w:rPr>
                    <w:t>2</w:t>
                  </w:r>
                  <w:r>
                    <w:rPr>
                      <w:color w:val="auto"/>
                      <w:sz w:val="18"/>
                      <w:szCs w:val="18"/>
                    </w:rPr>
                    <w:t>S</w:t>
                  </w:r>
                </w:p>
              </w:tc>
              <w:tc>
                <w:tcPr>
                  <w:tcW w:w="2010" w:type="dxa"/>
                  <w:noWrap/>
                </w:tcPr>
                <w:p>
                  <w:pPr>
                    <w:adjustRightInd w:val="0"/>
                    <w:snapToGrid w:val="0"/>
                    <w:spacing w:line="360" w:lineRule="auto"/>
                    <w:jc w:val="center"/>
                    <w:rPr>
                      <w:color w:val="auto"/>
                      <w:sz w:val="18"/>
                      <w:szCs w:val="18"/>
                    </w:rPr>
                  </w:pPr>
                  <w:r>
                    <w:rPr>
                      <w:rFonts w:hint="eastAsia"/>
                      <w:color w:val="auto"/>
                      <w:sz w:val="18"/>
                      <w:szCs w:val="18"/>
                      <w:lang w:val="en-US" w:eastAsia="zh-CN"/>
                    </w:rPr>
                    <w:t>1h平均</w:t>
                  </w:r>
                </w:p>
              </w:tc>
              <w:tc>
                <w:tcPr>
                  <w:tcW w:w="2010" w:type="dxa"/>
                  <w:noWrap/>
                </w:tcPr>
                <w:p>
                  <w:pPr>
                    <w:adjustRightInd w:val="0"/>
                    <w:snapToGrid w:val="0"/>
                    <w:spacing w:line="360" w:lineRule="auto"/>
                    <w:ind w:firstLine="720" w:firstLineChars="400"/>
                    <w:rPr>
                      <w:color w:val="auto"/>
                      <w:sz w:val="18"/>
                      <w:szCs w:val="18"/>
                    </w:rPr>
                  </w:pPr>
                  <w:r>
                    <w:rPr>
                      <w:color w:val="auto"/>
                      <w:sz w:val="18"/>
                      <w:szCs w:val="18"/>
                    </w:rPr>
                    <w:t>10</w:t>
                  </w:r>
                </w:p>
              </w:tc>
              <w:tc>
                <w:tcPr>
                  <w:tcW w:w="2010" w:type="dxa"/>
                  <w:vMerge w:val="continue"/>
                  <w:noWrap/>
                </w:tcPr>
                <w:p>
                  <w:pPr>
                    <w:adjustRightInd w:val="0"/>
                    <w:snapToGrid w:val="0"/>
                    <w:spacing w:line="360" w:lineRule="auto"/>
                    <w:rPr>
                      <w:color w:val="auto"/>
                      <w:sz w:val="18"/>
                      <w:szCs w:val="18"/>
                    </w:rPr>
                  </w:pPr>
                </w:p>
              </w:tc>
            </w:tr>
          </w:tbl>
          <w:p>
            <w:pPr>
              <w:adjustRightInd w:val="0"/>
              <w:snapToGrid w:val="0"/>
              <w:spacing w:line="360" w:lineRule="auto"/>
              <w:ind w:firstLine="420" w:firstLineChars="200"/>
              <w:rPr>
                <w:color w:val="auto"/>
                <w:szCs w:val="21"/>
              </w:rPr>
            </w:pPr>
            <w:r>
              <w:rPr>
                <w:color w:val="auto"/>
                <w:szCs w:val="21"/>
              </w:rPr>
              <w:t>2、地表水：水环境执行《地表水环境质量标准》（GB3838－2002）中的Ⅲ类。</w:t>
            </w:r>
          </w:p>
          <w:p>
            <w:pPr>
              <w:adjustRightInd w:val="0"/>
              <w:snapToGrid w:val="0"/>
              <w:spacing w:line="240" w:lineRule="auto"/>
              <w:ind w:firstLine="361" w:firstLineChars="200"/>
              <w:jc w:val="center"/>
              <w:rPr>
                <w:b/>
                <w:color w:val="auto"/>
                <w:sz w:val="18"/>
                <w:szCs w:val="18"/>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lang w:val="en-US" w:eastAsia="zh-CN"/>
              </w:rPr>
              <w:t>9</w:t>
            </w:r>
            <w:r>
              <w:rPr>
                <w:b/>
                <w:color w:val="auto"/>
                <w:sz w:val="18"/>
                <w:szCs w:val="18"/>
              </w:rPr>
              <w:t xml:space="preserve">  地表水环境质量标准 </w:t>
            </w:r>
          </w:p>
          <w:tbl>
            <w:tblPr>
              <w:tblStyle w:val="21"/>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869"/>
              <w:gridCol w:w="2867"/>
              <w:gridCol w:w="286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rPr>
                  </w:pPr>
                  <w:r>
                    <w:rPr>
                      <w:color w:val="auto"/>
                      <w:sz w:val="18"/>
                      <w:szCs w:val="18"/>
                    </w:rPr>
                    <w:t>序 号</w:t>
                  </w:r>
                </w:p>
              </w:tc>
              <w:tc>
                <w:tcPr>
                  <w:tcW w:w="2867" w:type="dxa"/>
                  <w:tcBorders>
                    <w:tl2br w:val="nil"/>
                    <w:tr2bl w:val="nil"/>
                  </w:tcBorders>
                  <w:noWrap/>
                  <w:vAlign w:val="center"/>
                </w:tcPr>
                <w:p>
                  <w:pPr>
                    <w:jc w:val="center"/>
                    <w:rPr>
                      <w:color w:val="auto"/>
                      <w:sz w:val="18"/>
                      <w:szCs w:val="18"/>
                    </w:rPr>
                  </w:pPr>
                  <w:r>
                    <w:rPr>
                      <w:color w:val="auto"/>
                      <w:sz w:val="18"/>
                      <w:szCs w:val="18"/>
                    </w:rPr>
                    <w:t>项 目</w:t>
                  </w:r>
                </w:p>
              </w:tc>
              <w:tc>
                <w:tcPr>
                  <w:tcW w:w="2868" w:type="dxa"/>
                  <w:tcBorders>
                    <w:tl2br w:val="nil"/>
                    <w:tr2bl w:val="nil"/>
                  </w:tcBorders>
                  <w:noWrap/>
                  <w:vAlign w:val="center"/>
                </w:tcPr>
                <w:p>
                  <w:pPr>
                    <w:pStyle w:val="5"/>
                    <w:ind w:firstLine="0"/>
                    <w:jc w:val="center"/>
                    <w:rPr>
                      <w:color w:val="auto"/>
                      <w:sz w:val="18"/>
                      <w:szCs w:val="18"/>
                    </w:rPr>
                  </w:pPr>
                  <w:r>
                    <w:rPr>
                      <w:color w:val="auto"/>
                      <w:sz w:val="18"/>
                      <w:szCs w:val="18"/>
                    </w:rPr>
                    <w:t>Ⅲ类标准（mg/L）</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rPr>
                  </w:pPr>
                  <w:r>
                    <w:rPr>
                      <w:color w:val="auto"/>
                      <w:sz w:val="18"/>
                      <w:szCs w:val="18"/>
                    </w:rPr>
                    <w:t>1</w:t>
                  </w:r>
                </w:p>
              </w:tc>
              <w:tc>
                <w:tcPr>
                  <w:tcW w:w="2867" w:type="dxa"/>
                  <w:tcBorders>
                    <w:tl2br w:val="nil"/>
                    <w:tr2bl w:val="nil"/>
                  </w:tcBorders>
                  <w:noWrap/>
                  <w:vAlign w:val="center"/>
                </w:tcPr>
                <w:p>
                  <w:pPr>
                    <w:jc w:val="center"/>
                    <w:rPr>
                      <w:color w:val="auto"/>
                      <w:sz w:val="18"/>
                      <w:szCs w:val="18"/>
                    </w:rPr>
                  </w:pPr>
                  <w:r>
                    <w:rPr>
                      <w:color w:val="auto"/>
                      <w:sz w:val="18"/>
                      <w:szCs w:val="18"/>
                    </w:rPr>
                    <w:t>pH</w:t>
                  </w:r>
                </w:p>
              </w:tc>
              <w:tc>
                <w:tcPr>
                  <w:tcW w:w="2868" w:type="dxa"/>
                  <w:tcBorders>
                    <w:tl2br w:val="nil"/>
                    <w:tr2bl w:val="nil"/>
                  </w:tcBorders>
                  <w:noWrap/>
                  <w:vAlign w:val="center"/>
                </w:tcPr>
                <w:p>
                  <w:pPr>
                    <w:jc w:val="center"/>
                    <w:rPr>
                      <w:color w:val="auto"/>
                      <w:sz w:val="18"/>
                      <w:szCs w:val="18"/>
                    </w:rPr>
                  </w:pPr>
                  <w:r>
                    <w:rPr>
                      <w:color w:val="auto"/>
                      <w:sz w:val="18"/>
                      <w:szCs w:val="18"/>
                    </w:rPr>
                    <w:t>6-9（无量纲）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2</w:t>
                  </w:r>
                </w:p>
              </w:tc>
              <w:tc>
                <w:tcPr>
                  <w:tcW w:w="2867" w:type="dxa"/>
                  <w:tcBorders>
                    <w:tl2br w:val="nil"/>
                    <w:tr2bl w:val="nil"/>
                  </w:tcBorders>
                  <w:noWrap/>
                  <w:vAlign w:val="center"/>
                </w:tcPr>
                <w:p>
                  <w:pPr>
                    <w:jc w:val="center"/>
                    <w:rPr>
                      <w:color w:val="auto"/>
                      <w:sz w:val="18"/>
                      <w:szCs w:val="18"/>
                    </w:rPr>
                  </w:pPr>
                  <w:r>
                    <w:rPr>
                      <w:color w:val="auto"/>
                      <w:sz w:val="18"/>
                      <w:szCs w:val="18"/>
                    </w:rPr>
                    <w:t>DO</w:t>
                  </w:r>
                </w:p>
              </w:tc>
              <w:tc>
                <w:tcPr>
                  <w:tcW w:w="2868" w:type="dxa"/>
                  <w:tcBorders>
                    <w:tl2br w:val="nil"/>
                    <w:tr2bl w:val="nil"/>
                  </w:tcBorders>
                  <w:noWrap/>
                  <w:vAlign w:val="center"/>
                </w:tcPr>
                <w:p>
                  <w:pPr>
                    <w:jc w:val="center"/>
                    <w:rPr>
                      <w:color w:val="auto"/>
                      <w:sz w:val="18"/>
                      <w:szCs w:val="18"/>
                    </w:rPr>
                  </w:pPr>
                  <w:r>
                    <w:rPr>
                      <w:color w:val="auto"/>
                      <w:sz w:val="18"/>
                      <w:szCs w:val="18"/>
                    </w:rPr>
                    <w:t>≥5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3</w:t>
                  </w:r>
                </w:p>
              </w:tc>
              <w:tc>
                <w:tcPr>
                  <w:tcW w:w="2867" w:type="dxa"/>
                  <w:tcBorders>
                    <w:tl2br w:val="nil"/>
                    <w:tr2bl w:val="nil"/>
                  </w:tcBorders>
                  <w:noWrap/>
                  <w:vAlign w:val="center"/>
                </w:tcPr>
                <w:p>
                  <w:pPr>
                    <w:jc w:val="center"/>
                    <w:rPr>
                      <w:color w:val="auto"/>
                      <w:sz w:val="18"/>
                      <w:szCs w:val="18"/>
                    </w:rPr>
                  </w:pPr>
                  <w:r>
                    <w:rPr>
                      <w:color w:val="auto"/>
                      <w:sz w:val="18"/>
                      <w:szCs w:val="18"/>
                      <w:lang w:val="pt-BR"/>
                    </w:rPr>
                    <w:t>COD</w:t>
                  </w:r>
                </w:p>
              </w:tc>
              <w:tc>
                <w:tcPr>
                  <w:tcW w:w="2868" w:type="dxa"/>
                  <w:tcBorders>
                    <w:tl2br w:val="nil"/>
                    <w:tr2bl w:val="nil"/>
                  </w:tcBorders>
                  <w:noWrap/>
                  <w:vAlign w:val="center"/>
                </w:tcPr>
                <w:p>
                  <w:pPr>
                    <w:jc w:val="center"/>
                    <w:rPr>
                      <w:color w:val="auto"/>
                      <w:sz w:val="18"/>
                      <w:szCs w:val="18"/>
                    </w:rPr>
                  </w:pPr>
                  <w:r>
                    <w:rPr>
                      <w:color w:val="auto"/>
                      <w:sz w:val="18"/>
                      <w:szCs w:val="18"/>
                    </w:rPr>
                    <w:t>≤6</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4</w:t>
                  </w:r>
                </w:p>
              </w:tc>
              <w:tc>
                <w:tcPr>
                  <w:tcW w:w="2867" w:type="dxa"/>
                  <w:tcBorders>
                    <w:tl2br w:val="nil"/>
                    <w:tr2bl w:val="nil"/>
                  </w:tcBorders>
                  <w:noWrap/>
                  <w:vAlign w:val="center"/>
                </w:tcPr>
                <w:p>
                  <w:pPr>
                    <w:jc w:val="center"/>
                    <w:rPr>
                      <w:color w:val="auto"/>
                      <w:sz w:val="18"/>
                      <w:szCs w:val="18"/>
                    </w:rPr>
                  </w:pPr>
                  <w:r>
                    <w:rPr>
                      <w:color w:val="auto"/>
                      <w:sz w:val="18"/>
                      <w:szCs w:val="18"/>
                      <w:lang w:val="pt-BR"/>
                    </w:rPr>
                    <w:t>BOD</w:t>
                  </w:r>
                  <w:r>
                    <w:rPr>
                      <w:color w:val="auto"/>
                      <w:sz w:val="18"/>
                      <w:szCs w:val="18"/>
                      <w:vertAlign w:val="subscript"/>
                      <w:lang w:val="pt-BR"/>
                    </w:rPr>
                    <w:t>5</w:t>
                  </w:r>
                </w:p>
              </w:tc>
              <w:tc>
                <w:tcPr>
                  <w:tcW w:w="2868" w:type="dxa"/>
                  <w:tcBorders>
                    <w:tl2br w:val="nil"/>
                    <w:tr2bl w:val="nil"/>
                  </w:tcBorders>
                  <w:noWrap/>
                  <w:vAlign w:val="center"/>
                </w:tcPr>
                <w:p>
                  <w:pPr>
                    <w:jc w:val="center"/>
                    <w:rPr>
                      <w:color w:val="auto"/>
                      <w:sz w:val="18"/>
                      <w:szCs w:val="18"/>
                    </w:rPr>
                  </w:pPr>
                  <w:r>
                    <w:rPr>
                      <w:color w:val="auto"/>
                      <w:sz w:val="18"/>
                      <w:szCs w:val="18"/>
                    </w:rPr>
                    <w:t>≤4</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5</w:t>
                  </w:r>
                </w:p>
              </w:tc>
              <w:tc>
                <w:tcPr>
                  <w:tcW w:w="2867" w:type="dxa"/>
                  <w:tcBorders>
                    <w:tl2br w:val="nil"/>
                    <w:tr2bl w:val="nil"/>
                  </w:tcBorders>
                  <w:noWrap/>
                  <w:vAlign w:val="center"/>
                </w:tcPr>
                <w:p>
                  <w:pPr>
                    <w:jc w:val="center"/>
                    <w:rPr>
                      <w:color w:val="auto"/>
                      <w:sz w:val="18"/>
                      <w:szCs w:val="18"/>
                    </w:rPr>
                  </w:pPr>
                  <w:r>
                    <w:rPr>
                      <w:color w:val="auto"/>
                      <w:sz w:val="18"/>
                      <w:szCs w:val="18"/>
                    </w:rPr>
                    <w:t>NH</w:t>
                  </w:r>
                  <w:r>
                    <w:rPr>
                      <w:color w:val="auto"/>
                      <w:sz w:val="18"/>
                      <w:szCs w:val="18"/>
                      <w:vertAlign w:val="subscript"/>
                    </w:rPr>
                    <w:t>3</w:t>
                  </w:r>
                  <w:r>
                    <w:rPr>
                      <w:color w:val="auto"/>
                      <w:sz w:val="18"/>
                      <w:szCs w:val="18"/>
                    </w:rPr>
                    <w:t>–N</w:t>
                  </w:r>
                </w:p>
              </w:tc>
              <w:tc>
                <w:tcPr>
                  <w:tcW w:w="2868" w:type="dxa"/>
                  <w:tcBorders>
                    <w:tl2br w:val="nil"/>
                    <w:tr2bl w:val="nil"/>
                  </w:tcBorders>
                  <w:noWrap/>
                  <w:vAlign w:val="center"/>
                </w:tcPr>
                <w:p>
                  <w:pPr>
                    <w:jc w:val="center"/>
                    <w:rPr>
                      <w:color w:val="auto"/>
                      <w:sz w:val="18"/>
                      <w:szCs w:val="18"/>
                    </w:rPr>
                  </w:pPr>
                  <w:r>
                    <w:rPr>
                      <w:color w:val="auto"/>
                      <w:sz w:val="18"/>
                      <w:szCs w:val="18"/>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6</w:t>
                  </w:r>
                </w:p>
              </w:tc>
              <w:tc>
                <w:tcPr>
                  <w:tcW w:w="2867" w:type="dxa"/>
                  <w:tcBorders>
                    <w:tl2br w:val="nil"/>
                    <w:tr2bl w:val="nil"/>
                  </w:tcBorders>
                  <w:noWrap/>
                  <w:vAlign w:val="center"/>
                </w:tcPr>
                <w:p>
                  <w:pPr>
                    <w:jc w:val="center"/>
                    <w:rPr>
                      <w:color w:val="auto"/>
                      <w:sz w:val="18"/>
                      <w:szCs w:val="18"/>
                    </w:rPr>
                  </w:pPr>
                  <w:r>
                    <w:rPr>
                      <w:color w:val="auto"/>
                      <w:sz w:val="18"/>
                      <w:szCs w:val="18"/>
                    </w:rPr>
                    <w:t>总磷</w:t>
                  </w:r>
                </w:p>
              </w:tc>
              <w:tc>
                <w:tcPr>
                  <w:tcW w:w="2868" w:type="dxa"/>
                  <w:tcBorders>
                    <w:tl2br w:val="nil"/>
                    <w:tr2bl w:val="nil"/>
                  </w:tcBorders>
                  <w:noWrap/>
                  <w:vAlign w:val="center"/>
                </w:tcPr>
                <w:p>
                  <w:pPr>
                    <w:jc w:val="center"/>
                    <w:rPr>
                      <w:color w:val="auto"/>
                      <w:sz w:val="18"/>
                      <w:szCs w:val="18"/>
                    </w:rPr>
                  </w:pPr>
                  <w:r>
                    <w:rPr>
                      <w:color w:val="auto"/>
                      <w:sz w:val="18"/>
                      <w:szCs w:val="18"/>
                    </w:rPr>
                    <w:t>≤0.2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7</w:t>
                  </w:r>
                </w:p>
              </w:tc>
              <w:tc>
                <w:tcPr>
                  <w:tcW w:w="2867" w:type="dxa"/>
                  <w:tcBorders>
                    <w:tl2br w:val="nil"/>
                    <w:tr2bl w:val="nil"/>
                  </w:tcBorders>
                  <w:noWrap/>
                  <w:vAlign w:val="center"/>
                </w:tcPr>
                <w:p>
                  <w:pPr>
                    <w:jc w:val="center"/>
                    <w:rPr>
                      <w:color w:val="auto"/>
                      <w:sz w:val="18"/>
                      <w:szCs w:val="18"/>
                    </w:rPr>
                  </w:pPr>
                  <w:r>
                    <w:rPr>
                      <w:color w:val="auto"/>
                      <w:sz w:val="18"/>
                      <w:szCs w:val="18"/>
                    </w:rPr>
                    <w:t>总氮</w:t>
                  </w:r>
                </w:p>
              </w:tc>
              <w:tc>
                <w:tcPr>
                  <w:tcW w:w="2868" w:type="dxa"/>
                  <w:tcBorders>
                    <w:tl2br w:val="nil"/>
                    <w:tr2bl w:val="nil"/>
                  </w:tcBorders>
                  <w:noWrap/>
                  <w:vAlign w:val="center"/>
                </w:tcPr>
                <w:p>
                  <w:pPr>
                    <w:jc w:val="center"/>
                    <w:rPr>
                      <w:color w:val="auto"/>
                      <w:sz w:val="18"/>
                      <w:szCs w:val="18"/>
                    </w:rPr>
                  </w:pPr>
                  <w:r>
                    <w:rPr>
                      <w:color w:val="auto"/>
                      <w:sz w:val="18"/>
                      <w:szCs w:val="18"/>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869" w:type="dxa"/>
                  <w:tcBorders>
                    <w:tl2br w:val="nil"/>
                    <w:tr2bl w:val="nil"/>
                  </w:tcBorders>
                  <w:noWrap/>
                  <w:vAlign w:val="center"/>
                </w:tcPr>
                <w:p>
                  <w:pPr>
                    <w:jc w:val="center"/>
                    <w:rPr>
                      <w:color w:val="auto"/>
                      <w:sz w:val="18"/>
                      <w:szCs w:val="18"/>
                      <w:lang w:val="pt-BR"/>
                    </w:rPr>
                  </w:pPr>
                  <w:r>
                    <w:rPr>
                      <w:color w:val="auto"/>
                      <w:sz w:val="18"/>
                      <w:szCs w:val="18"/>
                      <w:lang w:val="pt-BR"/>
                    </w:rPr>
                    <w:t>8</w:t>
                  </w:r>
                </w:p>
              </w:tc>
              <w:tc>
                <w:tcPr>
                  <w:tcW w:w="2867" w:type="dxa"/>
                  <w:tcBorders>
                    <w:tl2br w:val="nil"/>
                    <w:tr2bl w:val="nil"/>
                  </w:tcBorders>
                  <w:noWrap/>
                  <w:vAlign w:val="center"/>
                </w:tcPr>
                <w:p>
                  <w:pPr>
                    <w:jc w:val="center"/>
                    <w:rPr>
                      <w:color w:val="auto"/>
                      <w:sz w:val="18"/>
                      <w:szCs w:val="18"/>
                    </w:rPr>
                  </w:pPr>
                  <w:r>
                    <w:rPr>
                      <w:color w:val="auto"/>
                      <w:sz w:val="18"/>
                      <w:szCs w:val="18"/>
                    </w:rPr>
                    <w:t>粪大肠菌群</w:t>
                  </w:r>
                </w:p>
              </w:tc>
              <w:tc>
                <w:tcPr>
                  <w:tcW w:w="2868" w:type="dxa"/>
                  <w:tcBorders>
                    <w:tl2br w:val="nil"/>
                    <w:tr2bl w:val="nil"/>
                  </w:tcBorders>
                  <w:noWrap/>
                  <w:vAlign w:val="center"/>
                </w:tcPr>
                <w:p>
                  <w:pPr>
                    <w:jc w:val="center"/>
                    <w:rPr>
                      <w:color w:val="auto"/>
                      <w:sz w:val="18"/>
                      <w:szCs w:val="18"/>
                    </w:rPr>
                  </w:pPr>
                  <w:r>
                    <w:rPr>
                      <w:color w:val="auto"/>
                      <w:sz w:val="18"/>
                      <w:szCs w:val="18"/>
                    </w:rPr>
                    <w:t>≤10000（个/L)</w:t>
                  </w:r>
                </w:p>
              </w:tc>
            </w:tr>
          </w:tbl>
          <w:p>
            <w:pPr>
              <w:adjustRightInd w:val="0"/>
              <w:snapToGrid w:val="0"/>
              <w:spacing w:line="360" w:lineRule="auto"/>
              <w:ind w:firstLine="420" w:firstLineChars="200"/>
              <w:rPr>
                <w:color w:val="auto"/>
                <w:szCs w:val="21"/>
              </w:rPr>
            </w:pPr>
            <w:r>
              <w:rPr>
                <w:color w:val="auto"/>
                <w:szCs w:val="21"/>
              </w:rPr>
              <w:t>3、声环境：声环境执行《声环境质量标准》（GB3096-2008）中2类标准。</w:t>
            </w:r>
          </w:p>
          <w:p>
            <w:pPr>
              <w:adjustRightInd w:val="0"/>
              <w:snapToGrid w:val="0"/>
              <w:ind w:firstLine="361" w:firstLineChars="200"/>
              <w:jc w:val="center"/>
              <w:rPr>
                <w:b/>
                <w:color w:val="auto"/>
                <w:sz w:val="18"/>
                <w:szCs w:val="18"/>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lang w:val="en-US" w:eastAsia="zh-CN"/>
              </w:rPr>
              <w:t>10</w:t>
            </w:r>
            <w:r>
              <w:rPr>
                <w:b/>
                <w:color w:val="auto"/>
                <w:sz w:val="18"/>
                <w:szCs w:val="18"/>
              </w:rPr>
              <w:t xml:space="preserve">  声环境质量标准 （单位：dB(A)）</w:t>
            </w:r>
          </w:p>
          <w:tbl>
            <w:tblPr>
              <w:tblStyle w:val="21"/>
              <w:tblW w:w="0" w:type="auto"/>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1536"/>
              <w:gridCol w:w="1567"/>
              <w:gridCol w:w="151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5" w:hRule="atLeast"/>
                <w:jc w:val="center"/>
              </w:trPr>
              <w:tc>
                <w:tcPr>
                  <w:tcW w:w="4069" w:type="dxa"/>
                  <w:tcBorders>
                    <w:tl2br w:val="nil"/>
                    <w:tr2bl w:val="nil"/>
                  </w:tcBorders>
                  <w:noWrap/>
                  <w:vAlign w:val="center"/>
                </w:tcPr>
                <w:p>
                  <w:pPr>
                    <w:adjustRightInd w:val="0"/>
                    <w:snapToGrid w:val="0"/>
                    <w:spacing w:line="0" w:lineRule="atLeast"/>
                    <w:jc w:val="center"/>
                    <w:rPr>
                      <w:color w:val="auto"/>
                      <w:sz w:val="18"/>
                      <w:szCs w:val="18"/>
                    </w:rPr>
                  </w:pPr>
                  <w:r>
                    <w:rPr>
                      <w:color w:val="auto"/>
                      <w:sz w:val="18"/>
                      <w:szCs w:val="18"/>
                    </w:rPr>
                    <w:t>评价标准</w:t>
                  </w:r>
                </w:p>
              </w:tc>
              <w:tc>
                <w:tcPr>
                  <w:tcW w:w="1536" w:type="dxa"/>
                  <w:tcBorders>
                    <w:tl2br w:val="nil"/>
                    <w:tr2bl w:val="nil"/>
                  </w:tcBorders>
                  <w:noWrap/>
                  <w:vAlign w:val="center"/>
                </w:tcPr>
                <w:p>
                  <w:pPr>
                    <w:pStyle w:val="35"/>
                    <w:autoSpaceDE/>
                    <w:autoSpaceDN/>
                    <w:snapToGrid w:val="0"/>
                    <w:spacing w:before="0" w:after="0" w:line="0" w:lineRule="atLeast"/>
                    <w:rPr>
                      <w:color w:val="auto"/>
                      <w:kern w:val="2"/>
                      <w:sz w:val="18"/>
                      <w:szCs w:val="18"/>
                    </w:rPr>
                  </w:pPr>
                  <w:r>
                    <w:rPr>
                      <w:color w:val="auto"/>
                      <w:kern w:val="2"/>
                      <w:sz w:val="18"/>
                      <w:szCs w:val="18"/>
                    </w:rPr>
                    <w:t>类别</w:t>
                  </w:r>
                </w:p>
              </w:tc>
              <w:tc>
                <w:tcPr>
                  <w:tcW w:w="1567" w:type="dxa"/>
                  <w:tcBorders>
                    <w:tl2br w:val="nil"/>
                    <w:tr2bl w:val="nil"/>
                  </w:tcBorders>
                  <w:noWrap/>
                  <w:vAlign w:val="center"/>
                </w:tcPr>
                <w:p>
                  <w:pPr>
                    <w:adjustRightInd w:val="0"/>
                    <w:snapToGrid w:val="0"/>
                    <w:spacing w:line="0" w:lineRule="atLeast"/>
                    <w:jc w:val="center"/>
                    <w:rPr>
                      <w:color w:val="auto"/>
                      <w:sz w:val="18"/>
                      <w:szCs w:val="18"/>
                    </w:rPr>
                  </w:pPr>
                  <w:r>
                    <w:rPr>
                      <w:color w:val="auto"/>
                      <w:sz w:val="18"/>
                      <w:szCs w:val="18"/>
                    </w:rPr>
                    <w:t>昼间</w:t>
                  </w:r>
                </w:p>
              </w:tc>
              <w:tc>
                <w:tcPr>
                  <w:tcW w:w="1517" w:type="dxa"/>
                  <w:tcBorders>
                    <w:tl2br w:val="nil"/>
                    <w:tr2bl w:val="nil"/>
                  </w:tcBorders>
                  <w:noWrap/>
                  <w:vAlign w:val="center"/>
                </w:tcPr>
                <w:p>
                  <w:pPr>
                    <w:adjustRightInd w:val="0"/>
                    <w:snapToGrid w:val="0"/>
                    <w:spacing w:line="0" w:lineRule="atLeast"/>
                    <w:jc w:val="center"/>
                    <w:rPr>
                      <w:color w:val="auto"/>
                      <w:sz w:val="18"/>
                      <w:szCs w:val="18"/>
                    </w:rPr>
                  </w:pPr>
                  <w:r>
                    <w:rPr>
                      <w:color w:val="auto"/>
                      <w:sz w:val="18"/>
                      <w:szCs w:val="18"/>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5" w:hRule="atLeast"/>
                <w:jc w:val="center"/>
              </w:trPr>
              <w:tc>
                <w:tcPr>
                  <w:tcW w:w="4069" w:type="dxa"/>
                  <w:tcBorders>
                    <w:tl2br w:val="nil"/>
                    <w:tr2bl w:val="nil"/>
                  </w:tcBorders>
                  <w:noWrap/>
                  <w:vAlign w:val="center"/>
                </w:tcPr>
                <w:p>
                  <w:pPr>
                    <w:adjustRightInd w:val="0"/>
                    <w:snapToGrid w:val="0"/>
                    <w:spacing w:line="0" w:lineRule="atLeast"/>
                    <w:jc w:val="center"/>
                    <w:rPr>
                      <w:color w:val="auto"/>
                      <w:sz w:val="18"/>
                      <w:szCs w:val="18"/>
                    </w:rPr>
                  </w:pPr>
                  <w:r>
                    <w:rPr>
                      <w:color w:val="auto"/>
                      <w:sz w:val="18"/>
                      <w:szCs w:val="18"/>
                    </w:rPr>
                    <w:t>声环境质量标准（GB3096-2008）</w:t>
                  </w:r>
                </w:p>
              </w:tc>
              <w:tc>
                <w:tcPr>
                  <w:tcW w:w="1536" w:type="dxa"/>
                  <w:tcBorders>
                    <w:tl2br w:val="nil"/>
                    <w:tr2bl w:val="nil"/>
                  </w:tcBorders>
                  <w:noWrap/>
                  <w:vAlign w:val="center"/>
                </w:tcPr>
                <w:p>
                  <w:pPr>
                    <w:pStyle w:val="35"/>
                    <w:autoSpaceDE/>
                    <w:autoSpaceDN/>
                    <w:snapToGrid w:val="0"/>
                    <w:spacing w:before="0" w:after="0" w:line="0" w:lineRule="atLeast"/>
                    <w:rPr>
                      <w:color w:val="auto"/>
                      <w:kern w:val="2"/>
                      <w:sz w:val="18"/>
                      <w:szCs w:val="18"/>
                    </w:rPr>
                  </w:pPr>
                  <w:r>
                    <w:rPr>
                      <w:color w:val="auto"/>
                      <w:kern w:val="2"/>
                      <w:sz w:val="18"/>
                      <w:szCs w:val="18"/>
                    </w:rPr>
                    <w:t>2类</w:t>
                  </w:r>
                </w:p>
              </w:tc>
              <w:tc>
                <w:tcPr>
                  <w:tcW w:w="1567" w:type="dxa"/>
                  <w:tcBorders>
                    <w:tl2br w:val="nil"/>
                    <w:tr2bl w:val="nil"/>
                  </w:tcBorders>
                  <w:noWrap/>
                  <w:vAlign w:val="center"/>
                </w:tcPr>
                <w:p>
                  <w:pPr>
                    <w:adjustRightInd w:val="0"/>
                    <w:snapToGrid w:val="0"/>
                    <w:spacing w:line="0" w:lineRule="atLeast"/>
                    <w:jc w:val="center"/>
                    <w:rPr>
                      <w:color w:val="auto"/>
                      <w:sz w:val="18"/>
                      <w:szCs w:val="18"/>
                    </w:rPr>
                  </w:pPr>
                  <w:r>
                    <w:rPr>
                      <w:color w:val="auto"/>
                      <w:sz w:val="18"/>
                      <w:szCs w:val="18"/>
                    </w:rPr>
                    <w:t>60</w:t>
                  </w:r>
                </w:p>
              </w:tc>
              <w:tc>
                <w:tcPr>
                  <w:tcW w:w="1517" w:type="dxa"/>
                  <w:tcBorders>
                    <w:tl2br w:val="nil"/>
                    <w:tr2bl w:val="nil"/>
                  </w:tcBorders>
                  <w:noWrap/>
                  <w:vAlign w:val="center"/>
                </w:tcPr>
                <w:p>
                  <w:pPr>
                    <w:adjustRightInd w:val="0"/>
                    <w:snapToGrid w:val="0"/>
                    <w:spacing w:line="0" w:lineRule="atLeast"/>
                    <w:jc w:val="center"/>
                    <w:rPr>
                      <w:color w:val="auto"/>
                      <w:sz w:val="18"/>
                      <w:szCs w:val="18"/>
                    </w:rPr>
                  </w:pPr>
                  <w:r>
                    <w:rPr>
                      <w:color w:val="auto"/>
                      <w:sz w:val="18"/>
                      <w:szCs w:val="18"/>
                    </w:rPr>
                    <w:t>50</w:t>
                  </w:r>
                </w:p>
              </w:tc>
            </w:tr>
          </w:tbl>
          <w:p>
            <w:pPr>
              <w:numPr>
                <w:ilvl w:val="0"/>
                <w:numId w:val="7"/>
              </w:numPr>
              <w:spacing w:line="360" w:lineRule="auto"/>
              <w:ind w:firstLine="422" w:firstLineChars="200"/>
              <w:rPr>
                <w:b/>
                <w:bCs/>
                <w:color w:val="auto"/>
                <w:szCs w:val="21"/>
              </w:rPr>
            </w:pPr>
            <w:r>
              <w:rPr>
                <w:b/>
                <w:bCs/>
                <w:color w:val="auto"/>
                <w:szCs w:val="21"/>
              </w:rPr>
              <w:t>废气</w:t>
            </w:r>
          </w:p>
          <w:p>
            <w:pPr>
              <w:spacing w:line="360" w:lineRule="auto"/>
              <w:ind w:firstLine="420" w:firstLineChars="200"/>
              <w:rPr>
                <w:color w:val="auto"/>
                <w:szCs w:val="21"/>
              </w:rPr>
            </w:pPr>
            <w:r>
              <w:rPr>
                <w:rFonts w:hint="eastAsia"/>
                <w:color w:val="auto"/>
                <w:szCs w:val="21"/>
              </w:rPr>
              <w:t>项目不设食堂，不设锅炉，不单独使用柴油发电机组；项目采用润洁牌水质处理器消毒工艺，无生化处理工艺，且废水处理设施位于建筑物内。所以本项目废气主要来自生病宠物体味、粪污、医疗废物暂存间等异味，异味通过紫外线消毒，加强通风进行处置。废气</w:t>
            </w:r>
            <w:r>
              <w:rPr>
                <w:color w:val="auto"/>
                <w:szCs w:val="21"/>
              </w:rPr>
              <w:t>执行《</w:t>
            </w:r>
            <w:r>
              <w:rPr>
                <w:rFonts w:hint="eastAsia"/>
                <w:color w:val="auto"/>
                <w:szCs w:val="21"/>
              </w:rPr>
              <w:t>恶臭污染物</w:t>
            </w:r>
            <w:r>
              <w:rPr>
                <w:color w:val="auto"/>
                <w:szCs w:val="21"/>
              </w:rPr>
              <w:t>排放标准》（GB</w:t>
            </w:r>
            <w:r>
              <w:rPr>
                <w:rFonts w:hint="eastAsia"/>
                <w:color w:val="auto"/>
                <w:szCs w:val="21"/>
              </w:rPr>
              <w:t>14544</w:t>
            </w:r>
            <w:r>
              <w:rPr>
                <w:color w:val="auto"/>
                <w:szCs w:val="21"/>
              </w:rPr>
              <w:t>-</w:t>
            </w:r>
            <w:r>
              <w:rPr>
                <w:rFonts w:hint="eastAsia"/>
                <w:color w:val="auto"/>
                <w:szCs w:val="21"/>
              </w:rPr>
              <w:t>93</w:t>
            </w:r>
            <w:r>
              <w:rPr>
                <w:color w:val="auto"/>
                <w:szCs w:val="21"/>
              </w:rPr>
              <w:t>）</w:t>
            </w:r>
            <w:r>
              <w:rPr>
                <w:rFonts w:hint="eastAsia"/>
                <w:color w:val="auto"/>
                <w:szCs w:val="21"/>
              </w:rPr>
              <w:t>中相关要求。</w:t>
            </w:r>
          </w:p>
          <w:p>
            <w:pPr>
              <w:widowControl/>
              <w:ind w:firstLine="2168" w:firstLineChars="1200"/>
              <w:rPr>
                <w:b/>
                <w:bCs/>
                <w:color w:val="auto"/>
                <w:sz w:val="18"/>
                <w:szCs w:val="18"/>
              </w:rPr>
            </w:pPr>
            <w:r>
              <w:rPr>
                <w:b/>
                <w:bCs/>
                <w:color w:val="auto"/>
                <w:sz w:val="18"/>
                <w:szCs w:val="18"/>
              </w:rPr>
              <w:t>表</w:t>
            </w:r>
            <w:r>
              <w:rPr>
                <w:rFonts w:hint="eastAsia"/>
                <w:b/>
                <w:bCs/>
                <w:color w:val="auto"/>
                <w:sz w:val="18"/>
                <w:szCs w:val="18"/>
              </w:rPr>
              <w:t>3</w:t>
            </w:r>
            <w:r>
              <w:rPr>
                <w:b/>
                <w:bCs/>
                <w:color w:val="auto"/>
                <w:sz w:val="18"/>
                <w:szCs w:val="18"/>
              </w:rPr>
              <w:t>-</w:t>
            </w:r>
            <w:r>
              <w:rPr>
                <w:rFonts w:hint="eastAsia"/>
                <w:b/>
                <w:bCs/>
                <w:color w:val="auto"/>
                <w:sz w:val="18"/>
                <w:szCs w:val="18"/>
              </w:rPr>
              <w:t>1</w:t>
            </w:r>
            <w:r>
              <w:rPr>
                <w:rFonts w:hint="eastAsia"/>
                <w:b/>
                <w:bCs/>
                <w:color w:val="auto"/>
                <w:sz w:val="18"/>
                <w:szCs w:val="18"/>
                <w:lang w:val="en-US" w:eastAsia="zh-CN"/>
              </w:rPr>
              <w:t>1</w:t>
            </w:r>
            <w:r>
              <w:rPr>
                <w:b/>
                <w:bCs/>
                <w:color w:val="auto"/>
                <w:sz w:val="18"/>
                <w:szCs w:val="18"/>
              </w:rPr>
              <w:t>项目废气排放标准（无组织）</w:t>
            </w:r>
          </w:p>
          <w:tbl>
            <w:tblPr>
              <w:tblStyle w:val="22"/>
              <w:tblW w:w="8038"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209"/>
              <w:gridCol w:w="2685"/>
              <w:gridCol w:w="341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c>
                <w:tcPr>
                  <w:tcW w:w="452" w:type="pct"/>
                  <w:tcBorders>
                    <w:tl2br w:val="nil"/>
                    <w:tr2bl w:val="nil"/>
                  </w:tcBorders>
                  <w:noWrap/>
                  <w:vAlign w:val="center"/>
                </w:tcPr>
                <w:p>
                  <w:pPr>
                    <w:snapToGrid w:val="0"/>
                    <w:jc w:val="center"/>
                    <w:rPr>
                      <w:color w:val="auto"/>
                      <w:spacing w:val="-2"/>
                      <w:sz w:val="18"/>
                      <w:szCs w:val="18"/>
                    </w:rPr>
                  </w:pPr>
                  <w:r>
                    <w:rPr>
                      <w:color w:val="auto"/>
                      <w:spacing w:val="-2"/>
                      <w:sz w:val="18"/>
                      <w:szCs w:val="18"/>
                    </w:rPr>
                    <w:t>序号</w:t>
                  </w:r>
                </w:p>
              </w:tc>
              <w:tc>
                <w:tcPr>
                  <w:tcW w:w="752" w:type="pct"/>
                  <w:tcBorders>
                    <w:tl2br w:val="nil"/>
                    <w:tr2bl w:val="nil"/>
                  </w:tcBorders>
                  <w:noWrap/>
                  <w:vAlign w:val="center"/>
                </w:tcPr>
                <w:p>
                  <w:pPr>
                    <w:snapToGrid w:val="0"/>
                    <w:jc w:val="center"/>
                    <w:rPr>
                      <w:color w:val="auto"/>
                      <w:spacing w:val="-2"/>
                      <w:sz w:val="18"/>
                      <w:szCs w:val="18"/>
                    </w:rPr>
                  </w:pPr>
                  <w:r>
                    <w:rPr>
                      <w:color w:val="auto"/>
                      <w:spacing w:val="-2"/>
                      <w:sz w:val="18"/>
                      <w:szCs w:val="18"/>
                    </w:rPr>
                    <w:t>污染物</w:t>
                  </w:r>
                </w:p>
              </w:tc>
              <w:tc>
                <w:tcPr>
                  <w:tcW w:w="1669" w:type="pct"/>
                  <w:tcBorders>
                    <w:tl2br w:val="nil"/>
                    <w:tr2bl w:val="nil"/>
                  </w:tcBorders>
                  <w:noWrap/>
                  <w:vAlign w:val="center"/>
                </w:tcPr>
                <w:p>
                  <w:pPr>
                    <w:snapToGrid w:val="0"/>
                    <w:jc w:val="center"/>
                    <w:rPr>
                      <w:color w:val="auto"/>
                      <w:spacing w:val="-2"/>
                      <w:sz w:val="18"/>
                      <w:szCs w:val="18"/>
                    </w:rPr>
                  </w:pPr>
                  <w:r>
                    <w:rPr>
                      <w:color w:val="auto"/>
                      <w:spacing w:val="-2"/>
                      <w:sz w:val="18"/>
                      <w:szCs w:val="18"/>
                    </w:rPr>
                    <w:t>最高允许排放浓度限值</w:t>
                  </w:r>
                </w:p>
              </w:tc>
              <w:tc>
                <w:tcPr>
                  <w:tcW w:w="2125" w:type="pct"/>
                  <w:tcBorders>
                    <w:tl2br w:val="nil"/>
                    <w:tr2bl w:val="nil"/>
                  </w:tcBorders>
                  <w:noWrap/>
                  <w:vAlign w:val="center"/>
                </w:tcPr>
                <w:p>
                  <w:pPr>
                    <w:snapToGrid w:val="0"/>
                    <w:jc w:val="center"/>
                    <w:rPr>
                      <w:color w:val="auto"/>
                      <w:spacing w:val="-2"/>
                      <w:sz w:val="18"/>
                      <w:szCs w:val="18"/>
                    </w:rPr>
                  </w:pPr>
                  <w:r>
                    <w:rPr>
                      <w:color w:val="auto"/>
                      <w:spacing w:val="-2"/>
                      <w:sz w:val="18"/>
                      <w:szCs w:val="18"/>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452" w:type="pct"/>
                  <w:tcBorders>
                    <w:tl2br w:val="nil"/>
                    <w:tr2bl w:val="nil"/>
                  </w:tcBorders>
                  <w:noWrap/>
                  <w:vAlign w:val="center"/>
                </w:tcPr>
                <w:p>
                  <w:pPr>
                    <w:snapToGrid w:val="0"/>
                    <w:jc w:val="center"/>
                    <w:rPr>
                      <w:color w:val="auto"/>
                      <w:spacing w:val="-2"/>
                      <w:sz w:val="18"/>
                      <w:szCs w:val="18"/>
                    </w:rPr>
                  </w:pPr>
                  <w:r>
                    <w:rPr>
                      <w:rFonts w:hint="eastAsia"/>
                      <w:color w:val="auto"/>
                      <w:spacing w:val="-2"/>
                      <w:sz w:val="18"/>
                      <w:szCs w:val="18"/>
                    </w:rPr>
                    <w:t>1</w:t>
                  </w:r>
                </w:p>
              </w:tc>
              <w:tc>
                <w:tcPr>
                  <w:tcW w:w="752" w:type="pct"/>
                  <w:tcBorders>
                    <w:tl2br w:val="nil"/>
                    <w:tr2bl w:val="nil"/>
                  </w:tcBorders>
                  <w:noWrap/>
                  <w:vAlign w:val="center"/>
                </w:tcPr>
                <w:p>
                  <w:pPr>
                    <w:snapToGrid w:val="0"/>
                    <w:jc w:val="center"/>
                    <w:rPr>
                      <w:color w:val="auto"/>
                      <w:sz w:val="18"/>
                      <w:szCs w:val="18"/>
                    </w:rPr>
                  </w:pPr>
                  <w:r>
                    <w:rPr>
                      <w:rFonts w:hint="eastAsia"/>
                      <w:color w:val="auto"/>
                      <w:sz w:val="18"/>
                      <w:szCs w:val="18"/>
                    </w:rPr>
                    <w:t>氨</w:t>
                  </w:r>
                </w:p>
              </w:tc>
              <w:tc>
                <w:tcPr>
                  <w:tcW w:w="1669" w:type="pct"/>
                  <w:tcBorders>
                    <w:tl2br w:val="nil"/>
                    <w:tr2bl w:val="nil"/>
                  </w:tcBorders>
                  <w:noWrap/>
                  <w:vAlign w:val="center"/>
                </w:tcPr>
                <w:p>
                  <w:pPr>
                    <w:snapToGrid w:val="0"/>
                    <w:jc w:val="center"/>
                    <w:rPr>
                      <w:color w:val="auto"/>
                      <w:spacing w:val="-2"/>
                      <w:sz w:val="18"/>
                      <w:szCs w:val="18"/>
                    </w:rPr>
                  </w:pPr>
                  <w:r>
                    <w:rPr>
                      <w:rFonts w:hint="eastAsia"/>
                      <w:color w:val="auto"/>
                      <w:spacing w:val="-2"/>
                      <w:sz w:val="18"/>
                      <w:szCs w:val="18"/>
                    </w:rPr>
                    <w:t>1.5</w:t>
                  </w:r>
                  <w:r>
                    <w:rPr>
                      <w:color w:val="auto"/>
                      <w:spacing w:val="-2"/>
                      <w:sz w:val="18"/>
                      <w:szCs w:val="18"/>
                    </w:rPr>
                    <w:t>mg/m³</w:t>
                  </w:r>
                </w:p>
              </w:tc>
              <w:tc>
                <w:tcPr>
                  <w:tcW w:w="2125" w:type="pct"/>
                  <w:vMerge w:val="restart"/>
                  <w:tcBorders>
                    <w:tl2br w:val="nil"/>
                    <w:tr2bl w:val="nil"/>
                  </w:tcBorders>
                  <w:noWrap/>
                  <w:vAlign w:val="center"/>
                </w:tcPr>
                <w:p>
                  <w:pPr>
                    <w:snapToGrid w:val="0"/>
                    <w:jc w:val="center"/>
                    <w:rPr>
                      <w:color w:val="auto"/>
                      <w:spacing w:val="-2"/>
                      <w:sz w:val="18"/>
                      <w:szCs w:val="18"/>
                    </w:rPr>
                  </w:pPr>
                  <w:r>
                    <w:rPr>
                      <w:rFonts w:hint="eastAsia"/>
                      <w:color w:val="auto"/>
                      <w:spacing w:val="-2"/>
                      <w:sz w:val="18"/>
                      <w:szCs w:val="18"/>
                    </w:rPr>
                    <w:t>《</w:t>
                  </w:r>
                  <w:r>
                    <w:rPr>
                      <w:color w:val="auto"/>
                      <w:spacing w:val="-2"/>
                      <w:sz w:val="18"/>
                      <w:szCs w:val="18"/>
                    </w:rPr>
                    <w:t>恶臭污染物排放标准</w:t>
                  </w:r>
                  <w:r>
                    <w:rPr>
                      <w:rFonts w:hint="eastAsia"/>
                      <w:color w:val="auto"/>
                      <w:spacing w:val="-2"/>
                      <w:sz w:val="18"/>
                      <w:szCs w:val="18"/>
                    </w:rPr>
                    <w:t>》（GB</w:t>
                  </w:r>
                  <w:r>
                    <w:rPr>
                      <w:color w:val="auto"/>
                      <w:spacing w:val="-2"/>
                      <w:sz w:val="18"/>
                      <w:szCs w:val="18"/>
                    </w:rPr>
                    <w:t>14554-2018</w:t>
                  </w:r>
                  <w:r>
                    <w:rPr>
                      <w:rFonts w:hint="eastAsia"/>
                      <w:color w:val="auto"/>
                      <w:spacing w:val="-2"/>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452" w:type="pct"/>
                  <w:tcBorders>
                    <w:tl2br w:val="nil"/>
                    <w:tr2bl w:val="nil"/>
                  </w:tcBorders>
                  <w:noWrap/>
                  <w:vAlign w:val="center"/>
                </w:tcPr>
                <w:p>
                  <w:pPr>
                    <w:snapToGrid w:val="0"/>
                    <w:jc w:val="center"/>
                    <w:rPr>
                      <w:color w:val="auto"/>
                      <w:spacing w:val="-2"/>
                      <w:sz w:val="18"/>
                      <w:szCs w:val="18"/>
                    </w:rPr>
                  </w:pPr>
                  <w:r>
                    <w:rPr>
                      <w:rFonts w:hint="eastAsia"/>
                      <w:color w:val="auto"/>
                      <w:spacing w:val="-2"/>
                      <w:sz w:val="18"/>
                      <w:szCs w:val="18"/>
                    </w:rPr>
                    <w:t>2</w:t>
                  </w:r>
                </w:p>
              </w:tc>
              <w:tc>
                <w:tcPr>
                  <w:tcW w:w="752" w:type="pct"/>
                  <w:tcBorders>
                    <w:tl2br w:val="nil"/>
                    <w:tr2bl w:val="nil"/>
                  </w:tcBorders>
                  <w:noWrap/>
                  <w:vAlign w:val="center"/>
                </w:tcPr>
                <w:p>
                  <w:pPr>
                    <w:snapToGrid w:val="0"/>
                    <w:jc w:val="center"/>
                    <w:rPr>
                      <w:color w:val="auto"/>
                      <w:sz w:val="18"/>
                      <w:szCs w:val="18"/>
                    </w:rPr>
                  </w:pPr>
                  <w:r>
                    <w:rPr>
                      <w:rFonts w:hint="eastAsia"/>
                      <w:color w:val="auto"/>
                      <w:sz w:val="18"/>
                      <w:szCs w:val="18"/>
                    </w:rPr>
                    <w:t>硫化氢</w:t>
                  </w:r>
                </w:p>
              </w:tc>
              <w:tc>
                <w:tcPr>
                  <w:tcW w:w="1669" w:type="pct"/>
                  <w:tcBorders>
                    <w:tl2br w:val="nil"/>
                    <w:tr2bl w:val="nil"/>
                  </w:tcBorders>
                  <w:noWrap/>
                  <w:vAlign w:val="center"/>
                </w:tcPr>
                <w:p>
                  <w:pPr>
                    <w:snapToGrid w:val="0"/>
                    <w:jc w:val="center"/>
                    <w:rPr>
                      <w:color w:val="auto"/>
                      <w:spacing w:val="-2"/>
                      <w:sz w:val="18"/>
                      <w:szCs w:val="18"/>
                    </w:rPr>
                  </w:pPr>
                  <w:r>
                    <w:rPr>
                      <w:rFonts w:hint="eastAsia"/>
                      <w:color w:val="auto"/>
                      <w:spacing w:val="-2"/>
                      <w:sz w:val="18"/>
                      <w:szCs w:val="18"/>
                    </w:rPr>
                    <w:t>0.06</w:t>
                  </w:r>
                  <w:r>
                    <w:rPr>
                      <w:color w:val="auto"/>
                      <w:spacing w:val="-2"/>
                      <w:sz w:val="18"/>
                      <w:szCs w:val="18"/>
                    </w:rPr>
                    <w:t>mg/m³</w:t>
                  </w:r>
                </w:p>
              </w:tc>
              <w:tc>
                <w:tcPr>
                  <w:tcW w:w="2125" w:type="pct"/>
                  <w:vMerge w:val="continue"/>
                  <w:tcBorders>
                    <w:tl2br w:val="nil"/>
                    <w:tr2bl w:val="nil"/>
                  </w:tcBorders>
                  <w:noWrap/>
                  <w:vAlign w:val="center"/>
                </w:tcPr>
                <w:p>
                  <w:pPr>
                    <w:snapToGrid w:val="0"/>
                    <w:jc w:val="center"/>
                    <w:rPr>
                      <w:color w:val="auto"/>
                      <w:spacing w:val="-2"/>
                      <w:sz w:val="18"/>
                      <w:szCs w:val="18"/>
                    </w:rPr>
                  </w:pPr>
                </w:p>
              </w:tc>
            </w:tr>
          </w:tbl>
          <w:p>
            <w:pPr>
              <w:pStyle w:val="33"/>
              <w:numPr>
                <w:ilvl w:val="0"/>
                <w:numId w:val="7"/>
              </w:numPr>
              <w:spacing w:before="24" w:after="24" w:line="360" w:lineRule="auto"/>
              <w:ind w:right="42" w:rightChars="20" w:firstLine="420" w:firstLineChars="200"/>
              <w:jc w:val="both"/>
              <w:rPr>
                <w:rFonts w:ascii="Times New Roman"/>
                <w:b/>
                <w:bCs/>
                <w:color w:val="auto"/>
                <w:kern w:val="2"/>
                <w:szCs w:val="21"/>
                <w:lang w:val="zh-CN"/>
              </w:rPr>
            </w:pPr>
            <w:r>
              <w:rPr>
                <w:rFonts w:ascii="Times New Roman"/>
                <w:color w:val="auto"/>
                <w:szCs w:val="21"/>
              </w:rPr>
              <w:t>废水：</w:t>
            </w:r>
            <w:r>
              <w:rPr>
                <w:rFonts w:hint="eastAsia"/>
                <w:color w:val="auto"/>
                <w:szCs w:val="21"/>
              </w:rPr>
              <w:t>宠物治疗废水、</w:t>
            </w:r>
            <w:r>
              <w:rPr>
                <w:rFonts w:hint="eastAsia"/>
                <w:color w:val="auto"/>
                <w:szCs w:val="21"/>
                <w:lang w:eastAsia="zh-CN"/>
              </w:rPr>
              <w:t>宠物做手术器械和</w:t>
            </w:r>
            <w:r>
              <w:rPr>
                <w:rFonts w:hint="eastAsia"/>
                <w:color w:val="auto"/>
                <w:szCs w:val="21"/>
              </w:rPr>
              <w:t>地面</w:t>
            </w:r>
            <w:r>
              <w:rPr>
                <w:rFonts w:hint="eastAsia"/>
                <w:color w:val="auto"/>
                <w:szCs w:val="21"/>
                <w:lang w:eastAsia="zh-CN"/>
              </w:rPr>
              <w:t>、宠物笼</w:t>
            </w:r>
            <w:r>
              <w:rPr>
                <w:rFonts w:hint="eastAsia"/>
                <w:color w:val="auto"/>
                <w:szCs w:val="21"/>
              </w:rPr>
              <w:t>清洁废水</w:t>
            </w:r>
            <w:r>
              <w:rPr>
                <w:rFonts w:hint="eastAsia" w:ascii="Times New Roman"/>
                <w:color w:val="auto"/>
                <w:szCs w:val="21"/>
              </w:rPr>
              <w:t>收集至污水</w:t>
            </w:r>
            <w:r>
              <w:rPr>
                <w:rFonts w:hint="eastAsia" w:ascii="Times New Roman"/>
                <w:color w:val="auto"/>
                <w:szCs w:val="21"/>
                <w:lang w:eastAsia="zh-CN"/>
              </w:rPr>
              <w:t>消毒池</w:t>
            </w:r>
            <w:r>
              <w:rPr>
                <w:rFonts w:hint="eastAsia" w:ascii="Times New Roman"/>
                <w:color w:val="auto"/>
                <w:szCs w:val="21"/>
              </w:rPr>
              <w:t>进行处理，</w:t>
            </w:r>
            <w:r>
              <w:rPr>
                <w:rFonts w:ascii="Times New Roman"/>
                <w:color w:val="auto"/>
                <w:szCs w:val="21"/>
              </w:rPr>
              <w:t>执行《医疗机构水污染物排放标准》（GB18466-2005）表2中的预处理标准</w:t>
            </w:r>
            <w:r>
              <w:rPr>
                <w:rFonts w:hint="eastAsia" w:ascii="Times New Roman"/>
                <w:color w:val="auto"/>
                <w:szCs w:val="21"/>
              </w:rPr>
              <w:t>。</w:t>
            </w:r>
          </w:p>
          <w:p>
            <w:pPr>
              <w:jc w:val="center"/>
              <w:rPr>
                <w:b/>
                <w:color w:val="auto"/>
                <w:sz w:val="18"/>
                <w:szCs w:val="18"/>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rPr>
              <w:t>1</w:t>
            </w:r>
            <w:r>
              <w:rPr>
                <w:rFonts w:hint="eastAsia"/>
                <w:b/>
                <w:color w:val="auto"/>
                <w:sz w:val="18"/>
                <w:szCs w:val="18"/>
                <w:lang w:val="en-US" w:eastAsia="zh-CN"/>
              </w:rPr>
              <w:t>2</w:t>
            </w:r>
            <w:r>
              <w:rPr>
                <w:b/>
                <w:color w:val="auto"/>
                <w:sz w:val="18"/>
                <w:szCs w:val="18"/>
              </w:rPr>
              <w:t xml:space="preserve">   废水排放标准      单位：mg/L</w:t>
            </w:r>
            <w:r>
              <w:rPr>
                <w:rFonts w:hint="eastAsia"/>
                <w:b/>
                <w:color w:val="auto"/>
                <w:sz w:val="18"/>
                <w:szCs w:val="18"/>
              </w:rPr>
              <w:t>（</w:t>
            </w:r>
            <w:r>
              <w:rPr>
                <w:b/>
                <w:color w:val="auto"/>
                <w:sz w:val="18"/>
                <w:szCs w:val="18"/>
              </w:rPr>
              <w:t>pH除外</w:t>
            </w:r>
            <w:r>
              <w:rPr>
                <w:rFonts w:hint="eastAsia"/>
                <w:b/>
                <w:color w:val="auto"/>
                <w:sz w:val="18"/>
                <w:szCs w:val="18"/>
              </w:rPr>
              <w:t>）</w:t>
            </w:r>
          </w:p>
          <w:tbl>
            <w:tblPr>
              <w:tblStyle w:val="21"/>
              <w:tblW w:w="8235"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367"/>
              <w:gridCol w:w="645"/>
              <w:gridCol w:w="792"/>
              <w:gridCol w:w="622"/>
              <w:gridCol w:w="894"/>
              <w:gridCol w:w="987"/>
              <w:gridCol w:w="1166"/>
              <w:gridCol w:w="76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92" w:hRule="atLeast"/>
                <w:jc w:val="center"/>
              </w:trPr>
              <w:tc>
                <w:tcPr>
                  <w:tcW w:w="2367" w:type="dxa"/>
                  <w:noWrap/>
                  <w:vAlign w:val="center"/>
                </w:tcPr>
                <w:p>
                  <w:pPr>
                    <w:spacing w:line="320" w:lineRule="exact"/>
                    <w:jc w:val="center"/>
                    <w:rPr>
                      <w:color w:val="auto"/>
                      <w:sz w:val="18"/>
                      <w:szCs w:val="18"/>
                    </w:rPr>
                  </w:pPr>
                  <w:r>
                    <w:rPr>
                      <w:color w:val="auto"/>
                      <w:sz w:val="18"/>
                      <w:szCs w:val="18"/>
                    </w:rPr>
                    <w:t>项 目</w:t>
                  </w:r>
                </w:p>
              </w:tc>
              <w:tc>
                <w:tcPr>
                  <w:tcW w:w="645" w:type="dxa"/>
                  <w:noWrap/>
                  <w:vAlign w:val="center"/>
                </w:tcPr>
                <w:p>
                  <w:pPr>
                    <w:spacing w:line="320" w:lineRule="exact"/>
                    <w:jc w:val="center"/>
                    <w:rPr>
                      <w:color w:val="auto"/>
                      <w:sz w:val="18"/>
                      <w:szCs w:val="18"/>
                    </w:rPr>
                  </w:pPr>
                  <w:r>
                    <w:rPr>
                      <w:color w:val="auto"/>
                      <w:sz w:val="18"/>
                      <w:szCs w:val="18"/>
                    </w:rPr>
                    <w:t>pH</w:t>
                  </w:r>
                </w:p>
              </w:tc>
              <w:tc>
                <w:tcPr>
                  <w:tcW w:w="792" w:type="dxa"/>
                  <w:noWrap/>
                  <w:vAlign w:val="center"/>
                </w:tcPr>
                <w:p>
                  <w:pPr>
                    <w:spacing w:line="320" w:lineRule="exact"/>
                    <w:jc w:val="center"/>
                    <w:rPr>
                      <w:color w:val="auto"/>
                      <w:sz w:val="18"/>
                      <w:szCs w:val="18"/>
                    </w:rPr>
                  </w:pPr>
                  <w:r>
                    <w:rPr>
                      <w:color w:val="auto"/>
                      <w:sz w:val="18"/>
                      <w:szCs w:val="18"/>
                    </w:rPr>
                    <w:t>BOD</w:t>
                  </w:r>
                  <w:r>
                    <w:rPr>
                      <w:color w:val="auto"/>
                      <w:sz w:val="18"/>
                      <w:szCs w:val="18"/>
                      <w:vertAlign w:val="subscript"/>
                    </w:rPr>
                    <w:t>5</w:t>
                  </w:r>
                </w:p>
              </w:tc>
              <w:tc>
                <w:tcPr>
                  <w:tcW w:w="622" w:type="dxa"/>
                  <w:noWrap/>
                  <w:vAlign w:val="center"/>
                </w:tcPr>
                <w:p>
                  <w:pPr>
                    <w:spacing w:line="320" w:lineRule="exact"/>
                    <w:jc w:val="center"/>
                    <w:rPr>
                      <w:color w:val="auto"/>
                      <w:sz w:val="18"/>
                      <w:szCs w:val="18"/>
                    </w:rPr>
                  </w:pPr>
                  <w:r>
                    <w:rPr>
                      <w:color w:val="auto"/>
                      <w:sz w:val="18"/>
                      <w:szCs w:val="18"/>
                    </w:rPr>
                    <w:t>COD</w:t>
                  </w:r>
                </w:p>
              </w:tc>
              <w:tc>
                <w:tcPr>
                  <w:tcW w:w="894" w:type="dxa"/>
                  <w:noWrap/>
                  <w:vAlign w:val="center"/>
                </w:tcPr>
                <w:p>
                  <w:pPr>
                    <w:spacing w:line="320" w:lineRule="exact"/>
                    <w:jc w:val="center"/>
                    <w:rPr>
                      <w:color w:val="auto"/>
                      <w:sz w:val="18"/>
                      <w:szCs w:val="18"/>
                    </w:rPr>
                  </w:pPr>
                  <w:r>
                    <w:rPr>
                      <w:color w:val="auto"/>
                      <w:sz w:val="18"/>
                      <w:szCs w:val="18"/>
                    </w:rPr>
                    <w:t>SS</w:t>
                  </w:r>
                </w:p>
              </w:tc>
              <w:tc>
                <w:tcPr>
                  <w:tcW w:w="987" w:type="dxa"/>
                  <w:noWrap/>
                  <w:vAlign w:val="center"/>
                </w:tcPr>
                <w:p>
                  <w:pPr>
                    <w:spacing w:line="320" w:lineRule="exact"/>
                    <w:jc w:val="center"/>
                    <w:rPr>
                      <w:color w:val="auto"/>
                      <w:sz w:val="18"/>
                      <w:szCs w:val="18"/>
                    </w:rPr>
                  </w:pPr>
                  <w:r>
                    <w:rPr>
                      <w:color w:val="auto"/>
                      <w:sz w:val="18"/>
                      <w:szCs w:val="18"/>
                    </w:rPr>
                    <w:t>NH</w:t>
                  </w:r>
                  <w:r>
                    <w:rPr>
                      <w:color w:val="auto"/>
                      <w:sz w:val="18"/>
                      <w:szCs w:val="18"/>
                      <w:vertAlign w:val="subscript"/>
                    </w:rPr>
                    <w:t>3</w:t>
                  </w:r>
                  <w:r>
                    <w:rPr>
                      <w:color w:val="auto"/>
                      <w:sz w:val="18"/>
                      <w:szCs w:val="18"/>
                    </w:rPr>
                    <w:t>-N</w:t>
                  </w:r>
                </w:p>
              </w:tc>
              <w:tc>
                <w:tcPr>
                  <w:tcW w:w="1166" w:type="dxa"/>
                  <w:noWrap/>
                  <w:vAlign w:val="center"/>
                </w:tcPr>
                <w:p>
                  <w:pPr>
                    <w:spacing w:line="320" w:lineRule="exact"/>
                    <w:jc w:val="center"/>
                    <w:rPr>
                      <w:color w:val="auto"/>
                      <w:sz w:val="18"/>
                      <w:szCs w:val="18"/>
                    </w:rPr>
                  </w:pPr>
                  <w:r>
                    <w:rPr>
                      <w:color w:val="auto"/>
                      <w:sz w:val="18"/>
                      <w:szCs w:val="18"/>
                    </w:rPr>
                    <w:t>粪大肠菌群</w:t>
                  </w:r>
                </w:p>
              </w:tc>
              <w:tc>
                <w:tcPr>
                  <w:tcW w:w="762" w:type="dxa"/>
                  <w:noWrap/>
                  <w:vAlign w:val="center"/>
                </w:tcPr>
                <w:p>
                  <w:pPr>
                    <w:spacing w:line="320" w:lineRule="exact"/>
                    <w:rPr>
                      <w:color w:val="auto"/>
                      <w:sz w:val="18"/>
                      <w:szCs w:val="18"/>
                    </w:rPr>
                  </w:pPr>
                  <w:r>
                    <w:rPr>
                      <w:color w:val="auto"/>
                      <w:sz w:val="18"/>
                      <w:szCs w:val="18"/>
                    </w:rPr>
                    <w:t>总余氯</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9" w:hRule="atLeast"/>
                <w:jc w:val="center"/>
              </w:trPr>
              <w:tc>
                <w:tcPr>
                  <w:tcW w:w="2367" w:type="dxa"/>
                  <w:noWrap/>
                  <w:vAlign w:val="center"/>
                </w:tcPr>
                <w:p>
                  <w:pPr>
                    <w:jc w:val="center"/>
                    <w:rPr>
                      <w:color w:val="auto"/>
                      <w:sz w:val="18"/>
                      <w:szCs w:val="18"/>
                    </w:rPr>
                  </w:pPr>
                  <w:r>
                    <w:rPr>
                      <w:color w:val="auto"/>
                      <w:sz w:val="18"/>
                      <w:szCs w:val="18"/>
                    </w:rPr>
                    <w:t>《医疗机构水污染物排放标准》（GB18466-2005）</w:t>
                  </w:r>
                </w:p>
              </w:tc>
              <w:tc>
                <w:tcPr>
                  <w:tcW w:w="645" w:type="dxa"/>
                  <w:noWrap/>
                  <w:vAlign w:val="center"/>
                </w:tcPr>
                <w:p>
                  <w:pPr>
                    <w:spacing w:line="320" w:lineRule="exact"/>
                    <w:jc w:val="center"/>
                    <w:rPr>
                      <w:color w:val="auto"/>
                      <w:sz w:val="18"/>
                      <w:szCs w:val="18"/>
                    </w:rPr>
                  </w:pPr>
                  <w:r>
                    <w:rPr>
                      <w:color w:val="auto"/>
                      <w:sz w:val="18"/>
                      <w:szCs w:val="18"/>
                    </w:rPr>
                    <w:t>6-9</w:t>
                  </w:r>
                </w:p>
              </w:tc>
              <w:tc>
                <w:tcPr>
                  <w:tcW w:w="792" w:type="dxa"/>
                  <w:noWrap/>
                  <w:vAlign w:val="center"/>
                </w:tcPr>
                <w:p>
                  <w:pPr>
                    <w:spacing w:line="320" w:lineRule="exact"/>
                    <w:jc w:val="center"/>
                    <w:rPr>
                      <w:color w:val="auto"/>
                      <w:sz w:val="18"/>
                      <w:szCs w:val="18"/>
                    </w:rPr>
                  </w:pPr>
                  <w:r>
                    <w:rPr>
                      <w:color w:val="auto"/>
                      <w:sz w:val="18"/>
                      <w:szCs w:val="18"/>
                    </w:rPr>
                    <w:t>100</w:t>
                  </w:r>
                </w:p>
              </w:tc>
              <w:tc>
                <w:tcPr>
                  <w:tcW w:w="622" w:type="dxa"/>
                  <w:noWrap/>
                  <w:vAlign w:val="center"/>
                </w:tcPr>
                <w:p>
                  <w:pPr>
                    <w:spacing w:line="320" w:lineRule="exact"/>
                    <w:jc w:val="center"/>
                    <w:rPr>
                      <w:color w:val="auto"/>
                      <w:sz w:val="18"/>
                      <w:szCs w:val="18"/>
                    </w:rPr>
                  </w:pPr>
                  <w:r>
                    <w:rPr>
                      <w:color w:val="auto"/>
                      <w:sz w:val="18"/>
                      <w:szCs w:val="18"/>
                    </w:rPr>
                    <w:t>250</w:t>
                  </w:r>
                </w:p>
              </w:tc>
              <w:tc>
                <w:tcPr>
                  <w:tcW w:w="894" w:type="dxa"/>
                  <w:noWrap/>
                  <w:vAlign w:val="center"/>
                </w:tcPr>
                <w:p>
                  <w:pPr>
                    <w:spacing w:line="320" w:lineRule="exact"/>
                    <w:jc w:val="center"/>
                    <w:rPr>
                      <w:color w:val="auto"/>
                      <w:sz w:val="18"/>
                      <w:szCs w:val="18"/>
                    </w:rPr>
                  </w:pPr>
                  <w:r>
                    <w:rPr>
                      <w:color w:val="auto"/>
                      <w:sz w:val="18"/>
                      <w:szCs w:val="18"/>
                    </w:rPr>
                    <w:t>60</w:t>
                  </w:r>
                </w:p>
              </w:tc>
              <w:tc>
                <w:tcPr>
                  <w:tcW w:w="987" w:type="dxa"/>
                  <w:noWrap/>
                  <w:vAlign w:val="center"/>
                </w:tcPr>
                <w:p>
                  <w:pPr>
                    <w:spacing w:line="320" w:lineRule="exact"/>
                    <w:rPr>
                      <w:color w:val="auto"/>
                      <w:sz w:val="18"/>
                      <w:szCs w:val="18"/>
                    </w:rPr>
                  </w:pPr>
                  <w:r>
                    <w:rPr>
                      <w:rFonts w:hint="eastAsia"/>
                      <w:color w:val="auto"/>
                      <w:sz w:val="18"/>
                      <w:szCs w:val="18"/>
                    </w:rPr>
                    <w:t>—</w:t>
                  </w:r>
                </w:p>
              </w:tc>
              <w:tc>
                <w:tcPr>
                  <w:tcW w:w="1166" w:type="dxa"/>
                  <w:noWrap/>
                  <w:vAlign w:val="center"/>
                </w:tcPr>
                <w:p>
                  <w:pPr>
                    <w:spacing w:line="320" w:lineRule="exact"/>
                    <w:rPr>
                      <w:color w:val="auto"/>
                      <w:sz w:val="18"/>
                      <w:szCs w:val="18"/>
                    </w:rPr>
                  </w:pPr>
                  <w:r>
                    <w:rPr>
                      <w:color w:val="auto"/>
                      <w:sz w:val="18"/>
                      <w:szCs w:val="18"/>
                    </w:rPr>
                    <w:t>5000</w:t>
                  </w:r>
                </w:p>
              </w:tc>
              <w:tc>
                <w:tcPr>
                  <w:tcW w:w="762" w:type="dxa"/>
                  <w:noWrap/>
                  <w:vAlign w:val="center"/>
                </w:tcPr>
                <w:p>
                  <w:pPr>
                    <w:spacing w:line="320" w:lineRule="exact"/>
                    <w:ind w:firstLine="180" w:firstLineChars="100"/>
                    <w:rPr>
                      <w:color w:val="auto"/>
                      <w:sz w:val="18"/>
                      <w:szCs w:val="18"/>
                    </w:rPr>
                  </w:pPr>
                  <w:r>
                    <w:rPr>
                      <w:rFonts w:hint="eastAsia"/>
                      <w:color w:val="auto"/>
                      <w:sz w:val="18"/>
                      <w:szCs w:val="18"/>
                    </w:rPr>
                    <w:t>—</w:t>
                  </w:r>
                </w:p>
              </w:tc>
            </w:tr>
          </w:tbl>
          <w:p>
            <w:pPr>
              <w:spacing w:line="360" w:lineRule="auto"/>
              <w:ind w:firstLine="420" w:firstLineChars="200"/>
              <w:rPr>
                <w:color w:val="auto"/>
                <w:szCs w:val="21"/>
              </w:rPr>
            </w:pPr>
            <w:r>
              <w:rPr>
                <w:rFonts w:hint="eastAsia"/>
                <w:color w:val="auto"/>
                <w:szCs w:val="21"/>
              </w:rPr>
              <w:t>3、</w:t>
            </w:r>
            <w:r>
              <w:rPr>
                <w:color w:val="auto"/>
                <w:szCs w:val="21"/>
              </w:rPr>
              <w:t>施工期噪声执行《建筑施工场界环境噪声排放标准》（GB12523-2011），运营期噪声执行《声环境质量标准》（GB3096-2008）中2类声环境功能区</w:t>
            </w:r>
            <w:r>
              <w:rPr>
                <w:rFonts w:hint="eastAsia"/>
                <w:color w:val="auto"/>
                <w:szCs w:val="21"/>
              </w:rPr>
              <w:t>标准</w:t>
            </w:r>
            <w:r>
              <w:rPr>
                <w:color w:val="auto"/>
                <w:szCs w:val="21"/>
              </w:rPr>
              <w:t>。</w:t>
            </w:r>
          </w:p>
          <w:p>
            <w:pPr>
              <w:jc w:val="center"/>
              <w:rPr>
                <w:b/>
                <w:color w:val="auto"/>
                <w:sz w:val="18"/>
                <w:szCs w:val="18"/>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rPr>
              <w:t>1</w:t>
            </w:r>
            <w:r>
              <w:rPr>
                <w:rFonts w:hint="eastAsia"/>
                <w:b/>
                <w:color w:val="auto"/>
                <w:sz w:val="18"/>
                <w:szCs w:val="18"/>
                <w:lang w:val="en-US" w:eastAsia="zh-CN"/>
              </w:rPr>
              <w:t>3</w:t>
            </w:r>
            <w:r>
              <w:rPr>
                <w:b/>
                <w:color w:val="auto"/>
                <w:sz w:val="18"/>
                <w:szCs w:val="18"/>
              </w:rPr>
              <w:t xml:space="preserve"> 建筑施工场界环境噪声排放限值</w:t>
            </w:r>
          </w:p>
          <w:tbl>
            <w:tblPr>
              <w:tblStyle w:val="21"/>
              <w:tblW w:w="8179"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4089"/>
              <w:gridCol w:w="409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65" w:hRule="exact"/>
                <w:jc w:val="center"/>
              </w:trPr>
              <w:tc>
                <w:tcPr>
                  <w:tcW w:w="4089" w:type="dxa"/>
                  <w:tcBorders>
                    <w:tl2br w:val="nil"/>
                    <w:tr2bl w:val="nil"/>
                  </w:tcBorders>
                  <w:noWrap/>
                  <w:vAlign w:val="center"/>
                </w:tcPr>
                <w:p>
                  <w:pPr>
                    <w:jc w:val="center"/>
                    <w:rPr>
                      <w:color w:val="auto"/>
                      <w:sz w:val="18"/>
                      <w:szCs w:val="18"/>
                    </w:rPr>
                  </w:pPr>
                  <w:r>
                    <w:rPr>
                      <w:color w:val="auto"/>
                      <w:sz w:val="18"/>
                      <w:szCs w:val="18"/>
                    </w:rPr>
                    <w:t>昼间</w:t>
                  </w:r>
                </w:p>
              </w:tc>
              <w:tc>
                <w:tcPr>
                  <w:tcW w:w="4090" w:type="dxa"/>
                  <w:tcBorders>
                    <w:tl2br w:val="nil"/>
                    <w:tr2bl w:val="nil"/>
                  </w:tcBorders>
                  <w:noWrap/>
                  <w:vAlign w:val="center"/>
                </w:tcPr>
                <w:p>
                  <w:pPr>
                    <w:jc w:val="center"/>
                    <w:rPr>
                      <w:color w:val="auto"/>
                      <w:sz w:val="18"/>
                      <w:szCs w:val="18"/>
                    </w:rPr>
                  </w:pPr>
                  <w:r>
                    <w:rPr>
                      <w:color w:val="auto"/>
                      <w:sz w:val="18"/>
                      <w:szCs w:val="18"/>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1" w:hRule="exact"/>
                <w:jc w:val="center"/>
              </w:trPr>
              <w:tc>
                <w:tcPr>
                  <w:tcW w:w="4089" w:type="dxa"/>
                  <w:tcBorders>
                    <w:tl2br w:val="nil"/>
                    <w:tr2bl w:val="nil"/>
                  </w:tcBorders>
                  <w:noWrap/>
                  <w:vAlign w:val="center"/>
                </w:tcPr>
                <w:p>
                  <w:pPr>
                    <w:jc w:val="center"/>
                    <w:rPr>
                      <w:color w:val="auto"/>
                      <w:sz w:val="18"/>
                      <w:szCs w:val="18"/>
                    </w:rPr>
                  </w:pPr>
                  <w:r>
                    <w:rPr>
                      <w:color w:val="auto"/>
                      <w:sz w:val="18"/>
                      <w:szCs w:val="18"/>
                    </w:rPr>
                    <w:t>70</w:t>
                  </w:r>
                </w:p>
              </w:tc>
              <w:tc>
                <w:tcPr>
                  <w:tcW w:w="4090" w:type="dxa"/>
                  <w:tcBorders>
                    <w:tl2br w:val="nil"/>
                    <w:tr2bl w:val="nil"/>
                  </w:tcBorders>
                  <w:noWrap/>
                  <w:vAlign w:val="center"/>
                </w:tcPr>
                <w:p>
                  <w:pPr>
                    <w:jc w:val="center"/>
                    <w:rPr>
                      <w:color w:val="auto"/>
                      <w:sz w:val="18"/>
                      <w:szCs w:val="18"/>
                    </w:rPr>
                  </w:pPr>
                  <w:r>
                    <w:rPr>
                      <w:color w:val="auto"/>
                      <w:sz w:val="18"/>
                      <w:szCs w:val="18"/>
                    </w:rPr>
                    <w:t>55</w:t>
                  </w:r>
                </w:p>
              </w:tc>
            </w:tr>
          </w:tbl>
          <w:p>
            <w:pPr>
              <w:jc w:val="center"/>
              <w:rPr>
                <w:b/>
                <w:color w:val="auto"/>
                <w:sz w:val="18"/>
                <w:szCs w:val="18"/>
              </w:rPr>
            </w:pPr>
            <w:r>
              <w:rPr>
                <w:b/>
                <w:color w:val="auto"/>
                <w:sz w:val="18"/>
                <w:szCs w:val="18"/>
              </w:rPr>
              <w:t>表</w:t>
            </w:r>
            <w:r>
              <w:rPr>
                <w:rFonts w:hint="eastAsia"/>
                <w:b/>
                <w:color w:val="auto"/>
                <w:sz w:val="18"/>
                <w:szCs w:val="18"/>
              </w:rPr>
              <w:t>3</w:t>
            </w:r>
            <w:r>
              <w:rPr>
                <w:b/>
                <w:color w:val="auto"/>
                <w:sz w:val="18"/>
                <w:szCs w:val="18"/>
              </w:rPr>
              <w:t>-</w:t>
            </w:r>
            <w:r>
              <w:rPr>
                <w:rFonts w:hint="eastAsia"/>
                <w:b/>
                <w:color w:val="auto"/>
                <w:sz w:val="18"/>
                <w:szCs w:val="18"/>
              </w:rPr>
              <w:t>1</w:t>
            </w:r>
            <w:r>
              <w:rPr>
                <w:rFonts w:hint="eastAsia"/>
                <w:b/>
                <w:color w:val="auto"/>
                <w:sz w:val="18"/>
                <w:szCs w:val="18"/>
                <w:lang w:val="en-US" w:eastAsia="zh-CN"/>
              </w:rPr>
              <w:t>4</w:t>
            </w:r>
            <w:r>
              <w:rPr>
                <w:rFonts w:hint="eastAsia"/>
                <w:b/>
                <w:color w:val="auto"/>
                <w:sz w:val="18"/>
                <w:szCs w:val="18"/>
              </w:rPr>
              <w:t xml:space="preserve">   </w:t>
            </w:r>
            <w:r>
              <w:rPr>
                <w:b/>
                <w:color w:val="auto"/>
                <w:sz w:val="18"/>
                <w:szCs w:val="18"/>
              </w:rPr>
              <w:t>声环境质量标准    单位：dB（A）</w:t>
            </w:r>
          </w:p>
          <w:tbl>
            <w:tblPr>
              <w:tblStyle w:val="21"/>
              <w:tblW w:w="8098"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444"/>
              <w:gridCol w:w="2820"/>
              <w:gridCol w:w="283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2444" w:type="dxa"/>
                  <w:tcBorders>
                    <w:tl2br w:val="nil"/>
                    <w:tr2bl w:val="nil"/>
                  </w:tcBorders>
                  <w:noWrap/>
                </w:tcPr>
                <w:p>
                  <w:pPr>
                    <w:jc w:val="center"/>
                    <w:rPr>
                      <w:color w:val="auto"/>
                      <w:sz w:val="18"/>
                      <w:szCs w:val="18"/>
                    </w:rPr>
                  </w:pPr>
                  <w:r>
                    <w:rPr>
                      <w:color w:val="auto"/>
                      <w:sz w:val="18"/>
                      <w:szCs w:val="18"/>
                    </w:rPr>
                    <w:t>类别</w:t>
                  </w:r>
                </w:p>
              </w:tc>
              <w:tc>
                <w:tcPr>
                  <w:tcW w:w="2820" w:type="dxa"/>
                  <w:tcBorders>
                    <w:tl2br w:val="nil"/>
                    <w:tr2bl w:val="nil"/>
                  </w:tcBorders>
                  <w:noWrap/>
                </w:tcPr>
                <w:p>
                  <w:pPr>
                    <w:jc w:val="center"/>
                    <w:rPr>
                      <w:color w:val="auto"/>
                      <w:sz w:val="18"/>
                      <w:szCs w:val="18"/>
                    </w:rPr>
                  </w:pPr>
                  <w:r>
                    <w:rPr>
                      <w:color w:val="auto"/>
                      <w:sz w:val="18"/>
                      <w:szCs w:val="18"/>
                    </w:rPr>
                    <w:t>昼间</w:t>
                  </w:r>
                </w:p>
              </w:tc>
              <w:tc>
                <w:tcPr>
                  <w:tcW w:w="2834" w:type="dxa"/>
                  <w:tcBorders>
                    <w:tl2br w:val="nil"/>
                    <w:tr2bl w:val="nil"/>
                  </w:tcBorders>
                  <w:noWrap/>
                </w:tcPr>
                <w:p>
                  <w:pPr>
                    <w:jc w:val="center"/>
                    <w:rPr>
                      <w:color w:val="auto"/>
                      <w:sz w:val="18"/>
                      <w:szCs w:val="18"/>
                    </w:rPr>
                  </w:pPr>
                  <w:r>
                    <w:rPr>
                      <w:color w:val="auto"/>
                      <w:sz w:val="18"/>
                      <w:szCs w:val="18"/>
                    </w:rPr>
                    <w:t>夜间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2444" w:type="dxa"/>
                  <w:tcBorders>
                    <w:tl2br w:val="nil"/>
                    <w:tr2bl w:val="nil"/>
                  </w:tcBorders>
                  <w:noWrap/>
                  <w:vAlign w:val="center"/>
                </w:tcPr>
                <w:p>
                  <w:pPr>
                    <w:jc w:val="center"/>
                    <w:rPr>
                      <w:color w:val="auto"/>
                      <w:sz w:val="18"/>
                      <w:szCs w:val="18"/>
                    </w:rPr>
                  </w:pPr>
                  <w:r>
                    <w:rPr>
                      <w:color w:val="auto"/>
                      <w:sz w:val="18"/>
                      <w:szCs w:val="18"/>
                    </w:rPr>
                    <w:t>2类</w:t>
                  </w:r>
                </w:p>
              </w:tc>
              <w:tc>
                <w:tcPr>
                  <w:tcW w:w="2820" w:type="dxa"/>
                  <w:tcBorders>
                    <w:tl2br w:val="nil"/>
                    <w:tr2bl w:val="nil"/>
                  </w:tcBorders>
                  <w:noWrap/>
                  <w:vAlign w:val="center"/>
                </w:tcPr>
                <w:p>
                  <w:pPr>
                    <w:jc w:val="center"/>
                    <w:rPr>
                      <w:color w:val="auto"/>
                      <w:sz w:val="18"/>
                      <w:szCs w:val="18"/>
                    </w:rPr>
                  </w:pPr>
                  <w:r>
                    <w:rPr>
                      <w:color w:val="auto"/>
                      <w:sz w:val="18"/>
                      <w:szCs w:val="18"/>
                    </w:rPr>
                    <w:t>60</w:t>
                  </w:r>
                </w:p>
              </w:tc>
              <w:tc>
                <w:tcPr>
                  <w:tcW w:w="2834" w:type="dxa"/>
                  <w:tcBorders>
                    <w:tl2br w:val="nil"/>
                    <w:tr2bl w:val="nil"/>
                  </w:tcBorders>
                  <w:noWrap/>
                  <w:vAlign w:val="center"/>
                </w:tcPr>
                <w:p>
                  <w:pPr>
                    <w:jc w:val="center"/>
                    <w:rPr>
                      <w:color w:val="auto"/>
                      <w:sz w:val="18"/>
                      <w:szCs w:val="18"/>
                    </w:rPr>
                  </w:pPr>
                  <w:r>
                    <w:rPr>
                      <w:color w:val="auto"/>
                      <w:sz w:val="18"/>
                      <w:szCs w:val="18"/>
                    </w:rPr>
                    <w:t>50</w:t>
                  </w:r>
                </w:p>
              </w:tc>
            </w:tr>
          </w:tbl>
          <w:p>
            <w:pPr>
              <w:wordWrap w:val="0"/>
              <w:topLinePunct/>
              <w:adjustRightInd w:val="0"/>
              <w:snapToGrid w:val="0"/>
              <w:spacing w:line="360" w:lineRule="auto"/>
              <w:ind w:firstLine="420" w:firstLineChars="200"/>
              <w:rPr>
                <w:color w:val="auto"/>
                <w:kern w:val="0"/>
                <w:szCs w:val="21"/>
              </w:rPr>
            </w:pPr>
            <w:r>
              <w:rPr>
                <w:color w:val="auto"/>
                <w:szCs w:val="21"/>
              </w:rPr>
              <w:t>4、固体废物：</w:t>
            </w:r>
            <w:r>
              <w:rPr>
                <w:rFonts w:hint="eastAsia"/>
                <w:color w:val="auto"/>
                <w:szCs w:val="21"/>
              </w:rPr>
              <w:t>一般固废执行《一般工业固体废物贮存和填埋污染控制标准》（GB18599-2020）</w:t>
            </w:r>
            <w:r>
              <w:rPr>
                <w:color w:val="auto"/>
                <w:szCs w:val="21"/>
              </w:rPr>
              <w:t>。危险固废贮存执行《危险废物贮存污染控制标准》（GB1859-2001）以及修改单</w:t>
            </w:r>
            <w:r>
              <w:rPr>
                <w:rFonts w:hint="eastAsia"/>
                <w:color w:val="auto"/>
                <w:szCs w:val="21"/>
              </w:rPr>
              <w:t>中相关规定和《医疗废物管理条例》中相关规定</w:t>
            </w:r>
            <w:r>
              <w:rPr>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30" w:hRule="atLeast"/>
          <w:jc w:val="center"/>
        </w:trPr>
        <w:tc>
          <w:tcPr>
            <w:tcW w:w="800" w:type="dxa"/>
            <w:noWrap/>
            <w:vAlign w:val="center"/>
          </w:tcPr>
          <w:p>
            <w:pPr>
              <w:adjustRightInd w:val="0"/>
              <w:snapToGrid w:val="0"/>
              <w:jc w:val="center"/>
              <w:rPr>
                <w:color w:val="auto"/>
                <w:kern w:val="0"/>
                <w:szCs w:val="21"/>
              </w:rPr>
            </w:pPr>
            <w:r>
              <w:rPr>
                <w:color w:val="auto"/>
                <w:kern w:val="0"/>
                <w:szCs w:val="21"/>
              </w:rPr>
              <w:t>总量</w:t>
            </w:r>
          </w:p>
          <w:p>
            <w:pPr>
              <w:adjustRightInd w:val="0"/>
              <w:snapToGrid w:val="0"/>
              <w:jc w:val="center"/>
              <w:rPr>
                <w:color w:val="auto"/>
                <w:kern w:val="0"/>
                <w:szCs w:val="21"/>
              </w:rPr>
            </w:pPr>
            <w:r>
              <w:rPr>
                <w:color w:val="auto"/>
                <w:kern w:val="0"/>
                <w:szCs w:val="21"/>
              </w:rPr>
              <w:t>控制</w:t>
            </w:r>
          </w:p>
          <w:p>
            <w:pPr>
              <w:adjustRightInd w:val="0"/>
              <w:snapToGrid w:val="0"/>
              <w:jc w:val="center"/>
              <w:rPr>
                <w:color w:val="auto"/>
                <w:kern w:val="0"/>
                <w:szCs w:val="21"/>
              </w:rPr>
            </w:pPr>
            <w:r>
              <w:rPr>
                <w:color w:val="auto"/>
                <w:kern w:val="0"/>
                <w:szCs w:val="21"/>
              </w:rPr>
              <w:t>指标</w:t>
            </w:r>
          </w:p>
        </w:tc>
        <w:tc>
          <w:tcPr>
            <w:tcW w:w="8190" w:type="dxa"/>
            <w:noWrap/>
            <w:vAlign w:val="center"/>
          </w:tcPr>
          <w:p>
            <w:pPr>
              <w:snapToGrid w:val="0"/>
              <w:spacing w:beforeLines="50" w:line="360" w:lineRule="auto"/>
              <w:ind w:firstLine="420" w:firstLineChars="200"/>
              <w:rPr>
                <w:color w:val="auto"/>
                <w:kern w:val="0"/>
                <w:szCs w:val="21"/>
              </w:rPr>
            </w:pPr>
            <w:r>
              <w:rPr>
                <w:color w:val="auto"/>
                <w:kern w:val="0"/>
                <w:szCs w:val="21"/>
              </w:rPr>
              <w:t>根据项目工程分析及项目产污特点，项目</w:t>
            </w:r>
            <w:r>
              <w:rPr>
                <w:rFonts w:hint="eastAsia"/>
                <w:color w:val="auto"/>
                <w:kern w:val="0"/>
                <w:szCs w:val="21"/>
              </w:rPr>
              <w:t>宠物治疗</w:t>
            </w:r>
            <w:r>
              <w:rPr>
                <w:rFonts w:hint="eastAsia"/>
                <w:color w:val="auto"/>
                <w:szCs w:val="21"/>
              </w:rPr>
              <w:t>废水、</w:t>
            </w:r>
            <w:r>
              <w:rPr>
                <w:rFonts w:hint="eastAsia"/>
                <w:color w:val="auto"/>
                <w:szCs w:val="21"/>
                <w:lang w:eastAsia="zh-CN"/>
              </w:rPr>
              <w:t>宠物做手术器械和</w:t>
            </w:r>
            <w:r>
              <w:rPr>
                <w:rFonts w:hint="eastAsia"/>
                <w:color w:val="auto"/>
                <w:szCs w:val="21"/>
              </w:rPr>
              <w:t>地面</w:t>
            </w:r>
            <w:r>
              <w:rPr>
                <w:rFonts w:hint="eastAsia"/>
                <w:color w:val="auto"/>
                <w:szCs w:val="21"/>
                <w:lang w:eastAsia="zh-CN"/>
              </w:rPr>
              <w:t>、宠物笼</w:t>
            </w:r>
            <w:r>
              <w:rPr>
                <w:rFonts w:hint="eastAsia"/>
                <w:color w:val="auto"/>
                <w:szCs w:val="21"/>
              </w:rPr>
              <w:t>清洁废水收集至</w:t>
            </w:r>
            <w:r>
              <w:rPr>
                <w:rFonts w:hint="eastAsia"/>
                <w:color w:val="auto"/>
                <w:szCs w:val="21"/>
                <w:lang w:eastAsia="zh-CN"/>
              </w:rPr>
              <w:t>污水消毒池</w:t>
            </w:r>
            <w:r>
              <w:rPr>
                <w:rFonts w:hint="eastAsia"/>
                <w:color w:val="auto"/>
                <w:szCs w:val="21"/>
              </w:rPr>
              <w:t>进行处理，处理后和工作人员污水排至已建的预处理池进行处理，最终进入</w:t>
            </w:r>
            <w:r>
              <w:rPr>
                <w:rFonts w:hint="eastAsia"/>
                <w:color w:val="auto"/>
                <w:szCs w:val="21"/>
                <w:lang w:eastAsia="zh-CN"/>
              </w:rPr>
              <w:t>苍溪县石家坝城市污水处理厂</w:t>
            </w:r>
            <w:r>
              <w:rPr>
                <w:color w:val="auto"/>
                <w:kern w:val="0"/>
                <w:szCs w:val="21"/>
              </w:rPr>
              <w:t>处理后达标排放，其排放总量计入</w:t>
            </w:r>
            <w:r>
              <w:rPr>
                <w:rFonts w:hint="eastAsia"/>
                <w:color w:val="auto"/>
                <w:szCs w:val="21"/>
                <w:lang w:eastAsia="zh-CN"/>
              </w:rPr>
              <w:t>苍溪县石家坝城市污水处理厂</w:t>
            </w:r>
            <w:r>
              <w:rPr>
                <w:color w:val="auto"/>
                <w:kern w:val="0"/>
                <w:szCs w:val="21"/>
              </w:rPr>
              <w:t>总量控制指标范围内，因此项目不再重新下达COD和氨氮总量控制指标；项目无二氧化硫、氮氧化物、有机废气的排放。因此不涉及废水和废气总量控制指标。</w:t>
            </w:r>
          </w:p>
        </w:tc>
      </w:tr>
    </w:tbl>
    <w:p>
      <w:pPr>
        <w:pStyle w:val="19"/>
        <w:jc w:val="center"/>
        <w:outlineLvl w:val="0"/>
        <w:rPr>
          <w:rFonts w:ascii="Times New Roman" w:hAnsi="Times New Roman" w:eastAsia="黑体"/>
          <w:snapToGrid w:val="0"/>
          <w:color w:val="auto"/>
          <w:sz w:val="30"/>
          <w:szCs w:val="30"/>
        </w:rPr>
      </w:pPr>
      <w:r>
        <w:rPr>
          <w:rFonts w:ascii="Times New Roman" w:hAnsi="Times New Roman" w:eastAsia="黑体"/>
          <w:snapToGrid w:val="0"/>
          <w:color w:val="auto"/>
          <w:sz w:val="36"/>
          <w:szCs w:val="36"/>
        </w:rPr>
        <w:br w:type="page"/>
      </w:r>
      <w:r>
        <w:rPr>
          <w:rFonts w:ascii="Times New Roman" w:hAnsi="Times New Roman" w:eastAsia="黑体"/>
          <w:snapToGrid w:val="0"/>
          <w:color w:val="auto"/>
          <w:sz w:val="30"/>
          <w:szCs w:val="30"/>
        </w:rPr>
        <w:t>四、主要环境影响和保护措施</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07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46" w:type="dxa"/>
            <w:noWrap/>
            <w:tcMar>
              <w:left w:w="28" w:type="dxa"/>
              <w:right w:w="28" w:type="dxa"/>
            </w:tcMar>
            <w:vAlign w:val="center"/>
          </w:tcPr>
          <w:p>
            <w:pPr>
              <w:pStyle w:val="19"/>
              <w:adjustRightInd w:val="0"/>
              <w:snapToGrid w:val="0"/>
              <w:spacing w:before="0" w:beforeAutospacing="0" w:after="0" w:afterAutospacing="0"/>
              <w:jc w:val="center"/>
              <w:rPr>
                <w:rFonts w:ascii="Times New Roman" w:hAnsi="Times New Roman"/>
                <w:color w:val="auto"/>
                <w:kern w:val="2"/>
                <w:sz w:val="21"/>
                <w:szCs w:val="21"/>
              </w:rPr>
            </w:pPr>
            <w:r>
              <w:rPr>
                <w:rFonts w:ascii="Times New Roman" w:hAnsi="Times New Roman"/>
                <w:color w:val="auto"/>
                <w:kern w:val="2"/>
                <w:sz w:val="21"/>
                <w:szCs w:val="21"/>
              </w:rPr>
              <w:t>施工</w:t>
            </w:r>
          </w:p>
          <w:p>
            <w:pPr>
              <w:pStyle w:val="19"/>
              <w:adjustRightInd w:val="0"/>
              <w:snapToGrid w:val="0"/>
              <w:spacing w:before="0" w:beforeAutospacing="0" w:after="0" w:afterAutospacing="0"/>
              <w:jc w:val="center"/>
              <w:rPr>
                <w:rFonts w:ascii="Times New Roman" w:hAnsi="Times New Roman"/>
                <w:color w:val="auto"/>
                <w:kern w:val="2"/>
                <w:sz w:val="21"/>
                <w:szCs w:val="21"/>
              </w:rPr>
            </w:pPr>
            <w:r>
              <w:rPr>
                <w:rFonts w:ascii="Times New Roman" w:hAnsi="Times New Roman"/>
                <w:color w:val="auto"/>
                <w:kern w:val="2"/>
                <w:sz w:val="21"/>
                <w:szCs w:val="21"/>
              </w:rPr>
              <w:t>期环</w:t>
            </w:r>
          </w:p>
          <w:p>
            <w:pPr>
              <w:pStyle w:val="19"/>
              <w:adjustRightInd w:val="0"/>
              <w:snapToGrid w:val="0"/>
              <w:spacing w:before="0" w:beforeAutospacing="0" w:after="0" w:afterAutospacing="0"/>
              <w:jc w:val="center"/>
              <w:rPr>
                <w:rFonts w:ascii="Times New Roman" w:hAnsi="Times New Roman"/>
                <w:color w:val="auto"/>
                <w:kern w:val="2"/>
                <w:sz w:val="21"/>
                <w:szCs w:val="21"/>
              </w:rPr>
            </w:pPr>
            <w:r>
              <w:rPr>
                <w:rFonts w:ascii="Times New Roman" w:hAnsi="Times New Roman"/>
                <w:color w:val="auto"/>
                <w:kern w:val="2"/>
                <w:sz w:val="21"/>
                <w:szCs w:val="21"/>
              </w:rPr>
              <w:t>境保</w:t>
            </w:r>
          </w:p>
          <w:p>
            <w:pPr>
              <w:pStyle w:val="19"/>
              <w:adjustRightInd w:val="0"/>
              <w:snapToGrid w:val="0"/>
              <w:spacing w:before="0" w:beforeAutospacing="0" w:after="0" w:afterAutospacing="0"/>
              <w:jc w:val="center"/>
              <w:rPr>
                <w:rFonts w:ascii="Times New Roman" w:hAnsi="Times New Roman"/>
                <w:color w:val="auto"/>
                <w:kern w:val="2"/>
                <w:sz w:val="21"/>
                <w:szCs w:val="21"/>
              </w:rPr>
            </w:pPr>
            <w:r>
              <w:rPr>
                <w:rFonts w:ascii="Times New Roman" w:hAnsi="Times New Roman"/>
                <w:color w:val="auto"/>
                <w:kern w:val="2"/>
                <w:sz w:val="21"/>
                <w:szCs w:val="21"/>
              </w:rPr>
              <w:t>护措</w:t>
            </w:r>
          </w:p>
          <w:p>
            <w:pPr>
              <w:pStyle w:val="19"/>
              <w:adjustRightInd w:val="0"/>
              <w:snapToGrid w:val="0"/>
              <w:spacing w:before="0" w:beforeAutospacing="0" w:after="0" w:afterAutospacing="0"/>
              <w:jc w:val="center"/>
              <w:rPr>
                <w:rFonts w:ascii="Times New Roman" w:hAnsi="Times New Roman"/>
                <w:bCs/>
                <w:color w:val="auto"/>
                <w:kern w:val="2"/>
                <w:sz w:val="21"/>
                <w:szCs w:val="21"/>
              </w:rPr>
            </w:pPr>
            <w:r>
              <w:rPr>
                <w:rFonts w:ascii="Times New Roman" w:hAnsi="Times New Roman"/>
                <w:color w:val="auto"/>
                <w:kern w:val="2"/>
                <w:sz w:val="21"/>
                <w:szCs w:val="21"/>
              </w:rPr>
              <w:t>施</w:t>
            </w:r>
          </w:p>
        </w:tc>
        <w:tc>
          <w:tcPr>
            <w:tcW w:w="8073" w:type="dxa"/>
            <w:noWrap/>
            <w:vAlign w:val="center"/>
          </w:tcPr>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1</w:t>
            </w:r>
            <w:r>
              <w:rPr>
                <w:rFonts w:hint="default" w:ascii="Times New Roman" w:hAnsi="Times New Roman" w:cs="Times New Roman"/>
                <w:color w:val="auto"/>
                <w:sz w:val="21"/>
                <w:szCs w:val="21"/>
                <w:lang w:eastAsia="zh-CN"/>
              </w:rPr>
              <w:t>、</w:t>
            </w:r>
            <w:r>
              <w:rPr>
                <w:rFonts w:hint="default" w:ascii="Times New Roman" w:hAnsi="Times New Roman" w:cs="Times New Roman"/>
                <w:color w:val="auto"/>
                <w:sz w:val="21"/>
                <w:szCs w:val="21"/>
              </w:rPr>
              <w:t>地表水环境影响分析</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施工期废水主要为施工废水和施工人员生活污水。</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其中施工废水经沉淀处理后，回用，不外排；项目施工人员生活污水利用厂区内现有化粪池处理后用于</w:t>
            </w:r>
            <w:r>
              <w:rPr>
                <w:rFonts w:hint="default" w:ascii="Times New Roman" w:hAnsi="Times New Roman" w:cs="Times New Roman"/>
                <w:color w:val="auto"/>
                <w:sz w:val="21"/>
                <w:szCs w:val="21"/>
                <w:lang w:eastAsia="zh-CN"/>
              </w:rPr>
              <w:t>苍溪县石家坝城市污水处理厂</w:t>
            </w:r>
            <w:r>
              <w:rPr>
                <w:rFonts w:hint="default" w:ascii="Times New Roman" w:hAnsi="Times New Roman" w:cs="Times New Roman"/>
                <w:color w:val="auto"/>
                <w:sz w:val="21"/>
                <w:szCs w:val="21"/>
              </w:rPr>
              <w:t>。因此，项目施工不会对区域地表水环境造成影响。</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w:t>
            </w:r>
            <w:r>
              <w:rPr>
                <w:rFonts w:hint="default" w:ascii="Times New Roman" w:hAnsi="Times New Roman" w:cs="Times New Roman"/>
                <w:color w:val="auto"/>
                <w:sz w:val="21"/>
                <w:szCs w:val="21"/>
                <w:lang w:eastAsia="zh-CN"/>
              </w:rPr>
              <w:t>、</w:t>
            </w:r>
            <w:r>
              <w:rPr>
                <w:rFonts w:hint="default" w:ascii="Times New Roman" w:hAnsi="Times New Roman" w:cs="Times New Roman"/>
                <w:color w:val="auto"/>
                <w:sz w:val="21"/>
                <w:szCs w:val="21"/>
              </w:rPr>
              <w:t>大气环境影响分析</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施工期废气主要为施工扬尘及运输车辆废气。</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1）施工扬尘：施工过程中产生的粉尘，该粉尘的比重较大，通过自然沉降后大部分散落到地面，仅有少许粉尘外排。同时由于施工过程均在室内，施工期间通过关闭门窗，及时清除建渣，清扫施工场地等措施后，外排的粉尘对外环境的影响很小，且项目施工期短，随着施工的结束影响随之消失。在设备安装调试的过程中产生的粉尘较少，对环境影响较小。</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（2）运输车辆废气：施工期间，使用机动车运送原料、设备和建筑机械设备的运转，均会排放一定量的CO、NOx以及未完全燃烧的THC等。其特点是排放量少，属间断性排放，影响较小。</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综上所述，建设单位施工期落实环评所述大气污染物防治措施，可有效减小或避免对周围大气环境的影响。</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3</w:t>
            </w:r>
            <w:r>
              <w:rPr>
                <w:rFonts w:hint="default" w:ascii="Times New Roman" w:hAnsi="Times New Roman" w:cs="Times New Roman"/>
                <w:color w:val="auto"/>
                <w:sz w:val="21"/>
                <w:szCs w:val="21"/>
                <w:lang w:eastAsia="zh-CN"/>
              </w:rPr>
              <w:t>、</w:t>
            </w:r>
            <w:r>
              <w:rPr>
                <w:rFonts w:hint="default" w:ascii="Times New Roman" w:hAnsi="Times New Roman" w:cs="Times New Roman"/>
                <w:color w:val="auto"/>
                <w:sz w:val="21"/>
                <w:szCs w:val="21"/>
              </w:rPr>
              <w:t>声环境影响分析</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施工期间的噪声主要来自施工现场的各类机械设备的运作过程，由于各施工阶段均有大量设备交互作业，这些设备在场地内的位置以及使用率均有较大变化，因此很难计算其确切的施工厂界噪声，且施工期较短，随着施工的结束噪声影响随之消失。环评要求建设单位加强施工管理，合理安排施工时间，禁止夜间施工，以减少噪声对周围声环境的影响，确保施工期间设备运作噪声不会对周围环境产生影响。</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w:t>
            </w:r>
            <w:r>
              <w:rPr>
                <w:rFonts w:hint="default" w:ascii="Times New Roman" w:hAnsi="Times New Roman" w:cs="Times New Roman"/>
                <w:color w:val="auto"/>
                <w:sz w:val="21"/>
                <w:szCs w:val="21"/>
                <w:lang w:eastAsia="zh-CN"/>
              </w:rPr>
              <w:t>、</w:t>
            </w:r>
            <w:r>
              <w:rPr>
                <w:rFonts w:hint="default" w:ascii="Times New Roman" w:hAnsi="Times New Roman" w:cs="Times New Roman"/>
                <w:color w:val="auto"/>
                <w:sz w:val="21"/>
                <w:szCs w:val="21"/>
              </w:rPr>
              <w:t>固体废弃物影响分析</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工程施工产生的固体废弃物主要为建筑垃圾和生活垃圾等。</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（1）建筑垃圾：在施工过程中产生的施工材料废边角料等，部门进行回收利用，不能回收利用部分，直接清运至政府规定地点进行堆放。</w:t>
            </w:r>
          </w:p>
          <w:p>
            <w:pPr>
              <w:snapToGrid w:val="0"/>
              <w:spacing w:line="360" w:lineRule="auto"/>
              <w:ind w:firstLine="420" w:firstLineChars="20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（2）生活垃圾：施工人员生活垃圾产生量约</w:t>
            </w:r>
            <w:r>
              <w:rPr>
                <w:rFonts w:hint="default" w:ascii="Times New Roman" w:hAnsi="Times New Roman" w:cs="Times New Roman"/>
                <w:color w:val="auto"/>
                <w:sz w:val="21"/>
                <w:szCs w:val="21"/>
                <w:lang w:val="en-US" w:eastAsia="zh-CN"/>
              </w:rPr>
              <w:t>5</w:t>
            </w:r>
            <w:r>
              <w:rPr>
                <w:rFonts w:hint="default" w:ascii="Times New Roman" w:hAnsi="Times New Roman" w:cs="Times New Roman"/>
                <w:color w:val="auto"/>
                <w:sz w:val="21"/>
                <w:szCs w:val="21"/>
              </w:rPr>
              <w:t>kg/d，由场内垃圾桶收集后运送至市政垃圾收集点，最后环卫部门统一处理。</w:t>
            </w:r>
          </w:p>
          <w:p>
            <w:pPr>
              <w:pStyle w:val="48"/>
              <w:spacing w:line="360" w:lineRule="auto"/>
              <w:ind w:firstLine="482"/>
              <w:rPr>
                <w:bCs/>
                <w:color w:val="auto"/>
                <w:spacing w:val="-10"/>
                <w:szCs w:val="21"/>
              </w:rPr>
            </w:pPr>
            <w:r>
              <w:rPr>
                <w:rFonts w:hint="default" w:ascii="Times New Roman" w:hAnsi="Times New Roman" w:cs="Times New Roman"/>
                <w:b/>
                <w:color w:val="auto"/>
                <w:sz w:val="21"/>
                <w:szCs w:val="21"/>
              </w:rPr>
              <w:t>综上所述，项目施工期产生的污染物均能够得到合理的处置，不会对周边环境造成影响。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6" w:type="dxa"/>
            <w:noWrap/>
            <w:tcMar>
              <w:left w:w="28" w:type="dxa"/>
              <w:right w:w="28" w:type="dxa"/>
            </w:tcMar>
            <w:vAlign w:val="center"/>
          </w:tcPr>
          <w:p>
            <w:pPr>
              <w:adjustRightInd w:val="0"/>
              <w:snapToGrid w:val="0"/>
              <w:jc w:val="center"/>
              <w:rPr>
                <w:bCs/>
                <w:color w:val="auto"/>
                <w:szCs w:val="21"/>
              </w:rPr>
            </w:pPr>
            <w:r>
              <w:rPr>
                <w:bCs/>
                <w:color w:val="auto"/>
                <w:szCs w:val="21"/>
              </w:rPr>
              <w:t>运营</w:t>
            </w:r>
          </w:p>
          <w:p>
            <w:pPr>
              <w:adjustRightInd w:val="0"/>
              <w:snapToGrid w:val="0"/>
              <w:jc w:val="center"/>
              <w:rPr>
                <w:bCs/>
                <w:color w:val="auto"/>
                <w:szCs w:val="21"/>
              </w:rPr>
            </w:pPr>
            <w:r>
              <w:rPr>
                <w:bCs/>
                <w:color w:val="auto"/>
                <w:szCs w:val="21"/>
              </w:rPr>
              <w:t>期环</w:t>
            </w:r>
          </w:p>
          <w:p>
            <w:pPr>
              <w:adjustRightInd w:val="0"/>
              <w:snapToGrid w:val="0"/>
              <w:jc w:val="center"/>
              <w:rPr>
                <w:bCs/>
                <w:color w:val="auto"/>
                <w:szCs w:val="21"/>
              </w:rPr>
            </w:pPr>
            <w:r>
              <w:rPr>
                <w:bCs/>
                <w:color w:val="auto"/>
                <w:szCs w:val="21"/>
              </w:rPr>
              <w:t>境影</w:t>
            </w:r>
          </w:p>
          <w:p>
            <w:pPr>
              <w:adjustRightInd w:val="0"/>
              <w:snapToGrid w:val="0"/>
              <w:jc w:val="center"/>
              <w:rPr>
                <w:bCs/>
                <w:color w:val="auto"/>
                <w:szCs w:val="21"/>
              </w:rPr>
            </w:pPr>
            <w:r>
              <w:rPr>
                <w:bCs/>
                <w:color w:val="auto"/>
                <w:szCs w:val="21"/>
              </w:rPr>
              <w:t>响和</w:t>
            </w:r>
          </w:p>
          <w:p>
            <w:pPr>
              <w:adjustRightInd w:val="0"/>
              <w:snapToGrid w:val="0"/>
              <w:jc w:val="center"/>
              <w:rPr>
                <w:bCs/>
                <w:color w:val="auto"/>
                <w:szCs w:val="21"/>
              </w:rPr>
            </w:pPr>
            <w:r>
              <w:rPr>
                <w:bCs/>
                <w:color w:val="auto"/>
                <w:szCs w:val="21"/>
              </w:rPr>
              <w:t>保护</w:t>
            </w:r>
          </w:p>
          <w:p>
            <w:pPr>
              <w:adjustRightInd w:val="0"/>
              <w:snapToGrid w:val="0"/>
              <w:jc w:val="center"/>
              <w:rPr>
                <w:bCs/>
                <w:color w:val="auto"/>
                <w:szCs w:val="21"/>
              </w:rPr>
            </w:pPr>
            <w:r>
              <w:rPr>
                <w:bCs/>
                <w:color w:val="auto"/>
                <w:szCs w:val="21"/>
              </w:rPr>
              <w:t>措施</w:t>
            </w:r>
          </w:p>
        </w:tc>
        <w:tc>
          <w:tcPr>
            <w:tcW w:w="8073" w:type="dxa"/>
            <w:noWrap/>
            <w:vAlign w:val="center"/>
          </w:tcPr>
          <w:p>
            <w:pPr>
              <w:topLinePunct/>
              <w:spacing w:line="360" w:lineRule="auto"/>
              <w:jc w:val="left"/>
              <w:rPr>
                <w:b/>
                <w:color w:val="auto"/>
                <w:szCs w:val="21"/>
              </w:rPr>
            </w:pPr>
            <w:r>
              <w:rPr>
                <w:b/>
                <w:color w:val="auto"/>
                <w:szCs w:val="21"/>
              </w:rPr>
              <w:t>一、营运期主要污染物及防治措施</w:t>
            </w:r>
          </w:p>
          <w:p>
            <w:pPr>
              <w:spacing w:line="360" w:lineRule="auto"/>
              <w:ind w:firstLine="420" w:firstLineChars="200"/>
              <w:rPr>
                <w:color w:val="auto"/>
                <w:szCs w:val="21"/>
              </w:rPr>
            </w:pPr>
            <w:r>
              <w:rPr>
                <w:color w:val="auto"/>
                <w:szCs w:val="21"/>
              </w:rPr>
              <w:t>项目在运营建设过程中产生的环境影响因素，主要表现为废气、</w:t>
            </w:r>
            <w:r>
              <w:rPr>
                <w:rFonts w:hint="eastAsia"/>
                <w:color w:val="auto"/>
                <w:szCs w:val="21"/>
              </w:rPr>
              <w:t>废水</w:t>
            </w:r>
            <w:r>
              <w:rPr>
                <w:color w:val="auto"/>
                <w:szCs w:val="21"/>
              </w:rPr>
              <w:t xml:space="preserve">、噪声、固体废物。 </w:t>
            </w:r>
          </w:p>
          <w:p>
            <w:pPr>
              <w:jc w:val="center"/>
              <w:rPr>
                <w:b/>
                <w:bCs/>
                <w:color w:val="auto"/>
                <w:sz w:val="18"/>
                <w:szCs w:val="18"/>
              </w:rPr>
            </w:pPr>
            <w:r>
              <w:rPr>
                <w:b/>
                <w:bCs/>
                <w:color w:val="auto"/>
                <w:sz w:val="18"/>
                <w:szCs w:val="18"/>
              </w:rPr>
              <w:t>表4-1  项目运营环节污染物产生情况</w:t>
            </w:r>
          </w:p>
          <w:tbl>
            <w:tblPr>
              <w:tblStyle w:val="21"/>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244"/>
              <w:gridCol w:w="448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3" w:type="pct"/>
                  <w:tcBorders>
                    <w:tl2br w:val="nil"/>
                    <w:tr2bl w:val="nil"/>
                  </w:tcBorders>
                  <w:noWrap/>
                  <w:vAlign w:val="center"/>
                </w:tcPr>
                <w:p>
                  <w:pPr>
                    <w:pStyle w:val="9"/>
                    <w:spacing w:line="240" w:lineRule="auto"/>
                    <w:jc w:val="center"/>
                    <w:rPr>
                      <w:color w:val="auto"/>
                      <w:szCs w:val="18"/>
                    </w:rPr>
                  </w:pPr>
                  <w:r>
                    <w:rPr>
                      <w:color w:val="auto"/>
                      <w:szCs w:val="18"/>
                    </w:rPr>
                    <w:t>序号</w:t>
                  </w:r>
                </w:p>
              </w:tc>
              <w:tc>
                <w:tcPr>
                  <w:tcW w:w="1429" w:type="pct"/>
                  <w:tcBorders>
                    <w:tl2br w:val="nil"/>
                    <w:tr2bl w:val="nil"/>
                  </w:tcBorders>
                  <w:noWrap/>
                  <w:vAlign w:val="center"/>
                </w:tcPr>
                <w:p>
                  <w:pPr>
                    <w:pStyle w:val="9"/>
                    <w:spacing w:line="240" w:lineRule="auto"/>
                    <w:jc w:val="center"/>
                    <w:rPr>
                      <w:color w:val="auto"/>
                      <w:szCs w:val="18"/>
                    </w:rPr>
                  </w:pPr>
                  <w:r>
                    <w:rPr>
                      <w:color w:val="auto"/>
                      <w:szCs w:val="18"/>
                    </w:rPr>
                    <w:t>污染物类别</w:t>
                  </w:r>
                </w:p>
              </w:tc>
              <w:tc>
                <w:tcPr>
                  <w:tcW w:w="2856" w:type="pct"/>
                  <w:tcBorders>
                    <w:tl2br w:val="nil"/>
                    <w:tr2bl w:val="nil"/>
                  </w:tcBorders>
                  <w:noWrap/>
                  <w:vAlign w:val="center"/>
                </w:tcPr>
                <w:p>
                  <w:pPr>
                    <w:pStyle w:val="9"/>
                    <w:spacing w:line="240" w:lineRule="auto"/>
                    <w:jc w:val="center"/>
                    <w:rPr>
                      <w:color w:val="auto"/>
                      <w:szCs w:val="18"/>
                    </w:rPr>
                  </w:pPr>
                  <w:r>
                    <w:rPr>
                      <w:color w:val="auto"/>
                      <w:szCs w:val="18"/>
                    </w:rPr>
                    <w:t>污染物</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3" w:type="pct"/>
                  <w:vMerge w:val="restart"/>
                  <w:tcBorders>
                    <w:tl2br w:val="nil"/>
                    <w:tr2bl w:val="nil"/>
                  </w:tcBorders>
                  <w:noWrap/>
                  <w:vAlign w:val="center"/>
                </w:tcPr>
                <w:p>
                  <w:pPr>
                    <w:pStyle w:val="9"/>
                    <w:spacing w:line="240" w:lineRule="auto"/>
                    <w:jc w:val="center"/>
                    <w:rPr>
                      <w:color w:val="auto"/>
                      <w:szCs w:val="18"/>
                    </w:rPr>
                  </w:pPr>
                  <w:r>
                    <w:rPr>
                      <w:color w:val="auto"/>
                      <w:szCs w:val="18"/>
                    </w:rPr>
                    <w:t>1</w:t>
                  </w:r>
                </w:p>
              </w:tc>
              <w:tc>
                <w:tcPr>
                  <w:tcW w:w="1429" w:type="pct"/>
                  <w:vMerge w:val="restart"/>
                  <w:tcBorders>
                    <w:tl2br w:val="nil"/>
                    <w:tr2bl w:val="nil"/>
                  </w:tcBorders>
                  <w:noWrap/>
                  <w:vAlign w:val="center"/>
                </w:tcPr>
                <w:p>
                  <w:pPr>
                    <w:pStyle w:val="9"/>
                    <w:spacing w:line="240" w:lineRule="auto"/>
                    <w:jc w:val="center"/>
                    <w:rPr>
                      <w:color w:val="auto"/>
                      <w:szCs w:val="18"/>
                    </w:rPr>
                  </w:pPr>
                  <w:r>
                    <w:rPr>
                      <w:color w:val="auto"/>
                      <w:szCs w:val="18"/>
                    </w:rPr>
                    <w:t>废水</w:t>
                  </w:r>
                </w:p>
              </w:tc>
              <w:tc>
                <w:tcPr>
                  <w:tcW w:w="2856" w:type="pct"/>
                  <w:tcBorders>
                    <w:tl2br w:val="nil"/>
                    <w:tr2bl w:val="nil"/>
                  </w:tcBorders>
                  <w:noWrap/>
                  <w:vAlign w:val="center"/>
                </w:tcPr>
                <w:p>
                  <w:pPr>
                    <w:pStyle w:val="9"/>
                    <w:spacing w:line="240" w:lineRule="auto"/>
                    <w:jc w:val="center"/>
                    <w:rPr>
                      <w:color w:val="auto"/>
                      <w:szCs w:val="18"/>
                    </w:rPr>
                  </w:pPr>
                  <w:r>
                    <w:rPr>
                      <w:color w:val="auto"/>
                      <w:szCs w:val="18"/>
                    </w:rPr>
                    <w:t>工作人员生活</w:t>
                  </w:r>
                  <w:r>
                    <w:rPr>
                      <w:rFonts w:hint="eastAsia"/>
                      <w:color w:val="auto"/>
                      <w:szCs w:val="18"/>
                    </w:rPr>
                    <w:t>污</w:t>
                  </w:r>
                  <w:r>
                    <w:rPr>
                      <w:color w:val="auto"/>
                      <w:szCs w:val="18"/>
                    </w:rPr>
                    <w:t>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pStyle w:val="9"/>
                    <w:spacing w:line="240" w:lineRule="auto"/>
                    <w:jc w:val="center"/>
                    <w:rPr>
                      <w:color w:val="auto"/>
                      <w:szCs w:val="18"/>
                    </w:rPr>
                  </w:pPr>
                  <w:r>
                    <w:rPr>
                      <w:color w:val="auto"/>
                      <w:szCs w:val="18"/>
                    </w:rPr>
                    <w:t>宠物医疗废水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pStyle w:val="9"/>
                    <w:spacing w:line="240" w:lineRule="auto"/>
                    <w:jc w:val="center"/>
                    <w:rPr>
                      <w:color w:val="auto"/>
                      <w:szCs w:val="18"/>
                    </w:rPr>
                  </w:pPr>
                  <w:r>
                    <w:rPr>
                      <w:rFonts w:hint="eastAsia"/>
                      <w:color w:val="auto"/>
                      <w:szCs w:val="18"/>
                      <w:lang w:eastAsia="zh-CN"/>
                    </w:rPr>
                    <w:t>宠物做手术器械和</w:t>
                  </w:r>
                  <w:r>
                    <w:rPr>
                      <w:rFonts w:hint="eastAsia"/>
                      <w:color w:val="auto"/>
                      <w:szCs w:val="18"/>
                    </w:rPr>
                    <w:t>地面</w:t>
                  </w:r>
                  <w:r>
                    <w:rPr>
                      <w:rFonts w:hint="eastAsia"/>
                      <w:color w:val="auto"/>
                      <w:szCs w:val="18"/>
                      <w:lang w:eastAsia="zh-CN"/>
                    </w:rPr>
                    <w:t>、宠物笼</w:t>
                  </w:r>
                  <w:r>
                    <w:rPr>
                      <w:rFonts w:hint="eastAsia"/>
                      <w:color w:val="auto"/>
                      <w:szCs w:val="18"/>
                    </w:rPr>
                    <w:t>清洁废水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13" w:type="pct"/>
                  <w:vMerge w:val="restart"/>
                  <w:tcBorders>
                    <w:tl2br w:val="nil"/>
                    <w:tr2bl w:val="nil"/>
                  </w:tcBorders>
                  <w:noWrap/>
                  <w:vAlign w:val="center"/>
                </w:tcPr>
                <w:p>
                  <w:pPr>
                    <w:pStyle w:val="9"/>
                    <w:spacing w:line="240" w:lineRule="auto"/>
                    <w:jc w:val="center"/>
                    <w:rPr>
                      <w:color w:val="auto"/>
                      <w:szCs w:val="18"/>
                    </w:rPr>
                  </w:pPr>
                  <w:r>
                    <w:rPr>
                      <w:color w:val="auto"/>
                      <w:szCs w:val="18"/>
                    </w:rPr>
                    <w:t>2</w:t>
                  </w:r>
                </w:p>
              </w:tc>
              <w:tc>
                <w:tcPr>
                  <w:tcW w:w="1429" w:type="pct"/>
                  <w:vMerge w:val="restart"/>
                  <w:tcBorders>
                    <w:tl2br w:val="nil"/>
                    <w:tr2bl w:val="nil"/>
                  </w:tcBorders>
                  <w:noWrap/>
                  <w:vAlign w:val="center"/>
                </w:tcPr>
                <w:p>
                  <w:pPr>
                    <w:pStyle w:val="9"/>
                    <w:spacing w:line="240" w:lineRule="auto"/>
                    <w:jc w:val="center"/>
                    <w:rPr>
                      <w:color w:val="auto"/>
                      <w:szCs w:val="18"/>
                    </w:rPr>
                  </w:pPr>
                  <w:r>
                    <w:rPr>
                      <w:color w:val="auto"/>
                      <w:szCs w:val="18"/>
                    </w:rPr>
                    <w:t>废气</w:t>
                  </w:r>
                </w:p>
              </w:tc>
              <w:tc>
                <w:tcPr>
                  <w:tcW w:w="2856" w:type="pct"/>
                  <w:tcBorders>
                    <w:tl2br w:val="nil"/>
                    <w:tr2bl w:val="nil"/>
                  </w:tcBorders>
                  <w:noWrap/>
                  <w:vAlign w:val="center"/>
                </w:tcPr>
                <w:p>
                  <w:pPr>
                    <w:pStyle w:val="9"/>
                    <w:spacing w:line="240" w:lineRule="auto"/>
                    <w:jc w:val="center"/>
                    <w:rPr>
                      <w:color w:val="auto"/>
                      <w:szCs w:val="18"/>
                    </w:rPr>
                  </w:pPr>
                  <w:r>
                    <w:rPr>
                      <w:color w:val="auto"/>
                      <w:szCs w:val="18"/>
                    </w:rPr>
                    <w:t>医疗废物暂存间产生的恶臭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pStyle w:val="9"/>
                    <w:spacing w:line="240" w:lineRule="auto"/>
                    <w:jc w:val="center"/>
                    <w:rPr>
                      <w:color w:val="auto"/>
                      <w:szCs w:val="18"/>
                    </w:rPr>
                  </w:pPr>
                  <w:r>
                    <w:rPr>
                      <w:rFonts w:hint="eastAsia"/>
                      <w:color w:val="auto"/>
                      <w:szCs w:val="18"/>
                    </w:rPr>
                    <w:t>污水处理设施产生的恶臭</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pStyle w:val="9"/>
                    <w:spacing w:line="240" w:lineRule="auto"/>
                    <w:jc w:val="center"/>
                    <w:rPr>
                      <w:rFonts w:hint="eastAsia" w:eastAsia="宋体"/>
                      <w:color w:val="auto"/>
                      <w:szCs w:val="18"/>
                      <w:lang w:eastAsia="zh-CN"/>
                    </w:rPr>
                  </w:pPr>
                  <w:r>
                    <w:rPr>
                      <w:rFonts w:hint="eastAsia"/>
                      <w:color w:val="auto"/>
                      <w:szCs w:val="18"/>
                      <w:lang w:eastAsia="zh-CN"/>
                    </w:rPr>
                    <w:t>宠物散发的异味</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13" w:type="pct"/>
                  <w:tcBorders>
                    <w:tl2br w:val="nil"/>
                    <w:tr2bl w:val="nil"/>
                  </w:tcBorders>
                  <w:noWrap/>
                  <w:vAlign w:val="center"/>
                </w:tcPr>
                <w:p>
                  <w:pPr>
                    <w:pStyle w:val="9"/>
                    <w:spacing w:line="240" w:lineRule="auto"/>
                    <w:jc w:val="center"/>
                    <w:rPr>
                      <w:color w:val="auto"/>
                      <w:szCs w:val="18"/>
                    </w:rPr>
                  </w:pPr>
                  <w:r>
                    <w:rPr>
                      <w:color w:val="auto"/>
                      <w:szCs w:val="18"/>
                    </w:rPr>
                    <w:t>3</w:t>
                  </w:r>
                </w:p>
              </w:tc>
              <w:tc>
                <w:tcPr>
                  <w:tcW w:w="1429" w:type="pct"/>
                  <w:tcBorders>
                    <w:tl2br w:val="nil"/>
                    <w:tr2bl w:val="nil"/>
                  </w:tcBorders>
                  <w:noWrap/>
                  <w:vAlign w:val="center"/>
                </w:tcPr>
                <w:p>
                  <w:pPr>
                    <w:pStyle w:val="9"/>
                    <w:spacing w:line="240" w:lineRule="auto"/>
                    <w:jc w:val="center"/>
                    <w:rPr>
                      <w:color w:val="auto"/>
                      <w:szCs w:val="18"/>
                    </w:rPr>
                  </w:pPr>
                  <w:r>
                    <w:rPr>
                      <w:color w:val="auto"/>
                      <w:szCs w:val="18"/>
                    </w:rPr>
                    <w:t>噪声</w:t>
                  </w:r>
                </w:p>
              </w:tc>
              <w:tc>
                <w:tcPr>
                  <w:tcW w:w="2856" w:type="pct"/>
                  <w:tcBorders>
                    <w:tl2br w:val="nil"/>
                    <w:tr2bl w:val="nil"/>
                  </w:tcBorders>
                  <w:noWrap/>
                  <w:vAlign w:val="center"/>
                </w:tcPr>
                <w:p>
                  <w:pPr>
                    <w:pStyle w:val="9"/>
                    <w:spacing w:line="240" w:lineRule="auto"/>
                    <w:jc w:val="center"/>
                    <w:rPr>
                      <w:color w:val="auto"/>
                      <w:szCs w:val="18"/>
                    </w:rPr>
                  </w:pPr>
                  <w:r>
                    <w:rPr>
                      <w:color w:val="auto"/>
                      <w:szCs w:val="18"/>
                    </w:rPr>
                    <w:t>设备噪声、空调室外机噪声和宠物叫声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3" w:type="pct"/>
                  <w:vMerge w:val="restart"/>
                  <w:tcBorders>
                    <w:tl2br w:val="nil"/>
                    <w:tr2bl w:val="nil"/>
                  </w:tcBorders>
                  <w:noWrap/>
                  <w:vAlign w:val="center"/>
                </w:tcPr>
                <w:p>
                  <w:pPr>
                    <w:pStyle w:val="9"/>
                    <w:spacing w:line="240" w:lineRule="auto"/>
                    <w:jc w:val="center"/>
                    <w:rPr>
                      <w:color w:val="auto"/>
                      <w:szCs w:val="18"/>
                    </w:rPr>
                  </w:pPr>
                  <w:r>
                    <w:rPr>
                      <w:color w:val="auto"/>
                      <w:szCs w:val="18"/>
                    </w:rPr>
                    <w:t>4</w:t>
                  </w:r>
                </w:p>
              </w:tc>
              <w:tc>
                <w:tcPr>
                  <w:tcW w:w="1429" w:type="pct"/>
                  <w:vMerge w:val="restart"/>
                  <w:tcBorders>
                    <w:tl2br w:val="nil"/>
                    <w:tr2bl w:val="nil"/>
                  </w:tcBorders>
                  <w:noWrap/>
                  <w:vAlign w:val="center"/>
                </w:tcPr>
                <w:p>
                  <w:pPr>
                    <w:pStyle w:val="9"/>
                    <w:spacing w:line="240" w:lineRule="auto"/>
                    <w:jc w:val="center"/>
                    <w:rPr>
                      <w:color w:val="auto"/>
                      <w:szCs w:val="18"/>
                    </w:rPr>
                  </w:pPr>
                  <w:r>
                    <w:rPr>
                      <w:color w:val="auto"/>
                      <w:szCs w:val="18"/>
                    </w:rPr>
                    <w:t>固体废物</w:t>
                  </w:r>
                </w:p>
              </w:tc>
              <w:tc>
                <w:tcPr>
                  <w:tcW w:w="2856" w:type="pct"/>
                  <w:tcBorders>
                    <w:tl2br w:val="nil"/>
                    <w:tr2bl w:val="nil"/>
                  </w:tcBorders>
                  <w:noWrap/>
                  <w:vAlign w:val="center"/>
                </w:tcPr>
                <w:p>
                  <w:pPr>
                    <w:jc w:val="center"/>
                    <w:rPr>
                      <w:color w:val="auto"/>
                      <w:szCs w:val="18"/>
                    </w:rPr>
                  </w:pPr>
                  <w:r>
                    <w:rPr>
                      <w:color w:val="auto"/>
                      <w:sz w:val="18"/>
                      <w:szCs w:val="18"/>
                    </w:rPr>
                    <w:t>生活垃圾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jc w:val="center"/>
                    <w:rPr>
                      <w:color w:val="auto"/>
                      <w:szCs w:val="18"/>
                    </w:rPr>
                  </w:pPr>
                  <w:r>
                    <w:rPr>
                      <w:color w:val="auto"/>
                      <w:sz w:val="18"/>
                      <w:szCs w:val="18"/>
                    </w:rPr>
                    <w:t>废包装及输液瓶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jc w:val="center"/>
                    <w:rPr>
                      <w:color w:val="auto"/>
                      <w:szCs w:val="18"/>
                    </w:rPr>
                  </w:pPr>
                  <w:r>
                    <w:rPr>
                      <w:color w:val="auto"/>
                      <w:sz w:val="18"/>
                      <w:szCs w:val="18"/>
                    </w:rPr>
                    <w:t>宠物粪污</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jc w:val="center"/>
                    <w:rPr>
                      <w:color w:val="auto"/>
                      <w:szCs w:val="18"/>
                    </w:rPr>
                  </w:pPr>
                  <w:r>
                    <w:rPr>
                      <w:color w:val="auto"/>
                      <w:sz w:val="18"/>
                      <w:szCs w:val="18"/>
                    </w:rPr>
                    <w:t>医疗废物</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jc w:val="center"/>
                    <w:rPr>
                      <w:color w:val="auto"/>
                      <w:szCs w:val="18"/>
                    </w:rPr>
                  </w:pPr>
                  <w:r>
                    <w:rPr>
                      <w:color w:val="auto"/>
                      <w:sz w:val="18"/>
                      <w:szCs w:val="18"/>
                    </w:rPr>
                    <w:t>水质处理器悬浮物及污泥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jc w:val="center"/>
                    <w:rPr>
                      <w:rFonts w:hint="eastAsia"/>
                      <w:color w:val="auto"/>
                      <w:szCs w:val="18"/>
                    </w:rPr>
                  </w:pPr>
                  <w:r>
                    <w:rPr>
                      <w:rFonts w:hint="eastAsia"/>
                      <w:color w:val="auto"/>
                      <w:sz w:val="18"/>
                      <w:szCs w:val="18"/>
                    </w:rPr>
                    <w:t>废紫外线灯管</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713" w:type="pct"/>
                  <w:vMerge w:val="continue"/>
                  <w:tcBorders>
                    <w:tl2br w:val="nil"/>
                    <w:tr2bl w:val="nil"/>
                  </w:tcBorders>
                  <w:noWrap/>
                  <w:vAlign w:val="center"/>
                </w:tcPr>
                <w:p>
                  <w:pPr>
                    <w:pStyle w:val="9"/>
                    <w:spacing w:line="240" w:lineRule="auto"/>
                    <w:jc w:val="center"/>
                    <w:rPr>
                      <w:color w:val="auto"/>
                      <w:szCs w:val="18"/>
                    </w:rPr>
                  </w:pPr>
                </w:p>
              </w:tc>
              <w:tc>
                <w:tcPr>
                  <w:tcW w:w="1429" w:type="pct"/>
                  <w:vMerge w:val="continue"/>
                  <w:tcBorders>
                    <w:tl2br w:val="nil"/>
                    <w:tr2bl w:val="nil"/>
                  </w:tcBorders>
                  <w:noWrap/>
                  <w:vAlign w:val="center"/>
                </w:tcPr>
                <w:p>
                  <w:pPr>
                    <w:pStyle w:val="9"/>
                    <w:spacing w:line="240" w:lineRule="auto"/>
                    <w:jc w:val="center"/>
                    <w:rPr>
                      <w:color w:val="auto"/>
                      <w:szCs w:val="18"/>
                    </w:rPr>
                  </w:pPr>
                </w:p>
              </w:tc>
              <w:tc>
                <w:tcPr>
                  <w:tcW w:w="2856" w:type="pct"/>
                  <w:tcBorders>
                    <w:tl2br w:val="nil"/>
                    <w:tr2bl w:val="nil"/>
                  </w:tcBorders>
                  <w:noWrap/>
                  <w:vAlign w:val="center"/>
                </w:tcPr>
                <w:p>
                  <w:pPr>
                    <w:jc w:val="center"/>
                    <w:rPr>
                      <w:rFonts w:hint="eastAsia" w:eastAsia="宋体"/>
                      <w:color w:val="auto"/>
                      <w:szCs w:val="18"/>
                      <w:lang w:eastAsia="zh-CN"/>
                    </w:rPr>
                  </w:pPr>
                  <w:r>
                    <w:rPr>
                      <w:rFonts w:hint="eastAsia"/>
                      <w:color w:val="auto"/>
                      <w:sz w:val="18"/>
                      <w:szCs w:val="18"/>
                      <w:lang w:eastAsia="zh-CN"/>
                    </w:rPr>
                    <w:t>废活性炭</w:t>
                  </w:r>
                </w:p>
              </w:tc>
            </w:tr>
          </w:tbl>
          <w:p>
            <w:pPr>
              <w:spacing w:line="360" w:lineRule="auto"/>
              <w:ind w:firstLine="422" w:firstLineChars="200"/>
              <w:rPr>
                <w:b/>
                <w:bCs/>
                <w:color w:val="auto"/>
                <w:szCs w:val="21"/>
              </w:rPr>
            </w:pPr>
            <w:r>
              <w:rPr>
                <w:b/>
                <w:bCs/>
                <w:color w:val="auto"/>
                <w:szCs w:val="21"/>
              </w:rPr>
              <w:t>1、</w:t>
            </w:r>
            <w:r>
              <w:rPr>
                <w:rFonts w:hint="eastAsia"/>
                <w:b/>
                <w:bCs/>
                <w:color w:val="auto"/>
                <w:szCs w:val="21"/>
              </w:rPr>
              <w:t>废气的产生及防治措施</w:t>
            </w:r>
          </w:p>
          <w:p>
            <w:pPr>
              <w:keepNext w:val="0"/>
              <w:keepLines w:val="0"/>
              <w:pageBreakBefore w:val="0"/>
              <w:widowControl w:val="0"/>
              <w:kinsoku/>
              <w:wordWrap w:val="0"/>
              <w:overflowPunct/>
              <w:topLinePunct/>
              <w:autoSpaceDE/>
              <w:autoSpaceDN/>
              <w:bidi w:val="0"/>
              <w:adjustRightInd/>
              <w:snapToGrid/>
              <w:spacing w:line="360" w:lineRule="auto"/>
              <w:ind w:firstLine="420"/>
              <w:textAlignment w:val="auto"/>
              <w:rPr>
                <w:rFonts w:hAnsi="宋体"/>
                <w:color w:val="auto"/>
                <w:szCs w:val="21"/>
              </w:rPr>
            </w:pPr>
            <w:r>
              <w:rPr>
                <w:rFonts w:hint="eastAsia"/>
                <w:color w:val="auto"/>
                <w:szCs w:val="21"/>
              </w:rPr>
              <w:t>根据调查，本项目不设食堂，不设锅炉，不单独使用柴油发电机组；所以本项目废气主要来自医疗废物暂存间产生的恶臭</w:t>
            </w:r>
            <w:r>
              <w:rPr>
                <w:rFonts w:hint="eastAsia"/>
                <w:color w:val="auto"/>
                <w:szCs w:val="21"/>
                <w:lang w:eastAsia="zh-CN"/>
              </w:rPr>
              <w:t>、污水处理设施产生的恶臭、宠物散发的异味</w:t>
            </w:r>
            <w:r>
              <w:rPr>
                <w:rFonts w:hint="eastAsia"/>
                <w:color w:val="auto"/>
                <w:szCs w:val="21"/>
              </w:rPr>
              <w:t>。</w:t>
            </w:r>
            <w:r>
              <w:rPr>
                <w:rFonts w:hint="eastAsia" w:hAnsi="宋体"/>
                <w:bCs/>
                <w:color w:val="auto"/>
                <w:szCs w:val="21"/>
              </w:rPr>
              <w:t>根据《污染源源强核算技术指南 准则》（HJ884-2018）中相关规定，源强核算可采用产污系数法、物料衡算法、排污系数法。生态环境部发布的《排放源统计调查产排污核算方法和系数手册》和《排污许可证申请与核发技术规范》中无宠物医院服务废气系数，故医疗废物暂存间产生的恶臭、污水处理设施产生的恶臭、</w:t>
            </w:r>
            <w:r>
              <w:rPr>
                <w:rFonts w:hint="eastAsia" w:hAnsi="宋体"/>
                <w:bCs/>
                <w:color w:val="auto"/>
                <w:szCs w:val="21"/>
                <w:lang w:eastAsia="zh-CN"/>
              </w:rPr>
              <w:t>宠物散发的异味</w:t>
            </w:r>
            <w:r>
              <w:rPr>
                <w:rFonts w:hint="eastAsia" w:hAnsi="宋体"/>
                <w:color w:val="auto"/>
                <w:szCs w:val="21"/>
              </w:rPr>
              <w:t>比同类型项目。</w:t>
            </w:r>
          </w:p>
          <w:p>
            <w:pPr>
              <w:spacing w:line="360" w:lineRule="auto"/>
              <w:ind w:firstLine="422" w:firstLineChars="200"/>
              <w:rPr>
                <w:b/>
                <w:bCs/>
                <w:color w:val="auto"/>
                <w:szCs w:val="21"/>
              </w:rPr>
            </w:pPr>
            <w:r>
              <w:rPr>
                <w:rFonts w:hint="eastAsia" w:ascii="宋体" w:hAnsi="宋体" w:cs="宋体"/>
                <w:b/>
                <w:bCs/>
                <w:color w:val="auto"/>
                <w:szCs w:val="21"/>
              </w:rPr>
              <w:t>①医疗废物暂存间产生的恶臭</w:t>
            </w:r>
          </w:p>
          <w:p>
            <w:pPr>
              <w:pStyle w:val="20"/>
              <w:spacing w:after="0" w:line="360" w:lineRule="auto"/>
              <w:ind w:firstLineChars="200"/>
              <w:rPr>
                <w:color w:val="auto"/>
                <w:szCs w:val="21"/>
              </w:rPr>
            </w:pPr>
            <w:r>
              <w:rPr>
                <w:rFonts w:hint="eastAsia"/>
                <w:color w:val="auto"/>
                <w:szCs w:val="21"/>
              </w:rPr>
              <w:t xml:space="preserve">本项目设置有医疗废物暂存间1间，医疗废物在暂存过程中会产生一定量的异味。 </w:t>
            </w:r>
          </w:p>
          <w:p>
            <w:pPr>
              <w:spacing w:line="360" w:lineRule="auto"/>
              <w:ind w:firstLine="422" w:firstLineChars="200"/>
              <w:rPr>
                <w:b/>
                <w:bCs/>
                <w:color w:val="auto"/>
                <w:szCs w:val="21"/>
              </w:rPr>
            </w:pPr>
            <w:r>
              <w:rPr>
                <w:rFonts w:hint="eastAsia"/>
                <w:b/>
                <w:bCs/>
                <w:color w:val="auto"/>
                <w:szCs w:val="21"/>
                <w:lang w:val="en-US" w:eastAsia="zh-CN"/>
              </w:rPr>
              <w:t>环评要求：</w:t>
            </w:r>
            <w:r>
              <w:rPr>
                <w:rFonts w:hint="eastAsia"/>
                <w:color w:val="auto"/>
                <w:szCs w:val="21"/>
              </w:rPr>
              <w:t>医疗废物的密封、清运和消毒工作，加强管理，定期进行医疗废物暂存间储存设施、设备的清洁和消毒工作，并喷洒生物除臭剂。</w:t>
            </w:r>
          </w:p>
          <w:p>
            <w:pPr>
              <w:spacing w:line="360" w:lineRule="auto"/>
              <w:ind w:firstLine="422" w:firstLineChars="200"/>
              <w:rPr>
                <w:rFonts w:ascii="宋体" w:hAnsi="宋体" w:cs="宋体"/>
                <w:b/>
                <w:bCs/>
                <w:color w:val="auto"/>
                <w:szCs w:val="21"/>
              </w:rPr>
            </w:pPr>
            <w:r>
              <w:rPr>
                <w:rFonts w:hint="eastAsia" w:ascii="宋体" w:hAnsi="宋体" w:cs="宋体"/>
                <w:b/>
                <w:bCs/>
                <w:color w:val="auto"/>
                <w:szCs w:val="21"/>
              </w:rPr>
              <w:t>②污水处理设施产生的恶臭</w:t>
            </w:r>
          </w:p>
          <w:p>
            <w:pPr>
              <w:spacing w:line="360" w:lineRule="auto"/>
              <w:ind w:firstLine="420" w:firstLineChars="200"/>
              <w:rPr>
                <w:rFonts w:ascii="宋体" w:hAnsi="宋体" w:cs="宋体"/>
                <w:color w:val="auto"/>
                <w:szCs w:val="21"/>
              </w:rPr>
            </w:pPr>
            <w:r>
              <w:rPr>
                <w:rFonts w:hint="eastAsia" w:ascii="宋体" w:hAnsi="宋体" w:cs="宋体"/>
                <w:color w:val="auto"/>
                <w:szCs w:val="21"/>
              </w:rPr>
              <w:t>项目医疗废水采用污水管道收集后进入</w:t>
            </w:r>
            <w:r>
              <w:rPr>
                <w:rFonts w:hint="eastAsia"/>
                <w:color w:val="auto"/>
                <w:lang w:eastAsia="zh-CN"/>
              </w:rPr>
              <w:t>污水消毒池</w:t>
            </w:r>
            <w:r>
              <w:rPr>
                <w:rFonts w:hint="eastAsia" w:ascii="宋体" w:hAnsi="宋体" w:cs="宋体"/>
                <w:color w:val="auto"/>
                <w:szCs w:val="21"/>
              </w:rPr>
              <w:t>进行消毒处理，项目</w:t>
            </w:r>
            <w:r>
              <w:rPr>
                <w:rFonts w:hint="eastAsia" w:ascii="宋体" w:hAnsi="宋体" w:cs="宋体"/>
                <w:color w:val="auto"/>
                <w:szCs w:val="21"/>
                <w:lang w:eastAsia="zh-CN"/>
              </w:rPr>
              <w:t>污水消毒池</w:t>
            </w:r>
            <w:r>
              <w:rPr>
                <w:rFonts w:hint="eastAsia" w:ascii="宋体" w:hAnsi="宋体" w:cs="宋体"/>
                <w:color w:val="auto"/>
                <w:szCs w:val="21"/>
              </w:rPr>
              <w:t>位于1楼西北侧靠墙处，消毒后通过污水管道排入预处理池处理，污水在污水处理设施内停留时间极短，产生的异味影响强度极小。</w:t>
            </w:r>
          </w:p>
          <w:p>
            <w:pPr>
              <w:spacing w:line="360" w:lineRule="auto"/>
              <w:ind w:firstLine="422" w:firstLineChars="200"/>
              <w:rPr>
                <w:rFonts w:ascii="宋体" w:hAnsi="宋体" w:cs="宋体"/>
                <w:color w:val="auto"/>
                <w:szCs w:val="21"/>
              </w:rPr>
            </w:pPr>
            <w:r>
              <w:rPr>
                <w:rFonts w:hint="eastAsia"/>
                <w:b/>
                <w:bCs/>
                <w:color w:val="auto"/>
                <w:szCs w:val="21"/>
                <w:lang w:val="en-US" w:eastAsia="zh-CN"/>
              </w:rPr>
              <w:t>环评要求：</w:t>
            </w:r>
            <w:r>
              <w:rPr>
                <w:rFonts w:hint="eastAsia"/>
                <w:color w:val="auto"/>
                <w:szCs w:val="21"/>
              </w:rPr>
              <w:t>污水处理设施密封，定期对设备进行消毒。</w:t>
            </w:r>
          </w:p>
          <w:p>
            <w:pPr>
              <w:spacing w:line="360" w:lineRule="auto"/>
              <w:ind w:firstLine="422" w:firstLineChars="200"/>
              <w:rPr>
                <w:rFonts w:ascii="宋体" w:hAnsi="宋体" w:cs="宋体"/>
                <w:b/>
                <w:bCs/>
                <w:color w:val="auto"/>
                <w:szCs w:val="21"/>
              </w:rPr>
            </w:pPr>
            <w:r>
              <w:rPr>
                <w:rFonts w:hint="eastAsia"/>
                <w:b/>
                <w:bCs/>
                <w:color w:val="auto"/>
                <w:szCs w:val="21"/>
              </w:rPr>
              <w:t>③</w:t>
            </w:r>
            <w:r>
              <w:rPr>
                <w:rFonts w:hint="eastAsia" w:ascii="宋体" w:hAnsi="宋体" w:cs="宋体"/>
                <w:b/>
                <w:bCs/>
                <w:color w:val="auto"/>
                <w:szCs w:val="21"/>
                <w:lang w:eastAsia="zh-CN"/>
              </w:rPr>
              <w:t>宠物散发的异味</w:t>
            </w:r>
          </w:p>
          <w:p>
            <w:pPr>
              <w:pStyle w:val="2"/>
              <w:spacing w:line="360" w:lineRule="auto"/>
              <w:ind w:left="0" w:leftChars="0" w:firstLine="420" w:firstLineChars="200"/>
              <w:rPr>
                <w:rFonts w:ascii="宋体" w:hAnsi="宋体" w:eastAsia="宋体" w:cs="宋体"/>
                <w:color w:val="auto"/>
                <w:sz w:val="21"/>
                <w:szCs w:val="21"/>
              </w:rPr>
            </w:pPr>
            <w:r>
              <w:rPr>
                <w:rFonts w:hint="eastAsia" w:ascii="宋体" w:hAnsi="宋体" w:eastAsia="宋体" w:cs="宋体"/>
                <w:color w:val="auto"/>
                <w:sz w:val="21"/>
                <w:szCs w:val="21"/>
              </w:rPr>
              <w:t>项目正式运营后，就诊宠物散发一定的异味。</w:t>
            </w:r>
          </w:p>
          <w:p>
            <w:pPr>
              <w:spacing w:line="360" w:lineRule="auto"/>
              <w:ind w:firstLine="422" w:firstLineChars="200"/>
              <w:rPr>
                <w:b/>
                <w:bCs/>
                <w:color w:val="auto"/>
                <w:szCs w:val="21"/>
              </w:rPr>
            </w:pPr>
            <w:r>
              <w:rPr>
                <w:rFonts w:hint="eastAsia"/>
                <w:b/>
                <w:bCs/>
                <w:color w:val="auto"/>
                <w:szCs w:val="21"/>
                <w:lang w:val="en-US" w:eastAsia="zh-CN"/>
              </w:rPr>
              <w:t>环评要求：</w:t>
            </w:r>
          </w:p>
          <w:p>
            <w:pPr>
              <w:spacing w:line="360" w:lineRule="auto"/>
              <w:ind w:firstLine="420" w:firstLineChars="200"/>
              <w:rPr>
                <w:rFonts w:ascii="宋体" w:hAnsi="宋体" w:cs="宋体"/>
                <w:b/>
                <w:bCs/>
                <w:color w:val="auto"/>
                <w:szCs w:val="21"/>
              </w:rPr>
            </w:pPr>
            <w:r>
              <w:rPr>
                <w:bCs/>
                <w:color w:val="auto"/>
                <w:szCs w:val="21"/>
              </w:rPr>
              <w:t>宠物散发的异味通过设置抽排风系统，并使用紫外灯消毒装置和活性炭吸附装置</w:t>
            </w:r>
            <w:r>
              <w:rPr>
                <w:rFonts w:hint="eastAsia"/>
                <w:bCs/>
                <w:color w:val="auto"/>
                <w:szCs w:val="21"/>
              </w:rPr>
              <w:t>处理后通过排风口外排</w:t>
            </w:r>
            <w:r>
              <w:rPr>
                <w:bCs/>
                <w:color w:val="auto"/>
                <w:szCs w:val="21"/>
              </w:rPr>
              <w:t>，</w:t>
            </w:r>
            <w:r>
              <w:rPr>
                <w:rFonts w:hint="eastAsia"/>
                <w:bCs/>
                <w:color w:val="auto"/>
                <w:szCs w:val="21"/>
              </w:rPr>
              <w:t>排风口位于1楼大门处，排口朝向</w:t>
            </w:r>
            <w:r>
              <w:rPr>
                <w:rFonts w:hint="eastAsia"/>
                <w:bCs/>
                <w:color w:val="auto"/>
                <w:szCs w:val="21"/>
                <w:lang w:eastAsia="zh-CN"/>
              </w:rPr>
              <w:t>公路一侧</w:t>
            </w:r>
            <w:r>
              <w:rPr>
                <w:rFonts w:hint="eastAsia"/>
                <w:bCs/>
                <w:color w:val="auto"/>
                <w:szCs w:val="21"/>
              </w:rPr>
              <w:t>。</w:t>
            </w:r>
          </w:p>
          <w:p>
            <w:pPr>
              <w:spacing w:line="360" w:lineRule="auto"/>
              <w:ind w:firstLine="422" w:firstLineChars="200"/>
              <w:rPr>
                <w:rFonts w:hint="default" w:eastAsia="宋体"/>
                <w:b/>
                <w:bCs/>
                <w:color w:val="auto"/>
                <w:szCs w:val="21"/>
              </w:rPr>
            </w:pPr>
            <w:r>
              <w:rPr>
                <w:rFonts w:hint="default" w:eastAsia="宋体"/>
                <w:b/>
                <w:bCs/>
                <w:color w:val="auto"/>
                <w:szCs w:val="21"/>
              </w:rPr>
              <w:t>④治理措施可行性分析</w:t>
            </w:r>
          </w:p>
          <w:p>
            <w:pPr>
              <w:spacing w:line="360" w:lineRule="auto"/>
              <w:ind w:firstLine="420" w:firstLineChars="200"/>
              <w:rPr>
                <w:color w:val="auto"/>
                <w:szCs w:val="21"/>
              </w:rPr>
            </w:pPr>
            <w:r>
              <w:rPr>
                <w:rFonts w:hint="eastAsia"/>
                <w:color w:val="auto"/>
                <w:szCs w:val="21"/>
              </w:rPr>
              <w:t>本项目废气主要为：医疗废物暂存间恶臭、污水处理设施恶臭、</w:t>
            </w:r>
            <w:r>
              <w:rPr>
                <w:rFonts w:hint="eastAsia"/>
                <w:color w:val="auto"/>
                <w:szCs w:val="21"/>
                <w:lang w:eastAsia="zh-CN"/>
              </w:rPr>
              <w:t>宠物散发的异味</w:t>
            </w:r>
            <w:r>
              <w:rPr>
                <w:rFonts w:hint="eastAsia"/>
                <w:color w:val="auto"/>
                <w:szCs w:val="21"/>
              </w:rPr>
              <w:t>。</w:t>
            </w:r>
          </w:p>
          <w:p>
            <w:pPr>
              <w:spacing w:line="360" w:lineRule="auto"/>
              <w:ind w:firstLine="420" w:firstLineChars="200"/>
              <w:rPr>
                <w:color w:val="auto"/>
                <w:szCs w:val="21"/>
              </w:rPr>
            </w:pPr>
            <w:r>
              <w:rPr>
                <w:rFonts w:hint="eastAsia"/>
                <w:color w:val="auto"/>
                <w:szCs w:val="21"/>
              </w:rPr>
              <w:t>据建设单位确认，项目服务对象仅针对猫、狗，不接收人畜共患传染病的宠物，并且采用高压灭菌锅对诊疗过程中使用的器皿、手术器械进行灭菌；医疗废物的密封、清运和消毒工作，加强管理，定期进行医疗废物暂存间储存设施、设备的清洁和消毒工作，并喷洒生物除臭剂可以有效降低医疗废物暂存间产生的恶臭；污水处理设施密封，定期对设备进行消毒可以有效降低</w:t>
            </w:r>
            <w:r>
              <w:rPr>
                <w:rFonts w:hint="eastAsia" w:ascii="宋体" w:hAnsi="宋体" w:cs="宋体"/>
                <w:color w:val="auto"/>
                <w:szCs w:val="21"/>
              </w:rPr>
              <w:t>污水处理设施产生的恶臭；</w:t>
            </w:r>
            <w:r>
              <w:rPr>
                <w:rFonts w:hint="eastAsia" w:ascii="宋体" w:hAnsi="宋体" w:cs="宋体"/>
                <w:color w:val="auto"/>
                <w:szCs w:val="21"/>
                <w:lang w:eastAsia="zh-CN"/>
              </w:rPr>
              <w:t>宠物散发的异味</w:t>
            </w:r>
            <w:r>
              <w:rPr>
                <w:bCs/>
                <w:color w:val="auto"/>
                <w:szCs w:val="21"/>
              </w:rPr>
              <w:t>通过设置抽排风系统，并使用紫外灯消毒装置和活性炭吸附装置</w:t>
            </w:r>
            <w:r>
              <w:rPr>
                <w:rFonts w:hint="eastAsia"/>
                <w:bCs/>
                <w:color w:val="auto"/>
                <w:szCs w:val="21"/>
              </w:rPr>
              <w:t>处理后通过排风口外排</w:t>
            </w:r>
            <w:r>
              <w:rPr>
                <w:rFonts w:hint="eastAsia"/>
                <w:color w:val="auto"/>
                <w:szCs w:val="21"/>
              </w:rPr>
              <w:t>以降低空气中含菌量以及</w:t>
            </w:r>
            <w:r>
              <w:rPr>
                <w:rFonts w:hint="eastAsia"/>
                <w:color w:val="auto"/>
                <w:szCs w:val="21"/>
                <w:lang w:eastAsia="zh-CN"/>
              </w:rPr>
              <w:t>宠物散发的异味，排口位于</w:t>
            </w:r>
            <w:r>
              <w:rPr>
                <w:rFonts w:hint="eastAsia"/>
                <w:color w:val="auto"/>
                <w:szCs w:val="21"/>
                <w:lang w:val="en-US" w:eastAsia="zh-CN"/>
              </w:rPr>
              <w:t>1楼，且</w:t>
            </w:r>
            <w:r>
              <w:rPr>
                <w:rFonts w:hint="eastAsia"/>
                <w:color w:val="auto"/>
                <w:szCs w:val="21"/>
                <w:lang w:eastAsia="zh-CN"/>
              </w:rPr>
              <w:t>朝向公路一侧，</w:t>
            </w:r>
            <w:r>
              <w:rPr>
                <w:rFonts w:hint="eastAsia"/>
                <w:color w:val="auto"/>
                <w:szCs w:val="21"/>
                <w:lang w:val="en-US" w:eastAsia="zh-CN"/>
              </w:rPr>
              <w:t>2楼为其他建筑公司，3楼及以上为当地居民，</w:t>
            </w:r>
            <w:r>
              <w:rPr>
                <w:rFonts w:hint="eastAsia"/>
                <w:color w:val="auto"/>
                <w:szCs w:val="21"/>
                <w:lang w:eastAsia="zh-CN"/>
              </w:rPr>
              <w:t>异味经过室外的空气扩撒后，不会对周围环境及住户造成影响，排口位置设置合理</w:t>
            </w:r>
            <w:r>
              <w:rPr>
                <w:rFonts w:hint="eastAsia"/>
                <w:color w:val="auto"/>
                <w:szCs w:val="21"/>
              </w:rPr>
              <w:t>。</w:t>
            </w:r>
          </w:p>
          <w:p>
            <w:pPr>
              <w:spacing w:line="360" w:lineRule="auto"/>
              <w:ind w:firstLine="422" w:firstLineChars="200"/>
              <w:rPr>
                <w:rFonts w:hint="default" w:eastAsia="宋体"/>
                <w:b/>
                <w:bCs/>
                <w:color w:val="auto"/>
                <w:szCs w:val="21"/>
              </w:rPr>
            </w:pPr>
            <w:r>
              <w:rPr>
                <w:rFonts w:hint="default" w:ascii="Times New Roman" w:hAnsi="Times New Roman" w:eastAsia="宋体" w:cs="Times New Roman"/>
                <w:b/>
                <w:bCs/>
                <w:color w:val="auto"/>
                <w:szCs w:val="21"/>
              </w:rPr>
              <w:t>⑤</w:t>
            </w:r>
            <w:r>
              <w:rPr>
                <w:rFonts w:hint="default" w:eastAsia="宋体"/>
                <w:b/>
                <w:bCs/>
                <w:color w:val="auto"/>
                <w:szCs w:val="21"/>
              </w:rPr>
              <w:t>废气环境影响分析</w:t>
            </w:r>
          </w:p>
          <w:p>
            <w:pPr>
              <w:spacing w:line="360" w:lineRule="auto"/>
              <w:ind w:firstLine="420" w:firstLineChars="200"/>
              <w:rPr>
                <w:color w:val="auto"/>
                <w:szCs w:val="21"/>
              </w:rPr>
            </w:pPr>
            <w:r>
              <w:rPr>
                <w:rFonts w:hint="eastAsia"/>
                <w:color w:val="auto"/>
                <w:szCs w:val="21"/>
              </w:rPr>
              <w:t>医疗废物的密封、清运和消毒工作，加强管理，定期进行医疗废物暂存间储存设施、设备的清洁和消毒工作，并喷洒生物除臭剂可以有效降低医疗废物暂存间产生的恶臭；污水处理设施密封，定期对设备进行消毒可以有效降低</w:t>
            </w:r>
            <w:r>
              <w:rPr>
                <w:rFonts w:hint="eastAsia" w:ascii="宋体" w:hAnsi="宋体" w:cs="宋体"/>
                <w:color w:val="auto"/>
                <w:szCs w:val="21"/>
              </w:rPr>
              <w:t>污水处理设施产生的恶臭；</w:t>
            </w:r>
            <w:r>
              <w:rPr>
                <w:rFonts w:hint="eastAsia" w:ascii="宋体" w:hAnsi="宋体" w:cs="宋体"/>
                <w:color w:val="auto"/>
                <w:szCs w:val="21"/>
                <w:lang w:eastAsia="zh-CN"/>
              </w:rPr>
              <w:t>宠物散发的异味</w:t>
            </w:r>
            <w:r>
              <w:rPr>
                <w:bCs/>
                <w:color w:val="auto"/>
                <w:szCs w:val="21"/>
              </w:rPr>
              <w:t>通过设置抽排风系统，并使用紫外灯消毒装置和活性炭吸附装置</w:t>
            </w:r>
            <w:r>
              <w:rPr>
                <w:rFonts w:hint="eastAsia"/>
                <w:bCs/>
                <w:color w:val="auto"/>
                <w:szCs w:val="21"/>
              </w:rPr>
              <w:t>处理后通过排风口外排</w:t>
            </w:r>
            <w:r>
              <w:rPr>
                <w:rFonts w:hint="eastAsia"/>
                <w:color w:val="auto"/>
                <w:szCs w:val="21"/>
              </w:rPr>
              <w:t>以降低空气中含菌量以及</w:t>
            </w:r>
            <w:r>
              <w:rPr>
                <w:rFonts w:hint="eastAsia"/>
                <w:color w:val="auto"/>
                <w:szCs w:val="21"/>
                <w:lang w:eastAsia="zh-CN"/>
              </w:rPr>
              <w:t>宠物散发的异味</w:t>
            </w:r>
            <w:r>
              <w:rPr>
                <w:rFonts w:hint="eastAsia"/>
                <w:color w:val="auto"/>
                <w:szCs w:val="21"/>
              </w:rPr>
              <w:t>。</w:t>
            </w:r>
          </w:p>
          <w:p>
            <w:pPr>
              <w:widowControl/>
              <w:adjustRightInd w:val="0"/>
              <w:snapToGrid w:val="0"/>
              <w:spacing w:line="360" w:lineRule="auto"/>
              <w:ind w:firstLine="420" w:firstLineChars="200"/>
              <w:rPr>
                <w:b/>
                <w:bCs/>
                <w:color w:val="auto"/>
                <w:szCs w:val="21"/>
              </w:rPr>
            </w:pPr>
            <w:r>
              <w:rPr>
                <w:rFonts w:hint="eastAsia" w:cs="宋体"/>
                <w:color w:val="auto"/>
                <w:szCs w:val="20"/>
              </w:rPr>
              <w:t>采用上述处理措施后，项目运营期不会对区域的大气环境造成明显影响。</w:t>
            </w:r>
          </w:p>
          <w:p>
            <w:pPr>
              <w:spacing w:line="360" w:lineRule="auto"/>
              <w:ind w:firstLine="422" w:firstLineChars="200"/>
              <w:rPr>
                <w:b/>
                <w:bCs/>
                <w:color w:val="auto"/>
                <w:szCs w:val="21"/>
              </w:rPr>
            </w:pPr>
            <w:r>
              <w:rPr>
                <w:rFonts w:hint="eastAsia" w:ascii="宋体" w:hAnsi="宋体" w:eastAsia="宋体" w:cs="宋体"/>
                <w:b/>
                <w:bCs/>
                <w:color w:val="auto"/>
                <w:szCs w:val="21"/>
              </w:rPr>
              <w:t>⑥</w:t>
            </w:r>
            <w:r>
              <w:rPr>
                <w:b/>
                <w:bCs/>
                <w:color w:val="auto"/>
                <w:szCs w:val="21"/>
              </w:rPr>
              <w:t>监测计划</w:t>
            </w:r>
          </w:p>
          <w:p>
            <w:pPr>
              <w:spacing w:line="360" w:lineRule="auto"/>
              <w:ind w:firstLine="420" w:firstLineChars="200"/>
              <w:rPr>
                <w:color w:val="auto"/>
                <w:szCs w:val="21"/>
              </w:rPr>
            </w:pPr>
            <w:r>
              <w:rPr>
                <w:color w:val="auto"/>
                <w:szCs w:val="21"/>
              </w:rPr>
              <w:t>根据《排污单位自行监测技术指南 总则》（HJ819-2017）制定本项目大气监测计划如下：</w:t>
            </w:r>
          </w:p>
          <w:p>
            <w:pPr>
              <w:spacing w:line="240" w:lineRule="auto"/>
              <w:ind w:firstLine="361" w:firstLineChars="200"/>
              <w:rPr>
                <w:rFonts w:ascii="宋体" w:hAnsi="宋体" w:cs="宋体"/>
                <w:b/>
                <w:bCs/>
                <w:color w:val="auto"/>
                <w:szCs w:val="21"/>
              </w:rPr>
            </w:pPr>
            <w:r>
              <w:rPr>
                <w:b/>
                <w:bCs/>
                <w:color w:val="auto"/>
                <w:sz w:val="18"/>
                <w:szCs w:val="18"/>
              </w:rPr>
              <w:t xml:space="preserve"> </w:t>
            </w:r>
            <w:r>
              <w:rPr>
                <w:rFonts w:hint="eastAsia"/>
                <w:b/>
                <w:bCs/>
                <w:color w:val="auto"/>
                <w:sz w:val="18"/>
                <w:szCs w:val="18"/>
                <w:lang w:val="en-US" w:eastAsia="zh-CN"/>
              </w:rPr>
              <w:t xml:space="preserve">                     </w:t>
            </w:r>
            <w:r>
              <w:rPr>
                <w:b/>
                <w:bCs/>
                <w:color w:val="auto"/>
                <w:sz w:val="18"/>
                <w:szCs w:val="18"/>
              </w:rPr>
              <w:t xml:space="preserve"> </w:t>
            </w:r>
            <w:r>
              <w:rPr>
                <w:rFonts w:hint="eastAsia"/>
                <w:b/>
                <w:bCs/>
                <w:color w:val="auto"/>
                <w:sz w:val="18"/>
                <w:szCs w:val="18"/>
                <w:lang w:val="en-US" w:eastAsia="zh-CN"/>
              </w:rPr>
              <w:t xml:space="preserve">  </w:t>
            </w:r>
            <w:r>
              <w:rPr>
                <w:b/>
                <w:bCs/>
                <w:color w:val="auto"/>
                <w:sz w:val="18"/>
                <w:szCs w:val="18"/>
              </w:rPr>
              <w:t>表4-1 废气污染物监测计划</w:t>
            </w:r>
          </w:p>
          <w:tbl>
            <w:tblPr>
              <w:tblStyle w:val="21"/>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91"/>
              <w:gridCol w:w="793"/>
              <w:gridCol w:w="1244"/>
              <w:gridCol w:w="1268"/>
              <w:gridCol w:w="2644"/>
              <w:gridCol w:w="111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4" w:type="pct"/>
                  <w:noWrap/>
                  <w:vAlign w:val="center"/>
                </w:tcPr>
                <w:p>
                  <w:pPr>
                    <w:adjustRightInd w:val="0"/>
                    <w:snapToGrid w:val="0"/>
                    <w:jc w:val="center"/>
                    <w:rPr>
                      <w:bCs/>
                      <w:color w:val="auto"/>
                      <w:kern w:val="0"/>
                      <w:sz w:val="18"/>
                      <w:szCs w:val="18"/>
                    </w:rPr>
                  </w:pPr>
                  <w:r>
                    <w:rPr>
                      <w:bCs/>
                      <w:color w:val="auto"/>
                      <w:kern w:val="0"/>
                      <w:sz w:val="18"/>
                      <w:szCs w:val="18"/>
                    </w:rPr>
                    <w:t>阶段</w:t>
                  </w:r>
                </w:p>
              </w:tc>
              <w:tc>
                <w:tcPr>
                  <w:tcW w:w="505" w:type="pct"/>
                  <w:noWrap/>
                  <w:vAlign w:val="center"/>
                </w:tcPr>
                <w:p>
                  <w:pPr>
                    <w:adjustRightInd w:val="0"/>
                    <w:snapToGrid w:val="0"/>
                    <w:jc w:val="center"/>
                    <w:rPr>
                      <w:bCs/>
                      <w:color w:val="auto"/>
                      <w:kern w:val="0"/>
                      <w:sz w:val="18"/>
                      <w:szCs w:val="18"/>
                    </w:rPr>
                  </w:pPr>
                  <w:r>
                    <w:rPr>
                      <w:bCs/>
                      <w:color w:val="auto"/>
                      <w:kern w:val="0"/>
                      <w:sz w:val="18"/>
                      <w:szCs w:val="18"/>
                    </w:rPr>
                    <w:t>类别</w:t>
                  </w:r>
                </w:p>
              </w:tc>
              <w:tc>
                <w:tcPr>
                  <w:tcW w:w="791" w:type="pct"/>
                  <w:noWrap/>
                  <w:vAlign w:val="center"/>
                </w:tcPr>
                <w:p>
                  <w:pPr>
                    <w:adjustRightInd w:val="0"/>
                    <w:snapToGrid w:val="0"/>
                    <w:jc w:val="center"/>
                    <w:rPr>
                      <w:bCs/>
                      <w:color w:val="auto"/>
                      <w:kern w:val="0"/>
                      <w:sz w:val="18"/>
                      <w:szCs w:val="18"/>
                    </w:rPr>
                  </w:pPr>
                  <w:r>
                    <w:rPr>
                      <w:bCs/>
                      <w:color w:val="auto"/>
                      <w:kern w:val="0"/>
                      <w:sz w:val="18"/>
                      <w:szCs w:val="18"/>
                    </w:rPr>
                    <w:t>监测位置</w:t>
                  </w:r>
                </w:p>
              </w:tc>
              <w:tc>
                <w:tcPr>
                  <w:tcW w:w="806" w:type="pct"/>
                  <w:noWrap/>
                  <w:vAlign w:val="center"/>
                </w:tcPr>
                <w:p>
                  <w:pPr>
                    <w:adjustRightInd w:val="0"/>
                    <w:snapToGrid w:val="0"/>
                    <w:jc w:val="center"/>
                    <w:rPr>
                      <w:bCs/>
                      <w:color w:val="auto"/>
                      <w:kern w:val="0"/>
                      <w:sz w:val="18"/>
                      <w:szCs w:val="18"/>
                    </w:rPr>
                  </w:pPr>
                  <w:r>
                    <w:rPr>
                      <w:bCs/>
                      <w:color w:val="auto"/>
                      <w:kern w:val="0"/>
                      <w:sz w:val="18"/>
                      <w:szCs w:val="18"/>
                    </w:rPr>
                    <w:t>监测项目</w:t>
                  </w:r>
                </w:p>
              </w:tc>
              <w:tc>
                <w:tcPr>
                  <w:tcW w:w="1683" w:type="pct"/>
                  <w:noWrap/>
                  <w:vAlign w:val="center"/>
                </w:tcPr>
                <w:p>
                  <w:pPr>
                    <w:adjustRightInd w:val="0"/>
                    <w:snapToGrid w:val="0"/>
                    <w:jc w:val="center"/>
                    <w:rPr>
                      <w:bCs/>
                      <w:color w:val="auto"/>
                      <w:kern w:val="0"/>
                      <w:sz w:val="18"/>
                      <w:szCs w:val="18"/>
                    </w:rPr>
                  </w:pPr>
                  <w:r>
                    <w:rPr>
                      <w:bCs/>
                      <w:color w:val="auto"/>
                      <w:kern w:val="0"/>
                      <w:sz w:val="18"/>
                      <w:szCs w:val="18"/>
                    </w:rPr>
                    <w:t>监测需达到的标准</w:t>
                  </w:r>
                </w:p>
              </w:tc>
              <w:tc>
                <w:tcPr>
                  <w:tcW w:w="707" w:type="pct"/>
                  <w:noWrap/>
                  <w:vAlign w:val="center"/>
                </w:tcPr>
                <w:p>
                  <w:pPr>
                    <w:adjustRightInd w:val="0"/>
                    <w:snapToGrid w:val="0"/>
                    <w:jc w:val="center"/>
                    <w:rPr>
                      <w:bCs/>
                      <w:color w:val="auto"/>
                      <w:kern w:val="0"/>
                      <w:sz w:val="18"/>
                      <w:szCs w:val="18"/>
                    </w:rPr>
                  </w:pPr>
                  <w:r>
                    <w:rPr>
                      <w:bCs/>
                      <w:color w:val="auto"/>
                      <w:kern w:val="0"/>
                      <w:sz w:val="18"/>
                      <w:szCs w:val="18"/>
                    </w:rPr>
                    <w:t>监测频率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4" w:hRule="atLeast"/>
                <w:jc w:val="center"/>
              </w:trPr>
              <w:tc>
                <w:tcPr>
                  <w:tcW w:w="504" w:type="pct"/>
                  <w:noWrap/>
                  <w:vAlign w:val="center"/>
                </w:tcPr>
                <w:p>
                  <w:pPr>
                    <w:adjustRightInd w:val="0"/>
                    <w:snapToGrid w:val="0"/>
                    <w:jc w:val="center"/>
                    <w:rPr>
                      <w:bCs/>
                      <w:color w:val="auto"/>
                      <w:kern w:val="0"/>
                      <w:sz w:val="18"/>
                      <w:szCs w:val="18"/>
                    </w:rPr>
                  </w:pPr>
                  <w:r>
                    <w:rPr>
                      <w:bCs/>
                      <w:color w:val="auto"/>
                      <w:kern w:val="0"/>
                      <w:sz w:val="18"/>
                      <w:szCs w:val="18"/>
                    </w:rPr>
                    <w:t>营运期</w:t>
                  </w:r>
                </w:p>
              </w:tc>
              <w:tc>
                <w:tcPr>
                  <w:tcW w:w="505" w:type="pct"/>
                  <w:noWrap/>
                  <w:vAlign w:val="center"/>
                </w:tcPr>
                <w:p>
                  <w:pPr>
                    <w:adjustRightInd w:val="0"/>
                    <w:snapToGrid w:val="0"/>
                    <w:jc w:val="center"/>
                    <w:rPr>
                      <w:bCs/>
                      <w:color w:val="auto"/>
                      <w:kern w:val="0"/>
                      <w:sz w:val="18"/>
                      <w:szCs w:val="18"/>
                    </w:rPr>
                  </w:pPr>
                  <w:r>
                    <w:rPr>
                      <w:bCs/>
                      <w:color w:val="auto"/>
                      <w:kern w:val="0"/>
                      <w:sz w:val="18"/>
                      <w:szCs w:val="18"/>
                    </w:rPr>
                    <w:t>废气</w:t>
                  </w:r>
                </w:p>
              </w:tc>
              <w:tc>
                <w:tcPr>
                  <w:tcW w:w="791" w:type="pct"/>
                  <w:noWrap/>
                  <w:vAlign w:val="center"/>
                </w:tcPr>
                <w:p>
                  <w:pPr>
                    <w:keepNext/>
                    <w:keepLines/>
                    <w:tabs>
                      <w:tab w:val="left" w:pos="-2848"/>
                    </w:tabs>
                    <w:topLinePunct/>
                    <w:adjustRightInd w:val="0"/>
                    <w:snapToGrid w:val="0"/>
                    <w:ind w:firstLine="180" w:firstLineChars="100"/>
                    <w:rPr>
                      <w:bCs/>
                      <w:color w:val="auto"/>
                      <w:kern w:val="0"/>
                      <w:position w:val="-10"/>
                      <w:sz w:val="18"/>
                      <w:szCs w:val="18"/>
                    </w:rPr>
                  </w:pPr>
                  <w:r>
                    <w:rPr>
                      <w:bCs/>
                      <w:color w:val="auto"/>
                      <w:kern w:val="0"/>
                      <w:position w:val="-10"/>
                      <w:sz w:val="18"/>
                      <w:szCs w:val="18"/>
                    </w:rPr>
                    <w:t>厂界</w:t>
                  </w:r>
                </w:p>
              </w:tc>
              <w:tc>
                <w:tcPr>
                  <w:tcW w:w="806" w:type="pct"/>
                  <w:noWrap/>
                  <w:vAlign w:val="center"/>
                </w:tcPr>
                <w:p>
                  <w:pPr>
                    <w:adjustRightInd w:val="0"/>
                    <w:snapToGrid w:val="0"/>
                    <w:rPr>
                      <w:bCs/>
                      <w:color w:val="auto"/>
                      <w:kern w:val="0"/>
                      <w:sz w:val="18"/>
                      <w:szCs w:val="18"/>
                    </w:rPr>
                  </w:pPr>
                  <w:r>
                    <w:rPr>
                      <w:bCs/>
                      <w:color w:val="auto"/>
                      <w:kern w:val="0"/>
                      <w:sz w:val="18"/>
                      <w:szCs w:val="18"/>
                    </w:rPr>
                    <w:t xml:space="preserve">  氨、硫化氢</w:t>
                  </w:r>
                </w:p>
              </w:tc>
              <w:tc>
                <w:tcPr>
                  <w:tcW w:w="1683" w:type="pct"/>
                  <w:noWrap/>
                  <w:vAlign w:val="center"/>
                </w:tcPr>
                <w:p>
                  <w:pPr>
                    <w:keepNext/>
                    <w:keepLines/>
                    <w:tabs>
                      <w:tab w:val="left" w:pos="-2848"/>
                    </w:tabs>
                    <w:wordWrap w:val="0"/>
                    <w:topLinePunct/>
                    <w:adjustRightInd w:val="0"/>
                    <w:snapToGrid w:val="0"/>
                    <w:rPr>
                      <w:bCs/>
                      <w:color w:val="auto"/>
                      <w:kern w:val="0"/>
                      <w:position w:val="-10"/>
                      <w:sz w:val="18"/>
                      <w:szCs w:val="18"/>
                    </w:rPr>
                  </w:pPr>
                  <w:r>
                    <w:rPr>
                      <w:bCs/>
                      <w:color w:val="auto"/>
                      <w:kern w:val="0"/>
                      <w:position w:val="-10"/>
                      <w:sz w:val="18"/>
                      <w:szCs w:val="18"/>
                    </w:rPr>
                    <w:t>《恶臭污染物排放标准》（GB14544-93）</w:t>
                  </w:r>
                </w:p>
              </w:tc>
              <w:tc>
                <w:tcPr>
                  <w:tcW w:w="707" w:type="pct"/>
                  <w:noWrap/>
                  <w:vAlign w:val="center"/>
                </w:tcPr>
                <w:p>
                  <w:pPr>
                    <w:adjustRightInd w:val="0"/>
                    <w:snapToGrid w:val="0"/>
                    <w:rPr>
                      <w:bCs/>
                      <w:color w:val="auto"/>
                      <w:kern w:val="0"/>
                      <w:sz w:val="18"/>
                      <w:szCs w:val="18"/>
                    </w:rPr>
                  </w:pPr>
                </w:p>
                <w:p>
                  <w:pPr>
                    <w:adjustRightInd w:val="0"/>
                    <w:snapToGrid w:val="0"/>
                    <w:rPr>
                      <w:bCs/>
                      <w:color w:val="auto"/>
                      <w:kern w:val="0"/>
                      <w:sz w:val="18"/>
                      <w:szCs w:val="18"/>
                    </w:rPr>
                  </w:pPr>
                  <w:r>
                    <w:rPr>
                      <w:bCs/>
                      <w:color w:val="auto"/>
                      <w:kern w:val="0"/>
                      <w:sz w:val="18"/>
                      <w:szCs w:val="18"/>
                    </w:rPr>
                    <w:t>一年1次</w:t>
                  </w:r>
                </w:p>
                <w:p>
                  <w:pPr>
                    <w:adjustRightInd w:val="0"/>
                    <w:snapToGrid w:val="0"/>
                    <w:rPr>
                      <w:bCs/>
                      <w:color w:val="auto"/>
                      <w:kern w:val="0"/>
                      <w:sz w:val="18"/>
                      <w:szCs w:val="18"/>
                    </w:rPr>
                  </w:pPr>
                </w:p>
              </w:tc>
            </w:tr>
          </w:tbl>
          <w:p>
            <w:pPr>
              <w:spacing w:line="360" w:lineRule="auto"/>
              <w:ind w:firstLine="422" w:firstLineChars="200"/>
              <w:rPr>
                <w:color w:val="auto"/>
                <w:kern w:val="0"/>
                <w:szCs w:val="21"/>
              </w:rPr>
            </w:pPr>
            <w:r>
              <w:rPr>
                <w:b/>
                <w:bCs/>
                <w:color w:val="auto"/>
                <w:szCs w:val="21"/>
              </w:rPr>
              <w:t>2、废水的产生及防治措施</w:t>
            </w:r>
          </w:p>
          <w:p>
            <w:pPr>
              <w:spacing w:line="360" w:lineRule="auto"/>
              <w:ind w:firstLine="420" w:firstLineChars="200"/>
              <w:rPr>
                <w:color w:val="auto"/>
                <w:kern w:val="0"/>
                <w:szCs w:val="21"/>
              </w:rPr>
            </w:pPr>
            <w:r>
              <w:rPr>
                <w:rFonts w:hint="eastAsia"/>
                <w:color w:val="auto"/>
                <w:kern w:val="0"/>
                <w:szCs w:val="21"/>
              </w:rPr>
              <w:t>本项目化验室采用成品试剂进行血常规的检验，不使用水，此类检查产生的污染物主要为沾有血液的棉签、棉球、采血针、针筒、量杯</w:t>
            </w:r>
            <w:r>
              <w:rPr>
                <w:rFonts w:hint="eastAsia"/>
                <w:color w:val="auto"/>
                <w:kern w:val="0"/>
                <w:szCs w:val="21"/>
                <w:lang w:eastAsia="zh-CN"/>
              </w:rPr>
              <w:t>、废试剂盒</w:t>
            </w:r>
            <w:r>
              <w:rPr>
                <w:rFonts w:hint="eastAsia"/>
                <w:color w:val="auto"/>
                <w:kern w:val="0"/>
                <w:szCs w:val="21"/>
              </w:rPr>
              <w:t>等和分析仪器产生的检验废液，全部作为医疗废物处理，不外排，交由资质单位处置，因此无检验废液外排；不设食堂，因此无餐饮废水产生；影像室使用B超设备，不设及显、定影的使用，因此无洗印废水产生；不自配检测试剂，不使用氰化物试剂和重金属试剂，因此不会产生含氰废水和重金属废水；无制剂科，因此无制剂废水产生及排放；职工工作服等定期送清洗公司清洗，诊所内不设置洗衣房，故无洗衣废水。</w:t>
            </w:r>
          </w:p>
          <w:p>
            <w:pPr>
              <w:spacing w:line="360" w:lineRule="auto"/>
              <w:ind w:firstLine="420" w:firstLineChars="200"/>
              <w:rPr>
                <w:color w:val="auto"/>
                <w:kern w:val="0"/>
                <w:szCs w:val="21"/>
              </w:rPr>
            </w:pPr>
            <w:r>
              <w:rPr>
                <w:rFonts w:hint="eastAsia"/>
                <w:color w:val="auto"/>
                <w:kern w:val="0"/>
                <w:szCs w:val="21"/>
              </w:rPr>
              <w:t>故本项目废水包括工作人员污水、宠物医疗废水以及</w:t>
            </w:r>
            <w:r>
              <w:rPr>
                <w:rFonts w:hint="eastAsia"/>
                <w:color w:val="auto"/>
                <w:kern w:val="0"/>
                <w:szCs w:val="21"/>
                <w:lang w:eastAsia="zh-CN"/>
              </w:rPr>
              <w:t>宠物做手术器械和</w:t>
            </w:r>
            <w:r>
              <w:rPr>
                <w:rFonts w:hint="eastAsia"/>
                <w:color w:val="auto"/>
                <w:kern w:val="0"/>
                <w:szCs w:val="21"/>
              </w:rPr>
              <w:t>地面</w:t>
            </w:r>
            <w:r>
              <w:rPr>
                <w:rFonts w:hint="eastAsia"/>
                <w:color w:val="auto"/>
                <w:kern w:val="0"/>
                <w:szCs w:val="21"/>
                <w:lang w:eastAsia="zh-CN"/>
              </w:rPr>
              <w:t>、宠物笼</w:t>
            </w:r>
            <w:r>
              <w:rPr>
                <w:rFonts w:hint="eastAsia"/>
                <w:color w:val="auto"/>
                <w:kern w:val="0"/>
                <w:szCs w:val="21"/>
              </w:rPr>
              <w:t>清洁废水等。</w:t>
            </w:r>
          </w:p>
          <w:p>
            <w:pPr>
              <w:wordWrap w:val="0"/>
              <w:topLinePunct/>
              <w:spacing w:line="360" w:lineRule="auto"/>
              <w:ind w:firstLine="422" w:firstLineChars="200"/>
              <w:rPr>
                <w:b/>
                <w:bCs/>
                <w:color w:val="auto"/>
                <w:kern w:val="0"/>
                <w:szCs w:val="21"/>
              </w:rPr>
            </w:pPr>
            <w:r>
              <w:rPr>
                <w:rFonts w:hint="eastAsia" w:ascii="宋体" w:hAnsi="宋体" w:cs="宋体"/>
                <w:b/>
                <w:bCs/>
                <w:color w:val="auto"/>
                <w:szCs w:val="21"/>
              </w:rPr>
              <w:t>①</w:t>
            </w:r>
            <w:r>
              <w:rPr>
                <w:rFonts w:hint="eastAsia"/>
                <w:b/>
                <w:bCs/>
                <w:color w:val="auto"/>
                <w:kern w:val="0"/>
                <w:szCs w:val="21"/>
              </w:rPr>
              <w:t>工作人员生活污水</w:t>
            </w:r>
          </w:p>
          <w:p>
            <w:pPr>
              <w:spacing w:line="360" w:lineRule="auto"/>
              <w:ind w:firstLine="420" w:firstLineChars="200"/>
              <w:rPr>
                <w:rFonts w:hint="eastAsia"/>
                <w:b/>
                <w:bCs/>
                <w:color w:val="auto"/>
                <w:szCs w:val="21"/>
                <w:lang w:val="en-US" w:eastAsia="zh-CN"/>
              </w:rPr>
            </w:pPr>
            <w:r>
              <w:rPr>
                <w:rFonts w:hint="eastAsia"/>
                <w:color w:val="auto"/>
                <w:szCs w:val="21"/>
              </w:rPr>
              <w:t>工作人员为</w:t>
            </w:r>
            <w:r>
              <w:rPr>
                <w:rFonts w:hint="eastAsia"/>
                <w:color w:val="auto"/>
                <w:szCs w:val="21"/>
                <w:lang w:val="en-US" w:eastAsia="zh-CN"/>
              </w:rPr>
              <w:t>7</w:t>
            </w:r>
            <w:r>
              <w:rPr>
                <w:rFonts w:hint="eastAsia"/>
                <w:color w:val="auto"/>
                <w:szCs w:val="21"/>
              </w:rPr>
              <w:t>人，结合《四川省地方标准用水定额》（川府函【2021】8号）所制定的各项用水定额，用水标准为50L/人</w:t>
            </w:r>
            <w:r>
              <w:rPr>
                <w:rFonts w:hint="eastAsia" w:ascii="宋体" w:hAnsi="宋体" w:cs="宋体"/>
                <w:color w:val="auto"/>
                <w:szCs w:val="21"/>
              </w:rPr>
              <w:t>·</w:t>
            </w:r>
            <w:r>
              <w:rPr>
                <w:rFonts w:hint="eastAsia"/>
                <w:color w:val="auto"/>
                <w:szCs w:val="21"/>
              </w:rPr>
              <w:t>d，则工作人员用水量为0.</w:t>
            </w:r>
            <w:r>
              <w:rPr>
                <w:rFonts w:hint="eastAsia"/>
                <w:color w:val="auto"/>
                <w:szCs w:val="21"/>
                <w:lang w:val="en-US" w:eastAsia="zh-CN"/>
              </w:rPr>
              <w:t>35</w:t>
            </w:r>
            <w:r>
              <w:rPr>
                <w:rFonts w:hint="eastAsia"/>
                <w:color w:val="auto"/>
                <w:szCs w:val="21"/>
              </w:rPr>
              <w:t>m</w:t>
            </w:r>
            <w:r>
              <w:rPr>
                <w:rFonts w:hint="eastAsia"/>
                <w:color w:val="auto"/>
                <w:szCs w:val="21"/>
                <w:vertAlign w:val="superscript"/>
              </w:rPr>
              <w:t>3</w:t>
            </w:r>
            <w:r>
              <w:rPr>
                <w:rFonts w:hint="eastAsia"/>
                <w:color w:val="auto"/>
                <w:szCs w:val="21"/>
              </w:rPr>
              <w:t>/d，废水产生系数按照0.85计算，则工作人员废水产生量为0.</w:t>
            </w:r>
            <w:r>
              <w:rPr>
                <w:rFonts w:hint="eastAsia"/>
                <w:color w:val="auto"/>
                <w:szCs w:val="21"/>
                <w:lang w:val="en-US" w:eastAsia="zh-CN"/>
              </w:rPr>
              <w:t>3</w:t>
            </w:r>
            <w:r>
              <w:rPr>
                <w:rFonts w:hint="eastAsia"/>
                <w:color w:val="auto"/>
                <w:szCs w:val="21"/>
              </w:rPr>
              <w:t>m</w:t>
            </w:r>
            <w:r>
              <w:rPr>
                <w:rFonts w:hint="eastAsia"/>
                <w:color w:val="auto"/>
                <w:szCs w:val="21"/>
                <w:vertAlign w:val="superscript"/>
              </w:rPr>
              <w:t>3</w:t>
            </w:r>
            <w:r>
              <w:rPr>
                <w:rFonts w:hint="eastAsia"/>
                <w:color w:val="auto"/>
                <w:szCs w:val="21"/>
              </w:rPr>
              <w:t>/d。</w:t>
            </w:r>
          </w:p>
          <w:p>
            <w:pPr>
              <w:spacing w:line="360" w:lineRule="auto"/>
              <w:ind w:firstLine="422" w:firstLineChars="200"/>
              <w:rPr>
                <w:rFonts w:ascii="宋体" w:hAnsi="宋体" w:cs="宋体"/>
                <w:color w:val="auto"/>
                <w:szCs w:val="21"/>
              </w:rPr>
            </w:pPr>
            <w:r>
              <w:rPr>
                <w:rFonts w:hint="eastAsia"/>
                <w:b/>
                <w:bCs/>
                <w:color w:val="auto"/>
                <w:szCs w:val="21"/>
                <w:lang w:val="en-US" w:eastAsia="zh-CN"/>
              </w:rPr>
              <w:t>环评要求：</w:t>
            </w:r>
            <w:r>
              <w:rPr>
                <w:rFonts w:hint="eastAsia"/>
                <w:color w:val="auto"/>
                <w:szCs w:val="21"/>
              </w:rPr>
              <w:t>工作人员生活污水通过污水管道进入已建的预处理池处理达到《污水综合排放标准》（GB8978-1998）三级排放标准后排入市政污水管网，最终进入</w:t>
            </w:r>
            <w:r>
              <w:rPr>
                <w:rFonts w:hint="eastAsia"/>
                <w:color w:val="auto"/>
                <w:szCs w:val="21"/>
                <w:lang w:eastAsia="zh-CN"/>
              </w:rPr>
              <w:t>苍溪县石家坝城市污水处理厂</w:t>
            </w:r>
            <w:r>
              <w:rPr>
                <w:rFonts w:hint="eastAsia"/>
                <w:color w:val="auto"/>
                <w:szCs w:val="21"/>
              </w:rPr>
              <w:t>处理。</w:t>
            </w:r>
          </w:p>
          <w:p>
            <w:pPr>
              <w:spacing w:line="360" w:lineRule="auto"/>
              <w:ind w:firstLine="422" w:firstLineChars="200"/>
              <w:rPr>
                <w:b/>
                <w:bCs/>
                <w:color w:val="auto"/>
                <w:szCs w:val="21"/>
              </w:rPr>
            </w:pPr>
            <w:r>
              <w:rPr>
                <w:rFonts w:hint="eastAsia" w:ascii="宋体" w:hAnsi="宋体" w:cs="宋体"/>
                <w:b/>
                <w:bCs/>
                <w:color w:val="auto"/>
                <w:szCs w:val="21"/>
              </w:rPr>
              <w:t>②</w:t>
            </w:r>
            <w:r>
              <w:rPr>
                <w:rFonts w:hint="eastAsia"/>
                <w:b/>
                <w:bCs/>
                <w:color w:val="auto"/>
                <w:szCs w:val="21"/>
              </w:rPr>
              <w:t>宠物医疗废水</w:t>
            </w:r>
          </w:p>
          <w:p>
            <w:pPr>
              <w:spacing w:line="360" w:lineRule="auto"/>
              <w:ind w:firstLine="420" w:firstLineChars="200"/>
              <w:rPr>
                <w:color w:val="auto"/>
                <w:szCs w:val="21"/>
              </w:rPr>
            </w:pPr>
            <w:r>
              <w:rPr>
                <w:color w:val="auto"/>
                <w:kern w:val="0"/>
                <w:szCs w:val="21"/>
              </w:rPr>
              <w:t>建成后项目</w:t>
            </w:r>
            <w:r>
              <w:rPr>
                <w:rFonts w:hint="eastAsia"/>
                <w:color w:val="auto"/>
                <w:kern w:val="0"/>
                <w:szCs w:val="21"/>
              </w:rPr>
              <w:t>住院室最大容纳宠物4只/d，门诊最大流量3只/d</w:t>
            </w:r>
            <w:r>
              <w:rPr>
                <w:rFonts w:hint="eastAsia"/>
                <w:color w:val="auto"/>
                <w:szCs w:val="21"/>
              </w:rPr>
              <w:t>，结合《四川省地方标准用水定额》（川府函【2021】8号）所制定的各项用水定额，用水标准为50L/只</w:t>
            </w:r>
            <w:r>
              <w:rPr>
                <w:rFonts w:hint="eastAsia" w:ascii="宋体" w:hAnsi="宋体" w:cs="宋体"/>
                <w:color w:val="auto"/>
                <w:szCs w:val="21"/>
              </w:rPr>
              <w:t>·</w:t>
            </w:r>
            <w:r>
              <w:rPr>
                <w:rFonts w:hint="eastAsia"/>
                <w:color w:val="auto"/>
                <w:szCs w:val="21"/>
              </w:rPr>
              <w:t>d，则宠物医疗用水量为0.35m</w:t>
            </w:r>
            <w:r>
              <w:rPr>
                <w:rFonts w:hint="eastAsia"/>
                <w:color w:val="auto"/>
                <w:szCs w:val="21"/>
                <w:vertAlign w:val="superscript"/>
              </w:rPr>
              <w:t>3</w:t>
            </w:r>
            <w:r>
              <w:rPr>
                <w:rFonts w:hint="eastAsia"/>
                <w:color w:val="auto"/>
                <w:szCs w:val="21"/>
              </w:rPr>
              <w:t>/d，废水产生系数按照0.85计算，则宠物医疗废水产生量为0.3m</w:t>
            </w:r>
            <w:r>
              <w:rPr>
                <w:rFonts w:hint="eastAsia"/>
                <w:color w:val="auto"/>
                <w:szCs w:val="21"/>
                <w:vertAlign w:val="superscript"/>
              </w:rPr>
              <w:t>3</w:t>
            </w:r>
            <w:r>
              <w:rPr>
                <w:rFonts w:hint="eastAsia"/>
                <w:color w:val="auto"/>
                <w:szCs w:val="21"/>
              </w:rPr>
              <w:t>/d。</w:t>
            </w:r>
          </w:p>
          <w:p>
            <w:pPr>
              <w:spacing w:line="360" w:lineRule="auto"/>
              <w:ind w:firstLine="480"/>
              <w:rPr>
                <w:b/>
                <w:bCs/>
                <w:color w:val="auto"/>
                <w:szCs w:val="21"/>
              </w:rPr>
            </w:pPr>
            <w:r>
              <w:rPr>
                <w:rFonts w:hint="eastAsia"/>
                <w:b/>
                <w:bCs/>
                <w:color w:val="auto"/>
                <w:szCs w:val="21"/>
                <w:lang w:val="en-US" w:eastAsia="zh-CN"/>
              </w:rPr>
              <w:t>环评要求：</w:t>
            </w:r>
            <w:r>
              <w:rPr>
                <w:rFonts w:hint="eastAsia"/>
                <w:bCs/>
                <w:color w:val="auto"/>
                <w:szCs w:val="21"/>
              </w:rPr>
              <w:t>设置专用废水收集管道将废水收集至污水消毒池</w:t>
            </w:r>
            <w:r>
              <w:rPr>
                <w:rFonts w:hint="eastAsia"/>
                <w:color w:val="auto"/>
                <w:szCs w:val="21"/>
              </w:rPr>
              <w:t>（</w:t>
            </w:r>
            <w:r>
              <w:rPr>
                <w:color w:val="auto"/>
                <w:szCs w:val="21"/>
              </w:rPr>
              <w:t>处理规模为：</w:t>
            </w:r>
            <w:r>
              <w:rPr>
                <w:rFonts w:hint="eastAsia"/>
                <w:color w:val="auto"/>
                <w:szCs w:val="21"/>
              </w:rPr>
              <w:t>2</w:t>
            </w:r>
            <w:r>
              <w:rPr>
                <w:color w:val="auto"/>
                <w:szCs w:val="21"/>
              </w:rPr>
              <w:t>m</w:t>
            </w:r>
            <w:r>
              <w:rPr>
                <w:color w:val="auto"/>
                <w:szCs w:val="21"/>
                <w:vertAlign w:val="superscript"/>
              </w:rPr>
              <w:t>3</w:t>
            </w:r>
            <w:r>
              <w:rPr>
                <w:color w:val="auto"/>
                <w:szCs w:val="21"/>
              </w:rPr>
              <w:t>/d</w:t>
            </w:r>
            <w:r>
              <w:rPr>
                <w:rFonts w:hint="eastAsia"/>
                <w:color w:val="auto"/>
                <w:szCs w:val="21"/>
              </w:rPr>
              <w:t>）</w:t>
            </w:r>
            <w:r>
              <w:rPr>
                <w:rFonts w:hint="eastAsia"/>
                <w:bCs/>
                <w:color w:val="auto"/>
                <w:szCs w:val="21"/>
              </w:rPr>
              <w:t>进行处理，处理后达到</w:t>
            </w:r>
            <w:r>
              <w:rPr>
                <w:color w:val="auto"/>
                <w:szCs w:val="21"/>
              </w:rPr>
              <w:t>《医疗机构水污染物排放标准》（GB18466-2005）表2中的预处理标准</w:t>
            </w:r>
            <w:r>
              <w:rPr>
                <w:rFonts w:hint="eastAsia"/>
                <w:bCs/>
                <w:color w:val="auto"/>
                <w:szCs w:val="21"/>
              </w:rPr>
              <w:t>，通过市政污水管网和其他废水进入预处理池处理，最终通过污水管网进入</w:t>
            </w:r>
            <w:r>
              <w:rPr>
                <w:rFonts w:hint="eastAsia"/>
                <w:bCs/>
                <w:color w:val="auto"/>
                <w:szCs w:val="21"/>
                <w:lang w:eastAsia="zh-CN"/>
              </w:rPr>
              <w:t>苍溪县石家坝城市污水处理厂</w:t>
            </w:r>
            <w:r>
              <w:rPr>
                <w:rFonts w:hint="eastAsia"/>
                <w:color w:val="auto"/>
                <w:szCs w:val="21"/>
              </w:rPr>
              <w:t>。</w:t>
            </w:r>
          </w:p>
          <w:p>
            <w:pPr>
              <w:spacing w:line="360" w:lineRule="auto"/>
              <w:ind w:firstLine="422" w:firstLineChars="200"/>
              <w:rPr>
                <w:rFonts w:hint="default" w:ascii="Times New Roman" w:hAnsi="Times New Roman" w:cs="Times New Roman"/>
                <w:b/>
                <w:bCs/>
                <w:color w:val="auto"/>
                <w:szCs w:val="21"/>
              </w:rPr>
            </w:pPr>
            <w:r>
              <w:rPr>
                <w:rFonts w:hint="eastAsia" w:ascii="仿宋" w:hAnsi="仿宋" w:eastAsia="仿宋" w:cs="仿宋"/>
                <w:b/>
                <w:bCs/>
                <w:color w:val="auto"/>
                <w:szCs w:val="21"/>
              </w:rPr>
              <w:t>③</w:t>
            </w:r>
            <w:r>
              <w:rPr>
                <w:rFonts w:hint="eastAsia" w:ascii="Times New Roman" w:hAnsi="Times New Roman" w:eastAsia="宋体" w:cs="Times New Roman"/>
                <w:b/>
                <w:bCs/>
                <w:color w:val="auto"/>
                <w:szCs w:val="21"/>
                <w:lang w:eastAsia="zh-CN"/>
              </w:rPr>
              <w:t>宠物做手术器械和</w:t>
            </w:r>
            <w:r>
              <w:rPr>
                <w:rFonts w:hint="eastAsia" w:ascii="Times New Roman" w:hAnsi="Times New Roman" w:eastAsia="宋体" w:cs="Times New Roman"/>
                <w:b/>
                <w:bCs/>
                <w:color w:val="auto"/>
                <w:szCs w:val="21"/>
              </w:rPr>
              <w:t>地面</w:t>
            </w:r>
            <w:r>
              <w:rPr>
                <w:rFonts w:hint="eastAsia" w:ascii="Times New Roman" w:hAnsi="Times New Roman" w:eastAsia="宋体" w:cs="Times New Roman"/>
                <w:b/>
                <w:bCs/>
                <w:color w:val="auto"/>
                <w:szCs w:val="21"/>
                <w:lang w:eastAsia="zh-CN"/>
              </w:rPr>
              <w:t>、宠物笼</w:t>
            </w:r>
            <w:r>
              <w:rPr>
                <w:rFonts w:hint="eastAsia" w:ascii="Times New Roman" w:hAnsi="Times New Roman" w:eastAsia="宋体" w:cs="Times New Roman"/>
                <w:b/>
                <w:bCs/>
                <w:color w:val="auto"/>
                <w:szCs w:val="21"/>
              </w:rPr>
              <w:t>清洁废水</w:t>
            </w:r>
            <w:r>
              <w:rPr>
                <w:rFonts w:hint="eastAsia" w:ascii="仿宋" w:hAnsi="仿宋" w:eastAsia="仿宋" w:cs="仿宋"/>
                <w:b/>
                <w:bCs/>
                <w:color w:val="auto"/>
                <w:szCs w:val="21"/>
                <w:lang w:val="en-US" w:eastAsia="zh-CN"/>
              </w:rPr>
              <w:t xml:space="preserve">  </w:t>
            </w:r>
          </w:p>
          <w:p>
            <w:pPr>
              <w:spacing w:line="360" w:lineRule="auto"/>
              <w:ind w:firstLine="420" w:firstLineChars="200"/>
              <w:rPr>
                <w:b/>
                <w:color w:val="auto"/>
              </w:rPr>
            </w:pPr>
            <w:r>
              <w:rPr>
                <w:rFonts w:hint="eastAsia"/>
                <w:color w:val="auto"/>
                <w:szCs w:val="21"/>
              </w:rPr>
              <w:t>根据业主提供的资料，则</w:t>
            </w:r>
            <w:r>
              <w:rPr>
                <w:rFonts w:hint="eastAsia" w:ascii="Times New Roman" w:hAnsi="Times New Roman" w:eastAsia="宋体" w:cs="Times New Roman"/>
                <w:b w:val="0"/>
                <w:bCs w:val="0"/>
                <w:color w:val="auto"/>
                <w:szCs w:val="21"/>
                <w:lang w:eastAsia="zh-CN"/>
              </w:rPr>
              <w:t>宠物做手术器械和</w:t>
            </w:r>
            <w:r>
              <w:rPr>
                <w:rFonts w:hint="eastAsia" w:ascii="Times New Roman" w:hAnsi="Times New Roman" w:eastAsia="宋体" w:cs="Times New Roman"/>
                <w:b w:val="0"/>
                <w:bCs w:val="0"/>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ascii="Times New Roman" w:hAnsi="Times New Roman" w:eastAsia="宋体" w:cs="Times New Roman"/>
                <w:b w:val="0"/>
                <w:bCs w:val="0"/>
                <w:color w:val="auto"/>
                <w:szCs w:val="21"/>
              </w:rPr>
              <w:t>清洁</w:t>
            </w:r>
            <w:r>
              <w:rPr>
                <w:rFonts w:hint="eastAsia"/>
                <w:color w:val="auto"/>
                <w:szCs w:val="21"/>
              </w:rPr>
              <w:t>用水量为0.2m</w:t>
            </w:r>
            <w:r>
              <w:rPr>
                <w:rFonts w:hint="eastAsia"/>
                <w:color w:val="auto"/>
                <w:szCs w:val="21"/>
                <w:vertAlign w:val="superscript"/>
              </w:rPr>
              <w:t>3</w:t>
            </w:r>
            <w:r>
              <w:rPr>
                <w:rFonts w:hint="eastAsia"/>
                <w:color w:val="auto"/>
                <w:szCs w:val="21"/>
              </w:rPr>
              <w:t>/d，废水产生系数按照0.85计算，则</w:t>
            </w:r>
            <w:r>
              <w:rPr>
                <w:rFonts w:hint="eastAsia" w:ascii="Times New Roman" w:hAnsi="Times New Roman" w:eastAsia="宋体" w:cs="Times New Roman"/>
                <w:b w:val="0"/>
                <w:bCs w:val="0"/>
                <w:color w:val="auto"/>
                <w:szCs w:val="21"/>
                <w:lang w:eastAsia="zh-CN"/>
              </w:rPr>
              <w:t>宠物做手术器械和</w:t>
            </w:r>
            <w:r>
              <w:rPr>
                <w:rFonts w:hint="eastAsia" w:ascii="Times New Roman" w:hAnsi="Times New Roman" w:eastAsia="宋体" w:cs="Times New Roman"/>
                <w:b w:val="0"/>
                <w:bCs w:val="0"/>
                <w:color w:val="auto"/>
                <w:szCs w:val="21"/>
              </w:rPr>
              <w:t>地面</w:t>
            </w:r>
            <w:r>
              <w:rPr>
                <w:rFonts w:hint="eastAsia" w:ascii="Times New Roman" w:hAnsi="Times New Roman" w:eastAsia="宋体" w:cs="Times New Roman"/>
                <w:b w:val="0"/>
                <w:bCs w:val="0"/>
                <w:color w:val="auto"/>
                <w:szCs w:val="21"/>
                <w:lang w:eastAsia="zh-CN"/>
              </w:rPr>
              <w:t>、宠物笼</w:t>
            </w:r>
            <w:r>
              <w:rPr>
                <w:rFonts w:hint="eastAsia" w:ascii="Times New Roman" w:hAnsi="Times New Roman" w:eastAsia="宋体" w:cs="Times New Roman"/>
                <w:b w:val="0"/>
                <w:bCs w:val="0"/>
                <w:color w:val="auto"/>
                <w:szCs w:val="21"/>
              </w:rPr>
              <w:t>清洁废水</w:t>
            </w:r>
            <w:r>
              <w:rPr>
                <w:rFonts w:hint="eastAsia"/>
                <w:color w:val="auto"/>
                <w:szCs w:val="21"/>
              </w:rPr>
              <w:t>产生量为0.17m</w:t>
            </w:r>
            <w:r>
              <w:rPr>
                <w:rFonts w:hint="eastAsia"/>
                <w:color w:val="auto"/>
                <w:szCs w:val="21"/>
                <w:vertAlign w:val="superscript"/>
              </w:rPr>
              <w:t>3</w:t>
            </w:r>
            <w:r>
              <w:rPr>
                <w:rFonts w:hint="eastAsia"/>
                <w:color w:val="auto"/>
                <w:szCs w:val="21"/>
              </w:rPr>
              <w:t>/d。</w:t>
            </w:r>
          </w:p>
          <w:p>
            <w:pPr>
              <w:wordWrap w:val="0"/>
              <w:topLinePunct/>
              <w:spacing w:line="360" w:lineRule="auto"/>
              <w:ind w:firstLine="422" w:firstLineChars="200"/>
              <w:rPr>
                <w:color w:val="auto"/>
                <w:szCs w:val="21"/>
              </w:rPr>
            </w:pPr>
            <w:r>
              <w:rPr>
                <w:rFonts w:hint="eastAsia"/>
                <w:b/>
                <w:bCs/>
                <w:color w:val="auto"/>
                <w:szCs w:val="21"/>
                <w:lang w:val="en-US" w:eastAsia="zh-CN"/>
              </w:rPr>
              <w:t>环评要求：</w:t>
            </w:r>
            <w:r>
              <w:rPr>
                <w:rFonts w:hint="eastAsia"/>
                <w:bCs/>
                <w:color w:val="auto"/>
                <w:szCs w:val="21"/>
              </w:rPr>
              <w:t>设置专用废水收集管道将废水收集至污水消毒池</w:t>
            </w:r>
            <w:r>
              <w:rPr>
                <w:rFonts w:hint="eastAsia"/>
                <w:color w:val="auto"/>
                <w:szCs w:val="21"/>
              </w:rPr>
              <w:t>（</w:t>
            </w:r>
            <w:r>
              <w:rPr>
                <w:color w:val="auto"/>
                <w:szCs w:val="21"/>
              </w:rPr>
              <w:t>处理规模为：</w:t>
            </w:r>
            <w:r>
              <w:rPr>
                <w:rFonts w:hint="eastAsia"/>
                <w:color w:val="auto"/>
                <w:szCs w:val="21"/>
              </w:rPr>
              <w:t>2</w:t>
            </w:r>
            <w:r>
              <w:rPr>
                <w:color w:val="auto"/>
                <w:szCs w:val="21"/>
              </w:rPr>
              <w:t>m</w:t>
            </w:r>
            <w:r>
              <w:rPr>
                <w:color w:val="auto"/>
                <w:szCs w:val="21"/>
                <w:vertAlign w:val="superscript"/>
              </w:rPr>
              <w:t>3</w:t>
            </w:r>
            <w:r>
              <w:rPr>
                <w:color w:val="auto"/>
                <w:szCs w:val="21"/>
              </w:rPr>
              <w:t>/d</w:t>
            </w:r>
            <w:r>
              <w:rPr>
                <w:rFonts w:hint="eastAsia"/>
                <w:color w:val="auto"/>
                <w:szCs w:val="21"/>
              </w:rPr>
              <w:t>）</w:t>
            </w:r>
            <w:r>
              <w:rPr>
                <w:rFonts w:hint="eastAsia"/>
                <w:bCs/>
                <w:color w:val="auto"/>
                <w:szCs w:val="21"/>
              </w:rPr>
              <w:t>进行处理，处理后达到</w:t>
            </w:r>
            <w:r>
              <w:rPr>
                <w:color w:val="auto"/>
                <w:szCs w:val="21"/>
              </w:rPr>
              <w:t>《医疗机构水污染物排放标准》（GB18466-2005）表2中的预处理标准</w:t>
            </w:r>
            <w:r>
              <w:rPr>
                <w:rFonts w:hint="eastAsia"/>
                <w:bCs/>
                <w:color w:val="auto"/>
                <w:szCs w:val="21"/>
              </w:rPr>
              <w:t>，通过市政污水管网和其他废水进入预处理池处理，最终通过污水管网进入</w:t>
            </w:r>
            <w:r>
              <w:rPr>
                <w:rFonts w:hint="eastAsia"/>
                <w:bCs/>
                <w:color w:val="auto"/>
                <w:szCs w:val="21"/>
                <w:lang w:eastAsia="zh-CN"/>
              </w:rPr>
              <w:t>苍溪县石家坝城市污水处理厂</w:t>
            </w:r>
            <w:r>
              <w:rPr>
                <w:rFonts w:hint="eastAsia"/>
                <w:bCs/>
                <w:color w:val="auto"/>
                <w:szCs w:val="21"/>
              </w:rPr>
              <w:t>。</w:t>
            </w:r>
          </w:p>
          <w:p>
            <w:pPr>
              <w:spacing w:line="360" w:lineRule="auto"/>
              <w:ind w:firstLine="420" w:firstLineChars="200"/>
              <w:rPr>
                <w:color w:val="auto"/>
                <w:szCs w:val="21"/>
              </w:rPr>
            </w:pPr>
            <w:r>
              <w:rPr>
                <w:rFonts w:hint="eastAsia"/>
                <w:color w:val="auto"/>
                <w:szCs w:val="21"/>
              </w:rPr>
              <w:t>综上，项目运营期间废水具体治理措施及排放情况见下表：</w:t>
            </w:r>
          </w:p>
          <w:p>
            <w:pPr>
              <w:pStyle w:val="6"/>
              <w:adjustRightInd w:val="0"/>
              <w:snapToGrid w:val="0"/>
              <w:rPr>
                <w:b/>
                <w:bCs/>
                <w:color w:val="auto"/>
                <w:sz w:val="18"/>
                <w:szCs w:val="18"/>
              </w:rPr>
            </w:pPr>
            <w:r>
              <w:rPr>
                <w:rFonts w:hint="eastAsia"/>
                <w:b/>
                <w:bCs/>
                <w:color w:val="auto"/>
                <w:sz w:val="18"/>
                <w:szCs w:val="18"/>
              </w:rPr>
              <w:t>表4-2废水治理</w:t>
            </w:r>
            <w:r>
              <w:rPr>
                <w:b/>
                <w:bCs/>
                <w:color w:val="auto"/>
                <w:sz w:val="18"/>
                <w:szCs w:val="18"/>
              </w:rPr>
              <w:t>措施</w:t>
            </w:r>
            <w:r>
              <w:rPr>
                <w:rFonts w:hint="eastAsia"/>
                <w:b/>
                <w:bCs/>
                <w:color w:val="auto"/>
                <w:sz w:val="18"/>
                <w:szCs w:val="18"/>
              </w:rPr>
              <w:t>及排放情况</w:t>
            </w:r>
            <w:r>
              <w:rPr>
                <w:b/>
                <w:bCs/>
                <w:color w:val="auto"/>
                <w:sz w:val="18"/>
                <w:szCs w:val="18"/>
              </w:rPr>
              <w:t>一览表</w:t>
            </w:r>
          </w:p>
          <w:tbl>
            <w:tblPr>
              <w:tblStyle w:val="21"/>
              <w:tblW w:w="8016"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72"/>
              <w:gridCol w:w="951"/>
              <w:gridCol w:w="1167"/>
              <w:gridCol w:w="987"/>
              <w:gridCol w:w="3249"/>
              <w:gridCol w:w="99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672" w:type="dxa"/>
                  <w:tcBorders>
                    <w:tl2br w:val="nil"/>
                    <w:tr2bl w:val="nil"/>
                  </w:tcBorders>
                  <w:noWrap/>
                  <w:vAlign w:val="center"/>
                </w:tcPr>
                <w:p>
                  <w:pPr>
                    <w:snapToGrid w:val="0"/>
                    <w:spacing w:beforeLines="20" w:afterLines="20"/>
                    <w:jc w:val="center"/>
                    <w:rPr>
                      <w:bCs/>
                      <w:color w:val="auto"/>
                      <w:sz w:val="18"/>
                      <w:szCs w:val="18"/>
                    </w:rPr>
                  </w:pPr>
                  <w:r>
                    <w:rPr>
                      <w:bCs/>
                      <w:color w:val="auto"/>
                      <w:sz w:val="18"/>
                      <w:szCs w:val="18"/>
                    </w:rPr>
                    <w:t>序号</w:t>
                  </w:r>
                </w:p>
              </w:tc>
              <w:tc>
                <w:tcPr>
                  <w:tcW w:w="951" w:type="dxa"/>
                  <w:tcBorders>
                    <w:tl2br w:val="nil"/>
                    <w:tr2bl w:val="nil"/>
                  </w:tcBorders>
                  <w:noWrap/>
                  <w:vAlign w:val="center"/>
                </w:tcPr>
                <w:p>
                  <w:pPr>
                    <w:snapToGrid w:val="0"/>
                    <w:spacing w:beforeLines="20" w:afterLines="20"/>
                    <w:jc w:val="center"/>
                    <w:rPr>
                      <w:bCs/>
                      <w:color w:val="auto"/>
                      <w:sz w:val="18"/>
                      <w:szCs w:val="18"/>
                    </w:rPr>
                  </w:pPr>
                  <w:r>
                    <w:rPr>
                      <w:bCs/>
                      <w:color w:val="auto"/>
                      <w:sz w:val="18"/>
                      <w:szCs w:val="18"/>
                    </w:rPr>
                    <w:t>污染源</w:t>
                  </w:r>
                </w:p>
              </w:tc>
              <w:tc>
                <w:tcPr>
                  <w:tcW w:w="1167" w:type="dxa"/>
                  <w:tcBorders>
                    <w:tl2br w:val="nil"/>
                    <w:tr2bl w:val="nil"/>
                  </w:tcBorders>
                  <w:noWrap/>
                  <w:vAlign w:val="center"/>
                </w:tcPr>
                <w:p>
                  <w:pPr>
                    <w:snapToGrid w:val="0"/>
                    <w:spacing w:beforeLines="20" w:afterLines="20"/>
                    <w:jc w:val="center"/>
                    <w:rPr>
                      <w:bCs/>
                      <w:color w:val="auto"/>
                      <w:sz w:val="18"/>
                      <w:szCs w:val="18"/>
                    </w:rPr>
                  </w:pPr>
                  <w:r>
                    <w:rPr>
                      <w:bCs/>
                      <w:color w:val="auto"/>
                      <w:sz w:val="18"/>
                      <w:szCs w:val="18"/>
                    </w:rPr>
                    <w:t>污染物</w:t>
                  </w:r>
                </w:p>
              </w:tc>
              <w:tc>
                <w:tcPr>
                  <w:tcW w:w="987" w:type="dxa"/>
                  <w:tcBorders>
                    <w:tl2br w:val="nil"/>
                    <w:tr2bl w:val="nil"/>
                  </w:tcBorders>
                  <w:noWrap/>
                  <w:vAlign w:val="center"/>
                </w:tcPr>
                <w:p>
                  <w:pPr>
                    <w:snapToGrid w:val="0"/>
                    <w:spacing w:beforeLines="20" w:afterLines="20"/>
                    <w:jc w:val="center"/>
                    <w:rPr>
                      <w:bCs/>
                      <w:color w:val="auto"/>
                      <w:sz w:val="18"/>
                      <w:szCs w:val="18"/>
                    </w:rPr>
                  </w:pPr>
                  <w:r>
                    <w:rPr>
                      <w:bCs/>
                      <w:color w:val="auto"/>
                      <w:sz w:val="18"/>
                      <w:szCs w:val="18"/>
                    </w:rPr>
                    <w:t>产生量（m</w:t>
                  </w:r>
                  <w:r>
                    <w:rPr>
                      <w:bCs/>
                      <w:color w:val="auto"/>
                      <w:sz w:val="18"/>
                      <w:szCs w:val="18"/>
                      <w:vertAlign w:val="superscript"/>
                    </w:rPr>
                    <w:t>3</w:t>
                  </w:r>
                  <w:r>
                    <w:rPr>
                      <w:bCs/>
                      <w:color w:val="auto"/>
                      <w:sz w:val="18"/>
                      <w:szCs w:val="18"/>
                    </w:rPr>
                    <w:t>/</w:t>
                  </w:r>
                  <w:r>
                    <w:rPr>
                      <w:rFonts w:hint="eastAsia"/>
                      <w:bCs/>
                      <w:color w:val="auto"/>
                      <w:sz w:val="18"/>
                      <w:szCs w:val="18"/>
                    </w:rPr>
                    <w:t>d</w:t>
                  </w:r>
                  <w:r>
                    <w:rPr>
                      <w:bCs/>
                      <w:color w:val="auto"/>
                      <w:sz w:val="18"/>
                      <w:szCs w:val="18"/>
                    </w:rPr>
                    <w:t>）</w:t>
                  </w:r>
                </w:p>
              </w:tc>
              <w:tc>
                <w:tcPr>
                  <w:tcW w:w="3249"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治理措施</w:t>
                  </w:r>
                </w:p>
              </w:tc>
              <w:tc>
                <w:tcPr>
                  <w:tcW w:w="990" w:type="dxa"/>
                  <w:tcBorders>
                    <w:tl2br w:val="nil"/>
                    <w:tr2bl w:val="nil"/>
                  </w:tcBorders>
                  <w:noWrap/>
                  <w:vAlign w:val="center"/>
                </w:tcPr>
                <w:p>
                  <w:pPr>
                    <w:snapToGrid w:val="0"/>
                    <w:spacing w:beforeLines="20" w:afterLines="20"/>
                    <w:jc w:val="center"/>
                    <w:rPr>
                      <w:bCs/>
                      <w:color w:val="auto"/>
                      <w:sz w:val="18"/>
                      <w:szCs w:val="18"/>
                    </w:rPr>
                  </w:pPr>
                  <w:r>
                    <w:rPr>
                      <w:bCs/>
                      <w:color w:val="auto"/>
                      <w:sz w:val="18"/>
                      <w:szCs w:val="18"/>
                    </w:rPr>
                    <w:t>排放量</w:t>
                  </w:r>
                </w:p>
                <w:p>
                  <w:pPr>
                    <w:snapToGrid w:val="0"/>
                    <w:spacing w:beforeLines="20" w:afterLines="20"/>
                    <w:jc w:val="center"/>
                    <w:rPr>
                      <w:bCs/>
                      <w:color w:val="auto"/>
                      <w:sz w:val="18"/>
                      <w:szCs w:val="18"/>
                    </w:rPr>
                  </w:pPr>
                  <w:r>
                    <w:rPr>
                      <w:bCs/>
                      <w:color w:val="auto"/>
                      <w:sz w:val="18"/>
                      <w:szCs w:val="18"/>
                    </w:rPr>
                    <w:t>（m</w:t>
                  </w:r>
                  <w:r>
                    <w:rPr>
                      <w:bCs/>
                      <w:color w:val="auto"/>
                      <w:sz w:val="18"/>
                      <w:szCs w:val="18"/>
                      <w:vertAlign w:val="superscript"/>
                    </w:rPr>
                    <w:t>3</w:t>
                  </w:r>
                  <w:r>
                    <w:rPr>
                      <w:bCs/>
                      <w:color w:val="auto"/>
                      <w:sz w:val="18"/>
                      <w:szCs w:val="18"/>
                    </w:rPr>
                    <w:t>/</w:t>
                  </w:r>
                  <w:r>
                    <w:rPr>
                      <w:rFonts w:hint="eastAsia"/>
                      <w:bCs/>
                      <w:color w:val="auto"/>
                      <w:sz w:val="18"/>
                      <w:szCs w:val="18"/>
                    </w:rPr>
                    <w:t>d</w:t>
                  </w:r>
                  <w:r>
                    <w:rPr>
                      <w:bCs/>
                      <w:color w:val="auto"/>
                      <w:sz w:val="18"/>
                      <w:szCs w:val="18"/>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72" w:type="dxa"/>
                  <w:tcBorders>
                    <w:tl2br w:val="nil"/>
                    <w:tr2bl w:val="nil"/>
                  </w:tcBorders>
                  <w:noWrap/>
                  <w:vAlign w:val="center"/>
                </w:tcPr>
                <w:p>
                  <w:pPr>
                    <w:snapToGrid w:val="0"/>
                    <w:spacing w:beforeLines="20" w:afterLines="20"/>
                    <w:jc w:val="center"/>
                    <w:rPr>
                      <w:bCs/>
                      <w:color w:val="auto"/>
                      <w:sz w:val="18"/>
                      <w:szCs w:val="18"/>
                    </w:rPr>
                  </w:pPr>
                  <w:r>
                    <w:rPr>
                      <w:bCs/>
                      <w:color w:val="auto"/>
                      <w:sz w:val="18"/>
                      <w:szCs w:val="18"/>
                    </w:rPr>
                    <w:t>1</w:t>
                  </w:r>
                </w:p>
              </w:tc>
              <w:tc>
                <w:tcPr>
                  <w:tcW w:w="951" w:type="dxa"/>
                  <w:tcBorders>
                    <w:tl2br w:val="nil"/>
                    <w:tr2bl w:val="nil"/>
                  </w:tcBorders>
                  <w:noWrap/>
                  <w:vAlign w:val="center"/>
                </w:tcPr>
                <w:p>
                  <w:pPr>
                    <w:snapToGrid w:val="0"/>
                    <w:spacing w:beforeLines="20" w:afterLines="20"/>
                    <w:jc w:val="center"/>
                    <w:rPr>
                      <w:bCs/>
                      <w:color w:val="auto"/>
                      <w:sz w:val="18"/>
                      <w:szCs w:val="18"/>
                    </w:rPr>
                  </w:pPr>
                  <w:r>
                    <w:rPr>
                      <w:rFonts w:hint="eastAsia"/>
                      <w:color w:val="auto"/>
                      <w:kern w:val="0"/>
                      <w:sz w:val="18"/>
                      <w:szCs w:val="18"/>
                    </w:rPr>
                    <w:t>工作人员生活污水</w:t>
                  </w:r>
                </w:p>
              </w:tc>
              <w:tc>
                <w:tcPr>
                  <w:tcW w:w="1167"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悬浮物、化学需氧量、五日生化需氧量、氨氮、粪大肠菌群</w:t>
                  </w:r>
                </w:p>
              </w:tc>
              <w:tc>
                <w:tcPr>
                  <w:tcW w:w="987" w:type="dxa"/>
                  <w:tcBorders>
                    <w:tl2br w:val="nil"/>
                    <w:tr2bl w:val="nil"/>
                  </w:tcBorders>
                  <w:noWrap/>
                  <w:vAlign w:val="center"/>
                </w:tcPr>
                <w:p>
                  <w:pPr>
                    <w:snapToGrid w:val="0"/>
                    <w:spacing w:beforeLines="20" w:afterLines="20"/>
                    <w:jc w:val="center"/>
                    <w:rPr>
                      <w:rFonts w:hint="eastAsia" w:eastAsia="宋体"/>
                      <w:bCs/>
                      <w:color w:val="auto"/>
                      <w:sz w:val="18"/>
                      <w:szCs w:val="18"/>
                      <w:lang w:val="en-US" w:eastAsia="zh-CN"/>
                    </w:rPr>
                  </w:pPr>
                  <w:r>
                    <w:rPr>
                      <w:rFonts w:hint="eastAsia"/>
                      <w:bCs/>
                      <w:color w:val="auto"/>
                      <w:sz w:val="18"/>
                      <w:szCs w:val="18"/>
                    </w:rPr>
                    <w:t>0.</w:t>
                  </w:r>
                  <w:r>
                    <w:rPr>
                      <w:rFonts w:hint="eastAsia"/>
                      <w:bCs/>
                      <w:color w:val="auto"/>
                      <w:sz w:val="18"/>
                      <w:szCs w:val="18"/>
                      <w:lang w:val="en-US" w:eastAsia="zh-CN"/>
                    </w:rPr>
                    <w:t>3</w:t>
                  </w:r>
                </w:p>
              </w:tc>
              <w:tc>
                <w:tcPr>
                  <w:tcW w:w="3249" w:type="dxa"/>
                  <w:tcBorders>
                    <w:tl2br w:val="nil"/>
                    <w:tr2bl w:val="nil"/>
                  </w:tcBorders>
                  <w:noWrap/>
                  <w:vAlign w:val="center"/>
                </w:tcPr>
                <w:p>
                  <w:pPr>
                    <w:wordWrap w:val="0"/>
                    <w:topLinePunct/>
                    <w:snapToGrid w:val="0"/>
                    <w:spacing w:beforeLines="20" w:afterLines="20"/>
                    <w:jc w:val="center"/>
                    <w:rPr>
                      <w:bCs/>
                      <w:color w:val="auto"/>
                      <w:sz w:val="18"/>
                      <w:szCs w:val="18"/>
                    </w:rPr>
                  </w:pPr>
                  <w:r>
                    <w:rPr>
                      <w:rFonts w:hint="eastAsia"/>
                      <w:bCs/>
                      <w:color w:val="auto"/>
                      <w:sz w:val="18"/>
                      <w:szCs w:val="18"/>
                    </w:rPr>
                    <w:t>通过污水管道进入已建的预处理池处理达到《污水综合排放标准》（GB8978-1998）三级排放标准后排入市政污水管网，最终进入</w:t>
                  </w:r>
                  <w:r>
                    <w:rPr>
                      <w:rFonts w:hint="eastAsia"/>
                      <w:bCs/>
                      <w:color w:val="auto"/>
                      <w:sz w:val="18"/>
                      <w:szCs w:val="18"/>
                      <w:lang w:eastAsia="zh-CN"/>
                    </w:rPr>
                    <w:t>苍溪县石家坝城市污水处理厂</w:t>
                  </w:r>
                  <w:r>
                    <w:rPr>
                      <w:rFonts w:hint="eastAsia"/>
                      <w:bCs/>
                      <w:color w:val="auto"/>
                      <w:sz w:val="18"/>
                      <w:szCs w:val="18"/>
                    </w:rPr>
                    <w:t>处理达到《城镇污水处理厂污染物综合排放标准》（GB18918-2002）中一级A标后排入嘉陵江。</w:t>
                  </w:r>
                </w:p>
              </w:tc>
              <w:tc>
                <w:tcPr>
                  <w:tcW w:w="990" w:type="dxa"/>
                  <w:tcBorders>
                    <w:tl2br w:val="nil"/>
                    <w:tr2bl w:val="nil"/>
                  </w:tcBorders>
                  <w:noWrap/>
                  <w:vAlign w:val="center"/>
                </w:tcPr>
                <w:p>
                  <w:pPr>
                    <w:snapToGrid w:val="0"/>
                    <w:spacing w:beforeLines="20" w:afterLines="20"/>
                    <w:jc w:val="center"/>
                    <w:rPr>
                      <w:rFonts w:hint="eastAsia" w:eastAsia="宋体"/>
                      <w:bCs/>
                      <w:color w:val="auto"/>
                      <w:sz w:val="18"/>
                      <w:szCs w:val="18"/>
                      <w:lang w:val="en-US" w:eastAsia="zh-CN"/>
                    </w:rPr>
                  </w:pPr>
                  <w:r>
                    <w:rPr>
                      <w:rFonts w:hint="eastAsia"/>
                      <w:bCs/>
                      <w:color w:val="auto"/>
                      <w:sz w:val="18"/>
                      <w:szCs w:val="18"/>
                    </w:rPr>
                    <w:t>0.</w:t>
                  </w:r>
                  <w:r>
                    <w:rPr>
                      <w:rFonts w:hint="eastAsia"/>
                      <w:bCs/>
                      <w:color w:val="auto"/>
                      <w:sz w:val="18"/>
                      <w:szCs w:val="18"/>
                      <w:lang w:val="en-US" w:eastAsia="zh-CN"/>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2"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2</w:t>
                  </w:r>
                </w:p>
              </w:tc>
              <w:tc>
                <w:tcPr>
                  <w:tcW w:w="951"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宠物治疗废水</w:t>
                  </w:r>
                </w:p>
              </w:tc>
              <w:tc>
                <w:tcPr>
                  <w:tcW w:w="1167"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kern w:val="0"/>
                      <w:sz w:val="18"/>
                      <w:szCs w:val="18"/>
                    </w:rPr>
                    <w:t>pH、悬浮物、化学需氧量、五日生化需氧量、氨氮、粪大肠菌群、总余氯</w:t>
                  </w:r>
                </w:p>
              </w:tc>
              <w:tc>
                <w:tcPr>
                  <w:tcW w:w="987"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0.119</w:t>
                  </w:r>
                </w:p>
              </w:tc>
              <w:tc>
                <w:tcPr>
                  <w:tcW w:w="3249" w:type="dxa"/>
                  <w:tcBorders>
                    <w:tl2br w:val="nil"/>
                    <w:tr2bl w:val="nil"/>
                  </w:tcBorders>
                  <w:noWrap/>
                  <w:vAlign w:val="center"/>
                </w:tcPr>
                <w:p>
                  <w:pPr>
                    <w:pStyle w:val="33"/>
                    <w:wordWrap w:val="0"/>
                    <w:topLinePunct/>
                    <w:spacing w:before="24" w:after="24" w:line="240" w:lineRule="auto"/>
                    <w:ind w:right="42" w:rightChars="20"/>
                    <w:jc w:val="both"/>
                    <w:rPr>
                      <w:bCs/>
                      <w:color w:val="auto"/>
                      <w:sz w:val="18"/>
                      <w:szCs w:val="18"/>
                    </w:rPr>
                  </w:pPr>
                  <w:r>
                    <w:rPr>
                      <w:rFonts w:hint="eastAsia"/>
                      <w:bCs/>
                      <w:color w:val="auto"/>
                      <w:sz w:val="18"/>
                      <w:szCs w:val="18"/>
                    </w:rPr>
                    <w:t>设置专用废水收集管道将废水收集至污水消毒池</w:t>
                  </w:r>
                  <w:r>
                    <w:rPr>
                      <w:rFonts w:hint="eastAsia"/>
                      <w:color w:val="auto"/>
                      <w:sz w:val="18"/>
                      <w:szCs w:val="18"/>
                    </w:rPr>
                    <w:t>（</w:t>
                  </w:r>
                  <w:r>
                    <w:rPr>
                      <w:rFonts w:ascii="Times New Roman"/>
                      <w:color w:val="auto"/>
                      <w:sz w:val="18"/>
                      <w:szCs w:val="18"/>
                    </w:rPr>
                    <w:t>处理规模为：</w:t>
                  </w:r>
                  <w:r>
                    <w:rPr>
                      <w:rFonts w:hint="eastAsia" w:ascii="Times New Roman"/>
                      <w:color w:val="auto"/>
                      <w:sz w:val="18"/>
                      <w:szCs w:val="18"/>
                    </w:rPr>
                    <w:t>2</w:t>
                  </w:r>
                  <w:r>
                    <w:rPr>
                      <w:rFonts w:ascii="Times New Roman"/>
                      <w:color w:val="auto"/>
                      <w:sz w:val="18"/>
                      <w:szCs w:val="18"/>
                    </w:rPr>
                    <w:t>m</w:t>
                  </w:r>
                  <w:r>
                    <w:rPr>
                      <w:rFonts w:ascii="Times New Roman"/>
                      <w:color w:val="auto"/>
                      <w:sz w:val="18"/>
                      <w:szCs w:val="18"/>
                      <w:vertAlign w:val="superscript"/>
                    </w:rPr>
                    <w:t>3</w:t>
                  </w:r>
                  <w:r>
                    <w:rPr>
                      <w:rFonts w:ascii="Times New Roman"/>
                      <w:color w:val="auto"/>
                      <w:sz w:val="18"/>
                      <w:szCs w:val="18"/>
                    </w:rPr>
                    <w:t>/d</w:t>
                  </w:r>
                  <w:r>
                    <w:rPr>
                      <w:rFonts w:hint="eastAsia"/>
                      <w:color w:val="auto"/>
                      <w:sz w:val="18"/>
                      <w:szCs w:val="18"/>
                    </w:rPr>
                    <w:t>）</w:t>
                  </w:r>
                  <w:r>
                    <w:rPr>
                      <w:rFonts w:hint="eastAsia"/>
                      <w:bCs/>
                      <w:color w:val="auto"/>
                      <w:sz w:val="18"/>
                      <w:szCs w:val="18"/>
                    </w:rPr>
                    <w:t>进行处理，处理后达到</w:t>
                  </w:r>
                  <w:r>
                    <w:rPr>
                      <w:rFonts w:ascii="Times New Roman"/>
                      <w:color w:val="auto"/>
                      <w:sz w:val="18"/>
                      <w:szCs w:val="18"/>
                    </w:rPr>
                    <w:t>《医疗机构水污染物排放标准》（GB18466-2005）表2中的预处理标准</w:t>
                  </w:r>
                  <w:r>
                    <w:rPr>
                      <w:rFonts w:hint="eastAsia"/>
                      <w:bCs/>
                      <w:color w:val="auto"/>
                      <w:sz w:val="18"/>
                      <w:szCs w:val="18"/>
                    </w:rPr>
                    <w:t>，通过市政污水管网和其他废水进入预处理池处理，最终通过污水管网进入</w:t>
                  </w:r>
                  <w:r>
                    <w:rPr>
                      <w:rFonts w:hint="eastAsia"/>
                      <w:bCs/>
                      <w:color w:val="auto"/>
                      <w:sz w:val="18"/>
                      <w:szCs w:val="18"/>
                      <w:lang w:eastAsia="zh-CN"/>
                    </w:rPr>
                    <w:t>苍溪县石家坝城市污水处理厂</w:t>
                  </w:r>
                </w:p>
              </w:tc>
              <w:tc>
                <w:tcPr>
                  <w:tcW w:w="990"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0.119</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2" w:type="dxa"/>
                  <w:tcBorders>
                    <w:tl2br w:val="nil"/>
                    <w:tr2bl w:val="nil"/>
                  </w:tcBorders>
                  <w:noWrap/>
                  <w:vAlign w:val="center"/>
                </w:tcPr>
                <w:p>
                  <w:pPr>
                    <w:snapToGrid w:val="0"/>
                    <w:spacing w:beforeLines="20" w:afterLines="20"/>
                    <w:jc w:val="center"/>
                    <w:rPr>
                      <w:rFonts w:hint="eastAsia" w:eastAsia="宋体"/>
                      <w:bCs/>
                      <w:color w:val="auto"/>
                      <w:sz w:val="18"/>
                      <w:szCs w:val="18"/>
                      <w:lang w:val="en-US" w:eastAsia="zh-CN"/>
                    </w:rPr>
                  </w:pPr>
                  <w:r>
                    <w:rPr>
                      <w:rFonts w:hint="eastAsia"/>
                      <w:bCs/>
                      <w:color w:val="auto"/>
                      <w:sz w:val="18"/>
                      <w:szCs w:val="18"/>
                      <w:lang w:val="en-US" w:eastAsia="zh-CN"/>
                    </w:rPr>
                    <w:t>3</w:t>
                  </w:r>
                </w:p>
              </w:tc>
              <w:tc>
                <w:tcPr>
                  <w:tcW w:w="951"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lang w:eastAsia="zh-CN"/>
                    </w:rPr>
                    <w:t>宠物做手术器械和</w:t>
                  </w:r>
                  <w:r>
                    <w:rPr>
                      <w:rFonts w:hint="eastAsia"/>
                      <w:bCs/>
                      <w:color w:val="auto"/>
                      <w:sz w:val="18"/>
                      <w:szCs w:val="18"/>
                    </w:rPr>
                    <w:t>地面</w:t>
                  </w:r>
                  <w:r>
                    <w:rPr>
                      <w:rFonts w:hint="eastAsia"/>
                      <w:bCs/>
                      <w:color w:val="auto"/>
                      <w:sz w:val="18"/>
                      <w:szCs w:val="18"/>
                      <w:lang w:eastAsia="zh-CN"/>
                    </w:rPr>
                    <w:t>、宠物笼</w:t>
                  </w:r>
                  <w:r>
                    <w:rPr>
                      <w:rFonts w:hint="eastAsia"/>
                      <w:bCs/>
                      <w:color w:val="auto"/>
                      <w:sz w:val="18"/>
                      <w:szCs w:val="18"/>
                    </w:rPr>
                    <w:t>清洁废水</w:t>
                  </w:r>
                </w:p>
              </w:tc>
              <w:tc>
                <w:tcPr>
                  <w:tcW w:w="1167"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kern w:val="0"/>
                      <w:sz w:val="18"/>
                      <w:szCs w:val="18"/>
                    </w:rPr>
                    <w:t>pH、悬浮物、化学需氧量、五日生化需氧量、氨氮、粪大肠菌群、总余氯</w:t>
                  </w:r>
                </w:p>
              </w:tc>
              <w:tc>
                <w:tcPr>
                  <w:tcW w:w="987"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0.17</w:t>
                  </w:r>
                </w:p>
              </w:tc>
              <w:tc>
                <w:tcPr>
                  <w:tcW w:w="3249" w:type="dxa"/>
                  <w:tcBorders>
                    <w:tl2br w:val="nil"/>
                    <w:tr2bl w:val="nil"/>
                  </w:tcBorders>
                  <w:noWrap/>
                  <w:vAlign w:val="center"/>
                </w:tcPr>
                <w:p>
                  <w:pPr>
                    <w:snapToGrid w:val="0"/>
                    <w:spacing w:beforeLines="20" w:afterLines="20"/>
                    <w:rPr>
                      <w:bCs/>
                      <w:color w:val="auto"/>
                      <w:sz w:val="18"/>
                      <w:szCs w:val="18"/>
                    </w:rPr>
                  </w:pPr>
                  <w:r>
                    <w:rPr>
                      <w:rFonts w:hint="eastAsia"/>
                      <w:bCs/>
                      <w:color w:val="auto"/>
                      <w:sz w:val="18"/>
                      <w:szCs w:val="18"/>
                    </w:rPr>
                    <w:t>设置专用废水收集管道将废水收集至污水消毒池</w:t>
                  </w:r>
                  <w:r>
                    <w:rPr>
                      <w:rFonts w:hint="eastAsia"/>
                      <w:color w:val="auto"/>
                      <w:sz w:val="18"/>
                      <w:szCs w:val="18"/>
                    </w:rPr>
                    <w:t>（</w:t>
                  </w:r>
                  <w:r>
                    <w:rPr>
                      <w:color w:val="auto"/>
                      <w:sz w:val="18"/>
                      <w:szCs w:val="18"/>
                    </w:rPr>
                    <w:t>处理规模为：</w:t>
                  </w:r>
                  <w:r>
                    <w:rPr>
                      <w:rFonts w:hint="eastAsia"/>
                      <w:color w:val="auto"/>
                      <w:sz w:val="18"/>
                      <w:szCs w:val="18"/>
                    </w:rPr>
                    <w:t>2</w:t>
                  </w:r>
                  <w:r>
                    <w:rPr>
                      <w:color w:val="auto"/>
                      <w:sz w:val="18"/>
                      <w:szCs w:val="18"/>
                    </w:rPr>
                    <w:t>m</w:t>
                  </w:r>
                  <w:r>
                    <w:rPr>
                      <w:color w:val="auto"/>
                      <w:sz w:val="18"/>
                      <w:szCs w:val="18"/>
                      <w:vertAlign w:val="superscript"/>
                    </w:rPr>
                    <w:t>3</w:t>
                  </w:r>
                  <w:r>
                    <w:rPr>
                      <w:color w:val="auto"/>
                      <w:sz w:val="18"/>
                      <w:szCs w:val="18"/>
                    </w:rPr>
                    <w:t>/d</w:t>
                  </w:r>
                  <w:r>
                    <w:rPr>
                      <w:rFonts w:hint="eastAsia"/>
                      <w:color w:val="auto"/>
                      <w:sz w:val="18"/>
                      <w:szCs w:val="18"/>
                    </w:rPr>
                    <w:t>）</w:t>
                  </w:r>
                  <w:r>
                    <w:rPr>
                      <w:rFonts w:hint="eastAsia"/>
                      <w:bCs/>
                      <w:color w:val="auto"/>
                      <w:sz w:val="18"/>
                      <w:szCs w:val="18"/>
                    </w:rPr>
                    <w:t>进行处理，处理后达到</w:t>
                  </w:r>
                  <w:r>
                    <w:rPr>
                      <w:color w:val="auto"/>
                      <w:sz w:val="18"/>
                      <w:szCs w:val="18"/>
                    </w:rPr>
                    <w:t>《医疗机构水污染物排放标准》（GB18466-2005）表2中的预处理标准</w:t>
                  </w:r>
                  <w:r>
                    <w:rPr>
                      <w:rFonts w:hint="eastAsia"/>
                      <w:bCs/>
                      <w:color w:val="auto"/>
                      <w:sz w:val="18"/>
                      <w:szCs w:val="18"/>
                    </w:rPr>
                    <w:t>，通过市政污水管网和其他废水进入预处理池处理，最终通过污水管网进入</w:t>
                  </w:r>
                  <w:r>
                    <w:rPr>
                      <w:rFonts w:hint="eastAsia"/>
                      <w:bCs/>
                      <w:color w:val="auto"/>
                      <w:sz w:val="18"/>
                      <w:szCs w:val="18"/>
                      <w:lang w:eastAsia="zh-CN"/>
                    </w:rPr>
                    <w:t>苍溪县石家坝城市污水处理厂</w:t>
                  </w:r>
                </w:p>
              </w:tc>
              <w:tc>
                <w:tcPr>
                  <w:tcW w:w="990" w:type="dxa"/>
                  <w:tcBorders>
                    <w:tl2br w:val="nil"/>
                    <w:tr2bl w:val="nil"/>
                  </w:tcBorders>
                  <w:noWrap/>
                  <w:vAlign w:val="center"/>
                </w:tcPr>
                <w:p>
                  <w:pPr>
                    <w:snapToGrid w:val="0"/>
                    <w:spacing w:beforeLines="20" w:afterLines="20"/>
                    <w:jc w:val="center"/>
                    <w:rPr>
                      <w:bCs/>
                      <w:color w:val="auto"/>
                      <w:sz w:val="18"/>
                      <w:szCs w:val="18"/>
                    </w:rPr>
                  </w:pPr>
                  <w:r>
                    <w:rPr>
                      <w:rFonts w:hint="eastAsia"/>
                      <w:bCs/>
                      <w:color w:val="auto"/>
                      <w:sz w:val="18"/>
                      <w:szCs w:val="18"/>
                    </w:rPr>
                    <w:t>0.17</w:t>
                  </w:r>
                </w:p>
              </w:tc>
            </w:tr>
          </w:tbl>
          <w:p>
            <w:pPr>
              <w:tabs>
                <w:tab w:val="left" w:pos="7478"/>
              </w:tabs>
              <w:spacing w:line="360" w:lineRule="auto"/>
              <w:ind w:firstLine="420" w:firstLineChars="200"/>
              <w:rPr>
                <w:color w:val="auto"/>
                <w:szCs w:val="21"/>
              </w:rPr>
            </w:pPr>
            <w:r>
              <w:rPr>
                <w:rFonts w:hint="eastAsia"/>
                <w:color w:val="auto"/>
                <w:szCs w:val="21"/>
              </w:rPr>
              <w:t>根据《医疗机构水污染物排放标准》（GB18466-2005）中 4.1.3 规定县级以下或 20 张床位以下的综合医疗机构和其他所有医疗机构污水经消毒处理后方可排放的要求。结合目前的工程经验，本项目采用次氯酸钠消毒工艺对污水进行净化处理。</w:t>
            </w:r>
          </w:p>
          <w:p>
            <w:pPr>
              <w:tabs>
                <w:tab w:val="left" w:pos="7478"/>
              </w:tabs>
              <w:spacing w:line="360" w:lineRule="auto"/>
              <w:ind w:firstLine="420" w:firstLineChars="200"/>
              <w:rPr>
                <w:color w:val="auto"/>
                <w:szCs w:val="21"/>
              </w:rPr>
            </w:pPr>
            <w:r>
              <w:rPr>
                <w:rFonts w:hint="eastAsia"/>
                <w:color w:val="auto"/>
                <w:szCs w:val="21"/>
              </w:rPr>
              <w:t xml:space="preserve"> 本项目医疗废水处理方案工艺流程如下：</w:t>
            </w:r>
          </w:p>
          <w:p>
            <w:pPr>
              <w:tabs>
                <w:tab w:val="left" w:pos="7478"/>
              </w:tabs>
              <w:spacing w:line="360" w:lineRule="auto"/>
              <w:rPr>
                <w:color w:val="auto"/>
                <w:szCs w:val="21"/>
              </w:rPr>
            </w:pPr>
          </w:p>
          <w:p>
            <w:pPr>
              <w:tabs>
                <w:tab w:val="left" w:pos="7478"/>
              </w:tabs>
              <w:spacing w:line="360" w:lineRule="auto"/>
              <w:ind w:firstLine="420" w:firstLineChars="200"/>
              <w:rPr>
                <w:color w:val="auto"/>
                <w:szCs w:val="21"/>
              </w:rPr>
            </w:pPr>
          </w:p>
          <w:p>
            <w:pPr>
              <w:tabs>
                <w:tab w:val="left" w:pos="7478"/>
              </w:tabs>
              <w:spacing w:line="360" w:lineRule="auto"/>
              <w:ind w:firstLine="420" w:firstLineChars="200"/>
              <w:rPr>
                <w:color w:val="auto"/>
                <w:szCs w:val="21"/>
              </w:rPr>
            </w:pPr>
            <w:r>
              <w:rPr>
                <w:color w:val="auto"/>
              </w:rPr>
              <mc:AlternateContent>
                <mc:Choice Requires="wps">
                  <w:drawing>
                    <wp:anchor distT="0" distB="0" distL="114300" distR="114300" simplePos="0" relativeHeight="251707392" behindDoc="0" locked="0" layoutInCell="1" allowOverlap="1">
                      <wp:simplePos x="0" y="0"/>
                      <wp:positionH relativeFrom="column">
                        <wp:posOffset>1809750</wp:posOffset>
                      </wp:positionH>
                      <wp:positionV relativeFrom="paragraph">
                        <wp:posOffset>23495</wp:posOffset>
                      </wp:positionV>
                      <wp:extent cx="1441450" cy="286385"/>
                      <wp:effectExtent l="0" t="0" r="6350" b="18415"/>
                      <wp:wrapNone/>
                      <wp:docPr id="15" name="文本框 15"/>
                      <wp:cNvGraphicFramePr/>
                      <a:graphic xmlns:a="http://schemas.openxmlformats.org/drawingml/2006/main">
                        <a:graphicData uri="http://schemas.microsoft.com/office/word/2010/wordprocessingShape">
                          <wps:wsp>
                            <wps:cNvSpPr txBox="1"/>
                            <wps:spPr>
                              <a:xfrm>
                                <a:off x="3180715" y="5320665"/>
                                <a:ext cx="1441450" cy="286385"/>
                              </a:xfrm>
                              <a:prstGeom prst="rect">
                                <a:avLst/>
                              </a:prstGeom>
                              <a:solidFill>
                                <a:srgbClr val="FFFFFF"/>
                              </a:solidFill>
                              <a:ln w="6350">
                                <a:noFill/>
                              </a:ln>
                              <a:effectLst/>
                            </wps:spPr>
                            <wps:txbx>
                              <w:txbxContent>
                                <w:p>
                                  <w:r>
                                    <w:rPr>
                                      <w:rFonts w:hint="eastAsia"/>
                                    </w:rPr>
                                    <w:t xml:space="preserve">      医疗废水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2.5pt;margin-top:1.85pt;height:22.55pt;width:113.5pt;z-index:251707392;mso-width-relative:page;mso-height-relative:page;" fillcolor="#FFFFFF" filled="t" stroked="f" coordsize="21600,21600" o:gfxdata="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C7&#10;wokA1AAAAAgBAAAPAAAAAAAAAAEAIAAAACIAAABkcnMvZG93bnJldi54bWxQSwECFAAUAAAACACH&#10;TuJA/DwQpWECAACrBAAADgAAAAAAAAABACAAAAAjAQAAZHJzL2Uyb0RvYy54bWxQSwUGAAAAAAYA&#10;BgBZAQAA9gUAAAAA&#10;">
                      <v:fill on="t" focussize="0,0"/>
                      <v:stroke on="f" weight="0.5pt"/>
                      <v:imagedata o:title=""/>
                      <o:lock v:ext="edit" aspectratio="f"/>
                      <v:textbox>
                        <w:txbxContent>
                          <w:p>
                            <w:r>
                              <w:rPr>
                                <w:rFonts w:hint="eastAsia"/>
                              </w:rPr>
                              <w:t xml:space="preserve">      医疗废水</w:t>
                            </w:r>
                          </w:p>
                        </w:txbxContent>
                      </v:textbox>
                    </v:shape>
                  </w:pict>
                </mc:Fallback>
              </mc:AlternateContent>
            </w:r>
          </w:p>
          <w:p>
            <w:pPr>
              <w:tabs>
                <w:tab w:val="left" w:pos="7478"/>
              </w:tabs>
              <w:spacing w:line="360" w:lineRule="auto"/>
              <w:ind w:firstLine="480" w:firstLineChars="200"/>
              <w:rPr>
                <w:color w:val="auto"/>
                <w:szCs w:val="21"/>
              </w:rPr>
            </w:pPr>
            <w:r>
              <w:rPr>
                <w:rFonts w:hAnsi="宋体"/>
                <w:color w:val="auto"/>
                <w:sz w:val="24"/>
              </w:rPr>
              <mc:AlternateContent>
                <mc:Choice Requires="wps">
                  <w:drawing>
                    <wp:anchor distT="0" distB="0" distL="114300" distR="114300" simplePos="0" relativeHeight="251708416" behindDoc="0" locked="0" layoutInCell="1" allowOverlap="1">
                      <wp:simplePos x="0" y="0"/>
                      <wp:positionH relativeFrom="column">
                        <wp:posOffset>2550795</wp:posOffset>
                      </wp:positionH>
                      <wp:positionV relativeFrom="paragraph">
                        <wp:posOffset>89535</wp:posOffset>
                      </wp:positionV>
                      <wp:extent cx="0" cy="295910"/>
                      <wp:effectExtent l="38100" t="0" r="38100" b="8890"/>
                      <wp:wrapNone/>
                      <wp:docPr id="65" name="直接连接符 65"/>
                      <wp:cNvGraphicFramePr/>
                      <a:graphic xmlns:a="http://schemas.openxmlformats.org/drawingml/2006/main">
                        <a:graphicData uri="http://schemas.microsoft.com/office/word/2010/wordprocessingShape">
                          <wps:wsp>
                            <wps:cNvCnPr/>
                            <wps:spPr>
                              <a:xfrm>
                                <a:off x="0" y="0"/>
                                <a:ext cx="0" cy="2959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0.85pt;margin-top:7.05pt;height:23.3pt;width:0pt;z-index:251708416;mso-width-relative:page;mso-height-relative:page;" filled="f" stroked="t" coordsize="21600,21600" o:gfxdata="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L40HQ1wAAAAkBAAAPAAAAAAAAAAEAIAAAACIAAABkcnMvZG93&#10;bnJldi54bWxQSwECFAAUAAAACACHTuJA2vzzpAECAAD3AwAADgAAAAAAAAABACAAAAAmAQAAZHJz&#10;L2Uyb0RvYy54bWxQSwUGAAAAAAYABgBZAQAAmQUAAAAA&#10;">
                      <v:fill on="f" focussize="0,0"/>
                      <v:stroke color="#000000" joinstyle="round" endarrow="block"/>
                      <v:imagedata o:title=""/>
                      <o:lock v:ext="edit" aspectratio="f"/>
                    </v:line>
                  </w:pict>
                </mc:Fallback>
              </mc:AlternateContent>
            </w:r>
          </w:p>
          <w:p>
            <w:pPr>
              <w:tabs>
                <w:tab w:val="left" w:pos="7478"/>
              </w:tabs>
              <w:spacing w:line="360" w:lineRule="auto"/>
              <w:ind w:firstLine="420" w:firstLineChars="200"/>
              <w:rPr>
                <w:color w:val="auto"/>
                <w:szCs w:val="21"/>
              </w:rPr>
            </w:pPr>
            <w:r>
              <w:rPr>
                <w:color w:val="auto"/>
              </w:rPr>
              <mc:AlternateContent>
                <mc:Choice Requires="wps">
                  <w:drawing>
                    <wp:anchor distT="0" distB="0" distL="114300" distR="114300" simplePos="0" relativeHeight="251713536" behindDoc="0" locked="0" layoutInCell="1" allowOverlap="1">
                      <wp:simplePos x="0" y="0"/>
                      <wp:positionH relativeFrom="column">
                        <wp:posOffset>1157605</wp:posOffset>
                      </wp:positionH>
                      <wp:positionV relativeFrom="paragraph">
                        <wp:posOffset>71755</wp:posOffset>
                      </wp:positionV>
                      <wp:extent cx="741045" cy="286385"/>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741045" cy="286385"/>
                              </a:xfrm>
                              <a:prstGeom prst="rect">
                                <a:avLst/>
                              </a:prstGeom>
                              <a:noFill/>
                              <a:ln w="6350">
                                <a:noFill/>
                              </a:ln>
                              <a:effectLst/>
                            </wps:spPr>
                            <wps:txbx>
                              <w:txbxContent>
                                <w:p>
                                  <w:r>
                                    <w:rPr>
                                      <w:rFonts w:hint="eastAsia"/>
                                    </w:rPr>
                                    <w:t>次氯酸钠</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15pt;margin-top:5.65pt;height:22.55pt;width:58.35pt;z-index:251713536;mso-width-relative:page;mso-height-relative:page;" filled="f" stroked="f" coordsize="21600,21600" o:gfxdata="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FjObAvaAAAACQEAAA8AAAAAAAAAAQAgAAAA&#10;IgAAAGRycy9kb3ducmV2LnhtbFBLAQIUABQAAAAIAIdO4kBUOVcrQgIAAHUEAAAOAAAAAAAAAAEA&#10;IAAAACkBAABkcnMvZTJvRG9jLnhtbFBLBQYAAAAABgAGAFkBAADdBQAAAAA=&#10;">
                      <v:fill on="f" focussize="0,0"/>
                      <v:stroke on="f" weight="0.5pt"/>
                      <v:imagedata o:title=""/>
                      <o:lock v:ext="edit" aspectratio="f"/>
                      <v:textbox>
                        <w:txbxContent>
                          <w:p>
                            <w:r>
                              <w:rPr>
                                <w:rFonts w:hint="eastAsia"/>
                              </w:rPr>
                              <w:t>次氯酸钠</w:t>
                            </w:r>
                          </w:p>
                        </w:txbxContent>
                      </v:textbox>
                    </v:shape>
                  </w:pict>
                </mc:Fallback>
              </mc:AlternateContent>
            </w:r>
            <w:r>
              <w:rPr>
                <w:color w:val="auto"/>
              </w:rPr>
              <mc:AlternateContent>
                <mc:Choice Requires="wps">
                  <w:drawing>
                    <wp:anchor distT="0" distB="0" distL="114300" distR="114300" simplePos="0" relativeHeight="251709440" behindDoc="0" locked="0" layoutInCell="1" allowOverlap="1">
                      <wp:simplePos x="0" y="0"/>
                      <wp:positionH relativeFrom="column">
                        <wp:posOffset>1833880</wp:posOffset>
                      </wp:positionH>
                      <wp:positionV relativeFrom="paragraph">
                        <wp:posOffset>160655</wp:posOffset>
                      </wp:positionV>
                      <wp:extent cx="1441450" cy="286385"/>
                      <wp:effectExtent l="4445" t="4445" r="20955" b="13970"/>
                      <wp:wrapNone/>
                      <wp:docPr id="43" name="文本框 43"/>
                      <wp:cNvGraphicFramePr/>
                      <a:graphic xmlns:a="http://schemas.openxmlformats.org/drawingml/2006/main">
                        <a:graphicData uri="http://schemas.microsoft.com/office/word/2010/wordprocessingShape">
                          <wps:wsp>
                            <wps:cNvSpPr txBox="1"/>
                            <wps:spPr>
                              <a:xfrm>
                                <a:off x="0" y="0"/>
                                <a:ext cx="1441450" cy="286385"/>
                              </a:xfrm>
                              <a:prstGeom prst="rect">
                                <a:avLst/>
                              </a:prstGeom>
                              <a:solidFill>
                                <a:srgbClr val="FFFFFF"/>
                              </a:solidFill>
                              <a:ln w="6350">
                                <a:solidFill>
                                  <a:prstClr val="black"/>
                                </a:solidFill>
                              </a:ln>
                              <a:effectLst/>
                            </wps:spPr>
                            <wps:txbx>
                              <w:txbxContent>
                                <w:p>
                                  <w:pPr>
                                    <w:rPr>
                                      <w:color w:val="FF0000"/>
                                    </w:rPr>
                                  </w:pPr>
                                  <w:r>
                                    <w:rPr>
                                      <w:rFonts w:hint="eastAsia"/>
                                    </w:rPr>
                                    <w:t xml:space="preserve">    </w:t>
                                  </w:r>
                                  <w:r>
                                    <w:rPr>
                                      <w:rFonts w:hint="eastAsia"/>
                                      <w:lang w:val="en-US" w:eastAsia="zh-CN"/>
                                    </w:rPr>
                                    <w:t xml:space="preserve">  </w:t>
                                  </w:r>
                                  <w:r>
                                    <w:rPr>
                                      <w:rFonts w:hint="eastAsia"/>
                                      <w:color w:val="auto"/>
                                      <w:szCs w:val="21"/>
                                    </w:rPr>
                                    <w:t>消毒池</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4.4pt;margin-top:12.65pt;height:22.55pt;width:113.5pt;z-index:251709440;mso-width-relative:page;mso-height-relative:page;" fillcolor="#FFFFFF" filled="t" stroked="t" coordsize="21600,21600" o:gfxdata="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DF7yN0&#10;1gAAAAkBAAAPAAAAAAAAAAEAIAAAACIAAABkcnMvZG93bnJldi54bWxQSwECFAAUAAAACACHTuJA&#10;9dMEDFwCAADHBAAADgAAAAAAAAABACAAAAAlAQAAZHJzL2Uyb0RvYy54bWxQSwUGAAAAAAYABgBZ&#10;AQAA8wUAAAAA&#10;">
                      <v:fill on="t" focussize="0,0"/>
                      <v:stroke weight="0.5pt" color="#000000" joinstyle="round"/>
                      <v:imagedata o:title=""/>
                      <o:lock v:ext="edit" aspectratio="f"/>
                      <v:textbox>
                        <w:txbxContent>
                          <w:p>
                            <w:pPr>
                              <w:rPr>
                                <w:color w:val="FF0000"/>
                              </w:rPr>
                            </w:pPr>
                            <w:r>
                              <w:rPr>
                                <w:rFonts w:hint="eastAsia"/>
                              </w:rPr>
                              <w:t xml:space="preserve">    </w:t>
                            </w:r>
                            <w:r>
                              <w:rPr>
                                <w:rFonts w:hint="eastAsia"/>
                                <w:lang w:val="en-US" w:eastAsia="zh-CN"/>
                              </w:rPr>
                              <w:t xml:space="preserve">  </w:t>
                            </w:r>
                            <w:r>
                              <w:rPr>
                                <w:rFonts w:hint="eastAsia"/>
                                <w:color w:val="auto"/>
                                <w:szCs w:val="21"/>
                              </w:rPr>
                              <w:t>消毒池</w:t>
                            </w:r>
                          </w:p>
                        </w:txbxContent>
                      </v:textbox>
                    </v:shape>
                  </w:pict>
                </mc:Fallback>
              </mc:AlternateContent>
            </w:r>
          </w:p>
          <w:p>
            <w:pPr>
              <w:tabs>
                <w:tab w:val="left" w:pos="7478"/>
              </w:tabs>
              <w:spacing w:line="360" w:lineRule="auto"/>
              <w:ind w:firstLine="480" w:firstLineChars="200"/>
              <w:rPr>
                <w:color w:val="auto"/>
                <w:szCs w:val="21"/>
              </w:rPr>
            </w:pPr>
            <w:r>
              <w:rPr>
                <w:rFonts w:hAnsi="宋体"/>
                <w:color w:val="auto"/>
                <w:sz w:val="24"/>
              </w:rPr>
              <mc:AlternateContent>
                <mc:Choice Requires="wps">
                  <w:drawing>
                    <wp:anchor distT="0" distB="0" distL="114300" distR="114300" simplePos="0" relativeHeight="251712512" behindDoc="0" locked="0" layoutInCell="1" allowOverlap="1">
                      <wp:simplePos x="0" y="0"/>
                      <wp:positionH relativeFrom="column">
                        <wp:posOffset>1346200</wp:posOffset>
                      </wp:positionH>
                      <wp:positionV relativeFrom="paragraph">
                        <wp:posOffset>86360</wp:posOffset>
                      </wp:positionV>
                      <wp:extent cx="493395" cy="9525"/>
                      <wp:effectExtent l="0" t="36830" r="1905" b="29845"/>
                      <wp:wrapNone/>
                      <wp:docPr id="50" name="直接连接符 50"/>
                      <wp:cNvGraphicFramePr/>
                      <a:graphic xmlns:a="http://schemas.openxmlformats.org/drawingml/2006/main">
                        <a:graphicData uri="http://schemas.microsoft.com/office/word/2010/wordprocessingShape">
                          <wps:wsp>
                            <wps:cNvCnPr/>
                            <wps:spPr>
                              <a:xfrm flipV="1">
                                <a:off x="0" y="0"/>
                                <a:ext cx="493395" cy="9525"/>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flip:y;margin-left:106pt;margin-top:6.8pt;height:0.75pt;width:38.85pt;z-index:251712512;mso-width-relative:page;mso-height-relative:page;" filled="f" stroked="t" coordsize="21600,21600" o:gfxdata="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RMCXfNkAAAAJAQAADwAAAAAAAAABACAAAAAiAAAA&#10;ZHJzL2Rvd25yZXYueG1sUEsBAhQAFAAAAAgAh07iQDPIdewGAgAABAQAAA4AAAAAAAAAAQAgAAAA&#10;KAEAAGRycy9lMm9Eb2MueG1sUEsFBgAAAAAGAAYAWQEAAKAFAAAAAA==&#10;">
                      <v:fill on="f" focussize="0,0"/>
                      <v:stroke color="#000000" joinstyle="round" endarrow="block"/>
                      <v:imagedata o:title=""/>
                      <o:lock v:ext="edit" aspectratio="f"/>
                    </v:line>
                  </w:pict>
                </mc:Fallback>
              </mc:AlternateContent>
            </w:r>
            <w:r>
              <w:rPr>
                <w:rFonts w:hAnsi="宋体"/>
                <w:color w:val="auto"/>
                <w:sz w:val="24"/>
              </w:rPr>
              <mc:AlternateContent>
                <mc:Choice Requires="wps">
                  <w:drawing>
                    <wp:anchor distT="0" distB="0" distL="114300" distR="114300" simplePos="0" relativeHeight="251710464" behindDoc="0" locked="0" layoutInCell="1" allowOverlap="1">
                      <wp:simplePos x="0" y="0"/>
                      <wp:positionH relativeFrom="column">
                        <wp:posOffset>2565400</wp:posOffset>
                      </wp:positionH>
                      <wp:positionV relativeFrom="paragraph">
                        <wp:posOffset>216535</wp:posOffset>
                      </wp:positionV>
                      <wp:extent cx="0" cy="295910"/>
                      <wp:effectExtent l="38100" t="0" r="38100" b="8890"/>
                      <wp:wrapNone/>
                      <wp:docPr id="44" name="直接连接符 44"/>
                      <wp:cNvGraphicFramePr/>
                      <a:graphic xmlns:a="http://schemas.openxmlformats.org/drawingml/2006/main">
                        <a:graphicData uri="http://schemas.microsoft.com/office/word/2010/wordprocessingShape">
                          <wps:wsp>
                            <wps:cNvCnPr/>
                            <wps:spPr>
                              <a:xfrm>
                                <a:off x="0" y="0"/>
                                <a:ext cx="0" cy="2959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2pt;margin-top:17.05pt;height:23.3pt;width:0pt;z-index:251710464;mso-width-relative:page;mso-height-relative:page;" filled="f" stroked="t" coordsize="21600,21600" o:gfxdata="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MB33IDZAAAACQEAAA8AAAAAAAAAAQAgAAAAIgAAAGRycy9k&#10;b3ducmV2LnhtbFBLAQIUABQAAAAIAIdO4kBZofZdAQIAAPcDAAAOAAAAAAAAAAEAIAAAACgBAABk&#10;cnMvZTJvRG9jLnhtbFBLBQYAAAAABgAGAFkBAACbBQAAAAA=&#10;">
                      <v:fill on="f" focussize="0,0"/>
                      <v:stroke color="#000000" joinstyle="round" endarrow="block"/>
                      <v:imagedata o:title=""/>
                      <o:lock v:ext="edit" aspectratio="f"/>
                    </v:line>
                  </w:pict>
                </mc:Fallback>
              </mc:AlternateContent>
            </w:r>
          </w:p>
          <w:p>
            <w:pPr>
              <w:tabs>
                <w:tab w:val="left" w:pos="7478"/>
              </w:tabs>
              <w:spacing w:line="360" w:lineRule="auto"/>
              <w:ind w:firstLine="420" w:firstLineChars="200"/>
              <w:rPr>
                <w:color w:val="auto"/>
                <w:szCs w:val="21"/>
              </w:rPr>
            </w:pPr>
          </w:p>
          <w:p>
            <w:pPr>
              <w:tabs>
                <w:tab w:val="left" w:pos="7478"/>
              </w:tabs>
              <w:spacing w:line="360" w:lineRule="auto"/>
              <w:ind w:firstLine="420" w:firstLineChars="200"/>
              <w:rPr>
                <w:color w:val="auto"/>
                <w:szCs w:val="21"/>
              </w:rPr>
            </w:pPr>
            <w:r>
              <w:rPr>
                <w:color w:val="auto"/>
              </w:rPr>
              <mc:AlternateContent>
                <mc:Choice Requires="wps">
                  <w:drawing>
                    <wp:anchor distT="0" distB="0" distL="114300" distR="114300" simplePos="0" relativeHeight="251711488" behindDoc="0" locked="0" layoutInCell="1" allowOverlap="1">
                      <wp:simplePos x="0" y="0"/>
                      <wp:positionH relativeFrom="column">
                        <wp:posOffset>1847850</wp:posOffset>
                      </wp:positionH>
                      <wp:positionV relativeFrom="paragraph">
                        <wp:posOffset>41910</wp:posOffset>
                      </wp:positionV>
                      <wp:extent cx="1441450" cy="286385"/>
                      <wp:effectExtent l="4445" t="4445" r="20955" b="13970"/>
                      <wp:wrapNone/>
                      <wp:docPr id="47" name="文本框 47"/>
                      <wp:cNvGraphicFramePr/>
                      <a:graphic xmlns:a="http://schemas.openxmlformats.org/drawingml/2006/main">
                        <a:graphicData uri="http://schemas.microsoft.com/office/word/2010/wordprocessingShape">
                          <wps:wsp>
                            <wps:cNvSpPr txBox="1"/>
                            <wps:spPr>
                              <a:xfrm>
                                <a:off x="0" y="0"/>
                                <a:ext cx="1441450" cy="286385"/>
                              </a:xfrm>
                              <a:prstGeom prst="rect">
                                <a:avLst/>
                              </a:prstGeom>
                              <a:solidFill>
                                <a:srgbClr val="FFFFFF"/>
                              </a:solidFill>
                              <a:ln w="6350">
                                <a:solidFill>
                                  <a:prstClr val="black"/>
                                </a:solidFill>
                              </a:ln>
                              <a:effectLst/>
                            </wps:spPr>
                            <wps:txbx>
                              <w:txbxContent>
                                <w:p>
                                  <w:r>
                                    <w:rPr>
                                      <w:rFonts w:hint="eastAsia"/>
                                    </w:rPr>
                                    <w:t xml:space="preserve">     预处理池</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5.5pt;margin-top:3.3pt;height:22.55pt;width:113.5pt;z-index:251711488;mso-width-relative:page;mso-height-relative:page;" fillcolor="#FFFFFF" filled="t" stroked="t" coordsize="21600,21600" o:gfxdata="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DFDo/h&#10;1QAAAAgBAAAPAAAAAAAAAAEAIAAAACIAAABkcnMvZG93bnJldi54bWxQSwECFAAUAAAACACHTuJA&#10;m7xS0V0CAADHBAAADgAAAAAAAAABACAAAAAkAQAAZHJzL2Uyb0RvYy54bWxQSwUGAAAAAAYABgBZ&#10;AQAA8wUAAAAA&#10;">
                      <v:fill on="t" focussize="0,0"/>
                      <v:stroke weight="0.5pt" color="#000000" joinstyle="round"/>
                      <v:imagedata o:title=""/>
                      <o:lock v:ext="edit" aspectratio="f"/>
                      <v:textbox>
                        <w:txbxContent>
                          <w:p>
                            <w:r>
                              <w:rPr>
                                <w:rFonts w:hint="eastAsia"/>
                              </w:rPr>
                              <w:t xml:space="preserve">     预处理池</w:t>
                            </w:r>
                          </w:p>
                        </w:txbxContent>
                      </v:textbox>
                    </v:shape>
                  </w:pict>
                </mc:Fallback>
              </mc:AlternateContent>
            </w:r>
          </w:p>
          <w:p>
            <w:pPr>
              <w:tabs>
                <w:tab w:val="left" w:pos="7478"/>
              </w:tabs>
              <w:spacing w:line="360" w:lineRule="auto"/>
              <w:ind w:firstLine="480" w:firstLineChars="200"/>
              <w:rPr>
                <w:color w:val="auto"/>
                <w:szCs w:val="21"/>
              </w:rPr>
            </w:pPr>
            <w:r>
              <w:rPr>
                <w:rFonts w:hAnsi="宋体"/>
                <w:color w:val="auto"/>
                <w:sz w:val="24"/>
              </w:rPr>
              <mc:AlternateContent>
                <mc:Choice Requires="wps">
                  <w:drawing>
                    <wp:anchor distT="0" distB="0" distL="114300" distR="114300" simplePos="0" relativeHeight="251714560" behindDoc="0" locked="0" layoutInCell="1" allowOverlap="1">
                      <wp:simplePos x="0" y="0"/>
                      <wp:positionH relativeFrom="column">
                        <wp:posOffset>2579370</wp:posOffset>
                      </wp:positionH>
                      <wp:positionV relativeFrom="paragraph">
                        <wp:posOffset>118110</wp:posOffset>
                      </wp:positionV>
                      <wp:extent cx="0" cy="295910"/>
                      <wp:effectExtent l="38100" t="0" r="38100" b="8890"/>
                      <wp:wrapNone/>
                      <wp:docPr id="52" name="直接连接符 52"/>
                      <wp:cNvGraphicFramePr/>
                      <a:graphic xmlns:a="http://schemas.openxmlformats.org/drawingml/2006/main">
                        <a:graphicData uri="http://schemas.microsoft.com/office/word/2010/wordprocessingShape">
                          <wps:wsp>
                            <wps:cNvCnPr/>
                            <wps:spPr>
                              <a:xfrm>
                                <a:off x="0" y="0"/>
                                <a:ext cx="0" cy="295910"/>
                              </a:xfrm>
                              <a:prstGeom prst="line">
                                <a:avLst/>
                              </a:prstGeom>
                              <a:ln w="9525" cap="flat" cmpd="sng">
                                <a:solidFill>
                                  <a:srgbClr val="000000"/>
                                </a:solidFill>
                                <a:prstDash val="solid"/>
                                <a:headEnd type="none" w="med" len="med"/>
                                <a:tailEnd type="triangle" w="med" len="med"/>
                              </a:ln>
                              <a:effectLst/>
                            </wps:spPr>
                            <wps:bodyPr upright="1"/>
                          </wps:wsp>
                        </a:graphicData>
                      </a:graphic>
                    </wp:anchor>
                  </w:drawing>
                </mc:Choice>
                <mc:Fallback>
                  <w:pict>
                    <v:line id="_x0000_s1026" o:spid="_x0000_s1026" o:spt="20" style="position:absolute;left:0pt;margin-left:203.1pt;margin-top:9.3pt;height:23.3pt;width:0pt;z-index:251714560;mso-width-relative:page;mso-height-relative:page;" filled="f" stroked="t" coordsize="21600,21600" o:gfxdata="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XelIftgAAAAJAQAADwAAAAAAAAABACAAAAAiAAAAZHJzL2Rv&#10;d25yZXYueG1sUEsBAhQAFAAAAAgAh07iQLCuIDoBAgAA9wMAAA4AAAAAAAAAAQAgAAAAJwEAAGRy&#10;cy9lMm9Eb2MueG1sUEsFBgAAAAAGAAYAWQEAAJoFAAAAAA==&#10;">
                      <v:fill on="f" focussize="0,0"/>
                      <v:stroke color="#000000" joinstyle="round" endarrow="block"/>
                      <v:imagedata o:title=""/>
                      <o:lock v:ext="edit" aspectratio="f"/>
                    </v:line>
                  </w:pict>
                </mc:Fallback>
              </mc:AlternateContent>
            </w:r>
          </w:p>
          <w:p>
            <w:pPr>
              <w:tabs>
                <w:tab w:val="left" w:pos="7478"/>
              </w:tabs>
              <w:spacing w:line="360" w:lineRule="auto"/>
              <w:ind w:firstLine="420" w:firstLineChars="200"/>
              <w:rPr>
                <w:color w:val="auto"/>
                <w:szCs w:val="21"/>
              </w:rPr>
            </w:pPr>
            <w:r>
              <w:rPr>
                <w:color w:val="auto"/>
              </w:rPr>
              <mc:AlternateContent>
                <mc:Choice Requires="wps">
                  <w:drawing>
                    <wp:anchor distT="0" distB="0" distL="114300" distR="114300" simplePos="0" relativeHeight="251715584" behindDoc="0" locked="0" layoutInCell="1" allowOverlap="1">
                      <wp:simplePos x="0" y="0"/>
                      <wp:positionH relativeFrom="column">
                        <wp:posOffset>1560830</wp:posOffset>
                      </wp:positionH>
                      <wp:positionV relativeFrom="paragraph">
                        <wp:posOffset>149225</wp:posOffset>
                      </wp:positionV>
                      <wp:extent cx="1945640" cy="286385"/>
                      <wp:effectExtent l="0" t="0" r="16510" b="18415"/>
                      <wp:wrapNone/>
                      <wp:docPr id="53" name="文本框 53"/>
                      <wp:cNvGraphicFramePr/>
                      <a:graphic xmlns:a="http://schemas.openxmlformats.org/drawingml/2006/main">
                        <a:graphicData uri="http://schemas.microsoft.com/office/word/2010/wordprocessingShape">
                          <wps:wsp>
                            <wps:cNvSpPr txBox="1"/>
                            <wps:spPr>
                              <a:xfrm>
                                <a:off x="0" y="0"/>
                                <a:ext cx="1945640" cy="286385"/>
                              </a:xfrm>
                              <a:prstGeom prst="rect">
                                <a:avLst/>
                              </a:prstGeom>
                              <a:solidFill>
                                <a:srgbClr val="FFFFFF"/>
                              </a:solidFill>
                              <a:ln w="6350">
                                <a:noFill/>
                              </a:ln>
                              <a:effectLst/>
                            </wps:spPr>
                            <wps:txbx>
                              <w:txbxContent>
                                <w:p>
                                  <w:pPr>
                                    <w:rPr>
                                      <w:rFonts w:hint="eastAsia" w:eastAsia="宋体"/>
                                      <w:color w:val="auto"/>
                                      <w:lang w:eastAsia="zh-CN"/>
                                    </w:rPr>
                                  </w:pPr>
                                  <w:r>
                                    <w:rPr>
                                      <w:rFonts w:hint="eastAsia"/>
                                      <w:color w:val="auto"/>
                                      <w:lang w:eastAsia="zh-CN"/>
                                    </w:rPr>
                                    <w:t>苍溪县石家坝城市污水处理厂</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2.9pt;margin-top:11.75pt;height:22.55pt;width:153.2pt;z-index:251715584;mso-width-relative:page;mso-height-relative:page;" fillcolor="#FFFFFF" filled="t" stroked="f" coordsize="21600,21600" o:gfxdata="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Y7rxx9UAAAAJAQAA&#10;DwAAAAAAAAABACAAAAAiAAAAZHJzL2Rvd25yZXYueG1sUEsBAhQAFAAAAAgAh07iQNcUBX5VAgAA&#10;nwQAAA4AAAAAAAAAAQAgAAAAJAEAAGRycy9lMm9Eb2MueG1sUEsFBgAAAAAGAAYAWQEAAOsFAAAA&#10;AA==&#10;">
                      <v:fill on="t" focussize="0,0"/>
                      <v:stroke on="f" weight="0.5pt"/>
                      <v:imagedata o:title=""/>
                      <o:lock v:ext="edit" aspectratio="f"/>
                      <v:textbox>
                        <w:txbxContent>
                          <w:p>
                            <w:pPr>
                              <w:rPr>
                                <w:rFonts w:hint="eastAsia" w:eastAsia="宋体"/>
                                <w:color w:val="auto"/>
                                <w:lang w:eastAsia="zh-CN"/>
                              </w:rPr>
                            </w:pPr>
                            <w:r>
                              <w:rPr>
                                <w:rFonts w:hint="eastAsia"/>
                                <w:color w:val="auto"/>
                                <w:lang w:eastAsia="zh-CN"/>
                              </w:rPr>
                              <w:t>苍溪县石家坝城市污水处理厂</w:t>
                            </w:r>
                          </w:p>
                          <w:p/>
                        </w:txbxContent>
                      </v:textbox>
                    </v:shape>
                  </w:pict>
                </mc:Fallback>
              </mc:AlternateContent>
            </w:r>
          </w:p>
          <w:p>
            <w:pPr>
              <w:tabs>
                <w:tab w:val="left" w:pos="7478"/>
              </w:tabs>
              <w:spacing w:line="360" w:lineRule="auto"/>
              <w:ind w:firstLine="420" w:firstLineChars="200"/>
              <w:rPr>
                <w:color w:val="auto"/>
                <w:szCs w:val="21"/>
              </w:rPr>
            </w:pPr>
          </w:p>
          <w:p>
            <w:pPr>
              <w:tabs>
                <w:tab w:val="left" w:pos="7478"/>
              </w:tabs>
              <w:spacing w:line="360" w:lineRule="auto"/>
              <w:ind w:firstLine="420" w:firstLineChars="200"/>
              <w:rPr>
                <w:color w:val="auto"/>
                <w:szCs w:val="21"/>
              </w:rPr>
            </w:pPr>
            <w:r>
              <w:rPr>
                <w:color w:val="auto"/>
              </w:rPr>
              <mc:AlternateContent>
                <mc:Choice Requires="wps">
                  <w:drawing>
                    <wp:anchor distT="0" distB="0" distL="114300" distR="114300" simplePos="0" relativeHeight="251716608" behindDoc="0" locked="0" layoutInCell="1" allowOverlap="1">
                      <wp:simplePos x="0" y="0"/>
                      <wp:positionH relativeFrom="column">
                        <wp:posOffset>1293495</wp:posOffset>
                      </wp:positionH>
                      <wp:positionV relativeFrom="paragraph">
                        <wp:posOffset>63500</wp:posOffset>
                      </wp:positionV>
                      <wp:extent cx="2576195" cy="286385"/>
                      <wp:effectExtent l="0" t="0" r="14605" b="18415"/>
                      <wp:wrapNone/>
                      <wp:docPr id="54" name="文本框 54"/>
                      <wp:cNvGraphicFramePr/>
                      <a:graphic xmlns:a="http://schemas.openxmlformats.org/drawingml/2006/main">
                        <a:graphicData uri="http://schemas.microsoft.com/office/word/2010/wordprocessingShape">
                          <wps:wsp>
                            <wps:cNvSpPr txBox="1"/>
                            <wps:spPr>
                              <a:xfrm>
                                <a:off x="0" y="0"/>
                                <a:ext cx="2576195" cy="286385"/>
                              </a:xfrm>
                              <a:prstGeom prst="rect">
                                <a:avLst/>
                              </a:prstGeom>
                              <a:solidFill>
                                <a:srgbClr val="FFFFFF"/>
                              </a:solidFill>
                              <a:ln w="6350">
                                <a:noFill/>
                              </a:ln>
                              <a:effectLst/>
                            </wps:spPr>
                            <wps:txbx>
                              <w:txbxContent>
                                <w:p>
                                  <w:pPr>
                                    <w:rPr>
                                      <w:b/>
                                      <w:bCs/>
                                    </w:rPr>
                                  </w:pPr>
                                  <w:r>
                                    <w:rPr>
                                      <w:b/>
                                      <w:bCs/>
                                    </w:rPr>
                                    <w:t>图4-1 本项目医疗废水处理工艺流程图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1.85pt;margin-top:5pt;height:22.55pt;width:202.85pt;z-index:251716608;mso-width-relative:page;mso-height-relative:page;" fillcolor="#FFFFFF" filled="t" stroked="f" coordsize="21600,21600" o:gfxdata="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N7T4D7UAAAACQEA&#10;AA8AAAAAAAAAAQAgAAAAIgAAAGRycy9kb3ducmV2LnhtbFBLAQIUABQAAAAIAIdO4kDlaELvVwIA&#10;AJ8EAAAOAAAAAAAAAAEAIAAAACMBAABkcnMvZTJvRG9jLnhtbFBLBQYAAAAABgAGAFkBAADsBQAA&#10;AAA=&#10;">
                      <v:fill on="t" focussize="0,0"/>
                      <v:stroke on="f" weight="0.5pt"/>
                      <v:imagedata o:title=""/>
                      <o:lock v:ext="edit" aspectratio="f"/>
                      <v:textbox>
                        <w:txbxContent>
                          <w:p>
                            <w:pPr>
                              <w:rPr>
                                <w:b/>
                                <w:bCs/>
                              </w:rPr>
                            </w:pPr>
                            <w:r>
                              <w:rPr>
                                <w:b/>
                                <w:bCs/>
                              </w:rPr>
                              <w:t>图4-1 本项目医疗废水处理工艺流程图</w:t>
                            </w:r>
                          </w:p>
                        </w:txbxContent>
                      </v:textbox>
                    </v:shape>
                  </w:pict>
                </mc:Fallback>
              </mc:AlternateContent>
            </w:r>
          </w:p>
          <w:p>
            <w:pPr>
              <w:tabs>
                <w:tab w:val="left" w:pos="7478"/>
              </w:tabs>
              <w:spacing w:line="360" w:lineRule="auto"/>
              <w:ind w:firstLine="420" w:firstLineChars="200"/>
              <w:rPr>
                <w:color w:val="auto"/>
                <w:szCs w:val="21"/>
              </w:rPr>
            </w:pPr>
          </w:p>
          <w:p>
            <w:pPr>
              <w:keepNext w:val="0"/>
              <w:keepLines w:val="0"/>
              <w:pageBreakBefore w:val="0"/>
              <w:widowControl w:val="0"/>
              <w:tabs>
                <w:tab w:val="left" w:pos="7478"/>
              </w:tabs>
              <w:kinsoku/>
              <w:wordWrap w:val="0"/>
              <w:overflowPunct/>
              <w:topLinePunct/>
              <w:autoSpaceDE/>
              <w:autoSpaceDN/>
              <w:bidi w:val="0"/>
              <w:adjustRightInd/>
              <w:snapToGrid/>
              <w:spacing w:line="360" w:lineRule="auto"/>
              <w:ind w:firstLine="420" w:firstLineChars="200"/>
              <w:textAlignment w:val="auto"/>
              <w:rPr>
                <w:color w:val="auto"/>
                <w:szCs w:val="21"/>
              </w:rPr>
            </w:pPr>
            <w:r>
              <w:rPr>
                <w:rFonts w:hint="eastAsia"/>
                <w:color w:val="auto"/>
                <w:szCs w:val="21"/>
              </w:rPr>
              <w:t>处理工艺流程说明：项目医疗废水进入消毒池（</w:t>
            </w:r>
            <w:r>
              <w:rPr>
                <w:color w:val="auto"/>
                <w:szCs w:val="21"/>
              </w:rPr>
              <w:t>处理规模为：</w:t>
            </w:r>
            <w:r>
              <w:rPr>
                <w:rFonts w:hint="eastAsia"/>
                <w:color w:val="auto"/>
                <w:szCs w:val="21"/>
              </w:rPr>
              <w:t>2</w:t>
            </w:r>
            <w:r>
              <w:rPr>
                <w:color w:val="auto"/>
                <w:szCs w:val="21"/>
              </w:rPr>
              <w:t>m</w:t>
            </w:r>
            <w:r>
              <w:rPr>
                <w:color w:val="auto"/>
                <w:szCs w:val="21"/>
                <w:vertAlign w:val="superscript"/>
              </w:rPr>
              <w:t>3</w:t>
            </w:r>
            <w:r>
              <w:rPr>
                <w:color w:val="auto"/>
                <w:szCs w:val="21"/>
              </w:rPr>
              <w:t>/d</w:t>
            </w:r>
            <w:r>
              <w:rPr>
                <w:rFonts w:hint="eastAsia"/>
                <w:color w:val="auto"/>
                <w:szCs w:val="21"/>
              </w:rPr>
              <w:t>）后，由</w:t>
            </w:r>
            <w:r>
              <w:rPr>
                <w:rFonts w:hint="eastAsia"/>
                <w:color w:val="auto"/>
                <w:szCs w:val="21"/>
                <w:lang w:eastAsia="zh-CN"/>
              </w:rPr>
              <w:t>专人</w:t>
            </w:r>
            <w:r>
              <w:rPr>
                <w:rFonts w:hint="eastAsia"/>
                <w:color w:val="auto"/>
                <w:szCs w:val="21"/>
              </w:rPr>
              <w:t>向消毒池内投加次氯酸钠片。污水经过消毒后达到《医疗机构水污染物排放标准》（GB18466-2005）表2中的预处理标准，通过市政污水管网和其他废水进入预处理池处理，最终通过污水管网进入</w:t>
            </w:r>
            <w:r>
              <w:rPr>
                <w:rFonts w:hint="eastAsia"/>
                <w:color w:val="auto"/>
                <w:szCs w:val="21"/>
                <w:lang w:eastAsia="zh-CN"/>
              </w:rPr>
              <w:t>苍溪县石家坝城市污水处理厂</w:t>
            </w:r>
            <w:r>
              <w:rPr>
                <w:rFonts w:hint="eastAsia"/>
                <w:color w:val="auto"/>
                <w:szCs w:val="21"/>
              </w:rPr>
              <w:t>，处理达标后排入嘉陵江。</w:t>
            </w:r>
          </w:p>
          <w:p>
            <w:pPr>
              <w:tabs>
                <w:tab w:val="left" w:pos="7478"/>
              </w:tabs>
              <w:spacing w:line="360" w:lineRule="auto"/>
              <w:ind w:firstLine="420" w:firstLineChars="200"/>
              <w:rPr>
                <w:color w:val="auto"/>
                <w:szCs w:val="21"/>
              </w:rPr>
            </w:pPr>
            <w:r>
              <w:rPr>
                <w:rFonts w:hint="eastAsia"/>
                <w:color w:val="auto"/>
                <w:szCs w:val="21"/>
              </w:rPr>
              <w:t>消毒原理：次氯酸钠溶于水后生成次氯酸，且次氯酸体积小，易穿过细胞壁；同时，它又是一种强氧化剂，能损害细胞膜，使蛋白质、RNA和DNA等物质释出，并影响和干扰多种酶系统（主要是磷酸葡萄糖脱氢酶的巯基被氧化破坏），使糖代谢受阻，从而使细菌死亡，并且能破坏病毒的核酸，使病毒死亡。因此本项目所选择的消毒剂可以满足处理要求。</w:t>
            </w:r>
          </w:p>
          <w:p>
            <w:pPr>
              <w:spacing w:line="360" w:lineRule="auto"/>
              <w:ind w:firstLine="422" w:firstLineChars="200"/>
              <w:rPr>
                <w:color w:val="auto"/>
                <w:szCs w:val="21"/>
              </w:rPr>
            </w:pPr>
            <w:r>
              <w:rPr>
                <w:rFonts w:hint="eastAsia" w:ascii="仿宋" w:hAnsi="仿宋" w:eastAsia="仿宋" w:cs="仿宋"/>
                <w:b/>
                <w:bCs/>
                <w:color w:val="auto"/>
                <w:szCs w:val="21"/>
              </w:rPr>
              <w:t>④</w:t>
            </w:r>
            <w:r>
              <w:rPr>
                <w:rFonts w:hint="eastAsia"/>
                <w:b/>
                <w:bCs/>
                <w:color w:val="auto"/>
                <w:szCs w:val="21"/>
              </w:rPr>
              <w:t>治理措施可行性分析</w:t>
            </w:r>
          </w:p>
          <w:p>
            <w:pPr>
              <w:pStyle w:val="31"/>
              <w:wordWrap w:val="0"/>
              <w:topLinePunct/>
              <w:autoSpaceDE/>
              <w:autoSpaceDN/>
              <w:spacing w:line="360" w:lineRule="auto"/>
              <w:ind w:firstLine="482"/>
              <w:rPr>
                <w:rFonts w:hint="eastAsia" w:ascii="Times New Roman" w:hAnsi="Times New Roman" w:cs="Times New Roman"/>
                <w:color w:val="auto"/>
                <w:sz w:val="21"/>
                <w:szCs w:val="21"/>
              </w:rPr>
            </w:pPr>
            <w:r>
              <w:rPr>
                <w:rFonts w:hint="eastAsia" w:ascii="Times New Roman" w:hAnsi="Times New Roman" w:cs="Times New Roman"/>
                <w:color w:val="auto"/>
                <w:sz w:val="21"/>
                <w:szCs w:val="21"/>
              </w:rPr>
              <w:t>宠物治疗废水、</w:t>
            </w:r>
            <w:r>
              <w:rPr>
                <w:rFonts w:hint="eastAsia" w:ascii="Times New Roman" w:hAnsi="Times New Roman" w:cs="Times New Roman"/>
                <w:color w:val="auto"/>
                <w:sz w:val="21"/>
                <w:szCs w:val="21"/>
                <w:lang w:eastAsia="zh-CN"/>
              </w:rPr>
              <w:t>宠物做手术器械和</w:t>
            </w:r>
            <w:r>
              <w:rPr>
                <w:rFonts w:hint="eastAsia" w:ascii="Times New Roman" w:hAnsi="Times New Roman" w:cs="Times New Roman"/>
                <w:color w:val="auto"/>
                <w:sz w:val="21"/>
                <w:szCs w:val="21"/>
              </w:rPr>
              <w:t>地面</w:t>
            </w:r>
            <w:r>
              <w:rPr>
                <w:rFonts w:hint="eastAsia" w:ascii="Times New Roman" w:hAnsi="Times New Roman" w:cs="Times New Roman"/>
                <w:color w:val="auto"/>
                <w:sz w:val="21"/>
                <w:szCs w:val="21"/>
                <w:lang w:eastAsia="zh-CN"/>
              </w:rPr>
              <w:t>、宠物笼</w:t>
            </w:r>
            <w:r>
              <w:rPr>
                <w:rFonts w:hint="eastAsia" w:ascii="Times New Roman" w:hAnsi="Times New Roman" w:cs="Times New Roman"/>
                <w:color w:val="auto"/>
                <w:sz w:val="21"/>
                <w:szCs w:val="21"/>
              </w:rPr>
              <w:t>清洁废水收集至污水消毒池进行处理，处理后达到《医疗机构水污染物排放标准》（GB18466-2005）表2中“预处理标准”标准限值要求再和工作人员污水排至已建的预处理池进行处理，经预处理池处理达到《污水综合排放标准》（GB8978-1998）三级排放标准后排入市政污水管网，最终进入</w:t>
            </w:r>
            <w:r>
              <w:rPr>
                <w:rFonts w:hint="eastAsia" w:ascii="Times New Roman" w:hAnsi="Times New Roman" w:cs="Times New Roman"/>
                <w:color w:val="auto"/>
                <w:sz w:val="21"/>
                <w:szCs w:val="21"/>
                <w:lang w:eastAsia="zh-CN"/>
              </w:rPr>
              <w:t>苍溪县石家坝城市污水处理厂处理。</w:t>
            </w:r>
          </w:p>
          <w:p>
            <w:pPr>
              <w:spacing w:line="360" w:lineRule="auto"/>
              <w:ind w:firstLine="422" w:firstLineChars="200"/>
              <w:rPr>
                <w:b/>
                <w:bCs/>
                <w:color w:val="auto"/>
                <w:szCs w:val="21"/>
              </w:rPr>
            </w:pPr>
            <w:r>
              <w:rPr>
                <w:rFonts w:hint="eastAsia" w:ascii="宋体" w:hAnsi="宋体" w:eastAsia="宋体" w:cs="宋体"/>
                <w:b/>
                <w:bCs/>
                <w:color w:val="auto"/>
                <w:szCs w:val="21"/>
              </w:rPr>
              <w:t>⑤</w:t>
            </w:r>
            <w:r>
              <w:rPr>
                <w:rFonts w:hint="eastAsia"/>
                <w:b/>
                <w:bCs/>
                <w:color w:val="auto"/>
                <w:szCs w:val="21"/>
              </w:rPr>
              <w:t>废水环境影响分析</w:t>
            </w:r>
          </w:p>
          <w:p>
            <w:pPr>
              <w:wordWrap w:val="0"/>
              <w:topLinePunct/>
              <w:spacing w:line="360" w:lineRule="auto"/>
              <w:ind w:firstLine="420" w:firstLineChars="200"/>
              <w:rPr>
                <w:rFonts w:ascii="宋体" w:hAnsi="宋体" w:cs="宋体"/>
                <w:color w:val="auto"/>
                <w:szCs w:val="21"/>
              </w:rPr>
            </w:pPr>
            <w:r>
              <w:rPr>
                <w:rFonts w:hint="eastAsia"/>
                <w:color w:val="auto"/>
                <w:szCs w:val="21"/>
              </w:rPr>
              <w:t>宠物治疗废水、</w:t>
            </w:r>
            <w:r>
              <w:rPr>
                <w:rFonts w:hint="eastAsia"/>
                <w:color w:val="auto"/>
                <w:szCs w:val="21"/>
                <w:lang w:eastAsia="zh-CN"/>
              </w:rPr>
              <w:t>宠物做手术器械和</w:t>
            </w:r>
            <w:r>
              <w:rPr>
                <w:rFonts w:hint="eastAsia"/>
                <w:color w:val="auto"/>
                <w:szCs w:val="21"/>
              </w:rPr>
              <w:t>地面</w:t>
            </w:r>
            <w:r>
              <w:rPr>
                <w:rFonts w:hint="eastAsia"/>
                <w:color w:val="auto"/>
                <w:szCs w:val="21"/>
                <w:lang w:eastAsia="zh-CN"/>
              </w:rPr>
              <w:t>、宠物笼</w:t>
            </w:r>
            <w:r>
              <w:rPr>
                <w:rFonts w:hint="eastAsia"/>
                <w:color w:val="auto"/>
                <w:szCs w:val="21"/>
              </w:rPr>
              <w:t>清洁废水收集至污水消毒池进行处理，处理后</w:t>
            </w:r>
            <w:r>
              <w:rPr>
                <w:color w:val="auto"/>
                <w:szCs w:val="21"/>
              </w:rPr>
              <w:t>达到《</w:t>
            </w:r>
            <w:r>
              <w:rPr>
                <w:rFonts w:hint="eastAsia"/>
                <w:color w:val="auto"/>
                <w:szCs w:val="21"/>
              </w:rPr>
              <w:t>医疗机构水污染物排放标准</w:t>
            </w:r>
            <w:r>
              <w:rPr>
                <w:color w:val="auto"/>
                <w:szCs w:val="21"/>
              </w:rPr>
              <w:t>》（GB</w:t>
            </w:r>
            <w:r>
              <w:rPr>
                <w:rFonts w:hint="eastAsia"/>
                <w:color w:val="auto"/>
                <w:szCs w:val="21"/>
              </w:rPr>
              <w:t>18466</w:t>
            </w:r>
            <w:r>
              <w:rPr>
                <w:color w:val="auto"/>
                <w:szCs w:val="21"/>
              </w:rPr>
              <w:t>-</w:t>
            </w:r>
            <w:r>
              <w:rPr>
                <w:rFonts w:hint="eastAsia"/>
                <w:color w:val="auto"/>
                <w:szCs w:val="21"/>
              </w:rPr>
              <w:t>2005</w:t>
            </w:r>
            <w:r>
              <w:rPr>
                <w:color w:val="auto"/>
                <w:szCs w:val="21"/>
              </w:rPr>
              <w:t>）</w:t>
            </w:r>
            <w:r>
              <w:rPr>
                <w:rFonts w:hint="eastAsia"/>
                <w:color w:val="auto"/>
                <w:szCs w:val="21"/>
              </w:rPr>
              <w:t>表2中“预处理标准”标准限值要求再和工作人员污水排至已建的预处理池进行处理，经预处理池处理达到《污水综合排放标准》（GB8978-1998）三级排放标准后排入市政污水管网，最终进入</w:t>
            </w:r>
            <w:r>
              <w:rPr>
                <w:rFonts w:hint="eastAsia"/>
                <w:color w:val="auto"/>
                <w:szCs w:val="21"/>
                <w:lang w:eastAsia="zh-CN"/>
              </w:rPr>
              <w:t>苍溪县石家坝城市污水处理厂</w:t>
            </w:r>
            <w:r>
              <w:rPr>
                <w:rFonts w:hint="eastAsia"/>
                <w:color w:val="auto"/>
                <w:szCs w:val="21"/>
              </w:rPr>
              <w:t>处理达到《城镇污水处理厂污染物综合排放标准》（GB18918-2002）中一级A标后排入嘉陵江。因此，本项目废水对环境影响</w:t>
            </w:r>
            <w:r>
              <w:rPr>
                <w:rFonts w:hint="eastAsia" w:ascii="宋体" w:hAnsi="宋体" w:cs="宋体"/>
                <w:color w:val="auto"/>
                <w:szCs w:val="21"/>
              </w:rPr>
              <w:t>较小。</w:t>
            </w:r>
          </w:p>
          <w:p>
            <w:pPr>
              <w:spacing w:line="360" w:lineRule="auto"/>
              <w:ind w:firstLine="422" w:firstLineChars="200"/>
              <w:rPr>
                <w:rFonts w:hint="eastAsia"/>
                <w:b/>
                <w:bCs/>
                <w:color w:val="auto"/>
                <w:szCs w:val="21"/>
              </w:rPr>
            </w:pPr>
            <w:r>
              <w:rPr>
                <w:rFonts w:hint="eastAsia" w:ascii="宋体" w:hAnsi="宋体" w:eastAsia="宋体" w:cs="宋体"/>
                <w:b/>
                <w:bCs/>
                <w:color w:val="auto"/>
                <w:szCs w:val="21"/>
              </w:rPr>
              <w:t>⑥</w:t>
            </w:r>
            <w:r>
              <w:rPr>
                <w:rFonts w:hint="eastAsia"/>
                <w:b/>
                <w:bCs/>
                <w:color w:val="auto"/>
                <w:szCs w:val="21"/>
              </w:rPr>
              <w:t>排污口规范化设置</w:t>
            </w:r>
          </w:p>
          <w:p>
            <w:pPr>
              <w:keepNext w:val="0"/>
              <w:keepLines w:val="0"/>
              <w:pageBreakBefore w:val="0"/>
              <w:widowControl w:val="0"/>
              <w:kinsoku/>
              <w:wordWrap w:val="0"/>
              <w:overflowPunct/>
              <w:topLinePunct/>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rPr>
              <w:t>本项目须对排污口按规定进行核实，明确排污口的数量、位置以及排放主要污染物的种类、数量、浓度、排放去向等；并根据《〈环境保护图形标志〉实施细则（试行）》（环监﹝1996﹞463号），对排污口图形标志进行国标化设置与设计</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rPr>
              <w:t>企业应按照有关规定，应建立生产装置和污染防治设施运行及检修规程和台账等日常管理制度</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rPr>
              <w:t>要求使用国家环保部统一印刷的《中华人民共和国规范化排污口标志登记证》，并按要求填写有关内容</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rPr>
              <w:t>根据排污口管理档案内容要求，项目建成后，应将主要污染物种类、数量、浓度、排放去向、达标情况及设施运行情况记录于档案。</w:t>
            </w:r>
          </w:p>
          <w:p>
            <w:pPr>
              <w:spacing w:line="360" w:lineRule="auto"/>
              <w:ind w:firstLine="422" w:firstLineChars="200"/>
              <w:rPr>
                <w:rFonts w:hint="eastAsia" w:ascii="宋体" w:hAnsi="宋体" w:eastAsia="宋体" w:cs="宋体"/>
                <w:b/>
                <w:bCs/>
                <w:color w:val="auto"/>
                <w:szCs w:val="21"/>
              </w:rPr>
            </w:pPr>
            <w:r>
              <w:rPr>
                <w:rFonts w:hint="eastAsia" w:ascii="宋体" w:hAnsi="宋体" w:eastAsia="宋体" w:cs="宋体"/>
                <w:b/>
                <w:bCs/>
                <w:color w:val="auto"/>
                <w:szCs w:val="21"/>
              </w:rPr>
              <w:t>⑦废水监测计划</w:t>
            </w:r>
          </w:p>
          <w:p>
            <w:pPr>
              <w:spacing w:line="360" w:lineRule="auto"/>
              <w:ind w:firstLine="420" w:firstLineChars="200"/>
              <w:rPr>
                <w:b/>
                <w:color w:val="auto"/>
                <w:sz w:val="18"/>
                <w:szCs w:val="18"/>
              </w:rPr>
            </w:pPr>
            <w:r>
              <w:rPr>
                <w:rFonts w:hint="eastAsia"/>
                <w:color w:val="auto"/>
                <w:szCs w:val="21"/>
              </w:rPr>
              <w:t>本项目运营期间废水污染源监测要求见下表</w:t>
            </w:r>
            <w:r>
              <w:rPr>
                <w:color w:val="auto"/>
                <w:szCs w:val="21"/>
              </w:rPr>
              <w:t>。</w:t>
            </w:r>
          </w:p>
          <w:p>
            <w:pPr>
              <w:keepNext/>
              <w:adjustRightInd w:val="0"/>
              <w:snapToGrid w:val="0"/>
              <w:jc w:val="center"/>
              <w:rPr>
                <w:b/>
                <w:color w:val="auto"/>
                <w:sz w:val="18"/>
                <w:szCs w:val="18"/>
              </w:rPr>
            </w:pPr>
            <w:r>
              <w:rPr>
                <w:b/>
                <w:color w:val="auto"/>
                <w:sz w:val="18"/>
                <w:szCs w:val="18"/>
              </w:rPr>
              <w:t>表</w:t>
            </w:r>
            <w:r>
              <w:rPr>
                <w:rFonts w:hint="eastAsia"/>
                <w:b/>
                <w:color w:val="auto"/>
                <w:sz w:val="18"/>
                <w:szCs w:val="18"/>
              </w:rPr>
              <w:t>4</w:t>
            </w:r>
            <w:r>
              <w:rPr>
                <w:b/>
                <w:color w:val="auto"/>
                <w:sz w:val="18"/>
                <w:szCs w:val="18"/>
              </w:rPr>
              <w:t>-</w:t>
            </w:r>
            <w:r>
              <w:rPr>
                <w:rFonts w:hint="eastAsia"/>
                <w:b/>
                <w:color w:val="auto"/>
                <w:sz w:val="18"/>
                <w:szCs w:val="18"/>
              </w:rPr>
              <w:t>4</w:t>
            </w:r>
            <w:r>
              <w:rPr>
                <w:b/>
                <w:color w:val="auto"/>
                <w:sz w:val="18"/>
                <w:szCs w:val="18"/>
              </w:rPr>
              <w:t xml:space="preserve">    环境管理与监测计划</w:t>
            </w:r>
          </w:p>
          <w:tbl>
            <w:tblPr>
              <w:tblStyle w:val="21"/>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92"/>
              <w:gridCol w:w="705"/>
              <w:gridCol w:w="1513"/>
              <w:gridCol w:w="1625"/>
              <w:gridCol w:w="2105"/>
              <w:gridCol w:w="111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504" w:type="pct"/>
                  <w:noWrap/>
                  <w:vAlign w:val="center"/>
                </w:tcPr>
                <w:p>
                  <w:pPr>
                    <w:adjustRightInd w:val="0"/>
                    <w:snapToGrid w:val="0"/>
                    <w:jc w:val="center"/>
                    <w:rPr>
                      <w:bCs/>
                      <w:color w:val="auto"/>
                      <w:kern w:val="0"/>
                      <w:sz w:val="18"/>
                      <w:szCs w:val="18"/>
                    </w:rPr>
                  </w:pPr>
                  <w:r>
                    <w:rPr>
                      <w:bCs/>
                      <w:color w:val="auto"/>
                      <w:kern w:val="0"/>
                      <w:sz w:val="18"/>
                      <w:szCs w:val="18"/>
                    </w:rPr>
                    <w:t>阶段</w:t>
                  </w:r>
                </w:p>
              </w:tc>
              <w:tc>
                <w:tcPr>
                  <w:tcW w:w="448" w:type="pct"/>
                  <w:noWrap/>
                  <w:vAlign w:val="center"/>
                </w:tcPr>
                <w:p>
                  <w:pPr>
                    <w:adjustRightInd w:val="0"/>
                    <w:snapToGrid w:val="0"/>
                    <w:jc w:val="center"/>
                    <w:rPr>
                      <w:bCs/>
                      <w:color w:val="auto"/>
                      <w:kern w:val="0"/>
                      <w:sz w:val="18"/>
                      <w:szCs w:val="18"/>
                    </w:rPr>
                  </w:pPr>
                  <w:r>
                    <w:rPr>
                      <w:bCs/>
                      <w:color w:val="auto"/>
                      <w:kern w:val="0"/>
                      <w:sz w:val="18"/>
                      <w:szCs w:val="18"/>
                    </w:rPr>
                    <w:t>类别</w:t>
                  </w:r>
                </w:p>
              </w:tc>
              <w:tc>
                <w:tcPr>
                  <w:tcW w:w="963" w:type="pct"/>
                  <w:noWrap/>
                  <w:vAlign w:val="center"/>
                </w:tcPr>
                <w:p>
                  <w:pPr>
                    <w:adjustRightInd w:val="0"/>
                    <w:snapToGrid w:val="0"/>
                    <w:jc w:val="center"/>
                    <w:rPr>
                      <w:bCs/>
                      <w:color w:val="auto"/>
                      <w:kern w:val="0"/>
                      <w:sz w:val="18"/>
                      <w:szCs w:val="18"/>
                    </w:rPr>
                  </w:pPr>
                  <w:r>
                    <w:rPr>
                      <w:bCs/>
                      <w:color w:val="auto"/>
                      <w:kern w:val="0"/>
                      <w:sz w:val="18"/>
                      <w:szCs w:val="18"/>
                    </w:rPr>
                    <w:t>监测位置</w:t>
                  </w:r>
                </w:p>
              </w:tc>
              <w:tc>
                <w:tcPr>
                  <w:tcW w:w="1034" w:type="pct"/>
                  <w:noWrap/>
                  <w:vAlign w:val="center"/>
                </w:tcPr>
                <w:p>
                  <w:pPr>
                    <w:adjustRightInd w:val="0"/>
                    <w:snapToGrid w:val="0"/>
                    <w:jc w:val="center"/>
                    <w:rPr>
                      <w:bCs/>
                      <w:color w:val="auto"/>
                      <w:kern w:val="0"/>
                      <w:sz w:val="18"/>
                      <w:szCs w:val="18"/>
                    </w:rPr>
                  </w:pPr>
                  <w:r>
                    <w:rPr>
                      <w:bCs/>
                      <w:color w:val="auto"/>
                      <w:kern w:val="0"/>
                      <w:sz w:val="18"/>
                      <w:szCs w:val="18"/>
                    </w:rPr>
                    <w:t>监测项目</w:t>
                  </w:r>
                </w:p>
              </w:tc>
              <w:tc>
                <w:tcPr>
                  <w:tcW w:w="1340" w:type="pct"/>
                  <w:noWrap/>
                  <w:vAlign w:val="center"/>
                </w:tcPr>
                <w:p>
                  <w:pPr>
                    <w:adjustRightInd w:val="0"/>
                    <w:snapToGrid w:val="0"/>
                    <w:jc w:val="center"/>
                    <w:rPr>
                      <w:bCs/>
                      <w:color w:val="auto"/>
                      <w:kern w:val="0"/>
                      <w:sz w:val="18"/>
                      <w:szCs w:val="18"/>
                    </w:rPr>
                  </w:pPr>
                  <w:r>
                    <w:rPr>
                      <w:bCs/>
                      <w:color w:val="auto"/>
                      <w:kern w:val="0"/>
                      <w:sz w:val="18"/>
                      <w:szCs w:val="18"/>
                    </w:rPr>
                    <w:t>监测需达到的标准</w:t>
                  </w:r>
                </w:p>
              </w:tc>
              <w:tc>
                <w:tcPr>
                  <w:tcW w:w="707" w:type="pct"/>
                  <w:noWrap/>
                  <w:vAlign w:val="center"/>
                </w:tcPr>
                <w:p>
                  <w:pPr>
                    <w:adjustRightInd w:val="0"/>
                    <w:snapToGrid w:val="0"/>
                    <w:jc w:val="center"/>
                    <w:rPr>
                      <w:bCs/>
                      <w:color w:val="auto"/>
                      <w:kern w:val="0"/>
                      <w:sz w:val="18"/>
                      <w:szCs w:val="18"/>
                    </w:rPr>
                  </w:pPr>
                  <w:r>
                    <w:rPr>
                      <w:bCs/>
                      <w:color w:val="auto"/>
                      <w:kern w:val="0"/>
                      <w:sz w:val="18"/>
                      <w:szCs w:val="18"/>
                    </w:rPr>
                    <w:t>监测频率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504" w:type="pct"/>
                  <w:noWrap/>
                  <w:vAlign w:val="center"/>
                </w:tcPr>
                <w:p>
                  <w:pPr>
                    <w:adjustRightInd w:val="0"/>
                    <w:snapToGrid w:val="0"/>
                    <w:jc w:val="center"/>
                    <w:rPr>
                      <w:bCs/>
                      <w:color w:val="auto"/>
                      <w:kern w:val="0"/>
                      <w:sz w:val="18"/>
                      <w:szCs w:val="18"/>
                    </w:rPr>
                  </w:pPr>
                  <w:r>
                    <w:rPr>
                      <w:bCs/>
                      <w:color w:val="auto"/>
                      <w:kern w:val="0"/>
                      <w:sz w:val="18"/>
                      <w:szCs w:val="18"/>
                    </w:rPr>
                    <w:t>营运期</w:t>
                  </w:r>
                </w:p>
              </w:tc>
              <w:tc>
                <w:tcPr>
                  <w:tcW w:w="448" w:type="pct"/>
                  <w:noWrap/>
                  <w:vAlign w:val="center"/>
                </w:tcPr>
                <w:p>
                  <w:pPr>
                    <w:adjustRightInd w:val="0"/>
                    <w:snapToGrid w:val="0"/>
                    <w:jc w:val="center"/>
                    <w:rPr>
                      <w:bCs/>
                      <w:color w:val="auto"/>
                      <w:kern w:val="0"/>
                      <w:sz w:val="18"/>
                      <w:szCs w:val="18"/>
                    </w:rPr>
                  </w:pPr>
                  <w:r>
                    <w:rPr>
                      <w:rFonts w:hint="eastAsia"/>
                      <w:bCs/>
                      <w:color w:val="auto"/>
                      <w:kern w:val="0"/>
                      <w:sz w:val="18"/>
                      <w:szCs w:val="18"/>
                    </w:rPr>
                    <w:t>废水</w:t>
                  </w:r>
                </w:p>
              </w:tc>
              <w:tc>
                <w:tcPr>
                  <w:tcW w:w="963" w:type="pct"/>
                  <w:noWrap/>
                  <w:vAlign w:val="center"/>
                </w:tcPr>
                <w:p>
                  <w:pPr>
                    <w:adjustRightInd w:val="0"/>
                    <w:snapToGrid w:val="0"/>
                    <w:rPr>
                      <w:rFonts w:hint="eastAsia" w:eastAsia="宋体"/>
                      <w:bCs/>
                      <w:color w:val="auto"/>
                      <w:kern w:val="0"/>
                      <w:sz w:val="18"/>
                      <w:szCs w:val="18"/>
                      <w:lang w:eastAsia="zh-CN"/>
                    </w:rPr>
                  </w:pPr>
                  <w:r>
                    <w:rPr>
                      <w:rFonts w:hint="eastAsia"/>
                      <w:bCs/>
                      <w:color w:val="auto"/>
                      <w:kern w:val="0"/>
                      <w:sz w:val="18"/>
                      <w:szCs w:val="18"/>
                    </w:rPr>
                    <w:t>项目污水处理排口</w:t>
                  </w:r>
                </w:p>
              </w:tc>
              <w:tc>
                <w:tcPr>
                  <w:tcW w:w="1034" w:type="pct"/>
                  <w:noWrap/>
                  <w:vAlign w:val="center"/>
                </w:tcPr>
                <w:p>
                  <w:pPr>
                    <w:adjustRightInd w:val="0"/>
                    <w:snapToGrid w:val="0"/>
                    <w:rPr>
                      <w:bCs/>
                      <w:color w:val="auto"/>
                      <w:kern w:val="0"/>
                      <w:sz w:val="18"/>
                      <w:szCs w:val="18"/>
                    </w:rPr>
                  </w:pPr>
                  <w:r>
                    <w:rPr>
                      <w:rFonts w:hint="eastAsia"/>
                      <w:bCs/>
                      <w:color w:val="auto"/>
                      <w:kern w:val="0"/>
                      <w:sz w:val="18"/>
                      <w:szCs w:val="18"/>
                    </w:rPr>
                    <w:t>pH、悬浮物、化学需氧量、五日生化需氧量、氨氮、粪大肠菌群、总余氯</w:t>
                  </w:r>
                </w:p>
              </w:tc>
              <w:tc>
                <w:tcPr>
                  <w:tcW w:w="1340" w:type="pct"/>
                  <w:noWrap/>
                  <w:vAlign w:val="center"/>
                </w:tcPr>
                <w:p>
                  <w:pPr>
                    <w:adjustRightInd w:val="0"/>
                    <w:snapToGrid w:val="0"/>
                    <w:jc w:val="center"/>
                    <w:rPr>
                      <w:bCs/>
                      <w:color w:val="auto"/>
                      <w:sz w:val="18"/>
                      <w:szCs w:val="18"/>
                    </w:rPr>
                  </w:pPr>
                  <w:r>
                    <w:rPr>
                      <w:bCs/>
                      <w:color w:val="auto"/>
                      <w:sz w:val="18"/>
                      <w:szCs w:val="18"/>
                    </w:rPr>
                    <w:t>《污水综合排放标准》（GB8978-1998）三级排放标准</w:t>
                  </w:r>
                </w:p>
              </w:tc>
              <w:tc>
                <w:tcPr>
                  <w:tcW w:w="707" w:type="pct"/>
                  <w:noWrap/>
                  <w:vAlign w:val="center"/>
                </w:tcPr>
                <w:p>
                  <w:pPr>
                    <w:adjustRightInd w:val="0"/>
                    <w:snapToGrid w:val="0"/>
                    <w:jc w:val="both"/>
                    <w:rPr>
                      <w:bCs/>
                      <w:color w:val="auto"/>
                      <w:kern w:val="0"/>
                      <w:sz w:val="18"/>
                      <w:szCs w:val="18"/>
                    </w:rPr>
                  </w:pPr>
                  <w:r>
                    <w:rPr>
                      <w:bCs/>
                      <w:color w:val="auto"/>
                      <w:kern w:val="0"/>
                      <w:sz w:val="18"/>
                      <w:szCs w:val="18"/>
                    </w:rPr>
                    <w:t>一年1次</w:t>
                  </w:r>
                </w:p>
              </w:tc>
            </w:tr>
          </w:tbl>
          <w:p>
            <w:pPr>
              <w:spacing w:line="360" w:lineRule="auto"/>
              <w:rPr>
                <w:b/>
                <w:color w:val="auto"/>
                <w:spacing w:val="-3"/>
                <w:szCs w:val="21"/>
              </w:rPr>
            </w:pPr>
            <w:r>
              <w:rPr>
                <w:b/>
                <w:color w:val="auto"/>
                <w:spacing w:val="-3"/>
                <w:szCs w:val="21"/>
              </w:rPr>
              <w:t>3、噪声</w:t>
            </w:r>
          </w:p>
          <w:p>
            <w:pPr>
              <w:spacing w:line="360" w:lineRule="auto"/>
              <w:ind w:firstLine="420" w:firstLineChars="200"/>
              <w:rPr>
                <w:rFonts w:ascii="Times New Roman" w:hAnsi="Times New Roman" w:eastAsia="宋体" w:cs="Times New Roman"/>
                <w:b/>
                <w:color w:val="auto"/>
                <w:sz w:val="18"/>
                <w:szCs w:val="18"/>
              </w:rPr>
            </w:pPr>
            <w:r>
              <w:rPr>
                <w:rFonts w:hint="eastAsia" w:ascii="宋体" w:hAnsi="宋体" w:eastAsia="宋体" w:cs="宋体"/>
                <w:bCs/>
                <w:color w:val="auto"/>
                <w:szCs w:val="21"/>
              </w:rPr>
              <w:t>①</w:t>
            </w:r>
            <w:r>
              <w:rPr>
                <w:b/>
                <w:color w:val="auto"/>
                <w:spacing w:val="-3"/>
                <w:szCs w:val="21"/>
              </w:rPr>
              <w:t>噪声的产生及防治措施</w:t>
            </w:r>
          </w:p>
          <w:p>
            <w:pPr>
              <w:spacing w:line="360" w:lineRule="auto"/>
              <w:ind w:firstLine="420" w:firstLineChars="200"/>
              <w:rPr>
                <w:rFonts w:ascii="Times New Roman" w:hAnsi="Times New Roman" w:eastAsia="宋体" w:cs="Times New Roman"/>
                <w:b/>
                <w:color w:val="auto"/>
                <w:sz w:val="18"/>
                <w:szCs w:val="18"/>
              </w:rPr>
            </w:pPr>
            <w:r>
              <w:rPr>
                <w:rFonts w:hint="eastAsia"/>
                <w:bCs/>
                <w:color w:val="auto"/>
                <w:szCs w:val="21"/>
              </w:rPr>
              <w:t>本项目运营期间主要产生噪声的污染源为设备噪声、空调室外机噪声</w:t>
            </w:r>
            <w:r>
              <w:rPr>
                <w:rFonts w:hint="eastAsia"/>
                <w:bCs/>
                <w:color w:val="auto"/>
                <w:szCs w:val="21"/>
                <w:lang w:eastAsia="zh-CN"/>
              </w:rPr>
              <w:t>、新风系统</w:t>
            </w:r>
            <w:r>
              <w:rPr>
                <w:rFonts w:hint="eastAsia"/>
                <w:bCs/>
                <w:color w:val="auto"/>
                <w:szCs w:val="21"/>
              </w:rPr>
              <w:t>和宠物叫声等。</w:t>
            </w:r>
            <w:r>
              <w:rPr>
                <w:bCs/>
                <w:color w:val="auto"/>
                <w:szCs w:val="21"/>
              </w:rPr>
              <w:t>运营期主要噪声源强见下表：</w:t>
            </w:r>
          </w:p>
          <w:p>
            <w:pPr>
              <w:keepNext/>
              <w:adjustRightInd w:val="0"/>
              <w:snapToGrid w:val="0"/>
              <w:jc w:val="center"/>
              <w:rPr>
                <w:rFonts w:ascii="Times New Roman" w:hAnsi="Times New Roman" w:eastAsia="宋体" w:cs="Times New Roman"/>
                <w:b/>
                <w:color w:val="auto"/>
                <w:sz w:val="18"/>
                <w:szCs w:val="18"/>
              </w:rPr>
            </w:pPr>
            <w:r>
              <w:rPr>
                <w:rFonts w:ascii="Times New Roman" w:hAnsi="Times New Roman" w:eastAsia="宋体" w:cs="Times New Roman"/>
                <w:b/>
                <w:color w:val="auto"/>
                <w:sz w:val="18"/>
                <w:szCs w:val="18"/>
              </w:rPr>
              <w:t>表</w:t>
            </w:r>
            <w:r>
              <w:rPr>
                <w:rFonts w:hint="eastAsia" w:ascii="Times New Roman" w:hAnsi="Times New Roman" w:eastAsia="宋体" w:cs="Times New Roman"/>
                <w:b/>
                <w:color w:val="auto"/>
                <w:sz w:val="18"/>
                <w:szCs w:val="18"/>
              </w:rPr>
              <w:t>4</w:t>
            </w:r>
            <w:r>
              <w:rPr>
                <w:rFonts w:ascii="Times New Roman" w:hAnsi="Times New Roman" w:eastAsia="宋体" w:cs="Times New Roman"/>
                <w:b/>
                <w:color w:val="auto"/>
                <w:sz w:val="18"/>
                <w:szCs w:val="18"/>
              </w:rPr>
              <w:t>-</w:t>
            </w:r>
            <w:r>
              <w:rPr>
                <w:rFonts w:hint="eastAsia" w:ascii="Times New Roman" w:hAnsi="Times New Roman" w:eastAsia="宋体" w:cs="Times New Roman"/>
                <w:b/>
                <w:color w:val="auto"/>
                <w:sz w:val="18"/>
                <w:szCs w:val="18"/>
              </w:rPr>
              <w:t>5</w:t>
            </w:r>
            <w:r>
              <w:rPr>
                <w:rFonts w:ascii="Times New Roman" w:hAnsi="Times New Roman" w:eastAsia="宋体" w:cs="Times New Roman"/>
                <w:b/>
                <w:color w:val="auto"/>
                <w:sz w:val="18"/>
                <w:szCs w:val="18"/>
              </w:rPr>
              <w:t xml:space="preserve"> 本项目噪声源的声压级</w:t>
            </w:r>
          </w:p>
          <w:tbl>
            <w:tblPr>
              <w:tblStyle w:val="21"/>
              <w:tblW w:w="8158"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631"/>
              <w:gridCol w:w="1732"/>
              <w:gridCol w:w="1897"/>
              <w:gridCol w:w="189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2631" w:type="dxa"/>
                  <w:noWrap/>
                  <w:vAlign w:val="center"/>
                </w:tcPr>
                <w:p>
                  <w:pPr>
                    <w:autoSpaceDE w:val="0"/>
                    <w:autoSpaceDN w:val="0"/>
                    <w:adjustRightInd w:val="0"/>
                    <w:spacing w:beforeLines="50" w:afterLines="50" w:line="280" w:lineRule="exact"/>
                    <w:ind w:firstLine="720" w:firstLineChars="400"/>
                    <w:jc w:val="both"/>
                    <w:rPr>
                      <w:color w:val="auto"/>
                      <w:sz w:val="18"/>
                      <w:szCs w:val="18"/>
                      <w:lang w:val="zh-CN"/>
                    </w:rPr>
                  </w:pPr>
                  <w:r>
                    <w:rPr>
                      <w:color w:val="auto"/>
                      <w:sz w:val="18"/>
                      <w:szCs w:val="18"/>
                      <w:lang w:val="zh-CN"/>
                    </w:rPr>
                    <w:t>设备或声源名称</w:t>
                  </w:r>
                </w:p>
              </w:tc>
              <w:tc>
                <w:tcPr>
                  <w:tcW w:w="1732" w:type="dxa"/>
                  <w:noWrap/>
                  <w:vAlign w:val="center"/>
                </w:tcPr>
                <w:p>
                  <w:pPr>
                    <w:autoSpaceDE w:val="0"/>
                    <w:autoSpaceDN w:val="0"/>
                    <w:adjustRightInd w:val="0"/>
                    <w:spacing w:beforeLines="50" w:afterLines="50" w:line="280" w:lineRule="exact"/>
                    <w:jc w:val="center"/>
                    <w:rPr>
                      <w:color w:val="auto"/>
                      <w:sz w:val="18"/>
                      <w:szCs w:val="18"/>
                      <w:lang w:val="zh-CN"/>
                    </w:rPr>
                  </w:pPr>
                  <w:r>
                    <w:rPr>
                      <w:color w:val="auto"/>
                      <w:sz w:val="18"/>
                      <w:szCs w:val="18"/>
                      <w:lang w:val="zh-CN"/>
                    </w:rPr>
                    <w:t>平均声级dB(A)</w:t>
                  </w:r>
                </w:p>
              </w:tc>
              <w:tc>
                <w:tcPr>
                  <w:tcW w:w="1897" w:type="dxa"/>
                  <w:noWrap/>
                  <w:vAlign w:val="center"/>
                </w:tcPr>
                <w:p>
                  <w:pPr>
                    <w:autoSpaceDE w:val="0"/>
                    <w:autoSpaceDN w:val="0"/>
                    <w:adjustRightInd w:val="0"/>
                    <w:spacing w:beforeLines="50" w:afterLines="50" w:line="280" w:lineRule="exact"/>
                    <w:jc w:val="center"/>
                    <w:rPr>
                      <w:color w:val="auto"/>
                      <w:sz w:val="18"/>
                      <w:szCs w:val="18"/>
                      <w:lang w:val="zh-CN"/>
                    </w:rPr>
                  </w:pPr>
                  <w:r>
                    <w:rPr>
                      <w:rFonts w:hint="eastAsia"/>
                      <w:color w:val="auto"/>
                      <w:sz w:val="18"/>
                      <w:szCs w:val="18"/>
                      <w:lang w:val="zh-CN"/>
                    </w:rPr>
                    <w:t>数量</w:t>
                  </w:r>
                </w:p>
              </w:tc>
              <w:tc>
                <w:tcPr>
                  <w:tcW w:w="1898" w:type="dxa"/>
                  <w:noWrap/>
                  <w:vAlign w:val="center"/>
                </w:tcPr>
                <w:p>
                  <w:pPr>
                    <w:autoSpaceDE w:val="0"/>
                    <w:autoSpaceDN w:val="0"/>
                    <w:adjustRightInd w:val="0"/>
                    <w:spacing w:beforeLines="50" w:afterLines="50" w:line="280" w:lineRule="exact"/>
                    <w:jc w:val="center"/>
                    <w:rPr>
                      <w:color w:val="auto"/>
                      <w:sz w:val="18"/>
                      <w:szCs w:val="18"/>
                    </w:rPr>
                  </w:pPr>
                  <w:r>
                    <w:rPr>
                      <w:color w:val="auto"/>
                      <w:sz w:val="18"/>
                      <w:szCs w:val="18"/>
                    </w:rPr>
                    <w:t>降噪效果dB(A)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血细胞分析仪</w:t>
                  </w:r>
                </w:p>
              </w:tc>
              <w:tc>
                <w:tcPr>
                  <w:tcW w:w="1732" w:type="dxa"/>
                  <w:noWrap/>
                  <w:vAlign w:val="center"/>
                </w:tcPr>
                <w:p>
                  <w:pPr>
                    <w:autoSpaceDE w:val="0"/>
                    <w:autoSpaceDN w:val="0"/>
                    <w:adjustRightInd w:val="0"/>
                    <w:spacing w:beforeLines="50" w:afterLines="50" w:line="280" w:lineRule="exact"/>
                    <w:rPr>
                      <w:rFonts w:hint="default"/>
                      <w:color w:val="auto"/>
                      <w:sz w:val="18"/>
                      <w:szCs w:val="18"/>
                      <w:lang w:val="en-US"/>
                    </w:rPr>
                  </w:pPr>
                  <w:r>
                    <w:rPr>
                      <w:rFonts w:hint="eastAsia" w:eastAsia="宋体" w:cs="Times New Roman"/>
                      <w:color w:val="auto"/>
                      <w:sz w:val="18"/>
                      <w:szCs w:val="18"/>
                      <w:lang w:val="en-US" w:eastAsia="zh-CN"/>
                    </w:rPr>
                    <w:t xml:space="preserve">     </w:t>
                  </w:r>
                  <w:r>
                    <w:rPr>
                      <w:rFonts w:hint="eastAsia" w:cs="Times New Roman"/>
                      <w:color w:val="auto"/>
                      <w:sz w:val="18"/>
                      <w:szCs w:val="18"/>
                      <w:lang w:val="en-US" w:eastAsia="zh-CN"/>
                    </w:rPr>
                    <w:t xml:space="preserve"> 60</w:t>
                  </w:r>
                </w:p>
              </w:tc>
              <w:tc>
                <w:tcPr>
                  <w:tcW w:w="1897" w:type="dxa"/>
                  <w:noWrap/>
                  <w:vAlign w:val="center"/>
                </w:tcPr>
                <w:p>
                  <w:pPr>
                    <w:pStyle w:val="31"/>
                    <w:rPr>
                      <w:rFonts w:ascii="Times New Roman" w:hAnsi="Times New Roman" w:cs="Times New Roman"/>
                      <w:color w:val="auto"/>
                      <w:sz w:val="18"/>
                      <w:szCs w:val="18"/>
                    </w:rPr>
                  </w:pPr>
                  <w:r>
                    <w:rPr>
                      <w:rFonts w:hint="eastAsia" w:ascii="Times New Roman" w:hAnsi="Times New Roman" w:cs="Times New Roman"/>
                      <w:color w:val="auto"/>
                      <w:sz w:val="18"/>
                      <w:szCs w:val="18"/>
                    </w:rPr>
                    <w:t xml:space="preserve">        1台</w:t>
                  </w:r>
                </w:p>
              </w:tc>
              <w:tc>
                <w:tcPr>
                  <w:tcW w:w="1898" w:type="dxa"/>
                  <w:noWrap/>
                  <w:vAlign w:val="center"/>
                </w:tcPr>
                <w:p>
                  <w:pPr>
                    <w:pStyle w:val="31"/>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生化仪</w:t>
                  </w:r>
                </w:p>
              </w:tc>
              <w:tc>
                <w:tcPr>
                  <w:tcW w:w="1732" w:type="dxa"/>
                  <w:noWrap/>
                  <w:vAlign w:val="center"/>
                </w:tcPr>
                <w:p>
                  <w:pPr>
                    <w:autoSpaceDE w:val="0"/>
                    <w:autoSpaceDN w:val="0"/>
                    <w:adjustRightInd w:val="0"/>
                    <w:spacing w:beforeLines="50" w:afterLines="50" w:line="280" w:lineRule="exact"/>
                    <w:ind w:firstLine="540" w:firstLineChars="300"/>
                    <w:jc w:val="both"/>
                    <w:rPr>
                      <w:rFonts w:hint="default" w:eastAsia="宋体"/>
                      <w:color w:val="auto"/>
                      <w:sz w:val="18"/>
                      <w:szCs w:val="18"/>
                      <w:lang w:val="en-US" w:eastAsia="zh-CN"/>
                    </w:rPr>
                  </w:pPr>
                  <w:r>
                    <w:rPr>
                      <w:rFonts w:hint="eastAsia" w:cs="Times New Roman"/>
                      <w:color w:val="auto"/>
                      <w:sz w:val="18"/>
                      <w:szCs w:val="18"/>
                      <w:lang w:val="en-US" w:eastAsia="zh-CN"/>
                    </w:rPr>
                    <w:t>65</w:t>
                  </w:r>
                </w:p>
              </w:tc>
              <w:tc>
                <w:tcPr>
                  <w:tcW w:w="1897" w:type="dxa"/>
                  <w:noWrap/>
                  <w:vAlign w:val="center"/>
                </w:tcPr>
                <w:p>
                  <w:pPr>
                    <w:rPr>
                      <w:rFonts w:hint="eastAsia" w:ascii="Times New Roman" w:hAnsi="Times New Roman" w:cs="Times New Roman"/>
                      <w:color w:val="auto"/>
                      <w:sz w:val="18"/>
                      <w:szCs w:val="18"/>
                    </w:rPr>
                  </w:pPr>
                  <w:r>
                    <w:rPr>
                      <w:rFonts w:hint="eastAsia" w:ascii="Times New Roman" w:hAnsi="Times New Roman" w:cs="Times New Roman"/>
                      <w:color w:val="auto"/>
                      <w:sz w:val="18"/>
                      <w:szCs w:val="18"/>
                    </w:rPr>
                    <w:t xml:space="preserve"> </w:t>
                  </w:r>
                  <w:r>
                    <w:rPr>
                      <w:rFonts w:hint="eastAsia" w:ascii="Times New Roman" w:hAnsi="Times New Roman" w:cs="Times New Roman"/>
                      <w:color w:val="auto"/>
                      <w:sz w:val="18"/>
                      <w:szCs w:val="18"/>
                      <w:lang w:val="en-US" w:eastAsia="zh-CN"/>
                    </w:rPr>
                    <w:t xml:space="preserve">       </w:t>
                  </w:r>
                  <w:r>
                    <w:rPr>
                      <w:rFonts w:hint="eastAsia" w:ascii="Times New Roman" w:hAnsi="Times New Roman"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离心机</w:t>
                  </w:r>
                </w:p>
              </w:tc>
              <w:tc>
                <w:tcPr>
                  <w:tcW w:w="1732" w:type="dxa"/>
                  <w:noWrap/>
                  <w:vAlign w:val="center"/>
                </w:tcPr>
                <w:p>
                  <w:pPr>
                    <w:autoSpaceDE w:val="0"/>
                    <w:autoSpaceDN w:val="0"/>
                    <w:adjustRightInd w:val="0"/>
                    <w:spacing w:beforeLines="50" w:afterLines="50" w:line="280" w:lineRule="exact"/>
                    <w:ind w:firstLine="540" w:firstLineChars="300"/>
                    <w:rPr>
                      <w:rFonts w:hint="default" w:eastAsia="宋体"/>
                      <w:color w:val="auto"/>
                      <w:sz w:val="18"/>
                      <w:szCs w:val="18"/>
                      <w:lang w:val="en-US" w:eastAsia="zh-CN"/>
                    </w:rPr>
                  </w:pPr>
                  <w:r>
                    <w:rPr>
                      <w:rFonts w:hint="eastAsia" w:cs="Times New Roman"/>
                      <w:color w:val="auto"/>
                      <w:sz w:val="18"/>
                      <w:szCs w:val="18"/>
                      <w:lang w:val="en-US" w:eastAsia="zh-CN"/>
                    </w:rPr>
                    <w:t>60</w:t>
                  </w:r>
                </w:p>
              </w:tc>
              <w:tc>
                <w:tcPr>
                  <w:tcW w:w="1897" w:type="dxa"/>
                  <w:noWrap/>
                  <w:vAlign w:val="center"/>
                </w:tcPr>
                <w:p>
                  <w:pPr>
                    <w:ind w:firstLine="180" w:firstLineChars="100"/>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心电监护仪</w:t>
                  </w:r>
                </w:p>
              </w:tc>
              <w:tc>
                <w:tcPr>
                  <w:tcW w:w="1732" w:type="dxa"/>
                  <w:noWrap/>
                  <w:vAlign w:val="center"/>
                </w:tcPr>
                <w:p>
                  <w:pPr>
                    <w:autoSpaceDE w:val="0"/>
                    <w:autoSpaceDN w:val="0"/>
                    <w:adjustRightInd w:val="0"/>
                    <w:spacing w:beforeLines="50" w:afterLines="50" w:line="280" w:lineRule="exact"/>
                    <w:ind w:firstLine="540" w:firstLineChars="300"/>
                    <w:rPr>
                      <w:rFonts w:hint="default" w:eastAsia="宋体"/>
                      <w:color w:val="auto"/>
                      <w:sz w:val="18"/>
                      <w:szCs w:val="18"/>
                      <w:lang w:val="en-US" w:eastAsia="zh-CN"/>
                    </w:rPr>
                  </w:pPr>
                  <w:r>
                    <w:rPr>
                      <w:rFonts w:hint="eastAsia"/>
                      <w:color w:val="auto"/>
                      <w:sz w:val="18"/>
                      <w:szCs w:val="18"/>
                      <w:lang w:val="en-US" w:eastAsia="zh-CN"/>
                    </w:rPr>
                    <w:t>55</w:t>
                  </w:r>
                </w:p>
              </w:tc>
              <w:tc>
                <w:tcPr>
                  <w:tcW w:w="1897" w:type="dxa"/>
                  <w:noWrap/>
                  <w:vAlign w:val="center"/>
                </w:tcPr>
                <w:p>
                  <w:pPr>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超声波牙仪</w:t>
                  </w:r>
                </w:p>
              </w:tc>
              <w:tc>
                <w:tcPr>
                  <w:tcW w:w="1732" w:type="dxa"/>
                  <w:noWrap/>
                  <w:vAlign w:val="center"/>
                </w:tcPr>
                <w:p>
                  <w:pPr>
                    <w:autoSpaceDE w:val="0"/>
                    <w:autoSpaceDN w:val="0"/>
                    <w:adjustRightInd w:val="0"/>
                    <w:spacing w:beforeLines="50" w:afterLines="50" w:line="280" w:lineRule="exact"/>
                    <w:ind w:firstLine="540" w:firstLineChars="300"/>
                    <w:rPr>
                      <w:rFonts w:hint="default" w:eastAsia="宋体"/>
                      <w:color w:val="auto"/>
                      <w:sz w:val="18"/>
                      <w:szCs w:val="18"/>
                      <w:lang w:val="en-US" w:eastAsia="zh-CN"/>
                    </w:rPr>
                  </w:pPr>
                  <w:r>
                    <w:rPr>
                      <w:rFonts w:hint="eastAsia" w:cs="Times New Roman"/>
                      <w:color w:val="auto"/>
                      <w:sz w:val="18"/>
                      <w:szCs w:val="18"/>
                      <w:lang w:val="en-US" w:eastAsia="zh-CN"/>
                    </w:rPr>
                    <w:t>60</w:t>
                  </w:r>
                </w:p>
              </w:tc>
              <w:tc>
                <w:tcPr>
                  <w:tcW w:w="1897" w:type="dxa"/>
                  <w:noWrap/>
                  <w:vAlign w:val="center"/>
                </w:tcPr>
                <w:p>
                  <w:pPr>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呼吸麻醉机</w:t>
                  </w:r>
                </w:p>
              </w:tc>
              <w:tc>
                <w:tcPr>
                  <w:tcW w:w="1732" w:type="dxa"/>
                  <w:noWrap/>
                  <w:vAlign w:val="center"/>
                </w:tcPr>
                <w:p>
                  <w:pPr>
                    <w:autoSpaceDE w:val="0"/>
                    <w:autoSpaceDN w:val="0"/>
                    <w:adjustRightInd w:val="0"/>
                    <w:spacing w:beforeLines="50" w:afterLines="50" w:line="280" w:lineRule="exact"/>
                    <w:ind w:firstLine="540" w:firstLineChars="300"/>
                    <w:jc w:val="both"/>
                    <w:rPr>
                      <w:rFonts w:hint="default" w:eastAsia="宋体"/>
                      <w:color w:val="auto"/>
                      <w:sz w:val="18"/>
                      <w:szCs w:val="18"/>
                      <w:lang w:val="en-US" w:eastAsia="zh-CN"/>
                    </w:rPr>
                  </w:pPr>
                  <w:r>
                    <w:rPr>
                      <w:rFonts w:hint="eastAsia" w:cs="Times New Roman"/>
                      <w:color w:val="auto"/>
                      <w:sz w:val="18"/>
                      <w:szCs w:val="18"/>
                      <w:lang w:val="en-US" w:eastAsia="zh-CN"/>
                    </w:rPr>
                    <w:t>60</w:t>
                  </w:r>
                </w:p>
              </w:tc>
              <w:tc>
                <w:tcPr>
                  <w:tcW w:w="1897" w:type="dxa"/>
                  <w:noWrap/>
                  <w:vAlign w:val="center"/>
                </w:tcPr>
                <w:p>
                  <w:pPr>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高压蒸汽灭菌锅</w:t>
                  </w:r>
                </w:p>
              </w:tc>
              <w:tc>
                <w:tcPr>
                  <w:tcW w:w="1732" w:type="dxa"/>
                  <w:noWrap/>
                  <w:vAlign w:val="center"/>
                </w:tcPr>
                <w:p>
                  <w:pPr>
                    <w:autoSpaceDE w:val="0"/>
                    <w:autoSpaceDN w:val="0"/>
                    <w:adjustRightInd w:val="0"/>
                    <w:spacing w:beforeLines="50" w:afterLines="50" w:line="280" w:lineRule="exact"/>
                    <w:ind w:firstLine="540" w:firstLineChars="300"/>
                    <w:rPr>
                      <w:rFonts w:hint="default" w:eastAsia="宋体"/>
                      <w:color w:val="auto"/>
                      <w:sz w:val="18"/>
                      <w:szCs w:val="18"/>
                      <w:lang w:val="en-US" w:eastAsia="zh-CN"/>
                    </w:rPr>
                  </w:pPr>
                  <w:r>
                    <w:rPr>
                      <w:rFonts w:hint="eastAsia"/>
                      <w:color w:val="auto"/>
                      <w:sz w:val="18"/>
                      <w:szCs w:val="18"/>
                      <w:lang w:val="en-US" w:eastAsia="zh-CN"/>
                    </w:rPr>
                    <w:t>55</w:t>
                  </w:r>
                </w:p>
              </w:tc>
              <w:tc>
                <w:tcPr>
                  <w:tcW w:w="1897" w:type="dxa"/>
                  <w:noWrap/>
                  <w:vAlign w:val="center"/>
                </w:tcPr>
                <w:p>
                  <w:pPr>
                    <w:ind w:firstLine="180" w:firstLineChars="100"/>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bCs/>
                      <w:color w:val="auto"/>
                      <w:sz w:val="18"/>
                      <w:szCs w:val="18"/>
                    </w:rPr>
                    <w:t>抗体检测仪</w:t>
                  </w:r>
                </w:p>
              </w:tc>
              <w:tc>
                <w:tcPr>
                  <w:tcW w:w="1732" w:type="dxa"/>
                  <w:noWrap/>
                  <w:vAlign w:val="center"/>
                </w:tcPr>
                <w:p>
                  <w:pPr>
                    <w:autoSpaceDE w:val="0"/>
                    <w:autoSpaceDN w:val="0"/>
                    <w:adjustRightInd w:val="0"/>
                    <w:spacing w:beforeLines="50" w:afterLines="50" w:line="280" w:lineRule="exact"/>
                    <w:ind w:firstLine="540" w:firstLineChars="300"/>
                    <w:jc w:val="both"/>
                    <w:rPr>
                      <w:rFonts w:hint="default" w:eastAsia="宋体"/>
                      <w:color w:val="auto"/>
                      <w:sz w:val="18"/>
                      <w:szCs w:val="18"/>
                      <w:lang w:val="en-US" w:eastAsia="zh-CN"/>
                    </w:rPr>
                  </w:pPr>
                  <w:r>
                    <w:rPr>
                      <w:rFonts w:hint="eastAsia" w:cs="Times New Roman"/>
                      <w:color w:val="auto"/>
                      <w:sz w:val="18"/>
                      <w:szCs w:val="18"/>
                      <w:lang w:val="en-US" w:eastAsia="zh-CN"/>
                    </w:rPr>
                    <w:t>60</w:t>
                  </w:r>
                </w:p>
              </w:tc>
              <w:tc>
                <w:tcPr>
                  <w:tcW w:w="1897" w:type="dxa"/>
                  <w:noWrap/>
                  <w:vAlign w:val="center"/>
                </w:tcPr>
                <w:p>
                  <w:pPr>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color w:val="auto"/>
                      <w:sz w:val="18"/>
                      <w:szCs w:val="18"/>
                    </w:rPr>
                  </w:pPr>
                  <w:r>
                    <w:rPr>
                      <w:rFonts w:hint="eastAsia"/>
                      <w:color w:val="auto"/>
                      <w:sz w:val="18"/>
                      <w:szCs w:val="18"/>
                    </w:rPr>
                    <w:t>新风系统</w:t>
                  </w:r>
                </w:p>
              </w:tc>
              <w:tc>
                <w:tcPr>
                  <w:tcW w:w="1732" w:type="dxa"/>
                  <w:noWrap/>
                  <w:vAlign w:val="center"/>
                </w:tcPr>
                <w:p>
                  <w:pPr>
                    <w:autoSpaceDE w:val="0"/>
                    <w:autoSpaceDN w:val="0"/>
                    <w:adjustRightInd w:val="0"/>
                    <w:spacing w:beforeLines="50" w:afterLines="50" w:line="280" w:lineRule="exact"/>
                    <w:ind w:firstLine="540" w:firstLineChars="300"/>
                    <w:jc w:val="both"/>
                    <w:rPr>
                      <w:rFonts w:hint="default" w:eastAsia="宋体"/>
                      <w:color w:val="auto"/>
                      <w:sz w:val="18"/>
                      <w:szCs w:val="18"/>
                      <w:lang w:val="en-US" w:eastAsia="zh-CN"/>
                    </w:rPr>
                  </w:pPr>
                  <w:r>
                    <w:rPr>
                      <w:rFonts w:hint="eastAsia"/>
                      <w:color w:val="auto"/>
                      <w:sz w:val="18"/>
                      <w:szCs w:val="18"/>
                      <w:lang w:val="en-US" w:eastAsia="zh-CN"/>
                    </w:rPr>
                    <w:t>55</w:t>
                  </w:r>
                </w:p>
              </w:tc>
              <w:tc>
                <w:tcPr>
                  <w:tcW w:w="1897" w:type="dxa"/>
                  <w:noWrap/>
                  <w:vAlign w:val="center"/>
                </w:tcPr>
                <w:p>
                  <w:pPr>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1" w:type="dxa"/>
                  <w:noWrap/>
                  <w:vAlign w:val="center"/>
                </w:tcPr>
                <w:p>
                  <w:pPr>
                    <w:jc w:val="center"/>
                    <w:rPr>
                      <w:rFonts w:hint="eastAsia"/>
                      <w:color w:val="auto"/>
                      <w:sz w:val="18"/>
                      <w:szCs w:val="18"/>
                    </w:rPr>
                  </w:pPr>
                  <w:r>
                    <w:rPr>
                      <w:rFonts w:hint="eastAsia"/>
                      <w:color w:val="auto"/>
                      <w:sz w:val="18"/>
                      <w:szCs w:val="18"/>
                    </w:rPr>
                    <w:t>空调室外机</w:t>
                  </w:r>
                </w:p>
              </w:tc>
              <w:tc>
                <w:tcPr>
                  <w:tcW w:w="1732" w:type="dxa"/>
                  <w:noWrap/>
                  <w:vAlign w:val="center"/>
                </w:tcPr>
                <w:p>
                  <w:pPr>
                    <w:autoSpaceDE w:val="0"/>
                    <w:autoSpaceDN w:val="0"/>
                    <w:adjustRightInd w:val="0"/>
                    <w:spacing w:beforeLines="50" w:afterLines="50" w:line="280" w:lineRule="exact"/>
                    <w:ind w:firstLine="540" w:firstLineChars="300"/>
                    <w:jc w:val="both"/>
                    <w:rPr>
                      <w:rFonts w:hint="default" w:eastAsia="宋体"/>
                      <w:color w:val="auto"/>
                      <w:sz w:val="18"/>
                      <w:szCs w:val="18"/>
                      <w:lang w:val="en-US" w:eastAsia="zh-CN"/>
                    </w:rPr>
                  </w:pPr>
                  <w:r>
                    <w:rPr>
                      <w:rFonts w:hint="eastAsia" w:cs="Times New Roman"/>
                      <w:color w:val="auto"/>
                      <w:sz w:val="18"/>
                      <w:szCs w:val="18"/>
                      <w:lang w:val="en-US" w:eastAsia="zh-CN"/>
                    </w:rPr>
                    <w:t>65</w:t>
                  </w:r>
                </w:p>
              </w:tc>
              <w:tc>
                <w:tcPr>
                  <w:tcW w:w="1897" w:type="dxa"/>
                  <w:noWrap/>
                  <w:vAlign w:val="center"/>
                </w:tcPr>
                <w:p>
                  <w:pPr>
                    <w:rPr>
                      <w:rFonts w:hint="eastAsia"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rPr>
                    <w:t xml:space="preserve"> </w:t>
                  </w:r>
                  <w:r>
                    <w:rPr>
                      <w:rFonts w:hint="eastAsia" w:ascii="Times New Roman" w:hAnsi="Times New Roman" w:eastAsia="宋体" w:cs="Times New Roman"/>
                      <w:color w:val="auto"/>
                      <w:sz w:val="18"/>
                      <w:szCs w:val="18"/>
                      <w:lang w:val="en-US" w:eastAsia="zh-CN"/>
                    </w:rPr>
                    <w:t xml:space="preserve">       </w:t>
                  </w:r>
                  <w:r>
                    <w:rPr>
                      <w:rFonts w:hint="eastAsia" w:ascii="Times New Roman" w:hAnsi="Times New Roman" w:eastAsia="宋体" w:cs="Times New Roman"/>
                      <w:color w:val="auto"/>
                      <w:sz w:val="18"/>
                      <w:szCs w:val="18"/>
                    </w:rPr>
                    <w:t>1台</w:t>
                  </w:r>
                </w:p>
              </w:tc>
              <w:tc>
                <w:tcPr>
                  <w:tcW w:w="1898" w:type="dxa"/>
                  <w:noWrap/>
                  <w:vAlign w:val="center"/>
                </w:tcPr>
                <w:p>
                  <w:pPr>
                    <w:ind w:firstLine="540" w:firstLineChars="300"/>
                    <w:rPr>
                      <w:rFonts w:ascii="Times New Roman" w:hAnsi="Times New Roman" w:cs="Times New Roman"/>
                      <w:color w:val="auto"/>
                      <w:sz w:val="18"/>
                      <w:szCs w:val="18"/>
                    </w:rPr>
                  </w:pPr>
                  <w:r>
                    <w:rPr>
                      <w:rFonts w:ascii="Times New Roman" w:hAnsi="Times New Roman" w:cs="Times New Roman"/>
                      <w:color w:val="auto"/>
                      <w:sz w:val="18"/>
                      <w:szCs w:val="18"/>
                    </w:rPr>
                    <w:t>15-20</w:t>
                  </w:r>
                </w:p>
              </w:tc>
            </w:tr>
          </w:tbl>
          <w:p>
            <w:pPr>
              <w:pStyle w:val="2"/>
              <w:wordWrap w:val="0"/>
              <w:topLinePunct/>
              <w:spacing w:line="360" w:lineRule="auto"/>
              <w:ind w:firstLine="422" w:firstLineChars="200"/>
              <w:rPr>
                <w:rFonts w:hint="eastAsia"/>
                <w:color w:val="auto"/>
                <w:szCs w:val="21"/>
              </w:rPr>
            </w:pPr>
            <w:r>
              <w:rPr>
                <w:rFonts w:hint="eastAsia" w:ascii="宋体" w:hAnsi="宋体" w:eastAsia="宋体" w:cs="宋体"/>
                <w:b/>
                <w:bCs/>
                <w:color w:val="auto"/>
                <w:sz w:val="21"/>
                <w:szCs w:val="21"/>
                <w:lang w:val="en-US" w:eastAsia="zh-CN"/>
              </w:rPr>
              <w:t>环评要求：</w:t>
            </w:r>
            <w:r>
              <w:rPr>
                <w:rFonts w:hint="eastAsia" w:eastAsia="宋体"/>
                <w:color w:val="auto"/>
                <w:sz w:val="21"/>
                <w:szCs w:val="21"/>
              </w:rPr>
              <w:t>建筑隔声，选用低噪声设备，在医疗设备安装时配套安装减震垫，可有效隔离振动的传播。做好设备的安装调试，定期对设备进行维护，保持器良好的运行效果。安装静音的新风系统</w:t>
            </w:r>
            <w:r>
              <w:rPr>
                <w:rFonts w:hint="eastAsia" w:eastAsia="宋体"/>
                <w:color w:val="auto"/>
                <w:sz w:val="21"/>
                <w:szCs w:val="21"/>
                <w:lang w:eastAsia="zh-CN"/>
              </w:rPr>
              <w:t>和静音空调</w:t>
            </w:r>
            <w:r>
              <w:rPr>
                <w:rFonts w:hint="eastAsia" w:eastAsia="宋体"/>
                <w:color w:val="auto"/>
                <w:sz w:val="21"/>
                <w:szCs w:val="21"/>
              </w:rPr>
              <w:t>，并请专业的</w:t>
            </w:r>
            <w:r>
              <w:rPr>
                <w:rFonts w:hint="eastAsia" w:eastAsia="宋体"/>
                <w:color w:val="auto"/>
                <w:sz w:val="21"/>
                <w:szCs w:val="21"/>
                <w:lang w:eastAsia="zh-CN"/>
              </w:rPr>
              <w:t>人</w:t>
            </w:r>
            <w:r>
              <w:rPr>
                <w:rFonts w:hint="eastAsia" w:eastAsia="宋体"/>
                <w:color w:val="auto"/>
                <w:sz w:val="21"/>
                <w:szCs w:val="21"/>
              </w:rPr>
              <w:t>安装</w:t>
            </w:r>
            <w:r>
              <w:rPr>
                <w:rFonts w:hint="eastAsia" w:eastAsia="宋体"/>
                <w:color w:val="auto"/>
                <w:sz w:val="21"/>
                <w:szCs w:val="21"/>
                <w:lang w:eastAsia="zh-CN"/>
              </w:rPr>
              <w:t>。</w:t>
            </w:r>
            <w:r>
              <w:rPr>
                <w:rFonts w:hint="eastAsia" w:eastAsia="宋体"/>
                <w:color w:val="auto"/>
                <w:sz w:val="21"/>
                <w:szCs w:val="21"/>
              </w:rPr>
              <w:t>为避免动物叫声的影响，建设项目方将室内治疗室、住院室等宠物活动较多的区域安装隔声门（窗）或者双层玻璃</w:t>
            </w:r>
            <w:r>
              <w:rPr>
                <w:rFonts w:hint="eastAsia" w:eastAsia="宋体"/>
                <w:color w:val="auto"/>
                <w:sz w:val="21"/>
                <w:szCs w:val="21"/>
                <w:lang w:eastAsia="zh-CN"/>
              </w:rPr>
              <w:t>，四周缝隙使用橡胶封条，采用硬质地板的设计</w:t>
            </w:r>
            <w:r>
              <w:rPr>
                <w:rFonts w:hint="eastAsia" w:eastAsia="宋体"/>
                <w:color w:val="auto"/>
                <w:sz w:val="21"/>
                <w:szCs w:val="21"/>
              </w:rPr>
              <w:t>。对于留观或住院期间持续产生高噪声的宠物，尽快找到原因，尽可能通知该宠物主人陪同宠物往返多次就诊而非住院</w:t>
            </w:r>
            <w:r>
              <w:rPr>
                <w:rFonts w:hint="eastAsia"/>
                <w:color w:val="auto"/>
                <w:szCs w:val="21"/>
              </w:rPr>
              <w:t>。</w:t>
            </w:r>
          </w:p>
          <w:p>
            <w:pPr>
              <w:spacing w:line="360" w:lineRule="auto"/>
              <w:ind w:firstLine="422" w:firstLineChars="200"/>
              <w:rPr>
                <w:rFonts w:hint="eastAsia" w:ascii="宋体" w:hAnsi="宋体" w:eastAsia="宋体" w:cs="宋体"/>
                <w:b/>
                <w:bCs w:val="0"/>
                <w:color w:val="auto"/>
                <w:szCs w:val="21"/>
              </w:rPr>
            </w:pPr>
            <w:r>
              <w:rPr>
                <w:rFonts w:hint="eastAsia" w:ascii="宋体" w:hAnsi="宋体" w:eastAsia="宋体" w:cs="宋体"/>
                <w:b/>
                <w:bCs w:val="0"/>
                <w:color w:val="auto"/>
                <w:szCs w:val="21"/>
              </w:rPr>
              <w:t>②治理措施可行性分析</w:t>
            </w:r>
          </w:p>
          <w:p>
            <w:pPr>
              <w:pStyle w:val="2"/>
              <w:wordWrap w:val="0"/>
              <w:topLinePunct/>
              <w:spacing w:line="360" w:lineRule="auto"/>
              <w:ind w:firstLine="420" w:firstLineChars="200"/>
              <w:rPr>
                <w:rFonts w:eastAsia="宋体"/>
                <w:b/>
                <w:color w:val="auto"/>
                <w:sz w:val="21"/>
                <w:szCs w:val="21"/>
              </w:rPr>
            </w:pPr>
            <w:r>
              <w:rPr>
                <w:rFonts w:eastAsia="宋体"/>
                <w:color w:val="auto"/>
                <w:sz w:val="21"/>
                <w:szCs w:val="21"/>
              </w:rPr>
              <w:t>项目在采取噪声防治措施后产生的噪声源强可有效降低15-20dB</w:t>
            </w:r>
            <w:r>
              <w:rPr>
                <w:rFonts w:hint="eastAsia" w:eastAsia="宋体"/>
                <w:color w:val="auto"/>
                <w:sz w:val="21"/>
                <w:szCs w:val="21"/>
              </w:rPr>
              <w:t>（</w:t>
            </w:r>
            <w:r>
              <w:rPr>
                <w:rFonts w:eastAsia="宋体"/>
                <w:color w:val="auto"/>
                <w:sz w:val="21"/>
                <w:szCs w:val="21"/>
              </w:rPr>
              <w:t>A</w:t>
            </w:r>
            <w:r>
              <w:rPr>
                <w:rFonts w:hint="eastAsia" w:eastAsia="宋体"/>
                <w:color w:val="auto"/>
                <w:sz w:val="21"/>
                <w:szCs w:val="21"/>
              </w:rPr>
              <w:t>）</w:t>
            </w:r>
            <w:r>
              <w:rPr>
                <w:rFonts w:eastAsia="宋体"/>
                <w:color w:val="auto"/>
                <w:sz w:val="21"/>
                <w:szCs w:val="21"/>
              </w:rPr>
              <w:t>左右，再经距离衰减后，四周厂界噪声满足《声环境质量标准》（GB3096-2008）中2类标准要求，附近居民声环境质量满足《声环境质量标准》（GB3096</w:t>
            </w:r>
            <w:r>
              <w:rPr>
                <w:rFonts w:hint="eastAsia" w:eastAsia="宋体"/>
                <w:color w:val="auto"/>
                <w:sz w:val="21"/>
                <w:szCs w:val="21"/>
              </w:rPr>
              <w:t>-</w:t>
            </w:r>
            <w:r>
              <w:rPr>
                <w:rFonts w:eastAsia="宋体"/>
                <w:color w:val="auto"/>
                <w:sz w:val="21"/>
                <w:szCs w:val="21"/>
              </w:rPr>
              <w:t>2008）2类标准要求。</w:t>
            </w:r>
          </w:p>
          <w:p>
            <w:pPr>
              <w:spacing w:line="360" w:lineRule="auto"/>
              <w:ind w:firstLine="422" w:firstLineChars="200"/>
              <w:rPr>
                <w:rFonts w:hint="eastAsia" w:ascii="宋体" w:hAnsi="宋体" w:eastAsia="宋体" w:cs="宋体"/>
                <w:b/>
                <w:bCs w:val="0"/>
                <w:color w:val="auto"/>
                <w:szCs w:val="21"/>
              </w:rPr>
            </w:pPr>
            <w:r>
              <w:rPr>
                <w:rFonts w:hint="eastAsia" w:ascii="宋体" w:hAnsi="宋体" w:eastAsia="宋体" w:cs="宋体"/>
                <w:b/>
                <w:bCs w:val="0"/>
                <w:color w:val="auto"/>
                <w:szCs w:val="21"/>
              </w:rPr>
              <w:t>③噪声环境影响分析</w:t>
            </w:r>
          </w:p>
          <w:p>
            <w:pPr>
              <w:pStyle w:val="2"/>
              <w:wordWrap w:val="0"/>
              <w:topLinePunct/>
              <w:spacing w:line="360" w:lineRule="auto"/>
              <w:ind w:firstLine="420" w:firstLineChars="200"/>
              <w:rPr>
                <w:rFonts w:hint="eastAsia" w:eastAsia="宋体"/>
                <w:color w:val="auto"/>
                <w:sz w:val="21"/>
                <w:szCs w:val="21"/>
              </w:rPr>
            </w:pPr>
            <w:r>
              <w:rPr>
                <w:rFonts w:eastAsia="宋体"/>
                <w:color w:val="auto"/>
                <w:sz w:val="21"/>
                <w:szCs w:val="21"/>
              </w:rPr>
              <w:t>通过</w:t>
            </w:r>
            <w:r>
              <w:rPr>
                <w:rFonts w:hint="eastAsia" w:eastAsia="宋体"/>
                <w:color w:val="auto"/>
                <w:sz w:val="21"/>
                <w:szCs w:val="21"/>
              </w:rPr>
              <w:t>建筑隔声，选用低噪声设备，在医疗设备安装时配套安装减震垫，可有效隔离振动的传播。做好设备的安装调试，定期对设备进行维护，保持器良好的运行效果。</w:t>
            </w:r>
          </w:p>
          <w:p>
            <w:pPr>
              <w:pStyle w:val="2"/>
              <w:wordWrap w:val="0"/>
              <w:topLinePunct/>
              <w:spacing w:line="360" w:lineRule="auto"/>
              <w:ind w:left="0" w:leftChars="0" w:firstLine="0" w:firstLineChars="0"/>
              <w:rPr>
                <w:rFonts w:hint="eastAsia" w:eastAsia="宋体"/>
                <w:color w:val="auto"/>
                <w:sz w:val="21"/>
                <w:szCs w:val="21"/>
                <w:lang w:eastAsia="zh-CN"/>
              </w:rPr>
            </w:pPr>
            <w:r>
              <w:rPr>
                <w:rFonts w:hint="eastAsia" w:eastAsia="宋体"/>
                <w:color w:val="auto"/>
                <w:sz w:val="21"/>
                <w:szCs w:val="21"/>
              </w:rPr>
              <w:t>安装静音的新风系统</w:t>
            </w:r>
            <w:r>
              <w:rPr>
                <w:rFonts w:hint="eastAsia" w:eastAsia="宋体"/>
                <w:color w:val="auto"/>
                <w:sz w:val="21"/>
                <w:szCs w:val="21"/>
                <w:lang w:eastAsia="zh-CN"/>
              </w:rPr>
              <w:t>和静音空调</w:t>
            </w:r>
            <w:r>
              <w:rPr>
                <w:rFonts w:hint="eastAsia" w:eastAsia="宋体"/>
                <w:color w:val="auto"/>
                <w:sz w:val="21"/>
                <w:szCs w:val="21"/>
              </w:rPr>
              <w:t>，并请专业的</w:t>
            </w:r>
            <w:r>
              <w:rPr>
                <w:rFonts w:hint="eastAsia" w:eastAsia="宋体"/>
                <w:color w:val="auto"/>
                <w:sz w:val="21"/>
                <w:szCs w:val="21"/>
                <w:lang w:eastAsia="zh-CN"/>
              </w:rPr>
              <w:t>人</w:t>
            </w:r>
            <w:r>
              <w:rPr>
                <w:rFonts w:hint="eastAsia" w:eastAsia="宋体"/>
                <w:color w:val="auto"/>
                <w:sz w:val="21"/>
                <w:szCs w:val="21"/>
              </w:rPr>
              <w:t>安装</w:t>
            </w:r>
            <w:r>
              <w:rPr>
                <w:rFonts w:hint="eastAsia" w:eastAsia="宋体"/>
                <w:color w:val="auto"/>
                <w:sz w:val="21"/>
                <w:szCs w:val="21"/>
                <w:lang w:eastAsia="zh-CN"/>
              </w:rPr>
              <w:t>。</w:t>
            </w:r>
            <w:r>
              <w:rPr>
                <w:rFonts w:hint="eastAsia" w:eastAsia="宋体"/>
                <w:color w:val="auto"/>
                <w:sz w:val="21"/>
                <w:szCs w:val="21"/>
              </w:rPr>
              <w:t>为避免动物叫声的影响，建设项目方将室内治疗室、住院室等宠物活动较多的区域安装隔声门（窗）或者双层玻璃</w:t>
            </w:r>
            <w:r>
              <w:rPr>
                <w:rFonts w:hint="eastAsia" w:eastAsia="宋体"/>
                <w:color w:val="auto"/>
                <w:sz w:val="21"/>
                <w:szCs w:val="21"/>
                <w:lang w:eastAsia="zh-CN"/>
              </w:rPr>
              <w:t>，</w:t>
            </w:r>
          </w:p>
          <w:p>
            <w:pPr>
              <w:pStyle w:val="2"/>
              <w:wordWrap w:val="0"/>
              <w:topLinePunct/>
              <w:spacing w:line="360" w:lineRule="auto"/>
              <w:ind w:left="0" w:leftChars="0" w:firstLine="0" w:firstLineChars="0"/>
              <w:rPr>
                <w:rFonts w:hint="default"/>
                <w:color w:val="auto"/>
                <w:lang w:val="en-US" w:eastAsia="zh-CN"/>
              </w:rPr>
            </w:pPr>
            <w:r>
              <w:rPr>
                <w:rFonts w:hint="eastAsia" w:eastAsia="宋体"/>
                <w:color w:val="auto"/>
                <w:sz w:val="21"/>
                <w:szCs w:val="21"/>
                <w:lang w:eastAsia="zh-CN"/>
              </w:rPr>
              <w:t>四周缝隙使用橡胶封条，采用硬质地板的设计。</w:t>
            </w:r>
            <w:r>
              <w:rPr>
                <w:rFonts w:hint="eastAsia" w:eastAsia="宋体"/>
                <w:color w:val="auto"/>
                <w:sz w:val="21"/>
                <w:szCs w:val="21"/>
              </w:rPr>
              <w:t>对于留观或住院期间持续产生高噪声的宠物，尽快找到原因，尽可能通知该宠物主人陪同宠物往返多次就诊而非住院。</w:t>
            </w:r>
            <w:r>
              <w:rPr>
                <w:rFonts w:eastAsia="宋体"/>
                <w:color w:val="auto"/>
                <w:sz w:val="21"/>
                <w:szCs w:val="21"/>
              </w:rPr>
              <w:t>等措施后四周厂界噪声满足《工业企业厂界环境噪声排放标准》（GB12348-2008）中2类标准要求，附近居民声环境质量满足《声环境质量标准》（GB3096</w:t>
            </w:r>
            <w:r>
              <w:rPr>
                <w:rFonts w:hint="eastAsia" w:eastAsia="宋体"/>
                <w:color w:val="auto"/>
                <w:sz w:val="21"/>
                <w:szCs w:val="21"/>
              </w:rPr>
              <w:t>-</w:t>
            </w:r>
            <w:r>
              <w:rPr>
                <w:rFonts w:eastAsia="宋体"/>
                <w:color w:val="auto"/>
                <w:sz w:val="21"/>
                <w:szCs w:val="21"/>
              </w:rPr>
              <w:t>2008）2类标准要求，项目对声环境影响较小。</w:t>
            </w:r>
          </w:p>
          <w:p>
            <w:pPr>
              <w:spacing w:line="360" w:lineRule="auto"/>
              <w:ind w:firstLine="410" w:firstLineChars="200"/>
              <w:rPr>
                <w:b/>
                <w:color w:val="auto"/>
                <w:spacing w:val="-3"/>
                <w:szCs w:val="21"/>
              </w:rPr>
            </w:pPr>
            <w:r>
              <w:rPr>
                <w:rFonts w:hint="eastAsia" w:ascii="宋体" w:hAnsi="宋体" w:eastAsia="宋体" w:cs="宋体"/>
                <w:b/>
                <w:color w:val="auto"/>
                <w:spacing w:val="-3"/>
                <w:szCs w:val="21"/>
              </w:rPr>
              <w:t>④</w:t>
            </w:r>
            <w:r>
              <w:rPr>
                <w:rFonts w:hint="eastAsia"/>
                <w:b/>
                <w:color w:val="auto"/>
                <w:spacing w:val="-3"/>
                <w:szCs w:val="21"/>
              </w:rPr>
              <w:t>噪声自行监测计划</w:t>
            </w:r>
          </w:p>
          <w:p>
            <w:pPr>
              <w:spacing w:line="360" w:lineRule="auto"/>
              <w:ind w:firstLine="420" w:firstLineChars="200"/>
              <w:rPr>
                <w:color w:val="auto"/>
                <w:szCs w:val="21"/>
              </w:rPr>
            </w:pPr>
            <w:r>
              <w:rPr>
                <w:color w:val="auto"/>
                <w:szCs w:val="21"/>
              </w:rPr>
              <w:t>本工程监测计划见下表。</w:t>
            </w:r>
          </w:p>
          <w:p>
            <w:pPr>
              <w:keepNext/>
              <w:adjustRightInd w:val="0"/>
              <w:snapToGrid w:val="0"/>
              <w:jc w:val="center"/>
              <w:rPr>
                <w:b/>
                <w:color w:val="auto"/>
                <w:sz w:val="18"/>
                <w:szCs w:val="18"/>
              </w:rPr>
            </w:pPr>
            <w:r>
              <w:rPr>
                <w:b/>
                <w:color w:val="auto"/>
                <w:sz w:val="18"/>
                <w:szCs w:val="18"/>
              </w:rPr>
              <w:t>表</w:t>
            </w:r>
            <w:r>
              <w:rPr>
                <w:rFonts w:hint="eastAsia"/>
                <w:b/>
                <w:color w:val="auto"/>
                <w:sz w:val="18"/>
                <w:szCs w:val="18"/>
              </w:rPr>
              <w:t>4</w:t>
            </w:r>
            <w:r>
              <w:rPr>
                <w:b/>
                <w:color w:val="auto"/>
                <w:sz w:val="18"/>
                <w:szCs w:val="18"/>
              </w:rPr>
              <w:t>-</w:t>
            </w:r>
            <w:r>
              <w:rPr>
                <w:rFonts w:hint="eastAsia"/>
                <w:b/>
                <w:color w:val="auto"/>
                <w:sz w:val="18"/>
                <w:szCs w:val="18"/>
                <w:lang w:val="en-US" w:eastAsia="zh-CN"/>
              </w:rPr>
              <w:t>6</w:t>
            </w:r>
            <w:r>
              <w:rPr>
                <w:b/>
                <w:color w:val="auto"/>
                <w:sz w:val="18"/>
                <w:szCs w:val="18"/>
              </w:rPr>
              <w:t xml:space="preserve">    环境管理与监测计划</w:t>
            </w:r>
          </w:p>
          <w:tbl>
            <w:tblPr>
              <w:tblStyle w:val="21"/>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91"/>
              <w:gridCol w:w="793"/>
              <w:gridCol w:w="1244"/>
              <w:gridCol w:w="1268"/>
              <w:gridCol w:w="1859"/>
              <w:gridCol w:w="189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4" w:type="pct"/>
                  <w:noWrap/>
                  <w:vAlign w:val="center"/>
                </w:tcPr>
                <w:p>
                  <w:pPr>
                    <w:adjustRightInd w:val="0"/>
                    <w:snapToGrid w:val="0"/>
                    <w:jc w:val="center"/>
                    <w:rPr>
                      <w:bCs/>
                      <w:color w:val="auto"/>
                      <w:kern w:val="0"/>
                      <w:sz w:val="18"/>
                      <w:szCs w:val="18"/>
                    </w:rPr>
                  </w:pPr>
                  <w:r>
                    <w:rPr>
                      <w:bCs/>
                      <w:color w:val="auto"/>
                      <w:kern w:val="0"/>
                      <w:sz w:val="18"/>
                      <w:szCs w:val="18"/>
                    </w:rPr>
                    <w:t>阶段</w:t>
                  </w:r>
                </w:p>
              </w:tc>
              <w:tc>
                <w:tcPr>
                  <w:tcW w:w="505" w:type="pct"/>
                  <w:noWrap/>
                  <w:vAlign w:val="center"/>
                </w:tcPr>
                <w:p>
                  <w:pPr>
                    <w:adjustRightInd w:val="0"/>
                    <w:snapToGrid w:val="0"/>
                    <w:jc w:val="center"/>
                    <w:rPr>
                      <w:bCs/>
                      <w:color w:val="auto"/>
                      <w:kern w:val="0"/>
                      <w:sz w:val="18"/>
                      <w:szCs w:val="18"/>
                    </w:rPr>
                  </w:pPr>
                  <w:r>
                    <w:rPr>
                      <w:bCs/>
                      <w:color w:val="auto"/>
                      <w:kern w:val="0"/>
                      <w:sz w:val="18"/>
                      <w:szCs w:val="18"/>
                    </w:rPr>
                    <w:t>类别</w:t>
                  </w:r>
                </w:p>
              </w:tc>
              <w:tc>
                <w:tcPr>
                  <w:tcW w:w="791" w:type="pct"/>
                  <w:noWrap/>
                  <w:vAlign w:val="center"/>
                </w:tcPr>
                <w:p>
                  <w:pPr>
                    <w:adjustRightInd w:val="0"/>
                    <w:snapToGrid w:val="0"/>
                    <w:jc w:val="center"/>
                    <w:rPr>
                      <w:bCs/>
                      <w:color w:val="auto"/>
                      <w:kern w:val="0"/>
                      <w:sz w:val="18"/>
                      <w:szCs w:val="18"/>
                    </w:rPr>
                  </w:pPr>
                  <w:r>
                    <w:rPr>
                      <w:bCs/>
                      <w:color w:val="auto"/>
                      <w:kern w:val="0"/>
                      <w:sz w:val="18"/>
                      <w:szCs w:val="18"/>
                    </w:rPr>
                    <w:t>监测位置</w:t>
                  </w:r>
                </w:p>
              </w:tc>
              <w:tc>
                <w:tcPr>
                  <w:tcW w:w="806" w:type="pct"/>
                  <w:noWrap/>
                  <w:vAlign w:val="center"/>
                </w:tcPr>
                <w:p>
                  <w:pPr>
                    <w:adjustRightInd w:val="0"/>
                    <w:snapToGrid w:val="0"/>
                    <w:jc w:val="center"/>
                    <w:rPr>
                      <w:bCs/>
                      <w:color w:val="auto"/>
                      <w:kern w:val="0"/>
                      <w:sz w:val="18"/>
                      <w:szCs w:val="18"/>
                    </w:rPr>
                  </w:pPr>
                  <w:r>
                    <w:rPr>
                      <w:bCs/>
                      <w:color w:val="auto"/>
                      <w:kern w:val="0"/>
                      <w:sz w:val="18"/>
                      <w:szCs w:val="18"/>
                    </w:rPr>
                    <w:t>监测项目</w:t>
                  </w:r>
                </w:p>
              </w:tc>
              <w:tc>
                <w:tcPr>
                  <w:tcW w:w="1183" w:type="pct"/>
                  <w:noWrap/>
                  <w:vAlign w:val="center"/>
                </w:tcPr>
                <w:p>
                  <w:pPr>
                    <w:adjustRightInd w:val="0"/>
                    <w:snapToGrid w:val="0"/>
                    <w:jc w:val="center"/>
                    <w:rPr>
                      <w:bCs/>
                      <w:color w:val="auto"/>
                      <w:kern w:val="0"/>
                      <w:sz w:val="18"/>
                      <w:szCs w:val="18"/>
                    </w:rPr>
                  </w:pPr>
                  <w:r>
                    <w:rPr>
                      <w:bCs/>
                      <w:color w:val="auto"/>
                      <w:kern w:val="0"/>
                      <w:sz w:val="18"/>
                      <w:szCs w:val="18"/>
                    </w:rPr>
                    <w:t>监测需达到的标准</w:t>
                  </w:r>
                </w:p>
              </w:tc>
              <w:tc>
                <w:tcPr>
                  <w:tcW w:w="1207" w:type="pct"/>
                  <w:noWrap/>
                  <w:vAlign w:val="center"/>
                </w:tcPr>
                <w:p>
                  <w:pPr>
                    <w:adjustRightInd w:val="0"/>
                    <w:snapToGrid w:val="0"/>
                    <w:jc w:val="center"/>
                    <w:rPr>
                      <w:bCs/>
                      <w:color w:val="auto"/>
                      <w:kern w:val="0"/>
                      <w:sz w:val="18"/>
                      <w:szCs w:val="18"/>
                    </w:rPr>
                  </w:pPr>
                  <w:r>
                    <w:rPr>
                      <w:bCs/>
                      <w:color w:val="auto"/>
                      <w:kern w:val="0"/>
                      <w:sz w:val="18"/>
                      <w:szCs w:val="18"/>
                    </w:rPr>
                    <w:t>监测频率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504" w:type="pct"/>
                  <w:noWrap/>
                  <w:vAlign w:val="center"/>
                </w:tcPr>
                <w:p>
                  <w:pPr>
                    <w:adjustRightInd w:val="0"/>
                    <w:snapToGrid w:val="0"/>
                    <w:rPr>
                      <w:bCs/>
                      <w:color w:val="auto"/>
                      <w:kern w:val="0"/>
                      <w:sz w:val="18"/>
                      <w:szCs w:val="18"/>
                    </w:rPr>
                  </w:pPr>
                  <w:r>
                    <w:rPr>
                      <w:rFonts w:hint="eastAsia"/>
                      <w:bCs/>
                      <w:color w:val="auto"/>
                      <w:kern w:val="0"/>
                      <w:sz w:val="18"/>
                      <w:szCs w:val="18"/>
                    </w:rPr>
                    <w:t>营运期</w:t>
                  </w:r>
                </w:p>
              </w:tc>
              <w:tc>
                <w:tcPr>
                  <w:tcW w:w="505" w:type="pct"/>
                  <w:noWrap/>
                  <w:vAlign w:val="center"/>
                </w:tcPr>
                <w:p>
                  <w:pPr>
                    <w:adjustRightInd w:val="0"/>
                    <w:snapToGrid w:val="0"/>
                    <w:jc w:val="center"/>
                    <w:rPr>
                      <w:bCs/>
                      <w:color w:val="auto"/>
                      <w:kern w:val="0"/>
                      <w:sz w:val="18"/>
                      <w:szCs w:val="18"/>
                    </w:rPr>
                  </w:pPr>
                  <w:r>
                    <w:rPr>
                      <w:bCs/>
                      <w:color w:val="auto"/>
                      <w:kern w:val="0"/>
                      <w:sz w:val="18"/>
                      <w:szCs w:val="18"/>
                    </w:rPr>
                    <w:t>噪声</w:t>
                  </w:r>
                </w:p>
              </w:tc>
              <w:tc>
                <w:tcPr>
                  <w:tcW w:w="791" w:type="pct"/>
                  <w:noWrap/>
                  <w:vAlign w:val="center"/>
                </w:tcPr>
                <w:p>
                  <w:pPr>
                    <w:adjustRightInd w:val="0"/>
                    <w:snapToGrid w:val="0"/>
                    <w:jc w:val="center"/>
                    <w:rPr>
                      <w:bCs/>
                      <w:color w:val="auto"/>
                      <w:kern w:val="0"/>
                      <w:sz w:val="18"/>
                      <w:szCs w:val="18"/>
                    </w:rPr>
                  </w:pPr>
                  <w:r>
                    <w:rPr>
                      <w:bCs/>
                      <w:color w:val="auto"/>
                      <w:kern w:val="0"/>
                      <w:sz w:val="18"/>
                      <w:szCs w:val="18"/>
                    </w:rPr>
                    <w:t>厂界噪声</w:t>
                  </w:r>
                </w:p>
              </w:tc>
              <w:tc>
                <w:tcPr>
                  <w:tcW w:w="806" w:type="pct"/>
                  <w:noWrap/>
                  <w:vAlign w:val="center"/>
                </w:tcPr>
                <w:p>
                  <w:pPr>
                    <w:adjustRightInd w:val="0"/>
                    <w:snapToGrid w:val="0"/>
                    <w:jc w:val="center"/>
                    <w:rPr>
                      <w:bCs/>
                      <w:color w:val="auto"/>
                      <w:kern w:val="0"/>
                      <w:sz w:val="18"/>
                      <w:szCs w:val="18"/>
                    </w:rPr>
                  </w:pPr>
                  <w:r>
                    <w:rPr>
                      <w:bCs/>
                      <w:color w:val="auto"/>
                      <w:kern w:val="0"/>
                      <w:sz w:val="18"/>
                      <w:szCs w:val="18"/>
                    </w:rPr>
                    <w:t>LeqA</w:t>
                  </w:r>
                </w:p>
              </w:tc>
              <w:tc>
                <w:tcPr>
                  <w:tcW w:w="1183" w:type="pct"/>
                  <w:noWrap/>
                  <w:vAlign w:val="center"/>
                </w:tcPr>
                <w:p>
                  <w:pPr>
                    <w:adjustRightInd w:val="0"/>
                    <w:snapToGrid w:val="0"/>
                    <w:jc w:val="center"/>
                    <w:rPr>
                      <w:bCs/>
                      <w:color w:val="auto"/>
                      <w:sz w:val="18"/>
                      <w:szCs w:val="18"/>
                    </w:rPr>
                  </w:pPr>
                  <w:r>
                    <w:rPr>
                      <w:bCs/>
                      <w:color w:val="auto"/>
                      <w:sz w:val="18"/>
                      <w:szCs w:val="18"/>
                    </w:rPr>
                    <w:t>GB12348-2008</w:t>
                  </w:r>
                </w:p>
              </w:tc>
              <w:tc>
                <w:tcPr>
                  <w:tcW w:w="1207" w:type="pct"/>
                  <w:noWrap/>
                  <w:vAlign w:val="center"/>
                </w:tcPr>
                <w:p>
                  <w:pPr>
                    <w:adjustRightInd w:val="0"/>
                    <w:snapToGrid w:val="0"/>
                    <w:jc w:val="center"/>
                    <w:rPr>
                      <w:bCs/>
                      <w:color w:val="auto"/>
                      <w:kern w:val="0"/>
                      <w:sz w:val="18"/>
                      <w:szCs w:val="18"/>
                    </w:rPr>
                  </w:pPr>
                  <w:r>
                    <w:rPr>
                      <w:bCs/>
                      <w:color w:val="auto"/>
                      <w:kern w:val="0"/>
                      <w:sz w:val="18"/>
                      <w:szCs w:val="18"/>
                    </w:rPr>
                    <w:t>一年一次</w:t>
                  </w:r>
                </w:p>
              </w:tc>
            </w:tr>
          </w:tbl>
          <w:p>
            <w:pPr>
              <w:spacing w:line="360" w:lineRule="auto"/>
              <w:ind w:firstLine="410" w:firstLineChars="200"/>
              <w:rPr>
                <w:b/>
                <w:color w:val="auto"/>
                <w:spacing w:val="-3"/>
                <w:szCs w:val="21"/>
              </w:rPr>
            </w:pPr>
            <w:r>
              <w:rPr>
                <w:b/>
                <w:color w:val="auto"/>
                <w:spacing w:val="-3"/>
                <w:szCs w:val="21"/>
              </w:rPr>
              <w:t>4、固废产生及治理措施</w:t>
            </w:r>
          </w:p>
          <w:p>
            <w:pPr>
              <w:pStyle w:val="31"/>
              <w:wordWrap w:val="0"/>
              <w:topLinePunct/>
              <w:autoSpaceDE/>
              <w:autoSpaceDN/>
              <w:spacing w:line="360" w:lineRule="auto"/>
              <w:ind w:firstLine="420" w:firstLineChars="200"/>
              <w:rPr>
                <w:rFonts w:ascii="Times New Roman" w:hAnsi="Times New Roman" w:cs="Times New Roman"/>
                <w:color w:val="auto"/>
                <w:sz w:val="21"/>
                <w:szCs w:val="21"/>
              </w:rPr>
            </w:pPr>
            <w:r>
              <w:rPr>
                <w:rFonts w:ascii="Times New Roman" w:hAnsi="Times New Roman" w:cs="Times New Roman"/>
                <w:color w:val="auto"/>
                <w:sz w:val="21"/>
                <w:szCs w:val="21"/>
              </w:rPr>
              <w:t>项目营运期产生的一般固废有生活垃圾、废包装及输液瓶</w:t>
            </w:r>
            <w:r>
              <w:rPr>
                <w:rFonts w:hint="eastAsia" w:ascii="Times New Roman" w:hAnsi="Times New Roman" w:cs="Times New Roman"/>
                <w:color w:val="auto"/>
                <w:sz w:val="21"/>
                <w:szCs w:val="21"/>
                <w:lang w:eastAsia="zh-CN"/>
              </w:rPr>
              <w:t>、宠物粪污</w:t>
            </w:r>
            <w:r>
              <w:rPr>
                <w:rFonts w:ascii="Times New Roman" w:hAnsi="Times New Roman" w:cs="Times New Roman"/>
                <w:color w:val="auto"/>
                <w:sz w:val="21"/>
                <w:szCs w:val="21"/>
              </w:rPr>
              <w:t>；危险废物包括</w:t>
            </w:r>
            <w:r>
              <w:rPr>
                <w:rFonts w:hint="eastAsia" w:ascii="Times New Roman" w:hAnsi="Times New Roman" w:cs="Times New Roman"/>
                <w:color w:val="auto"/>
                <w:sz w:val="21"/>
                <w:szCs w:val="21"/>
              </w:rPr>
              <w:t>废紫外线灯管、</w:t>
            </w:r>
            <w:r>
              <w:rPr>
                <w:rFonts w:ascii="Times New Roman" w:hAnsi="Times New Roman" w:cs="Times New Roman"/>
                <w:color w:val="auto"/>
                <w:sz w:val="21"/>
                <w:szCs w:val="21"/>
              </w:rPr>
              <w:t>医疗废物（感染性废物、损伤性废物、过期药品、化学性废物</w:t>
            </w:r>
            <w:r>
              <w:rPr>
                <w:rFonts w:hint="eastAsia" w:ascii="Times New Roman" w:hAnsi="Times New Roman" w:cs="Times New Roman"/>
                <w:color w:val="auto"/>
                <w:sz w:val="21"/>
                <w:szCs w:val="21"/>
              </w:rPr>
              <w:t>、病理性废物</w:t>
            </w:r>
            <w:r>
              <w:rPr>
                <w:rFonts w:ascii="Times New Roman" w:hAnsi="Times New Roman" w:cs="Times New Roman"/>
                <w:color w:val="auto"/>
                <w:sz w:val="21"/>
                <w:szCs w:val="21"/>
              </w:rPr>
              <w:t>）（废物类别：HW01医疗废物；行业来源：卫生；感染性废物In 废物代码831-001-01、损伤性废物In 废物代码 831-002-01、 化学性废物T 废物代码 831-004-01、药物性废物T 废物代码 831-005-01</w:t>
            </w:r>
            <w:r>
              <w:rPr>
                <w:rFonts w:hint="eastAsia" w:ascii="Times New Roman" w:hAnsi="Times New Roman" w:cs="Times New Roman"/>
                <w:color w:val="auto"/>
                <w:sz w:val="21"/>
                <w:szCs w:val="21"/>
              </w:rPr>
              <w:t>、病理性废物 T 废物代码 831-002-01</w:t>
            </w:r>
            <w:r>
              <w:rPr>
                <w:rFonts w:ascii="Times New Roman" w:hAnsi="Times New Roman" w:cs="Times New Roman"/>
                <w:color w:val="auto"/>
                <w:sz w:val="21"/>
                <w:szCs w:val="21"/>
              </w:rPr>
              <w:t>）、水质处理器悬浮物及污泥（危废代码：HW01）</w:t>
            </w:r>
            <w:r>
              <w:rPr>
                <w:rFonts w:hint="eastAsia" w:ascii="Times New Roman" w:hAnsi="Times New Roman" w:cs="Times New Roman"/>
                <w:color w:val="auto"/>
                <w:sz w:val="21"/>
                <w:szCs w:val="21"/>
              </w:rPr>
              <w:t>、废紫外线灯管（危废代码：HW49）</w:t>
            </w:r>
            <w:r>
              <w:rPr>
                <w:rFonts w:hint="eastAsia" w:ascii="Times New Roman" w:hAnsi="Times New Roman" w:cs="Times New Roman"/>
                <w:color w:val="auto"/>
                <w:sz w:val="21"/>
                <w:szCs w:val="21"/>
                <w:lang w:eastAsia="zh-CN"/>
              </w:rPr>
              <w:t>、废活性炭</w:t>
            </w:r>
            <w:r>
              <w:rPr>
                <w:rFonts w:hint="eastAsia" w:ascii="Times New Roman" w:hAnsi="Times New Roman" w:cs="Times New Roman"/>
                <w:color w:val="auto"/>
                <w:sz w:val="21"/>
                <w:szCs w:val="21"/>
              </w:rPr>
              <w:t>（危废代码：</w:t>
            </w:r>
            <w:r>
              <w:rPr>
                <w:rFonts w:hint="eastAsia" w:ascii="Times New Roman" w:hAnsi="Times New Roman" w:cs="Times New Roman"/>
                <w:color w:val="auto"/>
                <w:sz w:val="21"/>
                <w:szCs w:val="21"/>
                <w:lang w:val="en-US" w:eastAsia="zh-CN"/>
              </w:rPr>
              <w:t>900-041-49</w:t>
            </w:r>
            <w:r>
              <w:rPr>
                <w:rFonts w:hint="eastAsia" w:ascii="Times New Roman" w:hAnsi="Times New Roman" w:cs="Times New Roman"/>
                <w:color w:val="auto"/>
                <w:sz w:val="21"/>
                <w:szCs w:val="21"/>
              </w:rPr>
              <w:t>）</w:t>
            </w:r>
            <w:r>
              <w:rPr>
                <w:rFonts w:ascii="Times New Roman" w:hAnsi="Times New Roman" w:cs="Times New Roman"/>
                <w:color w:val="auto"/>
                <w:sz w:val="21"/>
                <w:szCs w:val="21"/>
              </w:rPr>
              <w:t>等。</w:t>
            </w:r>
          </w:p>
          <w:p>
            <w:pPr>
              <w:spacing w:line="360" w:lineRule="auto"/>
              <w:ind w:firstLine="420" w:firstLineChars="200"/>
              <w:rPr>
                <w:color w:val="auto"/>
                <w:szCs w:val="21"/>
              </w:rPr>
            </w:pPr>
            <w:r>
              <w:rPr>
                <w:color w:val="auto"/>
                <w:szCs w:val="21"/>
              </w:rPr>
              <w:t>一般性固废：</w:t>
            </w:r>
          </w:p>
          <w:p>
            <w:pPr>
              <w:spacing w:line="360" w:lineRule="auto"/>
              <w:ind w:firstLine="420" w:firstLineChars="200"/>
              <w:rPr>
                <w:color w:val="auto"/>
                <w:szCs w:val="21"/>
              </w:rPr>
            </w:pPr>
            <w:r>
              <w:rPr>
                <w:rFonts w:hint="eastAsia"/>
                <w:color w:val="auto"/>
                <w:szCs w:val="21"/>
              </w:rPr>
              <w:t>1）</w:t>
            </w:r>
            <w:r>
              <w:rPr>
                <w:color w:val="auto"/>
                <w:szCs w:val="21"/>
              </w:rPr>
              <w:t>生活垃圾</w:t>
            </w:r>
          </w:p>
          <w:p>
            <w:pPr>
              <w:spacing w:line="360" w:lineRule="auto"/>
              <w:ind w:firstLine="420" w:firstLineChars="200"/>
              <w:rPr>
                <w:color w:val="auto"/>
                <w:szCs w:val="21"/>
              </w:rPr>
            </w:pPr>
            <w:r>
              <w:rPr>
                <w:rFonts w:hint="eastAsia"/>
                <w:color w:val="auto"/>
                <w:szCs w:val="21"/>
              </w:rPr>
              <w:t>根据业主介绍，本项目共有职工</w:t>
            </w:r>
            <w:r>
              <w:rPr>
                <w:rFonts w:hint="eastAsia"/>
                <w:color w:val="auto"/>
                <w:szCs w:val="21"/>
                <w:lang w:val="en-US" w:eastAsia="zh-CN"/>
              </w:rPr>
              <w:t>7</w:t>
            </w:r>
            <w:r>
              <w:rPr>
                <w:rFonts w:hint="eastAsia"/>
                <w:color w:val="auto"/>
                <w:szCs w:val="21"/>
              </w:rPr>
              <w:t>人，生活垃圾产生量按0.5kg/人</w:t>
            </w:r>
            <w:r>
              <w:rPr>
                <w:rFonts w:hint="eastAsia" w:ascii="宋体" w:hAnsi="宋体" w:cs="宋体"/>
                <w:color w:val="auto"/>
                <w:szCs w:val="21"/>
              </w:rPr>
              <w:t>·</w:t>
            </w:r>
            <w:r>
              <w:rPr>
                <w:rFonts w:hint="eastAsia"/>
                <w:color w:val="auto"/>
                <w:szCs w:val="21"/>
              </w:rPr>
              <w:t>d计算，产生量为</w:t>
            </w:r>
            <w:r>
              <w:rPr>
                <w:rFonts w:hint="eastAsia"/>
                <w:color w:val="auto"/>
                <w:szCs w:val="21"/>
                <w:lang w:val="en-US" w:eastAsia="zh-CN"/>
              </w:rPr>
              <w:t>3.5</w:t>
            </w:r>
            <w:r>
              <w:rPr>
                <w:rFonts w:hint="eastAsia"/>
                <w:color w:val="auto"/>
                <w:szCs w:val="21"/>
              </w:rPr>
              <w:t>kg/d（</w:t>
            </w:r>
            <w:r>
              <w:rPr>
                <w:rFonts w:hint="eastAsia"/>
                <w:color w:val="auto"/>
                <w:szCs w:val="21"/>
                <w:lang w:val="en-US" w:eastAsia="zh-CN"/>
              </w:rPr>
              <w:t>1.05</w:t>
            </w:r>
            <w:r>
              <w:rPr>
                <w:rFonts w:hint="eastAsia"/>
                <w:color w:val="auto"/>
                <w:szCs w:val="21"/>
              </w:rPr>
              <w:t>t/a）。</w:t>
            </w:r>
            <w:r>
              <w:rPr>
                <w:color w:val="auto"/>
                <w:szCs w:val="21"/>
              </w:rPr>
              <w:t>生活垃圾经场内垃圾桶收集后定期运送至当地市政垃圾收集点，最后由环卫部门统一清运</w:t>
            </w:r>
            <w:r>
              <w:rPr>
                <w:rFonts w:hint="eastAsia"/>
                <w:color w:val="auto"/>
              </w:rPr>
              <w:t>。</w:t>
            </w:r>
          </w:p>
          <w:p>
            <w:pPr>
              <w:spacing w:line="360" w:lineRule="auto"/>
              <w:ind w:firstLine="420" w:firstLineChars="200"/>
              <w:rPr>
                <w:color w:val="auto"/>
                <w:szCs w:val="21"/>
              </w:rPr>
            </w:pPr>
            <w:r>
              <w:rPr>
                <w:rFonts w:hint="eastAsia"/>
                <w:color w:val="auto"/>
                <w:szCs w:val="21"/>
              </w:rPr>
              <w:t>2）宠物粪污</w:t>
            </w:r>
          </w:p>
          <w:p>
            <w:pPr>
              <w:spacing w:line="360" w:lineRule="auto"/>
              <w:ind w:firstLine="420" w:firstLineChars="200"/>
              <w:rPr>
                <w:color w:val="auto"/>
                <w:szCs w:val="21"/>
              </w:rPr>
            </w:pPr>
            <w:r>
              <w:rPr>
                <w:rFonts w:hint="eastAsia"/>
                <w:color w:val="auto"/>
                <w:szCs w:val="21"/>
              </w:rPr>
              <w:t>宠物粪污按照0.05kg/只宠物进行计算，宠物医院平均每天就诊最大量7只考虑，粪污产生量为0.35kg/d（0.128t/a）。粪便单独收集处置委托环卫部门清运处置</w:t>
            </w:r>
            <w:r>
              <w:rPr>
                <w:rFonts w:hint="eastAsia"/>
                <w:color w:val="auto"/>
              </w:rPr>
              <w:t>。</w:t>
            </w:r>
          </w:p>
          <w:p>
            <w:pPr>
              <w:spacing w:line="360" w:lineRule="auto"/>
              <w:ind w:firstLine="420" w:firstLineChars="200"/>
              <w:rPr>
                <w:color w:val="auto"/>
                <w:szCs w:val="21"/>
              </w:rPr>
            </w:pPr>
            <w:r>
              <w:rPr>
                <w:rFonts w:hint="eastAsia"/>
                <w:color w:val="auto"/>
                <w:szCs w:val="21"/>
              </w:rPr>
              <w:t>3）废包装及输液瓶</w:t>
            </w:r>
          </w:p>
          <w:p>
            <w:pPr>
              <w:spacing w:line="360" w:lineRule="auto"/>
              <w:ind w:firstLine="420" w:firstLineChars="200"/>
              <w:rPr>
                <w:color w:val="auto"/>
                <w:szCs w:val="21"/>
              </w:rPr>
            </w:pPr>
            <w:r>
              <w:rPr>
                <w:color w:val="auto"/>
                <w:szCs w:val="21"/>
              </w:rPr>
              <w:t>根据业主提供的资料，年产生量为</w:t>
            </w:r>
            <w:r>
              <w:rPr>
                <w:rFonts w:hint="eastAsia"/>
                <w:color w:val="auto"/>
                <w:szCs w:val="21"/>
              </w:rPr>
              <w:t>0.22</w:t>
            </w:r>
            <w:r>
              <w:rPr>
                <w:color w:val="auto"/>
                <w:szCs w:val="21"/>
              </w:rPr>
              <w:t>t/a。暂存于医疗外包装暂存间</w:t>
            </w:r>
            <w:r>
              <w:rPr>
                <w:rFonts w:hint="eastAsia"/>
                <w:color w:val="auto"/>
                <w:szCs w:val="21"/>
              </w:rPr>
              <w:t>（建筑面积2m</w:t>
            </w:r>
            <w:r>
              <w:rPr>
                <w:rFonts w:hint="eastAsia"/>
                <w:color w:val="auto"/>
                <w:szCs w:val="21"/>
                <w:vertAlign w:val="superscript"/>
              </w:rPr>
              <w:t>2</w:t>
            </w:r>
            <w:r>
              <w:rPr>
                <w:rFonts w:hint="eastAsia"/>
                <w:color w:val="auto"/>
                <w:szCs w:val="21"/>
              </w:rPr>
              <w:t>,位于宠物医院1楼）</w:t>
            </w:r>
            <w:r>
              <w:rPr>
                <w:color w:val="auto"/>
                <w:szCs w:val="21"/>
              </w:rPr>
              <w:t>，交由</w:t>
            </w:r>
            <w:r>
              <w:rPr>
                <w:rFonts w:hint="eastAsia"/>
                <w:color w:val="auto"/>
                <w:szCs w:val="21"/>
              </w:rPr>
              <w:t>相关</w:t>
            </w:r>
            <w:r>
              <w:rPr>
                <w:color w:val="auto"/>
                <w:szCs w:val="21"/>
              </w:rPr>
              <w:t>公司回收处理。</w:t>
            </w:r>
          </w:p>
          <w:p>
            <w:pPr>
              <w:spacing w:line="360" w:lineRule="auto"/>
              <w:ind w:firstLine="420" w:firstLineChars="200"/>
              <w:rPr>
                <w:color w:val="auto"/>
                <w:szCs w:val="21"/>
              </w:rPr>
            </w:pPr>
            <w:r>
              <w:rPr>
                <w:color w:val="auto"/>
                <w:szCs w:val="21"/>
              </w:rPr>
              <w:t>危险废物：</w:t>
            </w:r>
          </w:p>
          <w:p>
            <w:pPr>
              <w:spacing w:line="360" w:lineRule="auto"/>
              <w:ind w:firstLine="420" w:firstLineChars="200"/>
              <w:rPr>
                <w:color w:val="auto"/>
                <w:szCs w:val="21"/>
              </w:rPr>
            </w:pPr>
            <w:r>
              <w:rPr>
                <w:rFonts w:hint="eastAsia"/>
                <w:color w:val="auto"/>
                <w:szCs w:val="21"/>
              </w:rPr>
              <w:t>1）废紫外线灯管</w:t>
            </w:r>
          </w:p>
          <w:p>
            <w:pPr>
              <w:spacing w:line="360" w:lineRule="auto"/>
              <w:ind w:firstLine="420" w:firstLineChars="200"/>
              <w:rPr>
                <w:color w:val="auto"/>
                <w:szCs w:val="21"/>
              </w:rPr>
            </w:pPr>
            <w:r>
              <w:rPr>
                <w:rFonts w:hint="eastAsia"/>
                <w:color w:val="auto"/>
                <w:szCs w:val="21"/>
              </w:rPr>
              <w:t>项目内用紫外线灯管对空气进行消毒将产生废紫外线灯管。类比其他宠物医院，其废紫外线灯管产生量约为0.005t/a。集中收集后贮存在医疗废物暂存间的医疗废物收集桶内，定期由有资质企业处置。</w:t>
            </w:r>
          </w:p>
          <w:p>
            <w:pPr>
              <w:spacing w:line="360" w:lineRule="auto"/>
              <w:ind w:firstLine="420" w:firstLineChars="200"/>
              <w:rPr>
                <w:color w:val="auto"/>
                <w:szCs w:val="21"/>
              </w:rPr>
            </w:pPr>
            <w:r>
              <w:rPr>
                <w:rFonts w:hint="eastAsia"/>
                <w:color w:val="auto"/>
                <w:szCs w:val="21"/>
              </w:rPr>
              <w:t>2）水质处理器悬浮物及污泥</w:t>
            </w:r>
          </w:p>
          <w:p>
            <w:pPr>
              <w:spacing w:line="360" w:lineRule="auto"/>
              <w:ind w:firstLine="420" w:firstLineChars="200"/>
              <w:rPr>
                <w:color w:val="auto"/>
                <w:szCs w:val="21"/>
              </w:rPr>
            </w:pPr>
            <w:r>
              <w:rPr>
                <w:rFonts w:hint="eastAsia"/>
                <w:color w:val="auto"/>
                <w:szCs w:val="21"/>
              </w:rPr>
              <w:t>水质处理器会产生悬浮物及污泥，约0.005t/a。水质处理器会产生悬浮物及污泥</w:t>
            </w:r>
            <w:r>
              <w:rPr>
                <w:color w:val="auto"/>
                <w:szCs w:val="21"/>
              </w:rPr>
              <w:t>为危险废物，定期清淘后交由相关资质单位处理</w:t>
            </w:r>
            <w:r>
              <w:rPr>
                <w:rFonts w:hint="eastAsia"/>
                <w:color w:val="auto"/>
                <w:szCs w:val="21"/>
              </w:rPr>
              <w:t>，</w:t>
            </w:r>
            <w:r>
              <w:rPr>
                <w:color w:val="auto"/>
                <w:szCs w:val="21"/>
              </w:rPr>
              <w:t>并签订处理处置协议。</w:t>
            </w:r>
          </w:p>
          <w:p>
            <w:pPr>
              <w:spacing w:line="360" w:lineRule="auto"/>
              <w:ind w:firstLine="420" w:firstLineChars="200"/>
              <w:rPr>
                <w:rFonts w:hint="eastAsia" w:eastAsia="宋体"/>
                <w:color w:val="auto"/>
                <w:lang w:eastAsia="zh-CN"/>
              </w:rPr>
            </w:pPr>
            <w:r>
              <w:rPr>
                <w:rFonts w:hint="eastAsia"/>
                <w:color w:val="auto"/>
                <w:szCs w:val="21"/>
              </w:rPr>
              <w:t>3）</w:t>
            </w:r>
            <w:r>
              <w:rPr>
                <w:rFonts w:hint="eastAsia"/>
                <w:color w:val="auto"/>
                <w:szCs w:val="21"/>
                <w:lang w:eastAsia="zh-CN"/>
              </w:rPr>
              <w:t>废活性炭</w:t>
            </w:r>
          </w:p>
          <w:p>
            <w:pPr>
              <w:spacing w:line="360" w:lineRule="auto"/>
              <w:ind w:firstLine="420" w:firstLineChars="200"/>
              <w:rPr>
                <w:rFonts w:hint="eastAsia"/>
                <w:color w:val="auto"/>
                <w:szCs w:val="21"/>
              </w:rPr>
            </w:pPr>
            <w:r>
              <w:rPr>
                <w:rFonts w:hint="eastAsia"/>
                <w:color w:val="auto"/>
                <w:szCs w:val="21"/>
              </w:rPr>
              <w:t>项目用</w:t>
            </w:r>
            <w:r>
              <w:rPr>
                <w:rFonts w:hint="eastAsia"/>
                <w:color w:val="auto"/>
                <w:szCs w:val="21"/>
                <w:lang w:eastAsia="zh-CN"/>
              </w:rPr>
              <w:t>活性炭</w:t>
            </w:r>
            <w:r>
              <w:rPr>
                <w:rFonts w:hint="eastAsia"/>
                <w:color w:val="auto"/>
                <w:szCs w:val="21"/>
              </w:rPr>
              <w:t>对空气进行</w:t>
            </w:r>
            <w:r>
              <w:rPr>
                <w:rFonts w:hint="eastAsia"/>
                <w:color w:val="auto"/>
                <w:szCs w:val="21"/>
                <w:lang w:eastAsia="zh-CN"/>
              </w:rPr>
              <w:t>吸附</w:t>
            </w:r>
            <w:r>
              <w:rPr>
                <w:rFonts w:hint="eastAsia"/>
                <w:color w:val="auto"/>
                <w:szCs w:val="21"/>
              </w:rPr>
              <w:t>将产生废</w:t>
            </w:r>
            <w:r>
              <w:rPr>
                <w:rFonts w:hint="eastAsia"/>
                <w:color w:val="auto"/>
                <w:szCs w:val="21"/>
                <w:lang w:eastAsia="zh-CN"/>
              </w:rPr>
              <w:t>活性炭</w:t>
            </w:r>
            <w:r>
              <w:rPr>
                <w:rFonts w:hint="eastAsia"/>
                <w:color w:val="auto"/>
                <w:szCs w:val="21"/>
              </w:rPr>
              <w:t>。类比其他宠物医院，其</w:t>
            </w:r>
            <w:r>
              <w:rPr>
                <w:rFonts w:hint="eastAsia"/>
                <w:color w:val="auto"/>
                <w:szCs w:val="21"/>
                <w:lang w:eastAsia="zh-CN"/>
              </w:rPr>
              <w:t>废活性炭</w:t>
            </w:r>
            <w:r>
              <w:rPr>
                <w:rFonts w:hint="eastAsia"/>
                <w:color w:val="auto"/>
                <w:szCs w:val="21"/>
              </w:rPr>
              <w:t>产生量约为0.00</w:t>
            </w:r>
            <w:r>
              <w:rPr>
                <w:rFonts w:hint="eastAsia"/>
                <w:color w:val="auto"/>
                <w:szCs w:val="21"/>
                <w:lang w:val="en-US" w:eastAsia="zh-CN"/>
              </w:rPr>
              <w:t>1</w:t>
            </w:r>
            <w:r>
              <w:rPr>
                <w:rFonts w:hint="eastAsia"/>
                <w:color w:val="auto"/>
                <w:szCs w:val="21"/>
              </w:rPr>
              <w:t>t/a。集中收集后贮存在医疗废物暂存间的收集桶内，定期由有资质企业处置。</w:t>
            </w:r>
          </w:p>
          <w:p>
            <w:pPr>
              <w:spacing w:line="360" w:lineRule="auto"/>
              <w:ind w:firstLine="420" w:firstLineChars="200"/>
              <w:rPr>
                <w:color w:val="auto"/>
                <w:szCs w:val="21"/>
                <w:lang w:val="zh-CN"/>
              </w:rPr>
            </w:pPr>
            <w:r>
              <w:rPr>
                <w:rFonts w:hint="eastAsia"/>
                <w:color w:val="auto"/>
                <w:szCs w:val="21"/>
                <w:lang w:val="en-US" w:eastAsia="zh-CN"/>
              </w:rPr>
              <w:t>4）</w:t>
            </w:r>
            <w:r>
              <w:rPr>
                <w:color w:val="auto"/>
                <w:szCs w:val="21"/>
                <w:lang w:val="zh-CN"/>
              </w:rPr>
              <w:t>医疗废物</w:t>
            </w:r>
          </w:p>
          <w:p>
            <w:pPr>
              <w:pStyle w:val="11"/>
              <w:tabs>
                <w:tab w:val="left" w:pos="425"/>
              </w:tabs>
              <w:spacing w:beforeLines="50" w:afterLines="50" w:line="360" w:lineRule="auto"/>
              <w:ind w:firstLine="420" w:firstLineChars="200"/>
              <w:rPr>
                <w:rFonts w:ascii="Times New Roman" w:hAnsi="Times New Roman" w:cs="Times New Roman"/>
                <w:color w:val="auto"/>
              </w:rPr>
            </w:pPr>
            <w:r>
              <w:rPr>
                <w:rFonts w:ascii="Times New Roman" w:hAnsi="Times New Roman" w:cs="Times New Roman"/>
                <w:color w:val="auto"/>
                <w:lang w:val="zh-CN"/>
              </w:rPr>
              <w:t>本项目医疗废物其主要包括</w:t>
            </w:r>
            <w:r>
              <w:rPr>
                <w:rFonts w:hint="eastAsia" w:ascii="Times New Roman" w:hAnsi="Times New Roman" w:cs="Times New Roman"/>
                <w:color w:val="auto"/>
                <w:lang w:val="zh-CN"/>
              </w:rPr>
              <w:t>宠物</w:t>
            </w:r>
            <w:r>
              <w:rPr>
                <w:rFonts w:ascii="Times New Roman" w:hAnsi="Times New Roman" w:cs="Times New Roman"/>
                <w:color w:val="auto"/>
                <w:lang w:val="zh-CN"/>
              </w:rPr>
              <w:t>血液和体液、废弃的一次性使用卫生用品、一次性使用医疗用品、一次性医疗器械等，根据《国家危险废物名录》（环境保护部令</w:t>
            </w:r>
            <w:r>
              <w:rPr>
                <w:rFonts w:ascii="Times New Roman" w:hAnsi="Times New Roman" w:cs="Times New Roman"/>
                <w:color w:val="auto"/>
              </w:rPr>
              <w:t>39号</w:t>
            </w:r>
            <w:r>
              <w:rPr>
                <w:rFonts w:ascii="Times New Roman" w:hAnsi="Times New Roman" w:cs="Times New Roman"/>
                <w:color w:val="auto"/>
                <w:lang w:val="zh-CN"/>
              </w:rPr>
              <w:t>）及《医疗废物分类名录》（卫医发【</w:t>
            </w:r>
            <w:r>
              <w:rPr>
                <w:rFonts w:ascii="Times New Roman" w:hAnsi="Times New Roman" w:cs="Times New Roman"/>
                <w:color w:val="auto"/>
              </w:rPr>
              <w:t>2003</w:t>
            </w:r>
            <w:r>
              <w:rPr>
                <w:rFonts w:ascii="Times New Roman" w:hAnsi="Times New Roman" w:cs="Times New Roman"/>
                <w:color w:val="auto"/>
                <w:lang w:val="zh-CN"/>
              </w:rPr>
              <w:t>】</w:t>
            </w:r>
            <w:r>
              <w:rPr>
                <w:rFonts w:ascii="Times New Roman" w:hAnsi="Times New Roman" w:cs="Times New Roman"/>
                <w:color w:val="auto"/>
              </w:rPr>
              <w:t>287号</w:t>
            </w:r>
            <w:r>
              <w:rPr>
                <w:rFonts w:ascii="Times New Roman" w:hAnsi="Times New Roman" w:cs="Times New Roman"/>
                <w:color w:val="auto"/>
                <w:lang w:val="zh-CN"/>
              </w:rPr>
              <w:t>）规定，本项目医疗废物属于国家危险废物</w:t>
            </w:r>
            <w:r>
              <w:rPr>
                <w:rFonts w:ascii="Times New Roman" w:hAnsi="Times New Roman" w:cs="Times New Roman"/>
                <w:color w:val="auto"/>
              </w:rPr>
              <w:t>HW01医疗废物，其种类各异，影响和危害程度也不尽相同，因此，必须对各种医疗垃圾进行分类收集、妥善处理。具体医疗废物成分统计情况见表</w:t>
            </w:r>
            <w:r>
              <w:rPr>
                <w:rFonts w:hint="eastAsia" w:ascii="Times New Roman" w:hAnsi="Times New Roman" w:cs="Times New Roman"/>
                <w:color w:val="auto"/>
              </w:rPr>
              <w:t>4</w:t>
            </w:r>
            <w:r>
              <w:rPr>
                <w:rFonts w:ascii="Times New Roman" w:hAnsi="Times New Roman" w:cs="Times New Roman"/>
                <w:color w:val="auto"/>
              </w:rPr>
              <w:t>-</w:t>
            </w:r>
            <w:r>
              <w:rPr>
                <w:rFonts w:hint="eastAsia" w:ascii="Times New Roman" w:hAnsi="Times New Roman" w:cs="Times New Roman"/>
                <w:color w:val="auto"/>
                <w:lang w:val="en-US" w:eastAsia="zh-CN"/>
              </w:rPr>
              <w:t>7</w:t>
            </w:r>
            <w:r>
              <w:rPr>
                <w:rFonts w:ascii="Times New Roman" w:hAnsi="Times New Roman" w:cs="Times New Roman"/>
                <w:color w:val="auto"/>
              </w:rPr>
              <w:t>。</w:t>
            </w:r>
          </w:p>
          <w:p>
            <w:pPr>
              <w:keepNext/>
              <w:adjustRightInd w:val="0"/>
              <w:snapToGrid w:val="0"/>
              <w:jc w:val="center"/>
              <w:rPr>
                <w:rFonts w:ascii="Times New Roman" w:hAnsi="Times New Roman" w:eastAsia="宋体" w:cs="Times New Roman"/>
                <w:b/>
                <w:color w:val="auto"/>
                <w:sz w:val="18"/>
                <w:szCs w:val="18"/>
              </w:rPr>
            </w:pPr>
            <w:r>
              <w:rPr>
                <w:rFonts w:ascii="Times New Roman" w:hAnsi="Times New Roman" w:eastAsia="宋体" w:cs="Times New Roman"/>
                <w:b/>
                <w:color w:val="auto"/>
                <w:sz w:val="18"/>
                <w:szCs w:val="18"/>
              </w:rPr>
              <w:t>表</w:t>
            </w:r>
            <w:r>
              <w:rPr>
                <w:rFonts w:hint="eastAsia" w:ascii="Times New Roman" w:hAnsi="Times New Roman" w:eastAsia="宋体" w:cs="Times New Roman"/>
                <w:b/>
                <w:color w:val="auto"/>
                <w:sz w:val="18"/>
                <w:szCs w:val="18"/>
              </w:rPr>
              <w:t>4</w:t>
            </w:r>
            <w:r>
              <w:rPr>
                <w:rFonts w:ascii="Times New Roman" w:hAnsi="Times New Roman" w:eastAsia="宋体" w:cs="Times New Roman"/>
                <w:b/>
                <w:color w:val="auto"/>
                <w:sz w:val="18"/>
                <w:szCs w:val="18"/>
              </w:rPr>
              <w:t>-</w:t>
            </w:r>
            <w:r>
              <w:rPr>
                <w:rFonts w:hint="eastAsia" w:cs="Times New Roman"/>
                <w:b/>
                <w:color w:val="auto"/>
                <w:sz w:val="18"/>
                <w:szCs w:val="18"/>
                <w:lang w:val="en-US" w:eastAsia="zh-CN"/>
              </w:rPr>
              <w:t>7</w:t>
            </w:r>
            <w:r>
              <w:rPr>
                <w:rFonts w:ascii="Times New Roman" w:hAnsi="Times New Roman" w:eastAsia="宋体" w:cs="Times New Roman"/>
                <w:b/>
                <w:color w:val="auto"/>
                <w:sz w:val="18"/>
                <w:szCs w:val="18"/>
              </w:rPr>
              <w:t xml:space="preserve"> 医疗废物产生情况</w:t>
            </w:r>
          </w:p>
          <w:tbl>
            <w:tblPr>
              <w:tblStyle w:val="21"/>
              <w:tblW w:w="7977" w:type="dxa"/>
              <w:tblInd w:w="6"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28"/>
              <w:gridCol w:w="1096"/>
              <w:gridCol w:w="2024"/>
              <w:gridCol w:w="372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1" w:hRule="atLeast"/>
              </w:trPr>
              <w:tc>
                <w:tcPr>
                  <w:tcW w:w="1128" w:type="dxa"/>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类型</w:t>
                  </w:r>
                </w:p>
              </w:tc>
              <w:tc>
                <w:tcPr>
                  <w:tcW w:w="1096"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 xml:space="preserve">    类别</w:t>
                  </w:r>
                </w:p>
              </w:tc>
              <w:tc>
                <w:tcPr>
                  <w:tcW w:w="2024" w:type="dxa"/>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特征</w:t>
                  </w:r>
                </w:p>
              </w:tc>
              <w:tc>
                <w:tcPr>
                  <w:tcW w:w="3729" w:type="dxa"/>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常见组分或者废物名称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28" w:type="dxa"/>
                  <w:vMerge w:val="restart"/>
                  <w:noWrap/>
                </w:tcPr>
                <w:p>
                  <w:pPr>
                    <w:pStyle w:val="31"/>
                    <w:jc w:val="both"/>
                    <w:rPr>
                      <w:rFonts w:ascii="Times New Roman" w:hAnsi="Times New Roman" w:cs="Times New Roman"/>
                      <w:color w:val="auto"/>
                      <w:sz w:val="18"/>
                      <w:szCs w:val="18"/>
                    </w:rPr>
                  </w:pPr>
                </w:p>
                <w:p>
                  <w:pPr>
                    <w:pStyle w:val="31"/>
                    <w:jc w:val="both"/>
                    <w:rPr>
                      <w:rFonts w:ascii="Times New Roman" w:hAnsi="Times New Roman" w:cs="Times New Roman"/>
                      <w:color w:val="auto"/>
                      <w:sz w:val="18"/>
                      <w:szCs w:val="18"/>
                    </w:rPr>
                  </w:pP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感染性</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废物</w:t>
                  </w:r>
                </w:p>
              </w:tc>
              <w:tc>
                <w:tcPr>
                  <w:tcW w:w="1096" w:type="dxa"/>
                  <w:vMerge w:val="restart"/>
                  <w:noWrap/>
                </w:tcPr>
                <w:p>
                  <w:pPr>
                    <w:pStyle w:val="31"/>
                    <w:jc w:val="both"/>
                    <w:rPr>
                      <w:rFonts w:ascii="Times New Roman" w:hAnsi="Times New Roman" w:cs="Times New Roman"/>
                      <w:color w:val="auto"/>
                      <w:sz w:val="18"/>
                      <w:szCs w:val="18"/>
                      <w:lang w:val="zh-CN"/>
                    </w:rPr>
                  </w:pPr>
                </w:p>
                <w:p>
                  <w:pPr>
                    <w:pStyle w:val="31"/>
                    <w:jc w:val="both"/>
                    <w:rPr>
                      <w:rFonts w:ascii="Times New Roman" w:hAnsi="Times New Roman" w:cs="Times New Roman"/>
                      <w:color w:val="auto"/>
                      <w:sz w:val="18"/>
                      <w:szCs w:val="18"/>
                      <w:lang w:val="zh-CN"/>
                    </w:rPr>
                  </w:pP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HW01</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831-001-01</w:t>
                  </w:r>
                </w:p>
              </w:tc>
              <w:tc>
                <w:tcPr>
                  <w:tcW w:w="2024" w:type="dxa"/>
                  <w:vMerge w:val="restart"/>
                  <w:noWrap/>
                </w:tcPr>
                <w:p>
                  <w:pPr>
                    <w:pStyle w:val="31"/>
                    <w:jc w:val="both"/>
                    <w:rPr>
                      <w:rFonts w:ascii="Times New Roman" w:hAnsi="Times New Roman" w:cs="Times New Roman"/>
                      <w:color w:val="auto"/>
                      <w:sz w:val="18"/>
                      <w:szCs w:val="18"/>
                      <w:lang w:val="zh-CN"/>
                    </w:rPr>
                  </w:pPr>
                </w:p>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携带病原微生物，具有引发感染性疾病传播危险的医疗废物</w:t>
                  </w: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包括：a.棉球、棉签、引流棉条、纱布及其他各种敷料；</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b.一次性使用卫生用品、一次性使用医疗用品及一次性医疗器械；</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c.其他被</w:t>
                  </w:r>
                  <w:r>
                    <w:rPr>
                      <w:rFonts w:hint="eastAsia" w:ascii="Times New Roman" w:hAnsi="Times New Roman" w:cs="Times New Roman"/>
                      <w:color w:val="auto"/>
                      <w:sz w:val="18"/>
                      <w:szCs w:val="18"/>
                    </w:rPr>
                    <w:t>宠物</w:t>
                  </w:r>
                  <w:r>
                    <w:rPr>
                      <w:rFonts w:ascii="Times New Roman" w:hAnsi="Times New Roman" w:cs="Times New Roman"/>
                      <w:color w:val="auto"/>
                      <w:sz w:val="18"/>
                      <w:szCs w:val="18"/>
                    </w:rPr>
                    <w:t>血液、体液、排泄物污染的物品。</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2.病原体的培养基、标本和菌种、毒种保存液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3.各种废弃的医学标本</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4.废弃的血液、血清</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5.使用后的一次性使用医疗用品及一次性医疗器械。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281" w:hRule="atLeast"/>
              </w:trPr>
              <w:tc>
                <w:tcPr>
                  <w:tcW w:w="1128" w:type="dxa"/>
                  <w:vMerge w:val="restart"/>
                  <w:noWrap/>
                </w:tcPr>
                <w:p>
                  <w:pPr>
                    <w:pStyle w:val="31"/>
                    <w:jc w:val="both"/>
                    <w:rPr>
                      <w:rFonts w:ascii="Times New Roman" w:hAnsi="Times New Roman" w:cs="Times New Roman"/>
                      <w:color w:val="auto"/>
                      <w:sz w:val="18"/>
                      <w:szCs w:val="18"/>
                    </w:rPr>
                  </w:pPr>
                  <w:r>
                    <w:rPr>
                      <w:rFonts w:hint="eastAsia" w:ascii="Times New Roman" w:hAnsi="Times New Roman" w:cs="Times New Roman"/>
                      <w:color w:val="auto"/>
                      <w:sz w:val="18"/>
                      <w:szCs w:val="18"/>
                    </w:rPr>
                    <w:t>病理性废物</w:t>
                  </w:r>
                </w:p>
              </w:tc>
              <w:tc>
                <w:tcPr>
                  <w:tcW w:w="1096" w:type="dxa"/>
                  <w:vMerge w:val="restart"/>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HW01</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831-00</w:t>
                  </w:r>
                  <w:r>
                    <w:rPr>
                      <w:rFonts w:hint="eastAsia" w:ascii="Times New Roman" w:hAnsi="Times New Roman" w:cs="Times New Roman"/>
                      <w:color w:val="auto"/>
                      <w:sz w:val="18"/>
                      <w:szCs w:val="18"/>
                    </w:rPr>
                    <w:t>3</w:t>
                  </w:r>
                  <w:r>
                    <w:rPr>
                      <w:rFonts w:ascii="Times New Roman" w:hAnsi="Times New Roman" w:cs="Times New Roman"/>
                      <w:color w:val="auto"/>
                      <w:sz w:val="18"/>
                      <w:szCs w:val="18"/>
                    </w:rPr>
                    <w:t>-01</w:t>
                  </w:r>
                </w:p>
              </w:tc>
              <w:tc>
                <w:tcPr>
                  <w:tcW w:w="2024" w:type="dxa"/>
                  <w:vMerge w:val="restart"/>
                  <w:noWrap/>
                </w:tcPr>
                <w:p>
                  <w:pPr>
                    <w:pStyle w:val="31"/>
                    <w:jc w:val="both"/>
                    <w:rPr>
                      <w:rFonts w:ascii="Times New Roman" w:hAnsi="Times New Roman" w:cs="Times New Roman"/>
                      <w:color w:val="auto"/>
                      <w:sz w:val="18"/>
                      <w:szCs w:val="18"/>
                      <w:lang w:val="zh-CN"/>
                    </w:rPr>
                  </w:pPr>
                  <w:r>
                    <w:rPr>
                      <w:rFonts w:hint="eastAsia" w:ascii="Times New Roman" w:hAnsi="Times New Roman" w:cs="Times New Roman"/>
                      <w:color w:val="auto"/>
                      <w:sz w:val="18"/>
                      <w:szCs w:val="18"/>
                      <w:lang w:val="zh-CN"/>
                    </w:rPr>
                    <w:t>诊疗过程中产生的人体废弃物和医学实验动物尸体等</w:t>
                  </w:r>
                </w:p>
              </w:tc>
              <w:tc>
                <w:tcPr>
                  <w:tcW w:w="3729" w:type="dxa"/>
                  <w:noWrap/>
                </w:tcPr>
                <w:p>
                  <w:pPr>
                    <w:pStyle w:val="31"/>
                    <w:jc w:val="both"/>
                    <w:rPr>
                      <w:rFonts w:ascii="Times New Roman" w:hAnsi="Times New Roman" w:cs="Times New Roman"/>
                      <w:color w:val="auto"/>
                      <w:sz w:val="18"/>
                      <w:szCs w:val="18"/>
                    </w:rPr>
                  </w:pPr>
                  <w:r>
                    <w:rPr>
                      <w:rFonts w:hint="eastAsia" w:ascii="Times New Roman" w:hAnsi="Times New Roman" w:cs="Times New Roman"/>
                      <w:color w:val="auto"/>
                      <w:sz w:val="18"/>
                      <w:szCs w:val="18"/>
                    </w:rPr>
                    <w:t>1、手术及其他诊疗过程中产生的废弃的宠物组织、器官等。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rPr>
                  </w:pPr>
                </w:p>
              </w:tc>
              <w:tc>
                <w:tcPr>
                  <w:tcW w:w="1096" w:type="dxa"/>
                  <w:vMerge w:val="continue"/>
                  <w:noWrap/>
                </w:tcPr>
                <w:p>
                  <w:pPr>
                    <w:pStyle w:val="31"/>
                    <w:jc w:val="both"/>
                    <w:rPr>
                      <w:rFonts w:ascii="Times New Roman" w:hAnsi="Times New Roman" w:cs="Times New Roman"/>
                      <w:color w:val="auto"/>
                      <w:sz w:val="18"/>
                      <w:szCs w:val="18"/>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hint="eastAsia" w:ascii="Times New Roman" w:hAnsi="Times New Roman" w:cs="Times New Roman"/>
                      <w:color w:val="auto"/>
                      <w:sz w:val="18"/>
                      <w:szCs w:val="18"/>
                    </w:rPr>
                    <w:t>2、医学实验动物的组织、尸体。</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rPr>
                  </w:pPr>
                </w:p>
              </w:tc>
              <w:tc>
                <w:tcPr>
                  <w:tcW w:w="1096" w:type="dxa"/>
                  <w:vMerge w:val="continue"/>
                  <w:noWrap/>
                </w:tcPr>
                <w:p>
                  <w:pPr>
                    <w:pStyle w:val="31"/>
                    <w:jc w:val="both"/>
                    <w:rPr>
                      <w:rFonts w:ascii="Times New Roman" w:hAnsi="Times New Roman" w:cs="Times New Roman"/>
                      <w:color w:val="auto"/>
                      <w:sz w:val="18"/>
                      <w:szCs w:val="18"/>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hint="eastAsia" w:ascii="Times New Roman" w:hAnsi="Times New Roman" w:cs="Times New Roman"/>
                      <w:color w:val="auto"/>
                      <w:sz w:val="18"/>
                      <w:szCs w:val="18"/>
                    </w:rPr>
                    <w:t>3、病理切片后废弃的宠物组织、病理腊块等。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restart"/>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损伤性</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废物</w:t>
                  </w:r>
                </w:p>
              </w:tc>
              <w:tc>
                <w:tcPr>
                  <w:tcW w:w="1096" w:type="dxa"/>
                  <w:vMerge w:val="restart"/>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HW01</w:t>
                  </w:r>
                </w:p>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rPr>
                    <w:t>831-002-01</w:t>
                  </w:r>
                </w:p>
              </w:tc>
              <w:tc>
                <w:tcPr>
                  <w:tcW w:w="2024" w:type="dxa"/>
                  <w:vMerge w:val="restart"/>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能够刺伤或者割伤人体的废弃的医用锐器</w:t>
                  </w: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1.医用镇头、缝合针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2.各类医用锐器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3.载玻片、玻璃试管、玻璃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128" w:type="dxa"/>
                  <w:vMerge w:val="restart"/>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药物性废物</w:t>
                  </w:r>
                </w:p>
              </w:tc>
              <w:tc>
                <w:tcPr>
                  <w:tcW w:w="1096" w:type="dxa"/>
                  <w:vMerge w:val="restart"/>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HW01</w:t>
                  </w:r>
                </w:p>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rPr>
                    <w:t>831-005-01</w:t>
                  </w:r>
                </w:p>
              </w:tc>
              <w:tc>
                <w:tcPr>
                  <w:tcW w:w="2024" w:type="dxa"/>
                  <w:vMerge w:val="restart"/>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过期、淘汰、变质或者污染的废弃的药品</w:t>
                  </w: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1.废弃的一般性药品，如：抗生素、非处方类药品等。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废弃的细胞毒性药物和遗传毒性药物，包括：a.致癌性药物，如三苯氧氨</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b.可疑致癌性药物</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c.免疫抑制剂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3.废弃的疫苗、血液制品等。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restart"/>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化学性废物</w:t>
                  </w:r>
                </w:p>
              </w:tc>
              <w:tc>
                <w:tcPr>
                  <w:tcW w:w="1096" w:type="dxa"/>
                  <w:vMerge w:val="restart"/>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HW01</w:t>
                  </w:r>
                </w:p>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rPr>
                    <w:t>831-004-01</w:t>
                  </w:r>
                </w:p>
              </w:tc>
              <w:tc>
                <w:tcPr>
                  <w:tcW w:w="2024" w:type="dxa"/>
                  <w:vMerge w:val="restart"/>
                  <w:noWrap/>
                </w:tcPr>
                <w:p>
                  <w:pPr>
                    <w:pStyle w:val="31"/>
                    <w:jc w:val="both"/>
                    <w:rPr>
                      <w:rFonts w:ascii="Times New Roman" w:hAnsi="Times New Roman" w:cs="Times New Roman"/>
                      <w:color w:val="auto"/>
                      <w:sz w:val="18"/>
                      <w:szCs w:val="18"/>
                      <w:lang w:val="zh-CN"/>
                    </w:rPr>
                  </w:pPr>
                  <w:r>
                    <w:rPr>
                      <w:rFonts w:ascii="Times New Roman" w:hAnsi="Times New Roman" w:cs="Times New Roman"/>
                      <w:color w:val="auto"/>
                      <w:sz w:val="18"/>
                      <w:szCs w:val="18"/>
                      <w:lang w:val="zh-CN"/>
                    </w:rPr>
                    <w:t>具有毒性、腐蚀性、易燃易爆性的废弃的化学物品</w:t>
                  </w: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1.医学影响室、实验室废弃的化学试剂。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2.废弃的过氧乙酸、戊二醛等化学消毒剂。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1128" w:type="dxa"/>
                  <w:vMerge w:val="continue"/>
                  <w:noWrap/>
                </w:tcPr>
                <w:p>
                  <w:pPr>
                    <w:pStyle w:val="31"/>
                    <w:jc w:val="both"/>
                    <w:rPr>
                      <w:rFonts w:ascii="Times New Roman" w:hAnsi="Times New Roman" w:cs="Times New Roman"/>
                      <w:color w:val="auto"/>
                      <w:sz w:val="18"/>
                      <w:szCs w:val="18"/>
                      <w:lang w:val="zh-CN"/>
                    </w:rPr>
                  </w:pPr>
                </w:p>
              </w:tc>
              <w:tc>
                <w:tcPr>
                  <w:tcW w:w="1096" w:type="dxa"/>
                  <w:vMerge w:val="continue"/>
                  <w:noWrap/>
                </w:tcPr>
                <w:p>
                  <w:pPr>
                    <w:pStyle w:val="31"/>
                    <w:jc w:val="both"/>
                    <w:rPr>
                      <w:rFonts w:ascii="Times New Roman" w:hAnsi="Times New Roman" w:cs="Times New Roman"/>
                      <w:color w:val="auto"/>
                      <w:sz w:val="18"/>
                      <w:szCs w:val="18"/>
                      <w:lang w:val="zh-CN"/>
                    </w:rPr>
                  </w:pPr>
                </w:p>
              </w:tc>
              <w:tc>
                <w:tcPr>
                  <w:tcW w:w="2024" w:type="dxa"/>
                  <w:vMerge w:val="continue"/>
                  <w:noWrap/>
                </w:tcPr>
                <w:p>
                  <w:pPr>
                    <w:pStyle w:val="31"/>
                    <w:jc w:val="both"/>
                    <w:rPr>
                      <w:rFonts w:ascii="Times New Roman" w:hAnsi="Times New Roman" w:cs="Times New Roman"/>
                      <w:color w:val="auto"/>
                      <w:sz w:val="18"/>
                      <w:szCs w:val="18"/>
                      <w:lang w:val="zh-CN"/>
                    </w:rPr>
                  </w:pPr>
                </w:p>
              </w:tc>
              <w:tc>
                <w:tcPr>
                  <w:tcW w:w="3729" w:type="dxa"/>
                  <w:noWrap/>
                </w:tcPr>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3.废弃的汞血压计、汞温度计</w:t>
                  </w:r>
                </w:p>
              </w:tc>
            </w:tr>
          </w:tbl>
          <w:p>
            <w:pPr>
              <w:pStyle w:val="31"/>
              <w:wordWrap w:val="0"/>
              <w:topLinePunct/>
              <w:autoSpaceDE/>
              <w:autoSpaceDN/>
              <w:spacing w:line="360" w:lineRule="auto"/>
              <w:ind w:firstLine="420" w:firstLineChars="200"/>
              <w:rPr>
                <w:rFonts w:ascii="Times New Roman" w:hAnsi="Times New Roman" w:cs="Times New Roman"/>
                <w:color w:val="auto"/>
                <w:sz w:val="21"/>
                <w:szCs w:val="21"/>
              </w:rPr>
            </w:pPr>
            <w:r>
              <w:rPr>
                <w:rFonts w:hint="eastAsia" w:hAnsi="宋体"/>
                <w:color w:val="auto"/>
                <w:sz w:val="21"/>
                <w:szCs w:val="21"/>
              </w:rPr>
              <w:t>①</w:t>
            </w:r>
            <w:r>
              <w:rPr>
                <w:rFonts w:hint="eastAsia" w:ascii="Times New Roman" w:hAnsi="Times New Roman" w:cs="Times New Roman"/>
                <w:color w:val="auto"/>
                <w:sz w:val="21"/>
                <w:szCs w:val="21"/>
              </w:rPr>
              <w:t>感染性医疗废物、损伤性医疗废物</w:t>
            </w:r>
          </w:p>
          <w:p>
            <w:pPr>
              <w:spacing w:line="360" w:lineRule="auto"/>
              <w:ind w:firstLine="420" w:firstLineChars="200"/>
              <w:rPr>
                <w:color w:val="auto"/>
                <w:szCs w:val="21"/>
                <w:lang w:val="zh-CN"/>
              </w:rPr>
            </w:pPr>
            <w:r>
              <w:rPr>
                <w:rFonts w:hint="eastAsia"/>
                <w:color w:val="auto"/>
                <w:szCs w:val="21"/>
              </w:rPr>
              <w:t>废物产生量按建成后项目住院室最大容纳宠物4只/d，门诊最大流量3只/d</w:t>
            </w:r>
            <w:r>
              <w:rPr>
                <w:rFonts w:hint="eastAsia"/>
                <w:color w:val="auto"/>
                <w:szCs w:val="21"/>
                <w:lang w:eastAsia="zh-CN"/>
              </w:rPr>
              <w:t>，</w:t>
            </w:r>
            <w:r>
              <w:rPr>
                <w:rFonts w:hint="eastAsia"/>
                <w:color w:val="auto"/>
                <w:szCs w:val="21"/>
              </w:rPr>
              <w:t>每日</w:t>
            </w:r>
            <w:r>
              <w:rPr>
                <w:rFonts w:hint="eastAsia"/>
                <w:color w:val="auto"/>
                <w:szCs w:val="21"/>
                <w:lang w:eastAsia="zh-CN"/>
              </w:rPr>
              <w:t>按照</w:t>
            </w:r>
            <w:r>
              <w:rPr>
                <w:rFonts w:hint="eastAsia"/>
                <w:color w:val="auto"/>
                <w:szCs w:val="21"/>
              </w:rPr>
              <w:t>0.1kg计算，产生量为0.7kg/d（0.256t/a）。</w:t>
            </w:r>
            <w:r>
              <w:rPr>
                <w:color w:val="auto"/>
                <w:szCs w:val="21"/>
                <w:lang w:val="zh-CN"/>
              </w:rPr>
              <w:t>感染性医疗废物、损伤性医疗废物集中收集于医疗垃圾暂存区（面积为</w:t>
            </w:r>
            <w:r>
              <w:rPr>
                <w:rFonts w:hint="eastAsia"/>
                <w:color w:val="auto"/>
                <w:szCs w:val="21"/>
                <w:lang w:val="en-US" w:eastAsia="zh-CN"/>
              </w:rPr>
              <w:t>2</w:t>
            </w:r>
            <w:r>
              <w:rPr>
                <w:color w:val="auto"/>
                <w:szCs w:val="21"/>
                <w:lang w:val="zh-CN"/>
              </w:rPr>
              <w:t>m</w:t>
            </w:r>
            <w:r>
              <w:rPr>
                <w:color w:val="auto"/>
                <w:szCs w:val="21"/>
                <w:vertAlign w:val="superscript"/>
              </w:rPr>
              <w:t>2</w:t>
            </w:r>
            <w:r>
              <w:rPr>
                <w:color w:val="auto"/>
                <w:szCs w:val="21"/>
                <w:lang w:val="zh-CN"/>
              </w:rPr>
              <w:t>，</w:t>
            </w:r>
            <w:r>
              <w:rPr>
                <w:rFonts w:hint="eastAsia"/>
                <w:color w:val="auto"/>
                <w:szCs w:val="21"/>
                <w:lang w:val="zh-CN"/>
              </w:rPr>
              <w:t>位于宠物医院</w:t>
            </w:r>
            <w:r>
              <w:rPr>
                <w:rFonts w:hint="eastAsia"/>
                <w:color w:val="auto"/>
                <w:szCs w:val="21"/>
                <w:lang w:val="en-US" w:eastAsia="zh-CN"/>
              </w:rPr>
              <w:t>1</w:t>
            </w:r>
            <w:r>
              <w:rPr>
                <w:color w:val="auto"/>
                <w:szCs w:val="21"/>
              </w:rPr>
              <w:t>楼</w:t>
            </w:r>
            <w:r>
              <w:rPr>
                <w:color w:val="auto"/>
                <w:szCs w:val="21"/>
                <w:lang w:val="zh-CN"/>
              </w:rPr>
              <w:t>），</w:t>
            </w:r>
            <w:r>
              <w:rPr>
                <w:rFonts w:hint="eastAsia"/>
                <w:color w:val="auto"/>
                <w:szCs w:val="21"/>
                <w:lang w:val="zh-CN"/>
              </w:rPr>
              <w:t>医疗垃圾重点防渗，</w:t>
            </w:r>
            <w:r>
              <w:rPr>
                <w:color w:val="auto"/>
                <w:szCs w:val="21"/>
                <w:lang w:val="zh-CN"/>
              </w:rPr>
              <w:t>定期委托</w:t>
            </w:r>
            <w:r>
              <w:rPr>
                <w:rFonts w:hint="eastAsia"/>
                <w:color w:val="auto"/>
                <w:szCs w:val="21"/>
                <w:lang w:val="zh-CN"/>
              </w:rPr>
              <w:t>有资质单位进行处理。</w:t>
            </w:r>
          </w:p>
          <w:p>
            <w:pPr>
              <w:pStyle w:val="31"/>
              <w:wordWrap w:val="0"/>
              <w:topLinePunct/>
              <w:autoSpaceDE/>
              <w:autoSpaceDN/>
              <w:spacing w:line="360" w:lineRule="auto"/>
              <w:ind w:firstLine="482"/>
              <w:rPr>
                <w:rFonts w:ascii="Times New Roman" w:hAnsi="Times New Roman" w:cs="Times New Roman"/>
                <w:color w:val="auto"/>
                <w:sz w:val="21"/>
                <w:szCs w:val="21"/>
              </w:rPr>
            </w:pPr>
            <w:r>
              <w:rPr>
                <w:rFonts w:hint="eastAsia" w:hAnsi="宋体"/>
                <w:color w:val="auto"/>
                <w:sz w:val="21"/>
                <w:szCs w:val="21"/>
              </w:rPr>
              <w:t>②</w:t>
            </w:r>
            <w:r>
              <w:rPr>
                <w:rFonts w:hint="eastAsia" w:ascii="Times New Roman" w:hAnsi="Times New Roman" w:cs="Times New Roman"/>
                <w:color w:val="auto"/>
                <w:sz w:val="21"/>
                <w:szCs w:val="21"/>
              </w:rPr>
              <w:t>化学性废物</w:t>
            </w:r>
          </w:p>
          <w:p>
            <w:pPr>
              <w:spacing w:line="360" w:lineRule="auto"/>
              <w:ind w:firstLine="420" w:firstLineChars="200"/>
              <w:rPr>
                <w:b/>
                <w:bCs/>
                <w:color w:val="auto"/>
                <w:kern w:val="0"/>
                <w:szCs w:val="21"/>
              </w:rPr>
            </w:pPr>
            <w:r>
              <w:rPr>
                <w:color w:val="auto"/>
                <w:szCs w:val="21"/>
              </w:rPr>
              <w:t>对动物确诊需在化验室进行化验，会产生化验废物，主要为废试纸条、废化验药品。产生的量约为0.01t/a。桶装收集暂存后定期交由相关资质单位处理</w:t>
            </w:r>
            <w:r>
              <w:rPr>
                <w:rFonts w:hint="eastAsia"/>
                <w:color w:val="auto"/>
                <w:szCs w:val="21"/>
              </w:rPr>
              <w:t>，</w:t>
            </w:r>
            <w:r>
              <w:rPr>
                <w:color w:val="auto"/>
                <w:szCs w:val="21"/>
              </w:rPr>
              <w:t>并签订处理处置协议</w:t>
            </w:r>
            <w:r>
              <w:rPr>
                <w:color w:val="auto"/>
                <w:szCs w:val="21"/>
                <w:lang w:val="zh-CN"/>
              </w:rPr>
              <w:t>。</w:t>
            </w:r>
          </w:p>
          <w:p>
            <w:pPr>
              <w:pStyle w:val="31"/>
              <w:wordWrap w:val="0"/>
              <w:topLinePunct/>
              <w:autoSpaceDE/>
              <w:autoSpaceDN/>
              <w:spacing w:line="360" w:lineRule="auto"/>
              <w:ind w:firstLine="420" w:firstLineChars="200"/>
              <w:rPr>
                <w:rFonts w:ascii="Times New Roman" w:hAnsi="Times New Roman" w:cs="Times New Roman"/>
                <w:color w:val="auto"/>
                <w:sz w:val="21"/>
                <w:szCs w:val="21"/>
              </w:rPr>
            </w:pPr>
            <w:r>
              <w:rPr>
                <w:rFonts w:hint="eastAsia" w:hAnsi="宋体"/>
                <w:color w:val="auto"/>
                <w:sz w:val="21"/>
                <w:szCs w:val="21"/>
              </w:rPr>
              <w:t>③</w:t>
            </w:r>
            <w:r>
              <w:rPr>
                <w:rFonts w:hint="eastAsia" w:ascii="Times New Roman" w:hAnsi="Times New Roman" w:cs="Times New Roman"/>
                <w:color w:val="auto"/>
                <w:sz w:val="21"/>
                <w:szCs w:val="21"/>
              </w:rPr>
              <w:t>病理性废物</w:t>
            </w:r>
          </w:p>
          <w:p>
            <w:pPr>
              <w:spacing w:line="360" w:lineRule="auto"/>
              <w:ind w:firstLine="420" w:firstLineChars="200"/>
              <w:rPr>
                <w:color w:val="auto"/>
                <w:kern w:val="0"/>
                <w:szCs w:val="21"/>
              </w:rPr>
            </w:pPr>
            <w:r>
              <w:rPr>
                <w:rFonts w:hint="eastAsia"/>
                <w:color w:val="auto"/>
                <w:kern w:val="0"/>
                <w:szCs w:val="21"/>
              </w:rPr>
              <w:t>病理性废物的产生量约为0.01t/a。动物切除组织暂时冷藏，并签订处置协议，动物尸体暂时冷藏，并与当日联系有资质的焚化站拉走处理，不过夜，并签订处置协议。</w:t>
            </w:r>
          </w:p>
          <w:p>
            <w:pPr>
              <w:pStyle w:val="31"/>
              <w:wordWrap w:val="0"/>
              <w:topLinePunct/>
              <w:autoSpaceDE/>
              <w:autoSpaceDN/>
              <w:spacing w:line="360" w:lineRule="auto"/>
              <w:ind w:firstLine="420" w:firstLineChars="200"/>
              <w:rPr>
                <w:rFonts w:ascii="Times New Roman" w:hAnsi="Times New Roman" w:cs="Times New Roman"/>
                <w:color w:val="auto"/>
                <w:sz w:val="21"/>
                <w:szCs w:val="21"/>
              </w:rPr>
            </w:pPr>
            <w:r>
              <w:rPr>
                <w:rFonts w:hint="eastAsia" w:ascii="Times New Roman" w:hAnsi="Times New Roman" w:cs="Times New Roman"/>
                <w:color w:val="auto"/>
                <w:sz w:val="21"/>
                <w:szCs w:val="21"/>
              </w:rPr>
              <w:t>④药物性废物</w:t>
            </w:r>
          </w:p>
          <w:p>
            <w:pPr>
              <w:spacing w:line="360" w:lineRule="auto"/>
              <w:ind w:firstLine="420" w:firstLineChars="200"/>
              <w:rPr>
                <w:color w:val="auto"/>
                <w:szCs w:val="21"/>
              </w:rPr>
            </w:pPr>
            <w:r>
              <w:rPr>
                <w:rFonts w:hint="eastAsia"/>
                <w:color w:val="auto"/>
                <w:kern w:val="0"/>
                <w:szCs w:val="21"/>
              </w:rPr>
              <w:t>药物性废物的产生量约为0.01t/a。</w:t>
            </w:r>
            <w:r>
              <w:rPr>
                <w:color w:val="auto"/>
                <w:szCs w:val="21"/>
                <w:lang w:val="zh-CN"/>
              </w:rPr>
              <w:t>医院只有少量的过期药品，收集在医疗废物暂存间</w:t>
            </w:r>
            <w:r>
              <w:rPr>
                <w:rFonts w:hint="eastAsia"/>
                <w:color w:val="auto"/>
                <w:szCs w:val="21"/>
                <w:lang w:val="zh-CN"/>
              </w:rPr>
              <w:t>，</w:t>
            </w:r>
            <w:r>
              <w:rPr>
                <w:color w:val="auto"/>
                <w:szCs w:val="21"/>
                <w:lang w:val="zh-CN"/>
              </w:rPr>
              <w:t>返回厂家</w:t>
            </w:r>
            <w:r>
              <w:rPr>
                <w:rFonts w:hint="eastAsia"/>
                <w:color w:val="auto"/>
              </w:rPr>
              <w:t>。</w:t>
            </w:r>
          </w:p>
          <w:p>
            <w:pPr>
              <w:pStyle w:val="31"/>
              <w:ind w:firstLine="1988" w:firstLineChars="1100"/>
              <w:rPr>
                <w:rFonts w:ascii="Times New Roman" w:hAnsi="Times New Roman" w:cs="Times New Roman"/>
                <w:b/>
                <w:bCs/>
                <w:color w:val="auto"/>
                <w:kern w:val="2"/>
                <w:sz w:val="18"/>
                <w:szCs w:val="18"/>
              </w:rPr>
            </w:pPr>
            <w:r>
              <w:rPr>
                <w:rFonts w:ascii="Times New Roman" w:hAnsi="Times New Roman" w:cs="Times New Roman"/>
                <w:b/>
                <w:bCs/>
                <w:color w:val="auto"/>
                <w:kern w:val="2"/>
                <w:sz w:val="18"/>
                <w:szCs w:val="18"/>
              </w:rPr>
              <w:t>表</w:t>
            </w:r>
            <w:r>
              <w:rPr>
                <w:rFonts w:hint="eastAsia" w:ascii="Times New Roman" w:hAnsi="Times New Roman" w:cs="Times New Roman"/>
                <w:b/>
                <w:bCs/>
                <w:color w:val="auto"/>
                <w:kern w:val="2"/>
                <w:sz w:val="18"/>
                <w:szCs w:val="18"/>
              </w:rPr>
              <w:t>4</w:t>
            </w:r>
            <w:r>
              <w:rPr>
                <w:rFonts w:ascii="Times New Roman" w:hAnsi="Times New Roman" w:cs="Times New Roman"/>
                <w:b/>
                <w:bCs/>
                <w:color w:val="auto"/>
                <w:kern w:val="2"/>
                <w:sz w:val="18"/>
                <w:szCs w:val="18"/>
              </w:rPr>
              <w:t>-</w:t>
            </w:r>
            <w:r>
              <w:rPr>
                <w:rFonts w:hint="eastAsia" w:ascii="Times New Roman" w:hAnsi="Times New Roman" w:cs="Times New Roman"/>
                <w:b/>
                <w:bCs/>
                <w:color w:val="auto"/>
                <w:kern w:val="2"/>
                <w:sz w:val="18"/>
                <w:szCs w:val="18"/>
                <w:lang w:val="en-US" w:eastAsia="zh-CN"/>
              </w:rPr>
              <w:t>8</w:t>
            </w:r>
            <w:r>
              <w:rPr>
                <w:rFonts w:ascii="Times New Roman" w:hAnsi="Times New Roman" w:cs="Times New Roman"/>
                <w:b/>
                <w:bCs/>
                <w:color w:val="auto"/>
                <w:kern w:val="2"/>
                <w:sz w:val="18"/>
                <w:szCs w:val="18"/>
              </w:rPr>
              <w:t xml:space="preserve"> 医疗废物暂存点建设标准及相关要求  </w:t>
            </w:r>
          </w:p>
          <w:tbl>
            <w:tblPr>
              <w:tblStyle w:val="21"/>
              <w:tblW w:w="7918"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1"/>
              <w:gridCol w:w="4007"/>
              <w:gridCol w:w="2403"/>
              <w:gridCol w:w="857"/>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1" w:type="dxa"/>
                  <w:noWrap/>
                </w:tcPr>
                <w:p>
                  <w:pPr>
                    <w:spacing w:line="360" w:lineRule="auto"/>
                    <w:rPr>
                      <w:color w:val="auto"/>
                      <w:kern w:val="0"/>
                      <w:sz w:val="18"/>
                      <w:szCs w:val="18"/>
                    </w:rPr>
                  </w:pPr>
                  <w:r>
                    <w:rPr>
                      <w:color w:val="auto"/>
                      <w:kern w:val="0"/>
                      <w:sz w:val="18"/>
                      <w:szCs w:val="18"/>
                    </w:rPr>
                    <w:t>序号</w:t>
                  </w:r>
                </w:p>
              </w:tc>
              <w:tc>
                <w:tcPr>
                  <w:tcW w:w="4007" w:type="dxa"/>
                  <w:noWrap/>
                </w:tcPr>
                <w:p>
                  <w:pPr>
                    <w:spacing w:line="360" w:lineRule="auto"/>
                    <w:rPr>
                      <w:color w:val="auto"/>
                      <w:kern w:val="0"/>
                      <w:sz w:val="18"/>
                      <w:szCs w:val="18"/>
                    </w:rPr>
                  </w:pPr>
                  <w:r>
                    <w:rPr>
                      <w:color w:val="auto"/>
                      <w:kern w:val="0"/>
                      <w:sz w:val="18"/>
                      <w:szCs w:val="18"/>
                    </w:rPr>
                    <w:t xml:space="preserve">             《医疗废物管理调理》</w:t>
                  </w:r>
                </w:p>
              </w:tc>
              <w:tc>
                <w:tcPr>
                  <w:tcW w:w="2403" w:type="dxa"/>
                  <w:noWrap/>
                </w:tcPr>
                <w:p>
                  <w:pPr>
                    <w:spacing w:line="360" w:lineRule="auto"/>
                    <w:rPr>
                      <w:color w:val="auto"/>
                      <w:kern w:val="0"/>
                      <w:sz w:val="18"/>
                      <w:szCs w:val="18"/>
                    </w:rPr>
                  </w:pPr>
                  <w:r>
                    <w:rPr>
                      <w:color w:val="auto"/>
                      <w:kern w:val="0"/>
                      <w:sz w:val="18"/>
                      <w:szCs w:val="18"/>
                    </w:rPr>
                    <w:t xml:space="preserve">      本项目</w:t>
                  </w:r>
                </w:p>
              </w:tc>
              <w:tc>
                <w:tcPr>
                  <w:tcW w:w="857" w:type="dxa"/>
                  <w:noWrap/>
                </w:tcPr>
                <w:p>
                  <w:pPr>
                    <w:spacing w:line="360" w:lineRule="auto"/>
                    <w:rPr>
                      <w:color w:val="auto"/>
                      <w:kern w:val="0"/>
                      <w:sz w:val="18"/>
                      <w:szCs w:val="18"/>
                    </w:rPr>
                  </w:pPr>
                  <w:r>
                    <w:rPr>
                      <w:color w:val="auto"/>
                      <w:kern w:val="0"/>
                      <w:sz w:val="18"/>
                      <w:szCs w:val="18"/>
                    </w:rPr>
                    <w:t>符合性</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1" w:type="dxa"/>
                  <w:noWrap/>
                </w:tcPr>
                <w:p>
                  <w:pPr>
                    <w:jc w:val="center"/>
                    <w:rPr>
                      <w:color w:val="auto"/>
                      <w:kern w:val="0"/>
                      <w:sz w:val="18"/>
                      <w:szCs w:val="18"/>
                    </w:rPr>
                  </w:pPr>
                  <w:r>
                    <w:rPr>
                      <w:color w:val="auto"/>
                      <w:kern w:val="0"/>
                      <w:sz w:val="18"/>
                      <w:szCs w:val="18"/>
                    </w:rPr>
                    <w:t>1</w:t>
                  </w:r>
                </w:p>
              </w:tc>
              <w:tc>
                <w:tcPr>
                  <w:tcW w:w="4007" w:type="dxa"/>
                  <w:noWrap/>
                </w:tcPr>
                <w:p>
                  <w:pPr>
                    <w:rPr>
                      <w:color w:val="auto"/>
                      <w:kern w:val="0"/>
                      <w:sz w:val="18"/>
                      <w:szCs w:val="18"/>
                    </w:rPr>
                  </w:pPr>
                  <w:r>
                    <w:rPr>
                      <w:color w:val="auto"/>
                      <w:kern w:val="0"/>
                      <w:sz w:val="18"/>
                      <w:szCs w:val="18"/>
                    </w:rPr>
                    <w:t>医疗卫生机构应当及时收集本单位产生的医疗废物，并按照类别分别置于防渗漏、防锐器穿透的专用包装物或者密闭的容器内</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医疗废物专用包装物、容器，应当有明显的警示标识和警示说明。</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医疗废物专用包装物、容器的标准和警示标识的规定，由国务院卫生行政主管部门和环境保护行政主管部门共同制定</w:t>
                  </w:r>
                </w:p>
              </w:tc>
              <w:tc>
                <w:tcPr>
                  <w:tcW w:w="2403" w:type="dxa"/>
                  <w:noWrap/>
                </w:tcPr>
                <w:p>
                  <w:pPr>
                    <w:rPr>
                      <w:color w:val="auto"/>
                      <w:kern w:val="0"/>
                      <w:sz w:val="18"/>
                      <w:szCs w:val="18"/>
                    </w:rPr>
                  </w:pPr>
                  <w:r>
                    <w:rPr>
                      <w:color w:val="auto"/>
                      <w:kern w:val="0"/>
                      <w:sz w:val="18"/>
                      <w:szCs w:val="18"/>
                    </w:rPr>
                    <w:t>医疗废物，按照类别分别置于专用密闭的容器内</w:t>
                  </w:r>
                </w:p>
                <w:p>
                  <w:pPr>
                    <w:rPr>
                      <w:color w:val="auto"/>
                      <w:kern w:val="0"/>
                      <w:sz w:val="18"/>
                      <w:szCs w:val="18"/>
                    </w:rPr>
                  </w:pPr>
                  <w:r>
                    <w:rPr>
                      <w:color w:val="auto"/>
                      <w:kern w:val="0"/>
                      <w:sz w:val="18"/>
                      <w:szCs w:val="18"/>
                    </w:rPr>
                    <w:t>医疗废物有专用包装物、容器，有明显的警示标识和警示说明</w:t>
                  </w:r>
                </w:p>
              </w:tc>
              <w:tc>
                <w:tcPr>
                  <w:tcW w:w="857" w:type="dxa"/>
                  <w:noWrap/>
                </w:tcPr>
                <w:p>
                  <w:pPr>
                    <w:spacing w:line="360" w:lineRule="auto"/>
                    <w:rPr>
                      <w:color w:val="auto"/>
                      <w:kern w:val="0"/>
                      <w:sz w:val="18"/>
                      <w:szCs w:val="18"/>
                    </w:rPr>
                  </w:pPr>
                  <w:r>
                    <w:rPr>
                      <w:color w:val="auto"/>
                      <w:kern w:val="0"/>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1" w:type="dxa"/>
                  <w:noWrap/>
                </w:tcPr>
                <w:p>
                  <w:pPr>
                    <w:jc w:val="center"/>
                    <w:rPr>
                      <w:color w:val="auto"/>
                      <w:kern w:val="0"/>
                      <w:sz w:val="18"/>
                      <w:szCs w:val="18"/>
                    </w:rPr>
                  </w:pPr>
                  <w:r>
                    <w:rPr>
                      <w:color w:val="auto"/>
                      <w:kern w:val="0"/>
                      <w:sz w:val="18"/>
                      <w:szCs w:val="18"/>
                    </w:rPr>
                    <w:t>2</w:t>
                  </w:r>
                </w:p>
              </w:tc>
              <w:tc>
                <w:tcPr>
                  <w:tcW w:w="4007" w:type="dxa"/>
                  <w:noWrap/>
                </w:tcPr>
                <w:p>
                  <w:pPr>
                    <w:rPr>
                      <w:color w:val="auto"/>
                      <w:kern w:val="0"/>
                      <w:sz w:val="18"/>
                      <w:szCs w:val="18"/>
                    </w:rPr>
                  </w:pPr>
                  <w:r>
                    <w:rPr>
                      <w:color w:val="auto"/>
                      <w:kern w:val="0"/>
                      <w:sz w:val="18"/>
                      <w:szCs w:val="18"/>
                    </w:rPr>
                    <w:t>医疗卫生机构应当建立医疗废物的暂时贮存设施、设备，不得露天存放医疗废物，医疗废物暂存贮存不得超过2天</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医疗废物的暂时贮存设施、设备，应当远离医疗区、食品加工区和人员活动区以及生活垃圾存放场所，并设置明显的警示标识和防渗漏、防鼠以及预防儿童接触等安全措施</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医疗废物的暂时贮存设施、设备应当定期消毒和清洁</w:t>
                  </w:r>
                </w:p>
              </w:tc>
              <w:tc>
                <w:tcPr>
                  <w:tcW w:w="2403" w:type="dxa"/>
                  <w:noWrap/>
                </w:tcPr>
                <w:p>
                  <w:pPr>
                    <w:rPr>
                      <w:color w:val="auto"/>
                      <w:kern w:val="0"/>
                      <w:sz w:val="18"/>
                      <w:szCs w:val="18"/>
                    </w:rPr>
                  </w:pPr>
                  <w:r>
                    <w:rPr>
                      <w:color w:val="auto"/>
                      <w:kern w:val="0"/>
                      <w:sz w:val="18"/>
                      <w:szCs w:val="18"/>
                    </w:rPr>
                    <w:t>医疗卫生机构建立医疗废物的暂时贮存设施、设备，不存在露天存放</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医疗废物的暂时贮存设施、设备，远离医疗区和人员活动区以及生活垃圾存放场所，并设置明显的警示标识和防渗漏等安全措施</w:t>
                  </w:r>
                </w:p>
                <w:p>
                  <w:pPr>
                    <w:rPr>
                      <w:color w:val="auto"/>
                      <w:kern w:val="0"/>
                      <w:sz w:val="18"/>
                      <w:szCs w:val="18"/>
                    </w:rPr>
                  </w:pPr>
                  <w:r>
                    <w:rPr>
                      <w:color w:val="auto"/>
                      <w:kern w:val="0"/>
                      <w:sz w:val="18"/>
                      <w:szCs w:val="18"/>
                    </w:rPr>
                    <w:t>医疗废物的暂时贮存设施、设备定期消毒和清洁</w:t>
                  </w:r>
                </w:p>
              </w:tc>
              <w:tc>
                <w:tcPr>
                  <w:tcW w:w="857" w:type="dxa"/>
                  <w:noWrap/>
                </w:tcPr>
                <w:p>
                  <w:pPr>
                    <w:spacing w:line="360" w:lineRule="auto"/>
                    <w:rPr>
                      <w:color w:val="auto"/>
                      <w:kern w:val="0"/>
                      <w:sz w:val="18"/>
                      <w:szCs w:val="18"/>
                    </w:rPr>
                  </w:pPr>
                  <w:r>
                    <w:rPr>
                      <w:color w:val="auto"/>
                      <w:kern w:val="0"/>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1" w:type="dxa"/>
                  <w:noWrap/>
                </w:tcPr>
                <w:p>
                  <w:pPr>
                    <w:jc w:val="center"/>
                    <w:rPr>
                      <w:color w:val="auto"/>
                      <w:kern w:val="0"/>
                      <w:sz w:val="18"/>
                      <w:szCs w:val="18"/>
                    </w:rPr>
                  </w:pPr>
                  <w:r>
                    <w:rPr>
                      <w:color w:val="auto"/>
                      <w:kern w:val="0"/>
                      <w:sz w:val="18"/>
                      <w:szCs w:val="18"/>
                    </w:rPr>
                    <w:t>3</w:t>
                  </w:r>
                </w:p>
              </w:tc>
              <w:tc>
                <w:tcPr>
                  <w:tcW w:w="4007" w:type="dxa"/>
                  <w:noWrap/>
                </w:tcPr>
                <w:p>
                  <w:pPr>
                    <w:rPr>
                      <w:color w:val="auto"/>
                      <w:kern w:val="0"/>
                      <w:sz w:val="18"/>
                      <w:szCs w:val="18"/>
                    </w:rPr>
                  </w:pPr>
                  <w:r>
                    <w:rPr>
                      <w:color w:val="auto"/>
                      <w:kern w:val="0"/>
                      <w:sz w:val="18"/>
                      <w:szCs w:val="18"/>
                    </w:rPr>
                    <w:t>医疗卫生机构应当使用防渗漏的专用运送工具，按照本单位确定的内部医疗废物运送时间、路线、将医疗废物收集、运送至暂时贮存地点</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运送工具使用后应当在医疗卫生机构内制定的地点及时消毒和清洁</w:t>
                  </w:r>
                </w:p>
              </w:tc>
              <w:tc>
                <w:tcPr>
                  <w:tcW w:w="2403" w:type="dxa"/>
                  <w:noWrap/>
                </w:tcPr>
                <w:p>
                  <w:pPr>
                    <w:rPr>
                      <w:color w:val="auto"/>
                      <w:kern w:val="0"/>
                      <w:sz w:val="18"/>
                      <w:szCs w:val="18"/>
                    </w:rPr>
                  </w:pPr>
                  <w:r>
                    <w:rPr>
                      <w:color w:val="auto"/>
                      <w:kern w:val="0"/>
                      <w:sz w:val="18"/>
                      <w:szCs w:val="18"/>
                    </w:rPr>
                    <w:t>医疗卫生机构使用防渗漏的专用运送工具，按照本单位内部医疗废物运送时间、路线、将医疗废物收集、运送至暂时贮存地点</w:t>
                  </w:r>
                </w:p>
                <w:p>
                  <w:pPr>
                    <w:rPr>
                      <w:color w:val="auto"/>
                      <w:kern w:val="0"/>
                      <w:sz w:val="18"/>
                      <w:szCs w:val="18"/>
                    </w:rPr>
                  </w:pPr>
                  <w:r>
                    <w:rPr>
                      <w:color w:val="auto"/>
                      <w:kern w:val="0"/>
                      <w:sz w:val="18"/>
                      <w:szCs w:val="18"/>
                    </w:rPr>
                    <w:t>运送工具使用后在医疗卫生机构内制定的地点及时消毒和清洁</w:t>
                  </w:r>
                </w:p>
              </w:tc>
              <w:tc>
                <w:tcPr>
                  <w:tcW w:w="857" w:type="dxa"/>
                  <w:noWrap/>
                </w:tcPr>
                <w:p>
                  <w:pPr>
                    <w:spacing w:line="360" w:lineRule="auto"/>
                    <w:rPr>
                      <w:color w:val="auto"/>
                      <w:kern w:val="0"/>
                      <w:sz w:val="18"/>
                      <w:szCs w:val="18"/>
                    </w:rPr>
                  </w:pPr>
                  <w:r>
                    <w:rPr>
                      <w:color w:val="auto"/>
                      <w:kern w:val="0"/>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1" w:type="dxa"/>
                  <w:noWrap/>
                </w:tcPr>
                <w:p>
                  <w:pPr>
                    <w:jc w:val="center"/>
                    <w:rPr>
                      <w:color w:val="auto"/>
                      <w:kern w:val="0"/>
                      <w:sz w:val="18"/>
                      <w:szCs w:val="18"/>
                    </w:rPr>
                  </w:pPr>
                  <w:r>
                    <w:rPr>
                      <w:color w:val="auto"/>
                      <w:kern w:val="0"/>
                      <w:sz w:val="18"/>
                      <w:szCs w:val="18"/>
                    </w:rPr>
                    <w:t>4</w:t>
                  </w:r>
                </w:p>
              </w:tc>
              <w:tc>
                <w:tcPr>
                  <w:tcW w:w="4007" w:type="dxa"/>
                  <w:noWrap/>
                </w:tcPr>
                <w:p>
                  <w:pPr>
                    <w:rPr>
                      <w:color w:val="auto"/>
                      <w:kern w:val="0"/>
                      <w:sz w:val="18"/>
                      <w:szCs w:val="18"/>
                    </w:rPr>
                  </w:pPr>
                  <w:r>
                    <w:rPr>
                      <w:color w:val="auto"/>
                      <w:kern w:val="0"/>
                      <w:sz w:val="18"/>
                      <w:szCs w:val="18"/>
                    </w:rPr>
                    <w:t>医疗卫生机构应当根据就近集中处置的原则，及时将医疗废物交由医疗废物集中处置单位处置。</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医疗废物中病原体的培养基、标本等高危险废物，在交医疗废物集中处置单位处置前就应当就地消毒</w:t>
                  </w:r>
                </w:p>
              </w:tc>
              <w:tc>
                <w:tcPr>
                  <w:tcW w:w="2403" w:type="dxa"/>
                  <w:noWrap/>
                </w:tcPr>
                <w:p>
                  <w:pPr>
                    <w:rPr>
                      <w:color w:val="auto"/>
                      <w:kern w:val="0"/>
                      <w:sz w:val="18"/>
                      <w:szCs w:val="18"/>
                    </w:rPr>
                  </w:pPr>
                  <w:r>
                    <w:rPr>
                      <w:color w:val="auto"/>
                      <w:kern w:val="0"/>
                      <w:sz w:val="18"/>
                      <w:szCs w:val="18"/>
                    </w:rPr>
                    <w:t>及时将医疗废物交由医疗废物集中处置单位处置。</w:t>
                  </w:r>
                </w:p>
                <w:p>
                  <w:pPr>
                    <w:pStyle w:val="31"/>
                    <w:jc w:val="both"/>
                    <w:rPr>
                      <w:rFonts w:ascii="Times New Roman" w:hAnsi="Times New Roman" w:cs="Times New Roman"/>
                      <w:color w:val="auto"/>
                      <w:sz w:val="18"/>
                      <w:szCs w:val="18"/>
                    </w:rPr>
                  </w:pPr>
                  <w:r>
                    <w:rPr>
                      <w:rFonts w:ascii="Times New Roman" w:hAnsi="Times New Roman" w:cs="Times New Roman"/>
                      <w:color w:val="auto"/>
                      <w:sz w:val="18"/>
                      <w:szCs w:val="18"/>
                    </w:rPr>
                    <w:t>医疗废物中病原体等高危险废物，在交医疗废物集中处置单位处置前就地消毒</w:t>
                  </w:r>
                </w:p>
              </w:tc>
              <w:tc>
                <w:tcPr>
                  <w:tcW w:w="857" w:type="dxa"/>
                  <w:noWrap/>
                </w:tcPr>
                <w:p>
                  <w:pPr>
                    <w:spacing w:line="360" w:lineRule="auto"/>
                    <w:rPr>
                      <w:color w:val="auto"/>
                      <w:kern w:val="0"/>
                      <w:sz w:val="18"/>
                      <w:szCs w:val="18"/>
                    </w:rPr>
                  </w:pPr>
                  <w:r>
                    <w:rPr>
                      <w:color w:val="auto"/>
                      <w:kern w:val="0"/>
                      <w:sz w:val="18"/>
                      <w:szCs w:val="18"/>
                    </w:rPr>
                    <w:t>符合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651" w:type="dxa"/>
                  <w:noWrap/>
                </w:tcPr>
                <w:p>
                  <w:pPr>
                    <w:jc w:val="center"/>
                    <w:rPr>
                      <w:color w:val="auto"/>
                      <w:kern w:val="0"/>
                      <w:sz w:val="18"/>
                      <w:szCs w:val="18"/>
                    </w:rPr>
                  </w:pPr>
                  <w:r>
                    <w:rPr>
                      <w:color w:val="auto"/>
                      <w:kern w:val="0"/>
                      <w:sz w:val="18"/>
                      <w:szCs w:val="18"/>
                    </w:rPr>
                    <w:t>5</w:t>
                  </w:r>
                </w:p>
              </w:tc>
              <w:tc>
                <w:tcPr>
                  <w:tcW w:w="4007" w:type="dxa"/>
                  <w:noWrap/>
                </w:tcPr>
                <w:p>
                  <w:pPr>
                    <w:rPr>
                      <w:color w:val="auto"/>
                      <w:kern w:val="0"/>
                      <w:sz w:val="18"/>
                      <w:szCs w:val="18"/>
                    </w:rPr>
                  </w:pPr>
                  <w:r>
                    <w:rPr>
                      <w:color w:val="auto"/>
                      <w:kern w:val="0"/>
                      <w:sz w:val="18"/>
                      <w:szCs w:val="18"/>
                    </w:rPr>
                    <w:t>医疗卫生机构产生的污水、传染病病人或者疑似传染病病人打的排泄物，应当按照国家规定严格消毒，达到国家规定的排放标准后，方可排入污水处理系统</w:t>
                  </w:r>
                </w:p>
              </w:tc>
              <w:tc>
                <w:tcPr>
                  <w:tcW w:w="2403" w:type="dxa"/>
                  <w:noWrap/>
                </w:tcPr>
                <w:p>
                  <w:pPr>
                    <w:rPr>
                      <w:color w:val="auto"/>
                      <w:kern w:val="0"/>
                      <w:sz w:val="18"/>
                      <w:szCs w:val="18"/>
                    </w:rPr>
                  </w:pPr>
                  <w:r>
                    <w:rPr>
                      <w:color w:val="auto"/>
                      <w:kern w:val="0"/>
                      <w:sz w:val="18"/>
                      <w:szCs w:val="18"/>
                    </w:rPr>
                    <w:t>医疗卫生机构产生的污水，按照国家规定严格消毒，达到国家规定的排放标准，排入污水处理系统</w:t>
                  </w:r>
                </w:p>
              </w:tc>
              <w:tc>
                <w:tcPr>
                  <w:tcW w:w="857" w:type="dxa"/>
                  <w:noWrap/>
                </w:tcPr>
                <w:p>
                  <w:pPr>
                    <w:spacing w:line="360" w:lineRule="auto"/>
                    <w:rPr>
                      <w:color w:val="auto"/>
                      <w:kern w:val="0"/>
                      <w:sz w:val="18"/>
                      <w:szCs w:val="18"/>
                    </w:rPr>
                  </w:pPr>
                  <w:r>
                    <w:rPr>
                      <w:color w:val="auto"/>
                      <w:kern w:val="0"/>
                      <w:sz w:val="18"/>
                      <w:szCs w:val="18"/>
                    </w:rPr>
                    <w:t>符合</w:t>
                  </w:r>
                </w:p>
              </w:tc>
            </w:tr>
          </w:tbl>
          <w:p>
            <w:pPr>
              <w:spacing w:line="360" w:lineRule="auto"/>
              <w:ind w:firstLine="420" w:firstLineChars="200"/>
              <w:rPr>
                <w:b/>
                <w:bCs/>
                <w:color w:val="auto"/>
              </w:rPr>
            </w:pPr>
            <w:r>
              <w:rPr>
                <w:color w:val="auto"/>
                <w:szCs w:val="21"/>
              </w:rPr>
              <w:t>项目固废产生量及处置方案见下表。</w:t>
            </w:r>
          </w:p>
          <w:p>
            <w:pPr>
              <w:jc w:val="center"/>
              <w:rPr>
                <w:b/>
                <w:bCs/>
                <w:color w:val="auto"/>
                <w:sz w:val="18"/>
                <w:szCs w:val="18"/>
              </w:rPr>
            </w:pPr>
            <w:r>
              <w:rPr>
                <w:b/>
                <w:bCs/>
                <w:color w:val="auto"/>
                <w:sz w:val="18"/>
                <w:szCs w:val="18"/>
              </w:rPr>
              <w:t>表</w:t>
            </w:r>
            <w:r>
              <w:rPr>
                <w:rFonts w:hint="eastAsia"/>
                <w:b/>
                <w:bCs/>
                <w:color w:val="auto"/>
                <w:sz w:val="18"/>
                <w:szCs w:val="18"/>
              </w:rPr>
              <w:t>4</w:t>
            </w:r>
            <w:r>
              <w:rPr>
                <w:b/>
                <w:bCs/>
                <w:color w:val="auto"/>
                <w:sz w:val="18"/>
                <w:szCs w:val="18"/>
              </w:rPr>
              <w:t>-</w:t>
            </w:r>
            <w:r>
              <w:rPr>
                <w:rFonts w:hint="eastAsia"/>
                <w:b/>
                <w:bCs/>
                <w:color w:val="auto"/>
                <w:sz w:val="18"/>
                <w:szCs w:val="18"/>
                <w:lang w:val="en-US" w:eastAsia="zh-CN"/>
              </w:rPr>
              <w:t>9</w:t>
            </w:r>
            <w:r>
              <w:rPr>
                <w:b/>
                <w:bCs/>
                <w:color w:val="auto"/>
                <w:sz w:val="18"/>
                <w:szCs w:val="18"/>
              </w:rPr>
              <w:t xml:space="preserve"> 固废产生量及处置方案一览表</w:t>
            </w:r>
          </w:p>
          <w:tbl>
            <w:tblPr>
              <w:tblStyle w:val="21"/>
              <w:tblW w:w="7977" w:type="dxa"/>
              <w:tblInd w:w="6"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93"/>
              <w:gridCol w:w="1354"/>
              <w:gridCol w:w="2377"/>
              <w:gridCol w:w="1250"/>
              <w:gridCol w:w="240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1" w:hRule="atLeast"/>
              </w:trPr>
              <w:tc>
                <w:tcPr>
                  <w:tcW w:w="593" w:type="dxa"/>
                  <w:noWrap/>
                  <w:vAlign w:val="center"/>
                </w:tcPr>
                <w:p>
                  <w:pPr>
                    <w:jc w:val="center"/>
                    <w:rPr>
                      <w:color w:val="auto"/>
                      <w:sz w:val="18"/>
                      <w:szCs w:val="18"/>
                    </w:rPr>
                  </w:pPr>
                  <w:r>
                    <w:rPr>
                      <w:color w:val="auto"/>
                      <w:sz w:val="18"/>
                      <w:szCs w:val="18"/>
                    </w:rPr>
                    <w:t>序号</w:t>
                  </w:r>
                </w:p>
              </w:tc>
              <w:tc>
                <w:tcPr>
                  <w:tcW w:w="1354" w:type="dxa"/>
                  <w:noWrap/>
                  <w:vAlign w:val="center"/>
                </w:tcPr>
                <w:p>
                  <w:pPr>
                    <w:jc w:val="center"/>
                    <w:rPr>
                      <w:color w:val="auto"/>
                      <w:sz w:val="18"/>
                      <w:szCs w:val="18"/>
                    </w:rPr>
                  </w:pPr>
                  <w:r>
                    <w:rPr>
                      <w:color w:val="auto"/>
                      <w:sz w:val="18"/>
                      <w:szCs w:val="18"/>
                    </w:rPr>
                    <w:t>固废名称</w:t>
                  </w:r>
                </w:p>
              </w:tc>
              <w:tc>
                <w:tcPr>
                  <w:tcW w:w="2377" w:type="dxa"/>
                  <w:noWrap/>
                  <w:vAlign w:val="center"/>
                </w:tcPr>
                <w:p>
                  <w:pPr>
                    <w:jc w:val="center"/>
                    <w:rPr>
                      <w:color w:val="auto"/>
                      <w:sz w:val="18"/>
                      <w:szCs w:val="18"/>
                    </w:rPr>
                  </w:pPr>
                  <w:r>
                    <w:rPr>
                      <w:color w:val="auto"/>
                      <w:sz w:val="18"/>
                      <w:szCs w:val="18"/>
                    </w:rPr>
                    <w:t>固废性质</w:t>
                  </w:r>
                </w:p>
              </w:tc>
              <w:tc>
                <w:tcPr>
                  <w:tcW w:w="1250" w:type="dxa"/>
                  <w:noWrap/>
                  <w:vAlign w:val="center"/>
                </w:tcPr>
                <w:p>
                  <w:pPr>
                    <w:jc w:val="center"/>
                    <w:rPr>
                      <w:color w:val="auto"/>
                      <w:sz w:val="18"/>
                      <w:szCs w:val="18"/>
                    </w:rPr>
                  </w:pPr>
                  <w:r>
                    <w:rPr>
                      <w:color w:val="auto"/>
                      <w:sz w:val="18"/>
                      <w:szCs w:val="18"/>
                    </w:rPr>
                    <w:t>产生量</w:t>
                  </w:r>
                </w:p>
              </w:tc>
              <w:tc>
                <w:tcPr>
                  <w:tcW w:w="2403" w:type="dxa"/>
                  <w:noWrap/>
                  <w:vAlign w:val="center"/>
                </w:tcPr>
                <w:p>
                  <w:pPr>
                    <w:jc w:val="center"/>
                    <w:rPr>
                      <w:color w:val="auto"/>
                      <w:sz w:val="18"/>
                      <w:szCs w:val="18"/>
                    </w:rPr>
                  </w:pPr>
                  <w:r>
                    <w:rPr>
                      <w:color w:val="auto"/>
                      <w:sz w:val="18"/>
                      <w:szCs w:val="18"/>
                    </w:rPr>
                    <w:t>处置方式</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37" w:hRule="atLeast"/>
              </w:trPr>
              <w:tc>
                <w:tcPr>
                  <w:tcW w:w="593" w:type="dxa"/>
                  <w:noWrap/>
                  <w:vAlign w:val="center"/>
                </w:tcPr>
                <w:p>
                  <w:pPr>
                    <w:jc w:val="center"/>
                    <w:rPr>
                      <w:color w:val="auto"/>
                      <w:sz w:val="18"/>
                      <w:szCs w:val="18"/>
                    </w:rPr>
                  </w:pPr>
                  <w:r>
                    <w:rPr>
                      <w:color w:val="auto"/>
                      <w:sz w:val="18"/>
                      <w:szCs w:val="18"/>
                    </w:rPr>
                    <w:t>1</w:t>
                  </w:r>
                </w:p>
              </w:tc>
              <w:tc>
                <w:tcPr>
                  <w:tcW w:w="1354" w:type="dxa"/>
                  <w:noWrap/>
                  <w:vAlign w:val="center"/>
                </w:tcPr>
                <w:p>
                  <w:pPr>
                    <w:jc w:val="center"/>
                    <w:rPr>
                      <w:color w:val="auto"/>
                      <w:sz w:val="18"/>
                      <w:szCs w:val="18"/>
                    </w:rPr>
                  </w:pPr>
                  <w:r>
                    <w:rPr>
                      <w:color w:val="auto"/>
                      <w:sz w:val="18"/>
                      <w:szCs w:val="18"/>
                    </w:rPr>
                    <w:t>生活垃圾</w:t>
                  </w:r>
                </w:p>
              </w:tc>
              <w:tc>
                <w:tcPr>
                  <w:tcW w:w="2377" w:type="dxa"/>
                  <w:noWrap/>
                  <w:vAlign w:val="center"/>
                </w:tcPr>
                <w:p>
                  <w:pPr>
                    <w:jc w:val="center"/>
                    <w:rPr>
                      <w:color w:val="auto"/>
                      <w:sz w:val="18"/>
                      <w:szCs w:val="18"/>
                    </w:rPr>
                  </w:pPr>
                  <w:r>
                    <w:rPr>
                      <w:color w:val="auto"/>
                      <w:sz w:val="18"/>
                      <w:szCs w:val="18"/>
                    </w:rPr>
                    <w:t>一般固废</w:t>
                  </w:r>
                </w:p>
              </w:tc>
              <w:tc>
                <w:tcPr>
                  <w:tcW w:w="1250" w:type="dxa"/>
                  <w:noWrap/>
                  <w:vAlign w:val="center"/>
                </w:tcPr>
                <w:p>
                  <w:pPr>
                    <w:jc w:val="center"/>
                    <w:rPr>
                      <w:color w:val="auto"/>
                      <w:sz w:val="18"/>
                      <w:szCs w:val="18"/>
                    </w:rPr>
                  </w:pPr>
                  <w:r>
                    <w:rPr>
                      <w:rFonts w:hint="eastAsia"/>
                      <w:color w:val="auto"/>
                      <w:sz w:val="18"/>
                      <w:szCs w:val="18"/>
                      <w:lang w:val="en-US" w:eastAsia="zh-CN"/>
                    </w:rPr>
                    <w:t>3.5</w:t>
                  </w:r>
                  <w:r>
                    <w:rPr>
                      <w:rFonts w:hint="eastAsia"/>
                      <w:color w:val="auto"/>
                      <w:sz w:val="18"/>
                      <w:szCs w:val="18"/>
                    </w:rPr>
                    <w:t>kg/d（</w:t>
                  </w:r>
                  <w:r>
                    <w:rPr>
                      <w:rFonts w:hint="eastAsia"/>
                      <w:color w:val="auto"/>
                      <w:sz w:val="18"/>
                      <w:szCs w:val="18"/>
                      <w:lang w:val="en-US" w:eastAsia="zh-CN"/>
                    </w:rPr>
                    <w:t>1.05</w:t>
                  </w:r>
                  <w:r>
                    <w:rPr>
                      <w:rFonts w:hint="eastAsia"/>
                      <w:color w:val="auto"/>
                      <w:sz w:val="18"/>
                      <w:szCs w:val="18"/>
                    </w:rPr>
                    <w:t>t/a）</w:t>
                  </w:r>
                </w:p>
              </w:tc>
              <w:tc>
                <w:tcPr>
                  <w:tcW w:w="2403" w:type="dxa"/>
                  <w:noWrap/>
                  <w:vAlign w:val="center"/>
                </w:tcPr>
                <w:p>
                  <w:pPr>
                    <w:jc w:val="center"/>
                    <w:rPr>
                      <w:color w:val="auto"/>
                      <w:sz w:val="18"/>
                      <w:szCs w:val="18"/>
                    </w:rPr>
                  </w:pPr>
                  <w:r>
                    <w:rPr>
                      <w:color w:val="auto"/>
                      <w:sz w:val="18"/>
                      <w:szCs w:val="18"/>
                    </w:rPr>
                    <w:t>收集后环卫部门统一清运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593" w:type="dxa"/>
                  <w:noWrap/>
                  <w:vAlign w:val="center"/>
                </w:tcPr>
                <w:p>
                  <w:pPr>
                    <w:jc w:val="center"/>
                    <w:rPr>
                      <w:color w:val="auto"/>
                      <w:sz w:val="18"/>
                      <w:szCs w:val="18"/>
                    </w:rPr>
                  </w:pPr>
                  <w:r>
                    <w:rPr>
                      <w:color w:val="auto"/>
                      <w:sz w:val="18"/>
                      <w:szCs w:val="18"/>
                    </w:rPr>
                    <w:t>2</w:t>
                  </w:r>
                </w:p>
              </w:tc>
              <w:tc>
                <w:tcPr>
                  <w:tcW w:w="1354" w:type="dxa"/>
                  <w:noWrap/>
                  <w:vAlign w:val="center"/>
                </w:tcPr>
                <w:p>
                  <w:pPr>
                    <w:jc w:val="center"/>
                    <w:rPr>
                      <w:color w:val="auto"/>
                      <w:sz w:val="18"/>
                      <w:szCs w:val="18"/>
                    </w:rPr>
                  </w:pPr>
                  <w:r>
                    <w:rPr>
                      <w:color w:val="auto"/>
                      <w:sz w:val="18"/>
                      <w:szCs w:val="18"/>
                    </w:rPr>
                    <w:t>废包装及</w:t>
                  </w:r>
                </w:p>
                <w:p>
                  <w:pPr>
                    <w:jc w:val="center"/>
                    <w:rPr>
                      <w:color w:val="auto"/>
                      <w:sz w:val="18"/>
                      <w:szCs w:val="18"/>
                    </w:rPr>
                  </w:pPr>
                  <w:r>
                    <w:rPr>
                      <w:color w:val="auto"/>
                      <w:sz w:val="18"/>
                      <w:szCs w:val="18"/>
                    </w:rPr>
                    <w:t>输液瓶</w:t>
                  </w:r>
                </w:p>
              </w:tc>
              <w:tc>
                <w:tcPr>
                  <w:tcW w:w="2377" w:type="dxa"/>
                  <w:noWrap/>
                  <w:vAlign w:val="center"/>
                </w:tcPr>
                <w:p>
                  <w:pPr>
                    <w:jc w:val="center"/>
                    <w:rPr>
                      <w:color w:val="auto"/>
                      <w:sz w:val="18"/>
                      <w:szCs w:val="18"/>
                    </w:rPr>
                  </w:pPr>
                  <w:r>
                    <w:rPr>
                      <w:color w:val="auto"/>
                      <w:sz w:val="18"/>
                      <w:szCs w:val="18"/>
                    </w:rPr>
                    <w:t>一般固废</w:t>
                  </w:r>
                </w:p>
              </w:tc>
              <w:tc>
                <w:tcPr>
                  <w:tcW w:w="1250" w:type="dxa"/>
                  <w:noWrap/>
                  <w:vAlign w:val="center"/>
                </w:tcPr>
                <w:p>
                  <w:pPr>
                    <w:jc w:val="center"/>
                    <w:rPr>
                      <w:color w:val="auto"/>
                      <w:sz w:val="18"/>
                      <w:szCs w:val="18"/>
                    </w:rPr>
                  </w:pPr>
                  <w:r>
                    <w:rPr>
                      <w:rFonts w:hint="eastAsia"/>
                      <w:color w:val="auto"/>
                      <w:sz w:val="18"/>
                      <w:szCs w:val="18"/>
                    </w:rPr>
                    <w:t>0.22</w:t>
                  </w:r>
                  <w:r>
                    <w:rPr>
                      <w:color w:val="auto"/>
                      <w:sz w:val="18"/>
                      <w:szCs w:val="18"/>
                    </w:rPr>
                    <w:t>t/a</w:t>
                  </w:r>
                </w:p>
              </w:tc>
              <w:tc>
                <w:tcPr>
                  <w:tcW w:w="2403" w:type="dxa"/>
                  <w:noWrap/>
                  <w:vAlign w:val="center"/>
                </w:tcPr>
                <w:p>
                  <w:pPr>
                    <w:rPr>
                      <w:color w:val="auto"/>
                      <w:sz w:val="18"/>
                      <w:szCs w:val="18"/>
                    </w:rPr>
                  </w:pPr>
                  <w:r>
                    <w:rPr>
                      <w:color w:val="auto"/>
                      <w:sz w:val="18"/>
                      <w:szCs w:val="18"/>
                    </w:rPr>
                    <w:t>暂存于医疗外包装暂存间</w:t>
                  </w:r>
                  <w:r>
                    <w:rPr>
                      <w:rFonts w:hint="eastAsia"/>
                      <w:color w:val="auto"/>
                      <w:sz w:val="18"/>
                      <w:szCs w:val="18"/>
                    </w:rPr>
                    <w:t>（建筑面积2m</w:t>
                  </w:r>
                  <w:r>
                    <w:rPr>
                      <w:rFonts w:hint="eastAsia"/>
                      <w:color w:val="auto"/>
                      <w:sz w:val="18"/>
                      <w:szCs w:val="18"/>
                      <w:vertAlign w:val="superscript"/>
                    </w:rPr>
                    <w:t>2</w:t>
                  </w:r>
                  <w:r>
                    <w:rPr>
                      <w:rFonts w:hint="eastAsia"/>
                      <w:color w:val="auto"/>
                      <w:sz w:val="18"/>
                      <w:szCs w:val="18"/>
                    </w:rPr>
                    <w:t>,位于宠物医院1楼）</w:t>
                  </w:r>
                  <w:r>
                    <w:rPr>
                      <w:color w:val="auto"/>
                      <w:sz w:val="18"/>
                      <w:szCs w:val="18"/>
                    </w:rPr>
                    <w:t>，交由</w:t>
                  </w:r>
                  <w:r>
                    <w:rPr>
                      <w:rFonts w:hint="eastAsia"/>
                      <w:color w:val="auto"/>
                      <w:sz w:val="18"/>
                      <w:szCs w:val="18"/>
                    </w:rPr>
                    <w:t>相关</w:t>
                  </w:r>
                  <w:r>
                    <w:rPr>
                      <w:color w:val="auto"/>
                      <w:sz w:val="18"/>
                      <w:szCs w:val="18"/>
                    </w:rPr>
                    <w:t>公司回收处理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8" w:hRule="atLeast"/>
              </w:trPr>
              <w:tc>
                <w:tcPr>
                  <w:tcW w:w="593" w:type="dxa"/>
                  <w:noWrap/>
                  <w:vAlign w:val="center"/>
                </w:tcPr>
                <w:p>
                  <w:pPr>
                    <w:jc w:val="center"/>
                    <w:rPr>
                      <w:color w:val="auto"/>
                      <w:sz w:val="18"/>
                      <w:szCs w:val="18"/>
                    </w:rPr>
                  </w:pPr>
                  <w:r>
                    <w:rPr>
                      <w:color w:val="auto"/>
                      <w:sz w:val="18"/>
                      <w:szCs w:val="18"/>
                    </w:rPr>
                    <w:t>3</w:t>
                  </w:r>
                </w:p>
              </w:tc>
              <w:tc>
                <w:tcPr>
                  <w:tcW w:w="1354" w:type="dxa"/>
                  <w:noWrap/>
                  <w:vAlign w:val="center"/>
                </w:tcPr>
                <w:p>
                  <w:pPr>
                    <w:jc w:val="center"/>
                    <w:rPr>
                      <w:color w:val="auto"/>
                      <w:sz w:val="18"/>
                      <w:szCs w:val="18"/>
                    </w:rPr>
                  </w:pPr>
                  <w:r>
                    <w:rPr>
                      <w:color w:val="auto"/>
                      <w:sz w:val="18"/>
                      <w:szCs w:val="18"/>
                    </w:rPr>
                    <w:t>宠物粪污</w:t>
                  </w:r>
                </w:p>
              </w:tc>
              <w:tc>
                <w:tcPr>
                  <w:tcW w:w="2377" w:type="dxa"/>
                  <w:noWrap/>
                  <w:vAlign w:val="center"/>
                </w:tcPr>
                <w:p>
                  <w:pPr>
                    <w:jc w:val="center"/>
                    <w:rPr>
                      <w:color w:val="auto"/>
                      <w:sz w:val="18"/>
                      <w:szCs w:val="18"/>
                    </w:rPr>
                  </w:pPr>
                  <w:r>
                    <w:rPr>
                      <w:color w:val="auto"/>
                      <w:sz w:val="18"/>
                      <w:szCs w:val="18"/>
                    </w:rPr>
                    <w:t>一般固废</w:t>
                  </w:r>
                </w:p>
              </w:tc>
              <w:tc>
                <w:tcPr>
                  <w:tcW w:w="1250" w:type="dxa"/>
                  <w:noWrap/>
                  <w:vAlign w:val="center"/>
                </w:tcPr>
                <w:p>
                  <w:pPr>
                    <w:rPr>
                      <w:color w:val="auto"/>
                      <w:sz w:val="18"/>
                      <w:szCs w:val="18"/>
                    </w:rPr>
                  </w:pPr>
                  <w:r>
                    <w:rPr>
                      <w:color w:val="auto"/>
                      <w:sz w:val="18"/>
                      <w:szCs w:val="18"/>
                    </w:rPr>
                    <w:t>0.35kg/d（0.128t/a）</w:t>
                  </w:r>
                </w:p>
              </w:tc>
              <w:tc>
                <w:tcPr>
                  <w:tcW w:w="2403" w:type="dxa"/>
                  <w:noWrap/>
                  <w:vAlign w:val="center"/>
                </w:tcPr>
                <w:p>
                  <w:pPr>
                    <w:rPr>
                      <w:color w:val="auto"/>
                      <w:sz w:val="18"/>
                      <w:szCs w:val="18"/>
                    </w:rPr>
                  </w:pPr>
                  <w:r>
                    <w:rPr>
                      <w:color w:val="auto"/>
                      <w:sz w:val="18"/>
                      <w:szCs w:val="18"/>
                    </w:rPr>
                    <w:t>粪便单独收集处置委托环卫部门清运处置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123" w:hRule="atLeast"/>
              </w:trPr>
              <w:tc>
                <w:tcPr>
                  <w:tcW w:w="593" w:type="dxa"/>
                  <w:noWrap/>
                  <w:vAlign w:val="center"/>
                </w:tcPr>
                <w:p>
                  <w:pPr>
                    <w:jc w:val="center"/>
                    <w:rPr>
                      <w:color w:val="auto"/>
                      <w:sz w:val="18"/>
                      <w:szCs w:val="18"/>
                    </w:rPr>
                  </w:pPr>
                  <w:r>
                    <w:rPr>
                      <w:rFonts w:hint="eastAsia"/>
                      <w:color w:val="auto"/>
                      <w:sz w:val="18"/>
                      <w:szCs w:val="18"/>
                    </w:rPr>
                    <w:t>4</w:t>
                  </w:r>
                </w:p>
              </w:tc>
              <w:tc>
                <w:tcPr>
                  <w:tcW w:w="1354" w:type="dxa"/>
                  <w:noWrap/>
                  <w:vAlign w:val="center"/>
                </w:tcPr>
                <w:p>
                  <w:pPr>
                    <w:jc w:val="center"/>
                    <w:rPr>
                      <w:color w:val="auto"/>
                      <w:sz w:val="18"/>
                      <w:szCs w:val="18"/>
                    </w:rPr>
                  </w:pPr>
                  <w:r>
                    <w:rPr>
                      <w:color w:val="auto"/>
                      <w:sz w:val="18"/>
                      <w:szCs w:val="18"/>
                    </w:rPr>
                    <w:t>医疗废物</w:t>
                  </w:r>
                </w:p>
              </w:tc>
              <w:tc>
                <w:tcPr>
                  <w:tcW w:w="2377" w:type="dxa"/>
                  <w:noWrap/>
                  <w:vAlign w:val="center"/>
                </w:tcPr>
                <w:p>
                  <w:pPr>
                    <w:pStyle w:val="31"/>
                    <w:wordWrap w:val="0"/>
                    <w:topLinePunct/>
                    <w:autoSpaceDE/>
                    <w:autoSpaceDN/>
                    <w:rPr>
                      <w:rFonts w:ascii="Times New Roman" w:hAnsi="Times New Roman" w:cs="Times New Roman"/>
                      <w:color w:val="auto"/>
                      <w:sz w:val="18"/>
                      <w:szCs w:val="18"/>
                    </w:rPr>
                  </w:pPr>
                  <w:r>
                    <w:rPr>
                      <w:rFonts w:ascii="Times New Roman" w:hAnsi="Times New Roman" w:cs="Times New Roman"/>
                      <w:color w:val="auto"/>
                      <w:sz w:val="18"/>
                      <w:szCs w:val="18"/>
                    </w:rPr>
                    <w:t>危险固废（感染性废物危废代码：HW01831-001-01、损伤性废物危废代码：HW01831-002-01、药物性废物危废代码：HW01831-005-01</w:t>
                  </w:r>
                </w:p>
                <w:p>
                  <w:pPr>
                    <w:pStyle w:val="31"/>
                    <w:wordWrap w:val="0"/>
                    <w:topLinePunct/>
                    <w:autoSpaceDE/>
                    <w:autoSpaceDN/>
                    <w:rPr>
                      <w:rFonts w:ascii="Times New Roman" w:hAnsi="Times New Roman" w:cs="Times New Roman"/>
                      <w:color w:val="auto"/>
                      <w:sz w:val="18"/>
                      <w:szCs w:val="18"/>
                    </w:rPr>
                  </w:pPr>
                  <w:r>
                    <w:rPr>
                      <w:rFonts w:ascii="Times New Roman" w:hAnsi="Times New Roman" w:cs="Times New Roman"/>
                      <w:color w:val="auto"/>
                      <w:sz w:val="18"/>
                      <w:szCs w:val="18"/>
                      <w:lang w:val="zh-CN"/>
                    </w:rPr>
                    <w:t>化学性废物</w:t>
                  </w:r>
                  <w:r>
                    <w:rPr>
                      <w:rFonts w:ascii="Times New Roman" w:hAnsi="Times New Roman" w:cs="Times New Roman"/>
                      <w:color w:val="auto"/>
                      <w:sz w:val="18"/>
                      <w:szCs w:val="18"/>
                    </w:rPr>
                    <w:t>危废代码</w:t>
                  </w:r>
                  <w:r>
                    <w:rPr>
                      <w:rFonts w:ascii="Times New Roman" w:hAnsi="Times New Roman" w:cs="Times New Roman"/>
                      <w:color w:val="auto"/>
                      <w:sz w:val="18"/>
                      <w:szCs w:val="18"/>
                      <w:lang w:val="zh-CN"/>
                    </w:rPr>
                    <w:t>：</w:t>
                  </w:r>
                  <w:r>
                    <w:rPr>
                      <w:rFonts w:ascii="Times New Roman" w:hAnsi="Times New Roman" w:cs="Times New Roman"/>
                      <w:color w:val="auto"/>
                      <w:sz w:val="18"/>
                      <w:szCs w:val="18"/>
                    </w:rPr>
                    <w:t>HW01831-004-01）</w:t>
                  </w:r>
                </w:p>
              </w:tc>
              <w:tc>
                <w:tcPr>
                  <w:tcW w:w="1250" w:type="dxa"/>
                  <w:noWrap/>
                  <w:vAlign w:val="center"/>
                </w:tcPr>
                <w:p>
                  <w:pPr>
                    <w:ind w:firstLine="360" w:firstLineChars="200"/>
                    <w:rPr>
                      <w:color w:val="auto"/>
                      <w:sz w:val="18"/>
                      <w:szCs w:val="18"/>
                    </w:rPr>
                  </w:pPr>
                  <w:r>
                    <w:rPr>
                      <w:rFonts w:hint="eastAsia"/>
                      <w:color w:val="auto"/>
                      <w:sz w:val="18"/>
                      <w:szCs w:val="18"/>
                    </w:rPr>
                    <w:t>0.286</w:t>
                  </w:r>
                  <w:r>
                    <w:rPr>
                      <w:color w:val="auto"/>
                      <w:sz w:val="18"/>
                      <w:szCs w:val="18"/>
                    </w:rPr>
                    <w:t>t/a</w:t>
                  </w:r>
                </w:p>
              </w:tc>
              <w:tc>
                <w:tcPr>
                  <w:tcW w:w="2403" w:type="dxa"/>
                  <w:noWrap/>
                  <w:vAlign w:val="center"/>
                </w:tcPr>
                <w:p>
                  <w:pPr>
                    <w:rPr>
                      <w:color w:val="auto"/>
                      <w:sz w:val="18"/>
                      <w:szCs w:val="18"/>
                    </w:rPr>
                  </w:pPr>
                  <w:r>
                    <w:rPr>
                      <w:color w:val="auto"/>
                      <w:sz w:val="18"/>
                      <w:szCs w:val="18"/>
                      <w:lang w:val="zh-CN"/>
                    </w:rPr>
                    <w:t>感染性医疗废物、损伤性医疗废物集中收集于医疗垃圾暂存区（面积为</w:t>
                  </w:r>
                  <w:r>
                    <w:rPr>
                      <w:rFonts w:hint="eastAsia"/>
                      <w:color w:val="auto"/>
                      <w:sz w:val="18"/>
                      <w:szCs w:val="18"/>
                      <w:lang w:val="en-US" w:eastAsia="zh-CN"/>
                    </w:rPr>
                    <w:t>2</w:t>
                  </w:r>
                  <w:r>
                    <w:rPr>
                      <w:color w:val="auto"/>
                      <w:sz w:val="18"/>
                      <w:szCs w:val="18"/>
                      <w:lang w:val="zh-CN"/>
                    </w:rPr>
                    <w:t>m</w:t>
                  </w:r>
                  <w:r>
                    <w:rPr>
                      <w:color w:val="auto"/>
                      <w:sz w:val="18"/>
                      <w:szCs w:val="18"/>
                      <w:vertAlign w:val="superscript"/>
                    </w:rPr>
                    <w:t>2</w:t>
                  </w:r>
                  <w:r>
                    <w:rPr>
                      <w:color w:val="auto"/>
                      <w:sz w:val="18"/>
                      <w:szCs w:val="18"/>
                      <w:lang w:val="zh-CN"/>
                    </w:rPr>
                    <w:t>，位于</w:t>
                  </w:r>
                  <w:r>
                    <w:rPr>
                      <w:rFonts w:hint="eastAsia"/>
                      <w:color w:val="auto"/>
                      <w:sz w:val="18"/>
                      <w:szCs w:val="18"/>
                      <w:lang w:val="zh-CN"/>
                    </w:rPr>
                    <w:t>宠物医院</w:t>
                  </w:r>
                  <w:r>
                    <w:rPr>
                      <w:color w:val="auto"/>
                      <w:sz w:val="18"/>
                      <w:szCs w:val="18"/>
                    </w:rPr>
                    <w:t>1楼</w:t>
                  </w:r>
                  <w:r>
                    <w:rPr>
                      <w:color w:val="auto"/>
                      <w:sz w:val="18"/>
                      <w:szCs w:val="18"/>
                      <w:lang w:val="zh-CN"/>
                    </w:rPr>
                    <w:t>），定期委托</w:t>
                  </w:r>
                  <w:r>
                    <w:rPr>
                      <w:rFonts w:hint="eastAsia"/>
                      <w:color w:val="auto"/>
                      <w:sz w:val="18"/>
                      <w:szCs w:val="18"/>
                      <w:lang w:val="zh-CN"/>
                    </w:rPr>
                    <w:t>有资质单位</w:t>
                  </w:r>
                  <w:r>
                    <w:rPr>
                      <w:color w:val="auto"/>
                      <w:sz w:val="18"/>
                      <w:szCs w:val="18"/>
                      <w:lang w:val="zh-CN"/>
                    </w:rPr>
                    <w:t>进行清运处理；医院只有少量的过期药品，返回厂家。检验室检验废液委托有资质单位定期清运处置</w:t>
                  </w:r>
                  <w:r>
                    <w:rPr>
                      <w:rFonts w:hint="eastAsia"/>
                      <w:color w:val="auto"/>
                      <w:sz w:val="18"/>
                      <w:szCs w:val="18"/>
                      <w:lang w:val="zh-CN"/>
                    </w:rPr>
                    <w:t>。病理性废物动物切除组织暂时冷藏，交由有资质单位处置，动物尸体暂时冷藏，并与当日联系有资质的焚化站拉走处理，不过夜，并签订处置协议。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593" w:type="dxa"/>
                  <w:noWrap/>
                  <w:vAlign w:val="center"/>
                </w:tcPr>
                <w:p>
                  <w:pPr>
                    <w:jc w:val="center"/>
                    <w:rPr>
                      <w:color w:val="auto"/>
                      <w:sz w:val="18"/>
                      <w:szCs w:val="18"/>
                    </w:rPr>
                  </w:pPr>
                  <w:r>
                    <w:rPr>
                      <w:rFonts w:hint="eastAsia"/>
                      <w:color w:val="auto"/>
                      <w:sz w:val="18"/>
                      <w:szCs w:val="18"/>
                    </w:rPr>
                    <w:t>5</w:t>
                  </w:r>
                </w:p>
              </w:tc>
              <w:tc>
                <w:tcPr>
                  <w:tcW w:w="1354" w:type="dxa"/>
                  <w:noWrap/>
                  <w:vAlign w:val="center"/>
                </w:tcPr>
                <w:p>
                  <w:pPr>
                    <w:jc w:val="center"/>
                    <w:rPr>
                      <w:color w:val="auto"/>
                      <w:sz w:val="18"/>
                      <w:szCs w:val="18"/>
                    </w:rPr>
                  </w:pPr>
                  <w:r>
                    <w:rPr>
                      <w:color w:val="auto"/>
                      <w:sz w:val="18"/>
                      <w:szCs w:val="18"/>
                    </w:rPr>
                    <w:t>水质处理器悬浮物及污泥</w:t>
                  </w:r>
                </w:p>
                <w:p>
                  <w:pPr>
                    <w:jc w:val="center"/>
                    <w:rPr>
                      <w:color w:val="auto"/>
                      <w:sz w:val="18"/>
                      <w:szCs w:val="18"/>
                    </w:rPr>
                  </w:pPr>
                </w:p>
              </w:tc>
              <w:tc>
                <w:tcPr>
                  <w:tcW w:w="2377" w:type="dxa"/>
                  <w:noWrap/>
                  <w:vAlign w:val="center"/>
                </w:tcPr>
                <w:p>
                  <w:pPr>
                    <w:jc w:val="center"/>
                    <w:rPr>
                      <w:color w:val="auto"/>
                      <w:sz w:val="18"/>
                      <w:szCs w:val="18"/>
                    </w:rPr>
                  </w:pPr>
                  <w:r>
                    <w:rPr>
                      <w:color w:val="auto"/>
                      <w:sz w:val="18"/>
                      <w:szCs w:val="18"/>
                    </w:rPr>
                    <w:t>危险固废（危废代码：HW01）</w:t>
                  </w:r>
                </w:p>
              </w:tc>
              <w:tc>
                <w:tcPr>
                  <w:tcW w:w="1250" w:type="dxa"/>
                  <w:noWrap/>
                  <w:vAlign w:val="center"/>
                </w:tcPr>
                <w:p>
                  <w:pPr>
                    <w:ind w:firstLine="180" w:firstLineChars="100"/>
                    <w:rPr>
                      <w:color w:val="auto"/>
                      <w:sz w:val="18"/>
                      <w:szCs w:val="18"/>
                    </w:rPr>
                  </w:pPr>
                  <w:r>
                    <w:rPr>
                      <w:rFonts w:hint="eastAsia"/>
                      <w:color w:val="auto"/>
                      <w:sz w:val="18"/>
                      <w:szCs w:val="18"/>
                    </w:rPr>
                    <w:t>0.005t</w:t>
                  </w:r>
                  <w:r>
                    <w:rPr>
                      <w:color w:val="auto"/>
                      <w:sz w:val="18"/>
                      <w:szCs w:val="18"/>
                    </w:rPr>
                    <w:t>/a</w:t>
                  </w:r>
                </w:p>
              </w:tc>
              <w:tc>
                <w:tcPr>
                  <w:tcW w:w="2403" w:type="dxa"/>
                  <w:noWrap/>
                  <w:vAlign w:val="center"/>
                </w:tcPr>
                <w:p>
                  <w:pPr>
                    <w:rPr>
                      <w:color w:val="auto"/>
                      <w:sz w:val="18"/>
                      <w:szCs w:val="18"/>
                    </w:rPr>
                  </w:pPr>
                  <w:r>
                    <w:rPr>
                      <w:color w:val="auto"/>
                      <w:sz w:val="18"/>
                      <w:szCs w:val="18"/>
                    </w:rPr>
                    <w:t>水质处理器悬浮物及污泥</w:t>
                  </w:r>
                </w:p>
                <w:p>
                  <w:pPr>
                    <w:rPr>
                      <w:color w:val="auto"/>
                      <w:sz w:val="18"/>
                      <w:szCs w:val="18"/>
                    </w:rPr>
                  </w:pPr>
                  <w:r>
                    <w:rPr>
                      <w:color w:val="auto"/>
                      <w:sz w:val="18"/>
                      <w:szCs w:val="18"/>
                    </w:rPr>
                    <w:t>为危险废物，环评要求定期清淘后交由相关资质单位处理；并签订处理处置协议</w:t>
                  </w:r>
                  <w:r>
                    <w:rPr>
                      <w:color w:val="auto"/>
                      <w:sz w:val="18"/>
                      <w:szCs w:val="18"/>
                      <w:lang w:val="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593" w:type="dxa"/>
                  <w:noWrap/>
                  <w:vAlign w:val="center"/>
                </w:tcPr>
                <w:p>
                  <w:pPr>
                    <w:jc w:val="center"/>
                    <w:rPr>
                      <w:color w:val="auto"/>
                      <w:sz w:val="18"/>
                      <w:szCs w:val="18"/>
                    </w:rPr>
                  </w:pPr>
                  <w:r>
                    <w:rPr>
                      <w:rFonts w:hint="eastAsia"/>
                      <w:color w:val="auto"/>
                      <w:sz w:val="18"/>
                      <w:szCs w:val="18"/>
                    </w:rPr>
                    <w:t>6</w:t>
                  </w:r>
                </w:p>
              </w:tc>
              <w:tc>
                <w:tcPr>
                  <w:tcW w:w="1354" w:type="dxa"/>
                  <w:noWrap/>
                  <w:vAlign w:val="center"/>
                </w:tcPr>
                <w:p>
                  <w:pPr>
                    <w:jc w:val="center"/>
                    <w:rPr>
                      <w:color w:val="auto"/>
                      <w:sz w:val="18"/>
                      <w:szCs w:val="18"/>
                    </w:rPr>
                  </w:pPr>
                  <w:r>
                    <w:rPr>
                      <w:rFonts w:hint="eastAsia"/>
                      <w:color w:val="auto"/>
                      <w:sz w:val="18"/>
                      <w:szCs w:val="18"/>
                    </w:rPr>
                    <w:t>废紫外线灯管</w:t>
                  </w:r>
                </w:p>
              </w:tc>
              <w:tc>
                <w:tcPr>
                  <w:tcW w:w="2377" w:type="dxa"/>
                  <w:noWrap/>
                  <w:vAlign w:val="center"/>
                </w:tcPr>
                <w:p>
                  <w:pPr>
                    <w:jc w:val="center"/>
                    <w:rPr>
                      <w:color w:val="auto"/>
                      <w:sz w:val="18"/>
                      <w:szCs w:val="18"/>
                    </w:rPr>
                  </w:pPr>
                  <w:r>
                    <w:rPr>
                      <w:color w:val="auto"/>
                      <w:sz w:val="18"/>
                      <w:szCs w:val="18"/>
                    </w:rPr>
                    <w:t>危险固废（危废代码：HW</w:t>
                  </w:r>
                  <w:r>
                    <w:rPr>
                      <w:rFonts w:hint="eastAsia"/>
                      <w:color w:val="auto"/>
                      <w:sz w:val="18"/>
                      <w:szCs w:val="18"/>
                    </w:rPr>
                    <w:t>49</w:t>
                  </w:r>
                  <w:r>
                    <w:rPr>
                      <w:color w:val="auto"/>
                      <w:sz w:val="18"/>
                      <w:szCs w:val="18"/>
                    </w:rPr>
                    <w:t>）</w:t>
                  </w:r>
                </w:p>
              </w:tc>
              <w:tc>
                <w:tcPr>
                  <w:tcW w:w="1250" w:type="dxa"/>
                  <w:noWrap/>
                  <w:vAlign w:val="center"/>
                </w:tcPr>
                <w:p>
                  <w:pPr>
                    <w:ind w:firstLine="180" w:firstLineChars="100"/>
                    <w:rPr>
                      <w:color w:val="auto"/>
                      <w:sz w:val="18"/>
                      <w:szCs w:val="18"/>
                    </w:rPr>
                  </w:pPr>
                  <w:r>
                    <w:rPr>
                      <w:rFonts w:hint="eastAsia"/>
                      <w:color w:val="auto"/>
                      <w:sz w:val="18"/>
                      <w:szCs w:val="18"/>
                    </w:rPr>
                    <w:t>0.005t</w:t>
                  </w:r>
                  <w:r>
                    <w:rPr>
                      <w:color w:val="auto"/>
                      <w:sz w:val="18"/>
                      <w:szCs w:val="18"/>
                    </w:rPr>
                    <w:t>/a</w:t>
                  </w:r>
                </w:p>
              </w:tc>
              <w:tc>
                <w:tcPr>
                  <w:tcW w:w="2403" w:type="dxa"/>
                  <w:noWrap/>
                  <w:vAlign w:val="center"/>
                </w:tcPr>
                <w:p>
                  <w:pPr>
                    <w:rPr>
                      <w:color w:val="auto"/>
                      <w:sz w:val="18"/>
                      <w:szCs w:val="18"/>
                    </w:rPr>
                  </w:pPr>
                  <w:r>
                    <w:rPr>
                      <w:color w:val="auto"/>
                      <w:sz w:val="18"/>
                      <w:szCs w:val="18"/>
                    </w:rPr>
                    <w:t>集中收集后贮存在医疗废物暂存间的医 疗废物收集桶内，定期由有资质企业处置。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593" w:type="dxa"/>
                  <w:noWrap/>
                  <w:vAlign w:val="center"/>
                </w:tcPr>
                <w:p>
                  <w:pPr>
                    <w:jc w:val="center"/>
                    <w:rPr>
                      <w:rFonts w:hint="eastAsia" w:eastAsia="宋体"/>
                      <w:color w:val="auto"/>
                      <w:sz w:val="18"/>
                      <w:szCs w:val="18"/>
                      <w:lang w:val="en-US" w:eastAsia="zh-CN"/>
                    </w:rPr>
                  </w:pPr>
                  <w:r>
                    <w:rPr>
                      <w:rFonts w:hint="eastAsia"/>
                      <w:color w:val="auto"/>
                      <w:sz w:val="18"/>
                      <w:szCs w:val="18"/>
                      <w:lang w:val="en-US" w:eastAsia="zh-CN"/>
                    </w:rPr>
                    <w:t>7</w:t>
                  </w:r>
                </w:p>
              </w:tc>
              <w:tc>
                <w:tcPr>
                  <w:tcW w:w="1354" w:type="dxa"/>
                  <w:noWrap/>
                  <w:vAlign w:val="center"/>
                </w:tcPr>
                <w:p>
                  <w:pPr>
                    <w:jc w:val="center"/>
                    <w:rPr>
                      <w:rFonts w:hint="eastAsia"/>
                      <w:color w:val="auto"/>
                      <w:sz w:val="18"/>
                      <w:szCs w:val="18"/>
                    </w:rPr>
                  </w:pPr>
                  <w:r>
                    <w:rPr>
                      <w:rFonts w:hint="eastAsia"/>
                      <w:color w:val="auto"/>
                      <w:sz w:val="18"/>
                      <w:szCs w:val="18"/>
                      <w:lang w:eastAsia="zh-CN"/>
                    </w:rPr>
                    <w:t>废活性炭</w:t>
                  </w:r>
                </w:p>
              </w:tc>
              <w:tc>
                <w:tcPr>
                  <w:tcW w:w="2377" w:type="dxa"/>
                  <w:noWrap/>
                  <w:vAlign w:val="center"/>
                </w:tcPr>
                <w:p>
                  <w:pPr>
                    <w:jc w:val="center"/>
                    <w:rPr>
                      <w:color w:val="auto"/>
                      <w:sz w:val="18"/>
                      <w:szCs w:val="18"/>
                    </w:rPr>
                  </w:pPr>
                  <w:r>
                    <w:rPr>
                      <w:color w:val="auto"/>
                      <w:sz w:val="18"/>
                      <w:szCs w:val="18"/>
                    </w:rPr>
                    <w:t>危险固废（危废代码：</w:t>
                  </w:r>
                  <w:r>
                    <w:rPr>
                      <w:rFonts w:hint="eastAsia"/>
                      <w:color w:val="auto"/>
                      <w:sz w:val="18"/>
                      <w:szCs w:val="18"/>
                      <w:lang w:val="en-US" w:eastAsia="zh-CN"/>
                    </w:rPr>
                    <w:t>900-041-49</w:t>
                  </w:r>
                  <w:r>
                    <w:rPr>
                      <w:color w:val="auto"/>
                      <w:sz w:val="18"/>
                      <w:szCs w:val="18"/>
                    </w:rPr>
                    <w:t>）</w:t>
                  </w:r>
                </w:p>
              </w:tc>
              <w:tc>
                <w:tcPr>
                  <w:tcW w:w="1250" w:type="dxa"/>
                  <w:noWrap/>
                  <w:vAlign w:val="center"/>
                </w:tcPr>
                <w:p>
                  <w:pPr>
                    <w:ind w:firstLine="180" w:firstLineChars="100"/>
                    <w:rPr>
                      <w:rFonts w:hint="eastAsia"/>
                      <w:color w:val="auto"/>
                      <w:sz w:val="18"/>
                      <w:szCs w:val="18"/>
                    </w:rPr>
                  </w:pPr>
                  <w:r>
                    <w:rPr>
                      <w:rFonts w:hint="eastAsia"/>
                      <w:color w:val="auto"/>
                      <w:sz w:val="18"/>
                      <w:szCs w:val="18"/>
                    </w:rPr>
                    <w:t>0.00</w:t>
                  </w:r>
                  <w:r>
                    <w:rPr>
                      <w:rFonts w:hint="eastAsia"/>
                      <w:color w:val="auto"/>
                      <w:sz w:val="18"/>
                      <w:szCs w:val="18"/>
                      <w:lang w:val="en-US" w:eastAsia="zh-CN"/>
                    </w:rPr>
                    <w:t>1</w:t>
                  </w:r>
                  <w:r>
                    <w:rPr>
                      <w:rFonts w:hint="eastAsia"/>
                      <w:color w:val="auto"/>
                      <w:sz w:val="18"/>
                      <w:szCs w:val="18"/>
                    </w:rPr>
                    <w:t>t</w:t>
                  </w:r>
                  <w:r>
                    <w:rPr>
                      <w:color w:val="auto"/>
                      <w:sz w:val="18"/>
                      <w:szCs w:val="18"/>
                    </w:rPr>
                    <w:t>/a</w:t>
                  </w:r>
                </w:p>
              </w:tc>
              <w:tc>
                <w:tcPr>
                  <w:tcW w:w="2403" w:type="dxa"/>
                  <w:noWrap/>
                  <w:vAlign w:val="center"/>
                </w:tcPr>
                <w:p>
                  <w:pPr>
                    <w:rPr>
                      <w:color w:val="auto"/>
                      <w:sz w:val="18"/>
                      <w:szCs w:val="18"/>
                    </w:rPr>
                  </w:pPr>
                  <w:r>
                    <w:rPr>
                      <w:rFonts w:hint="eastAsia"/>
                      <w:color w:val="auto"/>
                      <w:sz w:val="18"/>
                      <w:szCs w:val="18"/>
                    </w:rPr>
                    <w:t>集中收集后贮存在医疗废物暂存间的收集桶内，定期由有资质企业处置。</w:t>
                  </w:r>
                </w:p>
              </w:tc>
            </w:tr>
          </w:tbl>
          <w:p>
            <w:pPr>
              <w:pStyle w:val="9"/>
              <w:spacing w:after="0" w:line="360" w:lineRule="auto"/>
              <w:ind w:right="130" w:firstLine="410" w:firstLineChars="200"/>
              <w:rPr>
                <w:rFonts w:hint="default" w:ascii="Times New Roman" w:hAnsi="Times New Roman" w:eastAsia="宋体" w:cs="Times New Roman"/>
                <w:b/>
                <w:color w:val="auto"/>
                <w:spacing w:val="-3"/>
                <w:sz w:val="21"/>
                <w:szCs w:val="21"/>
              </w:rPr>
            </w:pPr>
            <w:r>
              <w:rPr>
                <w:rFonts w:hint="default" w:ascii="Times New Roman" w:hAnsi="Times New Roman" w:eastAsia="宋体" w:cs="Times New Roman"/>
                <w:b/>
                <w:color w:val="auto"/>
                <w:spacing w:val="-3"/>
                <w:sz w:val="21"/>
                <w:szCs w:val="21"/>
              </w:rPr>
              <w:t>针对本项目产生的危险废物，本环评提出以下要求：</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eastAsia="zh-CN"/>
              </w:rPr>
              <w:t>根据《医疗废物管理条例》、《医疗卫生机构医疗废物管理办法》中的相关要求，环评要求建设单位对其产生各类医疗废物进行分类管理、分类收集、运送和暂存，被医疗废物污染的物品或废弃的容器按照医疗废物进行处理，并及时将各种医疗废物交由资质单位处置。禁止露天存放医疗废物，禁止将医疗废物混入其它废物、生活垃圾向环境排放，或不按环保要求擅自进行处置。</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eastAsia="zh-CN"/>
              </w:rPr>
              <w:t>此外，环评要求建设单位按照相关规定要求做到以下几点：</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宋体" w:hAnsi="宋体" w:eastAsia="宋体" w:cs="宋体"/>
                <w:b w:val="0"/>
                <w:bCs/>
                <w:color w:val="auto"/>
                <w:spacing w:val="-3"/>
                <w:sz w:val="21"/>
                <w:szCs w:val="21"/>
              </w:rPr>
              <w:t>①</w:t>
            </w:r>
            <w:r>
              <w:rPr>
                <w:rFonts w:hint="eastAsia" w:ascii="Times New Roman" w:hAnsi="Times New Roman" w:eastAsia="宋体" w:cs="Times New Roman"/>
                <w:b w:val="0"/>
                <w:bCs/>
                <w:color w:val="auto"/>
                <w:spacing w:val="-3"/>
                <w:sz w:val="21"/>
                <w:szCs w:val="21"/>
                <w:lang w:eastAsia="zh-CN"/>
              </w:rPr>
              <w:t>医疗废物分类收集要求</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eastAsia="zh-CN"/>
              </w:rPr>
              <w:t>医疗垃圾的收集是否完善彻底、是否分类是医院废弃物处理处置的关键。</w:t>
            </w:r>
          </w:p>
          <w:p>
            <w:pPr>
              <w:spacing w:line="360" w:lineRule="auto"/>
              <w:rPr>
                <w:rFonts w:hint="eastAsia" w:ascii="Times New Roman" w:hAnsi="Times New Roman" w:eastAsia="宋体" w:cs="Times New Roman"/>
                <w:b w:val="0"/>
                <w:bCs/>
                <w:color w:val="auto"/>
                <w:spacing w:val="-3"/>
                <w:sz w:val="21"/>
                <w:szCs w:val="21"/>
                <w:lang w:val="en-US" w:eastAsia="zh-CN"/>
              </w:rPr>
            </w:pPr>
            <w:r>
              <w:rPr>
                <w:rFonts w:hint="eastAsia" w:ascii="Times New Roman" w:hAnsi="Times New Roman" w:eastAsia="宋体" w:cs="Times New Roman"/>
                <w:b w:val="0"/>
                <w:bCs/>
                <w:color w:val="auto"/>
                <w:spacing w:val="-3"/>
                <w:sz w:val="21"/>
                <w:szCs w:val="21"/>
                <w:lang w:val="en-US" w:eastAsia="zh-CN"/>
              </w:rPr>
              <w:t xml:space="preserve">    A、根据医疗废物的类别，将医疗废物分类置于符合《医疗废物专用包装物、容器的标准和警示标识的规定》的包装物或者容器内；收集容器应符合规定要求，盛装医疗废物的每个单位、产生日期、类别及需要的特别说明等。</w:t>
            </w:r>
          </w:p>
          <w:p>
            <w:pPr>
              <w:pStyle w:val="7"/>
              <w:spacing w:line="360" w:lineRule="auto"/>
              <w:rPr>
                <w:rFonts w:hint="default"/>
                <w:color w:val="auto"/>
                <w:lang w:val="en-US" w:eastAsia="zh-CN"/>
              </w:rPr>
            </w:pPr>
            <w:r>
              <w:rPr>
                <w:rFonts w:hint="eastAsia"/>
                <w:color w:val="auto"/>
                <w:lang w:val="en-US" w:eastAsia="zh-CN"/>
              </w:rPr>
              <w:t xml:space="preserve">  </w:t>
            </w:r>
            <w:r>
              <w:rPr>
                <w:rFonts w:hint="eastAsia" w:ascii="Times New Roman" w:hAnsi="Times New Roman" w:eastAsia="宋体" w:cs="Times New Roman"/>
                <w:b w:val="0"/>
                <w:bCs/>
                <w:color w:val="auto"/>
                <w:spacing w:val="-3"/>
                <w:kern w:val="2"/>
                <w:sz w:val="21"/>
                <w:szCs w:val="21"/>
                <w:lang w:val="en-US" w:eastAsia="zh-CN" w:bidi="ar-SA"/>
              </w:rPr>
              <w:t xml:space="preserve"> </w:t>
            </w:r>
            <w:r>
              <w:rPr>
                <w:rFonts w:hint="eastAsia" w:ascii="Times New Roman" w:hAnsi="Times New Roman" w:cs="Times New Roman"/>
                <w:b w:val="0"/>
                <w:bCs/>
                <w:color w:val="auto"/>
                <w:spacing w:val="-3"/>
                <w:kern w:val="2"/>
                <w:sz w:val="21"/>
                <w:szCs w:val="21"/>
                <w:lang w:val="en-US" w:eastAsia="zh-CN" w:bidi="ar-SA"/>
              </w:rPr>
              <w:t xml:space="preserve"> </w:t>
            </w:r>
            <w:r>
              <w:rPr>
                <w:rFonts w:hint="eastAsia" w:ascii="Times New Roman" w:hAnsi="Times New Roman" w:eastAsia="宋体" w:cs="Times New Roman"/>
                <w:b w:val="0"/>
                <w:bCs/>
                <w:color w:val="auto"/>
                <w:spacing w:val="-3"/>
                <w:kern w:val="2"/>
                <w:sz w:val="21"/>
                <w:szCs w:val="21"/>
                <w:lang w:val="en-US" w:eastAsia="zh-CN" w:bidi="ar-SA"/>
              </w:rPr>
              <w:t xml:space="preserve">B、在盛装医疗废物前，应当对医疗废物包装物或者容器进行认真检查，确保无破损、渗漏和其它缺陷。 </w:t>
            </w:r>
            <w:r>
              <w:rPr>
                <w:rFonts w:hint="eastAsia"/>
                <w:color w:val="auto"/>
                <w:lang w:val="en-US" w:eastAsia="zh-CN"/>
              </w:rPr>
              <w:t xml:space="preserve"> </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val="en-US" w:eastAsia="zh-CN"/>
              </w:rPr>
            </w:pPr>
            <w:r>
              <w:rPr>
                <w:rFonts w:hint="eastAsia" w:ascii="Times New Roman" w:hAnsi="Times New Roman" w:eastAsia="宋体" w:cs="Times New Roman"/>
                <w:b w:val="0"/>
                <w:bCs/>
                <w:color w:val="auto"/>
                <w:spacing w:val="-3"/>
                <w:sz w:val="21"/>
                <w:szCs w:val="21"/>
                <w:lang w:val="en-US" w:eastAsia="zh-CN"/>
              </w:rPr>
              <w:t>C、各类医疗废物不能混合收集；有机、无机、液体、固体必须分开收集。</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val="en-US" w:eastAsia="zh-CN"/>
              </w:rPr>
            </w:pPr>
            <w:r>
              <w:rPr>
                <w:rFonts w:hint="eastAsia" w:ascii="Times New Roman" w:hAnsi="Times New Roman" w:eastAsia="宋体" w:cs="Times New Roman"/>
                <w:b w:val="0"/>
                <w:bCs/>
                <w:color w:val="auto"/>
                <w:spacing w:val="-3"/>
                <w:sz w:val="21"/>
                <w:szCs w:val="21"/>
                <w:lang w:val="en-US" w:eastAsia="zh-CN"/>
              </w:rPr>
              <w:t>D、在高危区必须采用双层废物袋或可密封处理的聚丙乙烯塑料桶，针头等锐器不应和其他废物混放，使用后要稳妥安全地放入防漏、防刺的专用锐器中。锐器容器要求有盖，并做好明显的标识，防止转运人员被锐器划伤引起的疾病感染。</w:t>
            </w:r>
          </w:p>
          <w:p>
            <w:pPr>
              <w:pStyle w:val="9"/>
              <w:spacing w:after="0" w:line="360" w:lineRule="auto"/>
              <w:ind w:right="130" w:firstLine="408" w:firstLineChars="200"/>
              <w:rPr>
                <w:rFonts w:hint="default" w:ascii="Times New Roman" w:hAnsi="Times New Roman" w:eastAsia="宋体" w:cs="Times New Roman"/>
                <w:b w:val="0"/>
                <w:bCs/>
                <w:color w:val="auto"/>
                <w:spacing w:val="-3"/>
                <w:sz w:val="21"/>
                <w:szCs w:val="21"/>
                <w:lang w:val="en-US" w:eastAsia="zh-CN"/>
              </w:rPr>
            </w:pPr>
            <w:r>
              <w:rPr>
                <w:rFonts w:hint="eastAsia" w:ascii="Times New Roman" w:hAnsi="Times New Roman" w:eastAsia="宋体" w:cs="Times New Roman"/>
                <w:b w:val="0"/>
                <w:bCs/>
                <w:color w:val="auto"/>
                <w:spacing w:val="-3"/>
                <w:sz w:val="21"/>
                <w:szCs w:val="21"/>
                <w:lang w:val="en-US" w:eastAsia="zh-CN"/>
              </w:rPr>
              <w:t>E、医疗废物收集袋的颜色为黄色，印有盛装医疗废物的文字说明和医疗废物警示标识，装满3/4后就应当由专人密封清运至医废收集桶。医疗废物收集袋口可用带子扎紧，禁止采用订书机之类的简易封口方式。</w:t>
            </w:r>
          </w:p>
          <w:p>
            <w:pPr>
              <w:pStyle w:val="9"/>
              <w:spacing w:after="0" w:line="360" w:lineRule="auto"/>
              <w:ind w:right="130" w:firstLine="408" w:firstLineChars="200"/>
              <w:rPr>
                <w:rFonts w:hint="eastAsia" w:ascii="宋体" w:hAnsi="宋体" w:eastAsia="宋体" w:cs="宋体"/>
                <w:b w:val="0"/>
                <w:bCs/>
                <w:color w:val="auto"/>
                <w:spacing w:val="-3"/>
                <w:sz w:val="21"/>
                <w:szCs w:val="21"/>
                <w:lang w:eastAsia="zh-CN"/>
              </w:rPr>
            </w:pPr>
            <w:r>
              <w:rPr>
                <w:rFonts w:hint="eastAsia" w:ascii="宋体" w:hAnsi="宋体" w:eastAsia="宋体" w:cs="宋体"/>
                <w:b w:val="0"/>
                <w:bCs/>
                <w:color w:val="auto"/>
                <w:spacing w:val="-3"/>
                <w:sz w:val="21"/>
                <w:szCs w:val="21"/>
              </w:rPr>
              <w:t>②</w:t>
            </w:r>
            <w:r>
              <w:rPr>
                <w:rFonts w:hint="eastAsia" w:ascii="宋体" w:hAnsi="宋体" w:eastAsia="宋体" w:cs="宋体"/>
                <w:b w:val="0"/>
                <w:bCs/>
                <w:color w:val="auto"/>
                <w:spacing w:val="-3"/>
                <w:sz w:val="21"/>
                <w:szCs w:val="21"/>
                <w:lang w:eastAsia="zh-CN"/>
              </w:rPr>
              <w:t>医疗废物暂存要求</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eastAsia="zh-CN"/>
              </w:rPr>
              <w:t>医疗废物严格按照《危险废物储存污染控制标准》（</w:t>
            </w:r>
            <w:r>
              <w:rPr>
                <w:rFonts w:hint="eastAsia" w:ascii="Times New Roman" w:hAnsi="Times New Roman" w:eastAsia="宋体" w:cs="Times New Roman"/>
                <w:b w:val="0"/>
                <w:bCs/>
                <w:color w:val="auto"/>
                <w:spacing w:val="-3"/>
                <w:sz w:val="21"/>
                <w:szCs w:val="21"/>
                <w:lang w:val="en-US" w:eastAsia="zh-CN"/>
              </w:rPr>
              <w:t>GB18597-2001</w:t>
            </w:r>
            <w:r>
              <w:rPr>
                <w:rFonts w:hint="eastAsia" w:ascii="Times New Roman" w:hAnsi="Times New Roman" w:eastAsia="宋体" w:cs="Times New Roman"/>
                <w:b w:val="0"/>
                <w:bCs/>
                <w:color w:val="auto"/>
                <w:spacing w:val="-3"/>
                <w:sz w:val="21"/>
                <w:szCs w:val="21"/>
                <w:lang w:eastAsia="zh-CN"/>
              </w:rPr>
              <w:t>）及修改单要求进行建设</w:t>
            </w:r>
            <w:r>
              <w:rPr>
                <w:rFonts w:hint="eastAsia" w:cs="Times New Roman"/>
                <w:b w:val="0"/>
                <w:bCs/>
                <w:color w:val="auto"/>
                <w:spacing w:val="-3"/>
                <w:sz w:val="21"/>
                <w:szCs w:val="21"/>
                <w:lang w:eastAsia="zh-CN"/>
              </w:rPr>
              <w:t>。</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val="en-US" w:eastAsia="zh-CN"/>
              </w:rPr>
              <w:t>A、</w:t>
            </w:r>
            <w:r>
              <w:rPr>
                <w:rFonts w:hint="eastAsia" w:ascii="Times New Roman" w:hAnsi="Times New Roman" w:eastAsia="宋体" w:cs="Times New Roman"/>
                <w:b w:val="0"/>
                <w:bCs/>
                <w:color w:val="auto"/>
                <w:spacing w:val="-3"/>
                <w:sz w:val="21"/>
                <w:szCs w:val="21"/>
                <w:lang w:eastAsia="zh-CN"/>
              </w:rPr>
              <w:t>做好防风、防雨、防渗，防止二次污染；</w:t>
            </w:r>
          </w:p>
          <w:p>
            <w:pPr>
              <w:pStyle w:val="9"/>
              <w:spacing w:after="0" w:line="360" w:lineRule="auto"/>
              <w:ind w:right="13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cs="Times New Roman"/>
                <w:b w:val="0"/>
                <w:bCs/>
                <w:color w:val="auto"/>
                <w:spacing w:val="-3"/>
                <w:kern w:val="2"/>
                <w:sz w:val="21"/>
                <w:szCs w:val="21"/>
                <w:lang w:val="en-US" w:eastAsia="zh-CN" w:bidi="ar-SA"/>
              </w:rPr>
              <w:t xml:space="preserve"> </w:t>
            </w:r>
            <w:r>
              <w:rPr>
                <w:rFonts w:hint="eastAsia" w:cs="Times New Roman"/>
                <w:b w:val="0"/>
                <w:bCs/>
                <w:color w:val="auto"/>
                <w:spacing w:val="-3"/>
                <w:kern w:val="2"/>
                <w:sz w:val="21"/>
                <w:szCs w:val="21"/>
                <w:lang w:val="en-US" w:eastAsia="zh-CN" w:bidi="ar-SA"/>
              </w:rPr>
              <w:t xml:space="preserve">   </w:t>
            </w:r>
            <w:r>
              <w:rPr>
                <w:rFonts w:hint="eastAsia" w:ascii="Times New Roman" w:hAnsi="Times New Roman" w:eastAsia="宋体" w:cs="Times New Roman"/>
                <w:b w:val="0"/>
                <w:bCs/>
                <w:color w:val="auto"/>
                <w:spacing w:val="-3"/>
                <w:kern w:val="2"/>
                <w:sz w:val="21"/>
                <w:szCs w:val="21"/>
                <w:lang w:val="en-US" w:eastAsia="zh-CN" w:bidi="ar-SA"/>
              </w:rPr>
              <w:t>B、</w:t>
            </w:r>
            <w:r>
              <w:rPr>
                <w:rFonts w:hint="eastAsia" w:ascii="Times New Roman" w:hAnsi="Times New Roman" w:eastAsia="宋体" w:cs="Times New Roman"/>
                <w:b w:val="0"/>
                <w:bCs/>
                <w:color w:val="auto"/>
                <w:spacing w:val="-3"/>
                <w:sz w:val="21"/>
                <w:szCs w:val="21"/>
                <w:lang w:eastAsia="zh-CN"/>
              </w:rPr>
              <w:t>地面采用坚固、防渗、耐腐蚀的材料建造，设堵载泄露的裙脚、地沟等设施。</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val="en-US" w:eastAsia="zh-CN"/>
              </w:rPr>
              <w:t>C、</w:t>
            </w:r>
            <w:r>
              <w:rPr>
                <w:rFonts w:hint="eastAsia" w:ascii="Times New Roman" w:hAnsi="Times New Roman" w:eastAsia="宋体" w:cs="Times New Roman"/>
                <w:b w:val="0"/>
                <w:bCs/>
                <w:color w:val="auto"/>
                <w:spacing w:val="-3"/>
                <w:sz w:val="21"/>
                <w:szCs w:val="21"/>
                <w:lang w:eastAsia="zh-CN"/>
              </w:rPr>
              <w:t>房间应设置严密的封闭措施，并设专职管理人员，防止非工作人员接触医疗废物；</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val="en-US" w:eastAsia="zh-CN"/>
              </w:rPr>
              <w:t>D、</w:t>
            </w:r>
            <w:r>
              <w:rPr>
                <w:rFonts w:hint="eastAsia" w:ascii="Times New Roman" w:hAnsi="Times New Roman" w:eastAsia="宋体" w:cs="Times New Roman"/>
                <w:b w:val="0"/>
                <w:bCs/>
                <w:color w:val="auto"/>
                <w:spacing w:val="-3"/>
                <w:sz w:val="21"/>
                <w:szCs w:val="21"/>
                <w:lang w:eastAsia="zh-CN"/>
              </w:rPr>
              <w:t>有防鼠、防蚊蝇、防蟑螂、防盗和预防儿童的安全措施；</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val="en-US" w:eastAsia="zh-CN"/>
              </w:rPr>
              <w:t>E、</w:t>
            </w:r>
            <w:r>
              <w:rPr>
                <w:rFonts w:hint="eastAsia" w:ascii="Times New Roman" w:hAnsi="Times New Roman" w:eastAsia="宋体" w:cs="Times New Roman"/>
                <w:b w:val="0"/>
                <w:bCs/>
                <w:color w:val="auto"/>
                <w:spacing w:val="-3"/>
                <w:sz w:val="21"/>
                <w:szCs w:val="21"/>
                <w:lang w:eastAsia="zh-CN"/>
              </w:rPr>
              <w:t>易于清洁和消毒；</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cs="Times New Roman"/>
                <w:b w:val="0"/>
                <w:bCs/>
                <w:color w:val="auto"/>
                <w:spacing w:val="-3"/>
                <w:sz w:val="21"/>
                <w:szCs w:val="21"/>
                <w:lang w:val="en-US" w:eastAsia="zh-CN"/>
              </w:rPr>
              <w:t>F、</w:t>
            </w:r>
            <w:r>
              <w:rPr>
                <w:rFonts w:hint="eastAsia" w:ascii="Times New Roman" w:hAnsi="Times New Roman" w:eastAsia="宋体" w:cs="Times New Roman"/>
                <w:b w:val="0"/>
                <w:bCs/>
                <w:color w:val="auto"/>
                <w:spacing w:val="-3"/>
                <w:sz w:val="21"/>
                <w:szCs w:val="21"/>
                <w:lang w:eastAsia="zh-CN"/>
              </w:rPr>
              <w:t>设置明显的医疗废物警示标识和“禁止吸烟、饮食”的警示标识。</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val="en-US" w:eastAsia="zh-CN"/>
              </w:rPr>
            </w:pPr>
            <w:r>
              <w:rPr>
                <w:rFonts w:hint="eastAsia" w:cs="Times New Roman"/>
                <w:b w:val="0"/>
                <w:bCs/>
                <w:color w:val="auto"/>
                <w:spacing w:val="-3"/>
                <w:sz w:val="21"/>
                <w:szCs w:val="21"/>
                <w:lang w:val="en-US" w:eastAsia="zh-CN"/>
              </w:rPr>
              <w:t>G、</w:t>
            </w:r>
            <w:r>
              <w:rPr>
                <w:rFonts w:hint="eastAsia" w:ascii="Times New Roman" w:hAnsi="Times New Roman" w:eastAsia="宋体" w:cs="Times New Roman"/>
                <w:b w:val="0"/>
                <w:bCs/>
                <w:color w:val="auto"/>
                <w:spacing w:val="-3"/>
                <w:sz w:val="21"/>
                <w:szCs w:val="21"/>
                <w:lang w:eastAsia="zh-CN"/>
              </w:rPr>
              <w:t>由于本项目营运过程中会产生一定的废活性炭，环评要求项目医疗废物要进行分区，不同废物要分开存放，并设置专门的容器。同时根据《医疗卫生机构医疗废物管理办法》中“医疗废物暂时贮存的时间不得超过</w:t>
            </w:r>
            <w:r>
              <w:rPr>
                <w:rFonts w:hint="eastAsia" w:ascii="Times New Roman" w:hAnsi="Times New Roman" w:eastAsia="宋体" w:cs="Times New Roman"/>
                <w:b w:val="0"/>
                <w:bCs/>
                <w:color w:val="auto"/>
                <w:spacing w:val="-3"/>
                <w:sz w:val="21"/>
                <w:szCs w:val="21"/>
                <w:lang w:val="en-US" w:eastAsia="zh-CN"/>
              </w:rPr>
              <w:t>2天</w:t>
            </w:r>
            <w:r>
              <w:rPr>
                <w:rFonts w:hint="eastAsia" w:ascii="Times New Roman" w:hAnsi="Times New Roman" w:eastAsia="宋体" w:cs="Times New Roman"/>
                <w:b w:val="0"/>
                <w:bCs/>
                <w:color w:val="auto"/>
                <w:spacing w:val="-3"/>
                <w:sz w:val="21"/>
                <w:szCs w:val="21"/>
                <w:lang w:eastAsia="zh-CN"/>
              </w:rPr>
              <w:t>”的规定要求，评价要求医疗垃圾尽可能做到“日产日清”的清运方式，院内暂存时间不得超过</w:t>
            </w:r>
            <w:r>
              <w:rPr>
                <w:rFonts w:hint="eastAsia" w:ascii="Times New Roman" w:hAnsi="Times New Roman" w:eastAsia="宋体" w:cs="Times New Roman"/>
                <w:b w:val="0"/>
                <w:bCs/>
                <w:color w:val="auto"/>
                <w:spacing w:val="-3"/>
                <w:sz w:val="21"/>
                <w:szCs w:val="21"/>
                <w:lang w:val="en-US" w:eastAsia="zh-CN"/>
              </w:rPr>
              <w:t>2天。</w:t>
            </w:r>
          </w:p>
          <w:p>
            <w:pPr>
              <w:pStyle w:val="9"/>
              <w:spacing w:after="0" w:line="360" w:lineRule="auto"/>
              <w:ind w:right="130" w:firstLine="408" w:firstLineChars="200"/>
              <w:rPr>
                <w:rFonts w:hint="default" w:ascii="Times New Roman" w:hAnsi="Times New Roman" w:eastAsia="宋体" w:cs="Times New Roman"/>
                <w:b w:val="0"/>
                <w:bCs/>
                <w:color w:val="auto"/>
                <w:spacing w:val="-3"/>
                <w:sz w:val="21"/>
                <w:szCs w:val="21"/>
                <w:lang w:val="en-US" w:eastAsia="zh-CN"/>
              </w:rPr>
            </w:pPr>
            <w:r>
              <w:rPr>
                <w:rFonts w:hint="eastAsia" w:cs="Times New Roman"/>
                <w:b w:val="0"/>
                <w:bCs/>
                <w:color w:val="auto"/>
                <w:spacing w:val="-3"/>
                <w:sz w:val="21"/>
                <w:szCs w:val="21"/>
                <w:lang w:val="en-US" w:eastAsia="zh-CN"/>
              </w:rPr>
              <w:t>H、</w:t>
            </w:r>
            <w:r>
              <w:rPr>
                <w:rFonts w:hint="eastAsia" w:ascii="Times New Roman" w:hAnsi="Times New Roman" w:eastAsia="宋体" w:cs="Times New Roman"/>
                <w:b w:val="0"/>
                <w:bCs/>
                <w:color w:val="auto"/>
                <w:spacing w:val="-3"/>
                <w:sz w:val="21"/>
                <w:szCs w:val="21"/>
                <w:lang w:val="en-US" w:eastAsia="zh-CN"/>
              </w:rPr>
              <w:t>同时，根据《医疗废物管理条例》、《医疗卫生机构医疗废物管理办法》等相关规定，评价要求</w:t>
            </w:r>
            <w:r>
              <w:rPr>
                <w:rFonts w:hint="eastAsia" w:cs="Times New Roman"/>
                <w:b w:val="0"/>
                <w:bCs/>
                <w:color w:val="auto"/>
                <w:spacing w:val="-3"/>
                <w:sz w:val="21"/>
                <w:szCs w:val="21"/>
                <w:lang w:val="en-US" w:eastAsia="zh-CN"/>
              </w:rPr>
              <w:t>院方</w:t>
            </w:r>
            <w:r>
              <w:rPr>
                <w:rFonts w:hint="eastAsia" w:ascii="Times New Roman" w:hAnsi="Times New Roman" w:eastAsia="宋体" w:cs="Times New Roman"/>
                <w:b w:val="0"/>
                <w:bCs/>
                <w:color w:val="auto"/>
                <w:spacing w:val="-3"/>
                <w:sz w:val="21"/>
                <w:szCs w:val="21"/>
                <w:lang w:val="en-US" w:eastAsia="zh-CN"/>
              </w:rPr>
              <w:t>对医疗废物进行消毒处理。</w:t>
            </w:r>
          </w:p>
          <w:p>
            <w:pPr>
              <w:pStyle w:val="9"/>
              <w:spacing w:after="0" w:line="360" w:lineRule="auto"/>
              <w:ind w:right="130" w:firstLine="408" w:firstLineChars="200"/>
              <w:rPr>
                <w:rFonts w:hint="eastAsia" w:ascii="宋体" w:hAnsi="宋体" w:eastAsia="宋体" w:cs="宋体"/>
                <w:b w:val="0"/>
                <w:bCs/>
                <w:color w:val="auto"/>
                <w:spacing w:val="-3"/>
                <w:sz w:val="21"/>
                <w:szCs w:val="21"/>
                <w:lang w:eastAsia="zh-CN"/>
              </w:rPr>
            </w:pPr>
            <w:r>
              <w:rPr>
                <w:rFonts w:hint="eastAsia" w:ascii="宋体" w:hAnsi="宋体" w:eastAsia="宋体" w:cs="宋体"/>
                <w:b w:val="0"/>
                <w:bCs/>
                <w:color w:val="auto"/>
                <w:spacing w:val="-3"/>
                <w:sz w:val="21"/>
                <w:szCs w:val="21"/>
              </w:rPr>
              <w:t>③</w:t>
            </w:r>
            <w:r>
              <w:rPr>
                <w:rFonts w:hint="eastAsia" w:ascii="宋体" w:hAnsi="宋体" w:cs="宋体"/>
                <w:b w:val="0"/>
                <w:bCs/>
                <w:color w:val="auto"/>
                <w:spacing w:val="-3"/>
                <w:sz w:val="21"/>
                <w:szCs w:val="21"/>
                <w:lang w:eastAsia="zh-CN"/>
              </w:rPr>
              <w:t>医疗废物的交接</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eastAsia="zh-CN"/>
              </w:rPr>
              <w:t>医疗废物运送人员在接受医疗废物时，应外观检查医疗卫生机构是否按规定进行包装、标识，并盛装于周转箱内，不得打开包装袋取出医疗废物。对包装破损、包装外表污染或未盛装于周转箱内的医疗废物，医疗废物运送人员应当要求医疗卫生机构重新包装、标识，并盛装于周转箱内。拒不按规定对医疗废物进行包装的，运送人员有权拒绝运送，并向当地环保部门报告。</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宋体" w:hAnsi="宋体" w:eastAsia="宋体" w:cs="宋体"/>
                <w:b w:val="0"/>
                <w:bCs/>
                <w:color w:val="auto"/>
                <w:spacing w:val="-3"/>
                <w:sz w:val="21"/>
                <w:szCs w:val="21"/>
              </w:rPr>
              <w:t>④</w:t>
            </w:r>
            <w:r>
              <w:rPr>
                <w:rFonts w:hint="eastAsia" w:ascii="Times New Roman" w:hAnsi="Times New Roman" w:eastAsia="宋体" w:cs="Times New Roman"/>
                <w:b w:val="0"/>
                <w:bCs/>
                <w:color w:val="auto"/>
                <w:spacing w:val="-3"/>
                <w:sz w:val="21"/>
                <w:szCs w:val="21"/>
                <w:lang w:eastAsia="zh-CN"/>
              </w:rPr>
              <w:t>医疗废物转运要求</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Times New Roman" w:hAnsi="Times New Roman" w:eastAsia="宋体" w:cs="Times New Roman"/>
                <w:b w:val="0"/>
                <w:bCs/>
                <w:color w:val="auto"/>
                <w:spacing w:val="-3"/>
                <w:sz w:val="21"/>
                <w:szCs w:val="21"/>
                <w:lang w:eastAsia="zh-CN"/>
              </w:rPr>
              <w:t>本项目医疗废物的交接和运输时间应填写《医疗废物运送登记卡》，一车一卡，实施危险废物转移联单管理制度。在医疗废物运送过程中不得丢弃、遗撒医疗废物，不得装载或混装其它货物和动植物。同时，医疗废物转运应当使用符合《医疗废物转运车技术要求》（</w:t>
            </w:r>
            <w:r>
              <w:rPr>
                <w:rFonts w:hint="eastAsia" w:ascii="Times New Roman" w:hAnsi="Times New Roman" w:eastAsia="宋体" w:cs="Times New Roman"/>
                <w:b w:val="0"/>
                <w:bCs/>
                <w:color w:val="auto"/>
                <w:spacing w:val="-3"/>
                <w:sz w:val="21"/>
                <w:szCs w:val="21"/>
                <w:lang w:val="en-US" w:eastAsia="zh-CN"/>
              </w:rPr>
              <w:t>GB19217</w:t>
            </w:r>
            <w:r>
              <w:rPr>
                <w:rFonts w:hint="eastAsia" w:ascii="Times New Roman" w:hAnsi="Times New Roman" w:eastAsia="宋体" w:cs="Times New Roman"/>
                <w:b w:val="0"/>
                <w:bCs/>
                <w:color w:val="auto"/>
                <w:spacing w:val="-3"/>
                <w:sz w:val="21"/>
                <w:szCs w:val="21"/>
                <w:lang w:eastAsia="zh-CN"/>
              </w:rPr>
              <w:t>）的专用车辆。</w:t>
            </w:r>
          </w:p>
          <w:p>
            <w:pPr>
              <w:pStyle w:val="9"/>
              <w:spacing w:after="0" w:line="360" w:lineRule="auto"/>
              <w:ind w:right="130" w:firstLine="408" w:firstLineChars="200"/>
              <w:rPr>
                <w:rFonts w:hint="eastAsia" w:ascii="Times New Roman" w:hAnsi="Times New Roman" w:eastAsia="宋体" w:cs="Times New Roman"/>
                <w:b w:val="0"/>
                <w:bCs/>
                <w:color w:val="auto"/>
                <w:spacing w:val="-3"/>
                <w:sz w:val="21"/>
                <w:szCs w:val="21"/>
                <w:lang w:eastAsia="zh-CN"/>
              </w:rPr>
            </w:pPr>
            <w:r>
              <w:rPr>
                <w:rFonts w:hint="eastAsia" w:ascii="宋体" w:hAnsi="宋体" w:eastAsia="宋体" w:cs="宋体"/>
                <w:b w:val="0"/>
                <w:bCs/>
                <w:color w:val="auto"/>
                <w:spacing w:val="-3"/>
                <w:sz w:val="21"/>
                <w:szCs w:val="21"/>
              </w:rPr>
              <w:t>⑤</w:t>
            </w:r>
            <w:r>
              <w:rPr>
                <w:rFonts w:hint="eastAsia" w:ascii="Times New Roman" w:hAnsi="Times New Roman" w:eastAsia="宋体" w:cs="Times New Roman"/>
                <w:b w:val="0"/>
                <w:bCs/>
                <w:color w:val="auto"/>
                <w:spacing w:val="-3"/>
                <w:sz w:val="21"/>
                <w:szCs w:val="21"/>
                <w:lang w:eastAsia="zh-CN"/>
              </w:rPr>
              <w:t>医疗废物处置要求</w:t>
            </w:r>
          </w:p>
          <w:p>
            <w:pPr>
              <w:spacing w:line="360" w:lineRule="auto"/>
              <w:rPr>
                <w:rFonts w:hint="default" w:ascii="Times New Roman" w:hAnsi="Times New Roman" w:eastAsia="宋体" w:cs="Times New Roman"/>
                <w:b w:val="0"/>
                <w:bCs/>
                <w:color w:val="auto"/>
                <w:spacing w:val="-3"/>
                <w:sz w:val="21"/>
                <w:szCs w:val="21"/>
              </w:rPr>
            </w:pPr>
            <w:r>
              <w:rPr>
                <w:rFonts w:hint="eastAsia" w:ascii="Times New Roman" w:hAnsi="Times New Roman" w:eastAsia="宋体" w:cs="Times New Roman"/>
                <w:b w:val="0"/>
                <w:bCs/>
                <w:color w:val="auto"/>
                <w:spacing w:val="-3"/>
                <w:sz w:val="21"/>
                <w:szCs w:val="21"/>
                <w:lang w:val="en-US" w:eastAsia="zh-CN"/>
              </w:rPr>
              <w:t xml:space="preserve">    环评要求本项目要与取得国家相应资质的单位签订污水处理设施污泥清掏合同和医疗垃圾收购合同和医疗垃圾收购合同，在运营过程中产生的医疗废物必须交由有资质的单位进行统一处置。禁止提供或委托无资质的单位从事收集、运送、贮存和处置医疗废物的经营活动；禁止将医疗废物混入其它废物、生活垃圾或向环境排放，或不按环保要求擅自进行处置；禁止任何单位和个人转让。买卖医疗废物；禁止在运送过程中丢弃医疗废物。</w:t>
            </w:r>
          </w:p>
          <w:p>
            <w:pPr>
              <w:pStyle w:val="9"/>
              <w:spacing w:after="0" w:line="360" w:lineRule="auto"/>
              <w:ind w:right="130" w:firstLine="410" w:firstLineChars="200"/>
              <w:rPr>
                <w:color w:val="auto"/>
                <w:spacing w:val="-3"/>
                <w:sz w:val="21"/>
                <w:szCs w:val="21"/>
              </w:rPr>
            </w:pPr>
            <w:r>
              <w:rPr>
                <w:b/>
                <w:color w:val="auto"/>
                <w:spacing w:val="-3"/>
                <w:sz w:val="21"/>
                <w:szCs w:val="21"/>
              </w:rPr>
              <w:t>5、地下水</w:t>
            </w:r>
          </w:p>
          <w:p>
            <w:pPr>
              <w:pStyle w:val="9"/>
              <w:spacing w:after="0" w:line="360" w:lineRule="auto"/>
              <w:ind w:right="130" w:firstLine="471"/>
              <w:rPr>
                <w:color w:val="auto"/>
                <w:sz w:val="21"/>
                <w:szCs w:val="21"/>
              </w:rPr>
            </w:pPr>
            <w:r>
              <w:rPr>
                <w:rFonts w:hint="eastAsia"/>
                <w:color w:val="auto"/>
                <w:spacing w:val="-3"/>
                <w:sz w:val="21"/>
                <w:szCs w:val="21"/>
              </w:rPr>
              <w:t>医疗</w:t>
            </w:r>
            <w:r>
              <w:rPr>
                <w:color w:val="auto"/>
                <w:spacing w:val="-3"/>
                <w:sz w:val="21"/>
                <w:szCs w:val="21"/>
              </w:rPr>
              <w:t>废物暂存间</w:t>
            </w:r>
            <w:r>
              <w:rPr>
                <w:rFonts w:hint="eastAsia"/>
                <w:color w:val="auto"/>
                <w:spacing w:val="-3"/>
                <w:sz w:val="21"/>
                <w:szCs w:val="21"/>
              </w:rPr>
              <w:t>、医疗废水处理系统</w:t>
            </w:r>
            <w:r>
              <w:rPr>
                <w:color w:val="auto"/>
                <w:spacing w:val="-3"/>
                <w:sz w:val="21"/>
                <w:szCs w:val="21"/>
              </w:rPr>
              <w:t>：采用</w:t>
            </w:r>
            <w:r>
              <w:rPr>
                <w:rFonts w:hint="eastAsia"/>
                <w:color w:val="auto"/>
                <w:spacing w:val="-3"/>
                <w:sz w:val="21"/>
                <w:szCs w:val="21"/>
                <w:lang w:eastAsia="zh-CN"/>
              </w:rPr>
              <w:t>托盘</w:t>
            </w:r>
            <w:r>
              <w:rPr>
                <w:color w:val="auto"/>
                <w:spacing w:val="-3"/>
                <w:sz w:val="21"/>
                <w:szCs w:val="21"/>
              </w:rPr>
              <w:t>+环氧树脂进行防渗进行重点防渗</w:t>
            </w:r>
            <w:r>
              <w:rPr>
                <w:color w:val="auto"/>
                <w:spacing w:val="-2"/>
                <w:sz w:val="21"/>
                <w:szCs w:val="21"/>
              </w:rPr>
              <w:t>，渗透系数</w:t>
            </w:r>
            <w:r>
              <w:rPr>
                <w:rFonts w:hint="eastAsia" w:ascii="宋体" w:hAnsi="宋体" w:eastAsia="宋体" w:cs="宋体"/>
                <w:color w:val="auto"/>
                <w:spacing w:val="-2"/>
                <w:sz w:val="21"/>
                <w:szCs w:val="21"/>
              </w:rPr>
              <w:t>≤</w:t>
            </w:r>
            <w:r>
              <w:rPr>
                <w:color w:val="auto"/>
                <w:spacing w:val="-2"/>
                <w:sz w:val="21"/>
                <w:szCs w:val="21"/>
              </w:rPr>
              <w:t>1.0×10</w:t>
            </w:r>
            <w:r>
              <w:rPr>
                <w:color w:val="auto"/>
                <w:spacing w:val="-2"/>
                <w:sz w:val="21"/>
                <w:szCs w:val="21"/>
                <w:vertAlign w:val="superscript"/>
              </w:rPr>
              <w:t>-10</w:t>
            </w:r>
            <w:r>
              <w:rPr>
                <w:color w:val="auto"/>
                <w:spacing w:val="-2"/>
                <w:sz w:val="21"/>
                <w:szCs w:val="21"/>
              </w:rPr>
              <w:t>cm/s</w:t>
            </w:r>
            <w:r>
              <w:rPr>
                <w:color w:val="auto"/>
                <w:sz w:val="21"/>
                <w:szCs w:val="21"/>
              </w:rPr>
              <w:t>。其他区域进行简单防渗。</w:t>
            </w:r>
          </w:p>
          <w:p>
            <w:pPr>
              <w:ind w:firstLine="361" w:firstLineChars="200"/>
              <w:jc w:val="center"/>
              <w:rPr>
                <w:b/>
                <w:color w:val="auto"/>
                <w:sz w:val="18"/>
                <w:szCs w:val="18"/>
              </w:rPr>
            </w:pPr>
            <w:r>
              <w:rPr>
                <w:b/>
                <w:color w:val="auto"/>
                <w:sz w:val="18"/>
                <w:szCs w:val="18"/>
              </w:rPr>
              <w:t>表4-</w:t>
            </w:r>
            <w:r>
              <w:rPr>
                <w:rFonts w:hint="eastAsia"/>
                <w:b/>
                <w:color w:val="auto"/>
                <w:sz w:val="18"/>
                <w:szCs w:val="18"/>
              </w:rPr>
              <w:t>1</w:t>
            </w:r>
            <w:r>
              <w:rPr>
                <w:rFonts w:hint="eastAsia"/>
                <w:b/>
                <w:color w:val="auto"/>
                <w:sz w:val="18"/>
                <w:szCs w:val="18"/>
                <w:lang w:val="en-US" w:eastAsia="zh-CN"/>
              </w:rPr>
              <w:t>0</w:t>
            </w:r>
            <w:r>
              <w:rPr>
                <w:b/>
                <w:color w:val="auto"/>
                <w:sz w:val="18"/>
                <w:szCs w:val="18"/>
              </w:rPr>
              <w:t xml:space="preserve">   地下水分区防渗措施</w:t>
            </w:r>
          </w:p>
          <w:tbl>
            <w:tblPr>
              <w:tblStyle w:val="21"/>
              <w:tblW w:w="4963"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878"/>
              <w:gridCol w:w="492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845" w:type="pct"/>
                  <w:tcBorders>
                    <w:tl2br w:val="nil"/>
                    <w:tr2bl w:val="nil"/>
                  </w:tcBorders>
                  <w:noWrap/>
                  <w:vAlign w:val="center"/>
                </w:tcPr>
                <w:p>
                  <w:pPr>
                    <w:pStyle w:val="18"/>
                    <w:adjustRightInd w:val="0"/>
                    <w:spacing w:beforeLines="20" w:afterLines="20" w:line="240" w:lineRule="auto"/>
                    <w:ind w:firstLine="361" w:firstLineChars="200"/>
                    <w:jc w:val="center"/>
                    <w:rPr>
                      <w:b/>
                      <w:bCs/>
                      <w:color w:val="auto"/>
                      <w:sz w:val="18"/>
                      <w:szCs w:val="18"/>
                    </w:rPr>
                  </w:pPr>
                  <w:r>
                    <w:rPr>
                      <w:b/>
                      <w:bCs/>
                      <w:color w:val="auto"/>
                      <w:sz w:val="18"/>
                      <w:szCs w:val="18"/>
                    </w:rPr>
                    <w:t>区域</w:t>
                  </w:r>
                </w:p>
              </w:tc>
              <w:tc>
                <w:tcPr>
                  <w:tcW w:w="3154" w:type="pct"/>
                  <w:tcBorders>
                    <w:tl2br w:val="nil"/>
                    <w:tr2bl w:val="nil"/>
                  </w:tcBorders>
                  <w:noWrap/>
                  <w:vAlign w:val="center"/>
                </w:tcPr>
                <w:p>
                  <w:pPr>
                    <w:pStyle w:val="18"/>
                    <w:adjustRightInd w:val="0"/>
                    <w:spacing w:beforeLines="20" w:afterLines="20" w:line="240" w:lineRule="auto"/>
                    <w:ind w:firstLine="0"/>
                    <w:jc w:val="center"/>
                    <w:rPr>
                      <w:b/>
                      <w:bCs/>
                      <w:color w:val="auto"/>
                      <w:sz w:val="18"/>
                      <w:szCs w:val="18"/>
                    </w:rPr>
                  </w:pPr>
                  <w:r>
                    <w:rPr>
                      <w:b/>
                      <w:bCs/>
                      <w:color w:val="auto"/>
                      <w:sz w:val="18"/>
                      <w:szCs w:val="18"/>
                    </w:rPr>
                    <w:t>防渗级别及要求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845" w:type="pct"/>
                  <w:tcBorders>
                    <w:tl2br w:val="nil"/>
                    <w:tr2bl w:val="nil"/>
                  </w:tcBorders>
                  <w:noWrap/>
                  <w:vAlign w:val="center"/>
                </w:tcPr>
                <w:p>
                  <w:pPr>
                    <w:pStyle w:val="18"/>
                    <w:adjustRightInd w:val="0"/>
                    <w:spacing w:beforeLines="20" w:afterLines="20" w:line="240" w:lineRule="auto"/>
                    <w:ind w:firstLine="0"/>
                    <w:jc w:val="center"/>
                    <w:rPr>
                      <w:color w:val="auto"/>
                      <w:sz w:val="18"/>
                      <w:szCs w:val="18"/>
                    </w:rPr>
                  </w:pPr>
                  <w:r>
                    <w:rPr>
                      <w:rFonts w:hint="eastAsia"/>
                      <w:color w:val="auto"/>
                      <w:sz w:val="18"/>
                      <w:szCs w:val="18"/>
                    </w:rPr>
                    <w:t>医疗</w:t>
                  </w:r>
                  <w:r>
                    <w:rPr>
                      <w:color w:val="auto"/>
                      <w:sz w:val="18"/>
                      <w:szCs w:val="18"/>
                    </w:rPr>
                    <w:t>暂存间、医疗废水处理系统</w:t>
                  </w:r>
                </w:p>
              </w:tc>
              <w:tc>
                <w:tcPr>
                  <w:tcW w:w="3154" w:type="pct"/>
                  <w:tcBorders>
                    <w:tl2br w:val="nil"/>
                    <w:tr2bl w:val="nil"/>
                  </w:tcBorders>
                  <w:noWrap/>
                  <w:vAlign w:val="center"/>
                </w:tcPr>
                <w:p>
                  <w:pPr>
                    <w:pStyle w:val="18"/>
                    <w:adjustRightInd w:val="0"/>
                    <w:spacing w:beforeLines="20" w:afterLines="20" w:line="240" w:lineRule="auto"/>
                    <w:ind w:firstLine="0"/>
                    <w:jc w:val="center"/>
                    <w:rPr>
                      <w:color w:val="auto"/>
                      <w:sz w:val="18"/>
                      <w:szCs w:val="18"/>
                    </w:rPr>
                  </w:pPr>
                  <w:r>
                    <w:rPr>
                      <w:color w:val="auto"/>
                      <w:sz w:val="18"/>
                      <w:szCs w:val="18"/>
                    </w:rPr>
                    <w:t>重点防渗区，环氧树脂+</w:t>
                  </w:r>
                  <w:r>
                    <w:rPr>
                      <w:rFonts w:hint="eastAsia"/>
                      <w:color w:val="auto"/>
                      <w:sz w:val="18"/>
                      <w:szCs w:val="18"/>
                      <w:lang w:eastAsia="zh-CN"/>
                    </w:rPr>
                    <w:t>托盘</w:t>
                  </w:r>
                  <w:r>
                    <w:rPr>
                      <w:color w:val="auto"/>
                      <w:sz w:val="18"/>
                      <w:szCs w:val="18"/>
                    </w:rPr>
                    <w:t>，</w:t>
                  </w:r>
                  <w:r>
                    <w:rPr>
                      <w:color w:val="auto"/>
                      <w:spacing w:val="-2"/>
                      <w:sz w:val="18"/>
                      <w:szCs w:val="18"/>
                    </w:rPr>
                    <w:t>渗透系数</w:t>
                  </w:r>
                  <w:r>
                    <w:rPr>
                      <w:rFonts w:hint="eastAsia"/>
                      <w:color w:val="auto"/>
                      <w:spacing w:val="-2"/>
                      <w:sz w:val="18"/>
                      <w:szCs w:val="18"/>
                    </w:rPr>
                    <w:t>≤</w:t>
                  </w:r>
                  <w:r>
                    <w:rPr>
                      <w:color w:val="auto"/>
                      <w:spacing w:val="-2"/>
                      <w:sz w:val="18"/>
                      <w:szCs w:val="18"/>
                    </w:rPr>
                    <w:t>1.0×10</w:t>
                  </w:r>
                  <w:r>
                    <w:rPr>
                      <w:color w:val="auto"/>
                      <w:spacing w:val="-2"/>
                      <w:sz w:val="18"/>
                      <w:szCs w:val="18"/>
                      <w:vertAlign w:val="superscript"/>
                    </w:rPr>
                    <w:t>-10</w:t>
                  </w:r>
                  <w:r>
                    <w:rPr>
                      <w:color w:val="auto"/>
                      <w:spacing w:val="-2"/>
                      <w:sz w:val="18"/>
                      <w:szCs w:val="18"/>
                    </w:rPr>
                    <w:t>cm/s</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1845" w:type="pct"/>
                  <w:tcBorders>
                    <w:tl2br w:val="nil"/>
                    <w:tr2bl w:val="nil"/>
                  </w:tcBorders>
                  <w:noWrap/>
                  <w:vAlign w:val="center"/>
                </w:tcPr>
                <w:p>
                  <w:pPr>
                    <w:pStyle w:val="18"/>
                    <w:adjustRightInd w:val="0"/>
                    <w:spacing w:beforeLines="20" w:afterLines="20" w:line="240" w:lineRule="auto"/>
                    <w:ind w:firstLine="0"/>
                    <w:jc w:val="center"/>
                    <w:rPr>
                      <w:color w:val="auto"/>
                      <w:spacing w:val="-3"/>
                      <w:sz w:val="18"/>
                      <w:szCs w:val="18"/>
                    </w:rPr>
                  </w:pPr>
                  <w:r>
                    <w:rPr>
                      <w:color w:val="auto"/>
                      <w:spacing w:val="-3"/>
                      <w:sz w:val="18"/>
                      <w:szCs w:val="18"/>
                    </w:rPr>
                    <w:t>其他区域</w:t>
                  </w:r>
                </w:p>
              </w:tc>
              <w:tc>
                <w:tcPr>
                  <w:tcW w:w="3154" w:type="pct"/>
                  <w:tcBorders>
                    <w:tl2br w:val="nil"/>
                    <w:tr2bl w:val="nil"/>
                  </w:tcBorders>
                  <w:noWrap/>
                  <w:vAlign w:val="center"/>
                </w:tcPr>
                <w:p>
                  <w:pPr>
                    <w:pStyle w:val="18"/>
                    <w:adjustRightInd w:val="0"/>
                    <w:spacing w:beforeLines="20" w:afterLines="20" w:line="240" w:lineRule="auto"/>
                    <w:ind w:firstLine="0"/>
                    <w:jc w:val="center"/>
                    <w:rPr>
                      <w:color w:val="auto"/>
                      <w:sz w:val="18"/>
                      <w:szCs w:val="18"/>
                    </w:rPr>
                  </w:pPr>
                  <w:r>
                    <w:rPr>
                      <w:color w:val="auto"/>
                      <w:sz w:val="18"/>
                      <w:szCs w:val="18"/>
                    </w:rPr>
                    <w:t>简单防渗区地面硬化</w:t>
                  </w:r>
                </w:p>
              </w:tc>
            </w:tr>
          </w:tbl>
          <w:p>
            <w:pPr>
              <w:spacing w:line="360" w:lineRule="auto"/>
              <w:ind w:firstLine="422" w:firstLineChars="200"/>
              <w:rPr>
                <w:color w:val="auto"/>
                <w:szCs w:val="21"/>
              </w:rPr>
            </w:pPr>
            <w:r>
              <w:rPr>
                <w:rFonts w:hint="eastAsia"/>
                <w:b/>
                <w:bCs/>
                <w:color w:val="auto"/>
                <w:szCs w:val="21"/>
              </w:rPr>
              <w:t>地下水影响分析：</w:t>
            </w:r>
            <w:r>
              <w:rPr>
                <w:color w:val="auto"/>
                <w:szCs w:val="21"/>
              </w:rPr>
              <w:t>综合以上分析可知，项目在采取了环评提出的各项措施后，不会对环境产生明显不良影响。</w:t>
            </w:r>
          </w:p>
          <w:p>
            <w:pPr>
              <w:spacing w:line="360" w:lineRule="auto"/>
              <w:rPr>
                <w:b/>
                <w:bCs/>
                <w:color w:val="auto"/>
                <w:szCs w:val="21"/>
              </w:rPr>
            </w:pPr>
            <w:r>
              <w:rPr>
                <w:b/>
                <w:bCs/>
                <w:color w:val="auto"/>
                <w:szCs w:val="21"/>
              </w:rPr>
              <w:t>三、环境风险分析</w:t>
            </w:r>
          </w:p>
          <w:p>
            <w:pPr>
              <w:spacing w:line="360" w:lineRule="auto"/>
              <w:ind w:firstLine="420" w:firstLineChars="200"/>
              <w:textAlignment w:val="baseline"/>
              <w:rPr>
                <w:color w:val="auto"/>
                <w:szCs w:val="21"/>
              </w:rPr>
            </w:pPr>
            <w:r>
              <w:rPr>
                <w:color w:val="auto"/>
                <w:szCs w:val="21"/>
              </w:rPr>
              <w:t>环境风险评价的目的是分析和预测建设项目存在的潜在危险，建设项目建设和运行期间发生的突发性事件，有毒有害和易燃易爆等物质的泄漏，所造成的人身安全与环境影响，提出合理可行的防范、应急措施，以使事故率、损失达到最低可接受的水平。环境风险评价应把事故引起场界外人群的伤害、环境质量的恶化及对生态系统影响的预测和防护作为评价工作重点。本章节主要通过对主要风险源识别，分析可能造成的影响程度，提出应急与缓解措施，使项目的风险事故影响达到可接受水平。</w:t>
            </w:r>
          </w:p>
          <w:p>
            <w:pPr>
              <w:spacing w:line="360" w:lineRule="auto"/>
              <w:ind w:firstLine="420" w:firstLineChars="200"/>
              <w:rPr>
                <w:color w:val="auto"/>
                <w:kern w:val="0"/>
                <w:szCs w:val="21"/>
                <w:highlight w:val="yellow"/>
              </w:rPr>
            </w:pPr>
            <w:r>
              <w:rPr>
                <w:color w:val="auto"/>
                <w:kern w:val="0"/>
                <w:szCs w:val="21"/>
              </w:rPr>
              <w:t>（1）风险</w:t>
            </w:r>
            <w:r>
              <w:rPr>
                <w:rFonts w:hint="eastAsia"/>
                <w:color w:val="auto"/>
                <w:kern w:val="0"/>
                <w:szCs w:val="21"/>
              </w:rPr>
              <w:t>物质识别</w:t>
            </w:r>
          </w:p>
          <w:p>
            <w:pPr>
              <w:spacing w:line="360" w:lineRule="auto"/>
              <w:ind w:firstLine="420" w:firstLineChars="200"/>
              <w:rPr>
                <w:color w:val="auto"/>
                <w:kern w:val="0"/>
                <w:szCs w:val="21"/>
              </w:rPr>
            </w:pPr>
            <w:r>
              <w:rPr>
                <w:color w:val="auto"/>
                <w:kern w:val="0"/>
                <w:szCs w:val="21"/>
              </w:rPr>
              <w:t>本项目的风险物质为次氯酸钠。</w:t>
            </w:r>
          </w:p>
          <w:p>
            <w:pPr>
              <w:spacing w:line="360" w:lineRule="auto"/>
              <w:ind w:firstLine="420" w:firstLineChars="200"/>
              <w:textAlignment w:val="baseline"/>
              <w:rPr>
                <w:color w:val="auto"/>
                <w:szCs w:val="21"/>
              </w:rPr>
            </w:pPr>
            <w:r>
              <w:rPr>
                <w:color w:val="auto"/>
                <w:szCs w:val="21"/>
              </w:rPr>
              <w:t>本项目风险物质分布和数量见下表所示。</w:t>
            </w:r>
          </w:p>
          <w:p>
            <w:pPr>
              <w:jc w:val="center"/>
              <w:textAlignment w:val="baseline"/>
              <w:rPr>
                <w:b/>
                <w:color w:val="auto"/>
                <w:sz w:val="18"/>
                <w:szCs w:val="18"/>
              </w:rPr>
            </w:pPr>
            <w:r>
              <w:rPr>
                <w:b/>
                <w:color w:val="auto"/>
                <w:sz w:val="18"/>
                <w:szCs w:val="18"/>
              </w:rPr>
              <w:t>表4-</w:t>
            </w:r>
            <w:r>
              <w:rPr>
                <w:rFonts w:hint="eastAsia"/>
                <w:b/>
                <w:color w:val="auto"/>
                <w:sz w:val="18"/>
                <w:szCs w:val="18"/>
              </w:rPr>
              <w:t>1</w:t>
            </w:r>
            <w:r>
              <w:rPr>
                <w:rFonts w:hint="eastAsia"/>
                <w:b/>
                <w:color w:val="auto"/>
                <w:sz w:val="18"/>
                <w:szCs w:val="18"/>
                <w:lang w:val="en-US" w:eastAsia="zh-CN"/>
              </w:rPr>
              <w:t>1</w:t>
            </w:r>
            <w:r>
              <w:rPr>
                <w:b/>
                <w:color w:val="auto"/>
                <w:sz w:val="18"/>
                <w:szCs w:val="18"/>
              </w:rPr>
              <w:t xml:space="preserve">   项目风险物质分布和数量一览表</w:t>
            </w:r>
          </w:p>
          <w:tbl>
            <w:tblPr>
              <w:tblStyle w:val="22"/>
              <w:tblW w:w="4981"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89"/>
              <w:gridCol w:w="1728"/>
              <w:gridCol w:w="1569"/>
              <w:gridCol w:w="1569"/>
              <w:gridCol w:w="15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887" w:type="pct"/>
                  <w:noWrap/>
                  <w:vAlign w:val="center"/>
                </w:tcPr>
                <w:p>
                  <w:pPr>
                    <w:jc w:val="center"/>
                    <w:rPr>
                      <w:bCs/>
                      <w:color w:val="auto"/>
                      <w:sz w:val="18"/>
                      <w:szCs w:val="18"/>
                    </w:rPr>
                  </w:pPr>
                  <w:r>
                    <w:rPr>
                      <w:bCs/>
                      <w:color w:val="auto"/>
                      <w:sz w:val="18"/>
                      <w:szCs w:val="18"/>
                    </w:rPr>
                    <w:t>名称</w:t>
                  </w:r>
                </w:p>
              </w:tc>
              <w:tc>
                <w:tcPr>
                  <w:tcW w:w="1103" w:type="pct"/>
                  <w:noWrap/>
                  <w:vAlign w:val="center"/>
                </w:tcPr>
                <w:p>
                  <w:pPr>
                    <w:jc w:val="center"/>
                    <w:rPr>
                      <w:bCs/>
                      <w:color w:val="auto"/>
                      <w:sz w:val="18"/>
                      <w:szCs w:val="18"/>
                    </w:rPr>
                  </w:pPr>
                  <w:r>
                    <w:rPr>
                      <w:bCs/>
                      <w:color w:val="auto"/>
                      <w:sz w:val="18"/>
                      <w:szCs w:val="18"/>
                    </w:rPr>
                    <w:t>CAS号</w:t>
                  </w:r>
                </w:p>
              </w:tc>
              <w:tc>
                <w:tcPr>
                  <w:tcW w:w="1002" w:type="pct"/>
                  <w:noWrap/>
                  <w:vAlign w:val="center"/>
                </w:tcPr>
                <w:p>
                  <w:pPr>
                    <w:jc w:val="center"/>
                    <w:rPr>
                      <w:bCs/>
                      <w:color w:val="auto"/>
                      <w:sz w:val="18"/>
                      <w:szCs w:val="18"/>
                    </w:rPr>
                  </w:pPr>
                  <w:r>
                    <w:rPr>
                      <w:bCs/>
                      <w:color w:val="auto"/>
                      <w:sz w:val="18"/>
                      <w:szCs w:val="18"/>
                    </w:rPr>
                    <w:t>储存量</w:t>
                  </w:r>
                </w:p>
              </w:tc>
              <w:tc>
                <w:tcPr>
                  <w:tcW w:w="1002" w:type="pct"/>
                  <w:noWrap/>
                  <w:vAlign w:val="center"/>
                </w:tcPr>
                <w:p>
                  <w:pPr>
                    <w:jc w:val="center"/>
                    <w:rPr>
                      <w:bCs/>
                      <w:color w:val="auto"/>
                      <w:sz w:val="18"/>
                      <w:szCs w:val="18"/>
                    </w:rPr>
                  </w:pPr>
                  <w:r>
                    <w:rPr>
                      <w:bCs/>
                      <w:color w:val="auto"/>
                      <w:sz w:val="18"/>
                      <w:szCs w:val="18"/>
                    </w:rPr>
                    <w:t>临界量</w:t>
                  </w:r>
                </w:p>
              </w:tc>
              <w:tc>
                <w:tcPr>
                  <w:tcW w:w="1003" w:type="pct"/>
                  <w:noWrap/>
                  <w:vAlign w:val="center"/>
                </w:tcPr>
                <w:p>
                  <w:pPr>
                    <w:jc w:val="center"/>
                    <w:rPr>
                      <w:bCs/>
                      <w:color w:val="auto"/>
                      <w:sz w:val="18"/>
                      <w:szCs w:val="18"/>
                    </w:rPr>
                  </w:pPr>
                  <w:r>
                    <w:rPr>
                      <w:bCs/>
                      <w:color w:val="auto"/>
                      <w:sz w:val="18"/>
                      <w:szCs w:val="18"/>
                    </w:rPr>
                    <w:t>风险途径</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887" w:type="pct"/>
                  <w:noWrap/>
                  <w:vAlign w:val="center"/>
                </w:tcPr>
                <w:p>
                  <w:pPr>
                    <w:widowControl/>
                    <w:spacing w:line="280" w:lineRule="exact"/>
                    <w:jc w:val="center"/>
                    <w:rPr>
                      <w:bCs/>
                      <w:color w:val="auto"/>
                      <w:sz w:val="18"/>
                      <w:szCs w:val="18"/>
                    </w:rPr>
                  </w:pPr>
                  <w:r>
                    <w:rPr>
                      <w:rFonts w:hint="eastAsia"/>
                      <w:bCs/>
                      <w:color w:val="auto"/>
                      <w:sz w:val="18"/>
                      <w:szCs w:val="18"/>
                    </w:rPr>
                    <w:t>次氯酸钠</w:t>
                  </w:r>
                </w:p>
              </w:tc>
              <w:tc>
                <w:tcPr>
                  <w:tcW w:w="1103" w:type="pct"/>
                  <w:noWrap/>
                  <w:vAlign w:val="center"/>
                </w:tcPr>
                <w:p>
                  <w:pPr>
                    <w:jc w:val="center"/>
                    <w:rPr>
                      <w:bCs/>
                      <w:color w:val="auto"/>
                      <w:sz w:val="18"/>
                      <w:szCs w:val="18"/>
                    </w:rPr>
                  </w:pPr>
                  <w:r>
                    <w:rPr>
                      <w:bCs/>
                      <w:color w:val="auto"/>
                      <w:sz w:val="18"/>
                      <w:szCs w:val="18"/>
                    </w:rPr>
                    <w:t>76</w:t>
                  </w:r>
                  <w:r>
                    <w:rPr>
                      <w:rFonts w:hint="eastAsia"/>
                      <w:bCs/>
                      <w:color w:val="auto"/>
                      <w:sz w:val="18"/>
                      <w:szCs w:val="18"/>
                    </w:rPr>
                    <w:t>81</w:t>
                  </w:r>
                  <w:r>
                    <w:rPr>
                      <w:bCs/>
                      <w:color w:val="auto"/>
                      <w:sz w:val="18"/>
                      <w:szCs w:val="18"/>
                    </w:rPr>
                    <w:t>-</w:t>
                  </w:r>
                  <w:r>
                    <w:rPr>
                      <w:rFonts w:hint="eastAsia"/>
                      <w:bCs/>
                      <w:color w:val="auto"/>
                      <w:sz w:val="18"/>
                      <w:szCs w:val="18"/>
                    </w:rPr>
                    <w:t>52</w:t>
                  </w:r>
                  <w:r>
                    <w:rPr>
                      <w:bCs/>
                      <w:color w:val="auto"/>
                      <w:sz w:val="18"/>
                      <w:szCs w:val="18"/>
                    </w:rPr>
                    <w:t>-</w:t>
                  </w:r>
                  <w:r>
                    <w:rPr>
                      <w:rFonts w:hint="eastAsia"/>
                      <w:bCs/>
                      <w:color w:val="auto"/>
                      <w:sz w:val="18"/>
                      <w:szCs w:val="18"/>
                    </w:rPr>
                    <w:t>9</w:t>
                  </w:r>
                </w:p>
              </w:tc>
              <w:tc>
                <w:tcPr>
                  <w:tcW w:w="1002" w:type="pct"/>
                  <w:noWrap/>
                  <w:vAlign w:val="center"/>
                </w:tcPr>
                <w:p>
                  <w:pPr>
                    <w:jc w:val="center"/>
                    <w:rPr>
                      <w:bCs/>
                      <w:color w:val="auto"/>
                      <w:sz w:val="18"/>
                      <w:szCs w:val="18"/>
                    </w:rPr>
                  </w:pPr>
                  <w:r>
                    <w:rPr>
                      <w:bCs/>
                      <w:color w:val="auto"/>
                      <w:sz w:val="18"/>
                      <w:szCs w:val="18"/>
                    </w:rPr>
                    <w:t>0.</w:t>
                  </w:r>
                  <w:r>
                    <w:rPr>
                      <w:rFonts w:hint="eastAsia"/>
                      <w:bCs/>
                      <w:color w:val="auto"/>
                      <w:sz w:val="18"/>
                      <w:szCs w:val="18"/>
                    </w:rPr>
                    <w:t>001</w:t>
                  </w:r>
                  <w:r>
                    <w:rPr>
                      <w:bCs/>
                      <w:color w:val="auto"/>
                      <w:sz w:val="18"/>
                      <w:szCs w:val="18"/>
                    </w:rPr>
                    <w:t>t</w:t>
                  </w:r>
                </w:p>
              </w:tc>
              <w:tc>
                <w:tcPr>
                  <w:tcW w:w="1002" w:type="pct"/>
                  <w:noWrap/>
                  <w:vAlign w:val="center"/>
                </w:tcPr>
                <w:p>
                  <w:pPr>
                    <w:jc w:val="center"/>
                    <w:rPr>
                      <w:bCs/>
                      <w:color w:val="auto"/>
                      <w:sz w:val="18"/>
                      <w:szCs w:val="18"/>
                    </w:rPr>
                  </w:pPr>
                  <w:r>
                    <w:rPr>
                      <w:rFonts w:hint="eastAsia"/>
                      <w:bCs/>
                      <w:color w:val="auto"/>
                      <w:sz w:val="18"/>
                      <w:szCs w:val="18"/>
                    </w:rPr>
                    <w:t>5</w:t>
                  </w:r>
                  <w:r>
                    <w:rPr>
                      <w:bCs/>
                      <w:color w:val="auto"/>
                      <w:sz w:val="18"/>
                      <w:szCs w:val="18"/>
                    </w:rPr>
                    <w:t>t</w:t>
                  </w:r>
                </w:p>
              </w:tc>
              <w:tc>
                <w:tcPr>
                  <w:tcW w:w="1003" w:type="pct"/>
                  <w:noWrap/>
                  <w:vAlign w:val="center"/>
                </w:tcPr>
                <w:p>
                  <w:pPr>
                    <w:jc w:val="center"/>
                    <w:rPr>
                      <w:bCs/>
                      <w:color w:val="auto"/>
                      <w:sz w:val="18"/>
                      <w:szCs w:val="18"/>
                    </w:rPr>
                  </w:pPr>
                  <w:r>
                    <w:rPr>
                      <w:bCs/>
                      <w:color w:val="auto"/>
                      <w:sz w:val="18"/>
                      <w:szCs w:val="18"/>
                    </w:rPr>
                    <w:t>暂存</w:t>
                  </w:r>
                </w:p>
              </w:tc>
            </w:tr>
          </w:tbl>
          <w:p>
            <w:pPr>
              <w:spacing w:line="360" w:lineRule="auto"/>
              <w:ind w:firstLine="420" w:firstLineChars="200"/>
              <w:textAlignment w:val="baseline"/>
              <w:rPr>
                <w:color w:val="auto"/>
                <w:szCs w:val="21"/>
              </w:rPr>
            </w:pPr>
            <w:r>
              <w:rPr>
                <w:color w:val="auto"/>
                <w:szCs w:val="21"/>
              </w:rPr>
              <w:t>（2）</w:t>
            </w:r>
            <w:r>
              <w:rPr>
                <w:rFonts w:hint="eastAsia"/>
                <w:color w:val="auto"/>
                <w:szCs w:val="21"/>
              </w:rPr>
              <w:t>重大危险源判定</w:t>
            </w:r>
          </w:p>
          <w:p>
            <w:pPr>
              <w:spacing w:line="360" w:lineRule="auto"/>
              <w:ind w:firstLine="420" w:firstLineChars="200"/>
              <w:textAlignment w:val="baseline"/>
              <w:rPr>
                <w:color w:val="auto"/>
                <w:szCs w:val="21"/>
              </w:rPr>
            </w:pPr>
            <w:r>
              <w:rPr>
                <w:color w:val="auto"/>
                <w:szCs w:val="21"/>
              </w:rPr>
              <w:t>根据《建设项目环境风险评价技术导则》（HJ169-2018），当存在</w:t>
            </w:r>
            <w:r>
              <w:rPr>
                <w:rFonts w:hint="eastAsia"/>
                <w:color w:val="auto"/>
                <w:szCs w:val="21"/>
              </w:rPr>
              <w:t>多种</w:t>
            </w:r>
            <w:r>
              <w:rPr>
                <w:color w:val="auto"/>
                <w:szCs w:val="21"/>
              </w:rPr>
              <w:t>危险物质时，按下式计算物质总量与临界量比值。</w:t>
            </w:r>
          </w:p>
          <w:p>
            <w:pPr>
              <w:spacing w:line="360" w:lineRule="auto"/>
              <w:ind w:firstLine="420" w:firstLineChars="200"/>
              <w:textAlignment w:val="baseline"/>
              <w:rPr>
                <w:color w:val="auto"/>
                <w:szCs w:val="21"/>
              </w:rPr>
            </w:pPr>
            <w:r>
              <w:rPr>
                <w:color w:val="auto"/>
                <w:szCs w:val="21"/>
              </w:rPr>
              <w:drawing>
                <wp:inline distT="0" distB="0" distL="114300" distR="114300">
                  <wp:extent cx="1633220" cy="493395"/>
                  <wp:effectExtent l="0" t="0" r="5080" b="1905"/>
                  <wp:docPr id="10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
                          <pic:cNvPicPr>
                            <a:picLocks noChangeAspect="1"/>
                          </pic:cNvPicPr>
                        </pic:nvPicPr>
                        <pic:blipFill>
                          <a:blip r:embed="rId14"/>
                          <a:stretch>
                            <a:fillRect/>
                          </a:stretch>
                        </pic:blipFill>
                        <pic:spPr>
                          <a:xfrm>
                            <a:off x="0" y="0"/>
                            <a:ext cx="1633220" cy="493395"/>
                          </a:xfrm>
                          <a:prstGeom prst="rect">
                            <a:avLst/>
                          </a:prstGeom>
                          <a:noFill/>
                          <a:ln>
                            <a:noFill/>
                          </a:ln>
                        </pic:spPr>
                      </pic:pic>
                    </a:graphicData>
                  </a:graphic>
                </wp:inline>
              </w:drawing>
            </w:r>
          </w:p>
          <w:p>
            <w:pPr>
              <w:spacing w:line="360" w:lineRule="auto"/>
              <w:ind w:firstLine="420" w:firstLineChars="200"/>
              <w:textAlignment w:val="baseline"/>
              <w:rPr>
                <w:color w:val="auto"/>
                <w:szCs w:val="21"/>
              </w:rPr>
            </w:pPr>
            <w:r>
              <w:rPr>
                <w:color w:val="auto"/>
                <w:szCs w:val="21"/>
              </w:rPr>
              <w:t>式中：</w:t>
            </w:r>
          </w:p>
          <w:p>
            <w:pPr>
              <w:spacing w:line="360" w:lineRule="auto"/>
              <w:ind w:firstLine="420" w:firstLineChars="200"/>
              <w:textAlignment w:val="baseline"/>
              <w:rPr>
                <w:color w:val="auto"/>
                <w:szCs w:val="21"/>
              </w:rPr>
            </w:pPr>
            <w:r>
              <w:rPr>
                <w:color w:val="auto"/>
                <w:szCs w:val="21"/>
              </w:rPr>
              <w:t>q</w:t>
            </w:r>
            <w:r>
              <w:rPr>
                <w:color w:val="auto"/>
                <w:szCs w:val="21"/>
                <w:vertAlign w:val="subscript"/>
              </w:rPr>
              <w:t>1</w:t>
            </w:r>
            <w:r>
              <w:rPr>
                <w:color w:val="auto"/>
                <w:szCs w:val="21"/>
              </w:rPr>
              <w:t>，q</w:t>
            </w:r>
            <w:r>
              <w:rPr>
                <w:color w:val="auto"/>
                <w:szCs w:val="21"/>
                <w:vertAlign w:val="subscript"/>
              </w:rPr>
              <w:t>2</w:t>
            </w:r>
            <w:r>
              <w:rPr>
                <w:color w:val="auto"/>
                <w:szCs w:val="21"/>
              </w:rPr>
              <w:t>…..q</w:t>
            </w:r>
            <w:r>
              <w:rPr>
                <w:color w:val="auto"/>
                <w:szCs w:val="21"/>
                <w:vertAlign w:val="subscript"/>
              </w:rPr>
              <w:t>n</w:t>
            </w:r>
            <w:r>
              <w:rPr>
                <w:color w:val="auto"/>
                <w:szCs w:val="21"/>
              </w:rPr>
              <w:t>——每种危险物质的最大存在总量，t；</w:t>
            </w:r>
          </w:p>
          <w:p>
            <w:pPr>
              <w:spacing w:line="360" w:lineRule="auto"/>
              <w:ind w:firstLine="420" w:firstLineChars="200"/>
              <w:textAlignment w:val="baseline"/>
              <w:rPr>
                <w:color w:val="auto"/>
                <w:szCs w:val="21"/>
              </w:rPr>
            </w:pPr>
            <w:r>
              <w:rPr>
                <w:color w:val="auto"/>
                <w:szCs w:val="21"/>
              </w:rPr>
              <w:t>Q</w:t>
            </w:r>
            <w:r>
              <w:rPr>
                <w:color w:val="auto"/>
                <w:szCs w:val="21"/>
                <w:vertAlign w:val="subscript"/>
              </w:rPr>
              <w:t>1</w:t>
            </w:r>
            <w:r>
              <w:rPr>
                <w:color w:val="auto"/>
                <w:szCs w:val="21"/>
              </w:rPr>
              <w:t>，Q</w:t>
            </w:r>
            <w:r>
              <w:rPr>
                <w:color w:val="auto"/>
                <w:szCs w:val="21"/>
                <w:vertAlign w:val="subscript"/>
              </w:rPr>
              <w:t>2</w:t>
            </w:r>
            <w:r>
              <w:rPr>
                <w:color w:val="auto"/>
                <w:szCs w:val="21"/>
              </w:rPr>
              <w:t>，…..Q</w:t>
            </w:r>
            <w:r>
              <w:rPr>
                <w:color w:val="auto"/>
                <w:szCs w:val="21"/>
                <w:vertAlign w:val="subscript"/>
              </w:rPr>
              <w:t>n</w:t>
            </w:r>
            <w:r>
              <w:rPr>
                <w:color w:val="auto"/>
                <w:szCs w:val="21"/>
              </w:rPr>
              <w:t>——每种危险物质的临界量，t；</w:t>
            </w:r>
          </w:p>
          <w:p>
            <w:pPr>
              <w:spacing w:line="360" w:lineRule="auto"/>
              <w:ind w:firstLine="420" w:firstLineChars="200"/>
              <w:textAlignment w:val="baseline"/>
              <w:rPr>
                <w:color w:val="auto"/>
                <w:szCs w:val="21"/>
              </w:rPr>
            </w:pPr>
            <w:r>
              <w:rPr>
                <w:color w:val="auto"/>
                <w:szCs w:val="21"/>
              </w:rPr>
              <w:t>当Q＜1时，该项目环境风险潜势为</w:t>
            </w:r>
            <w:r>
              <w:rPr>
                <w:color w:val="auto"/>
                <w:szCs w:val="21"/>
              </w:rPr>
              <w:fldChar w:fldCharType="begin"/>
            </w:r>
            <w:r>
              <w:rPr>
                <w:color w:val="auto"/>
                <w:szCs w:val="21"/>
              </w:rPr>
              <w:instrText xml:space="preserve"> = 1 \* ROMAN </w:instrText>
            </w:r>
            <w:r>
              <w:rPr>
                <w:color w:val="auto"/>
                <w:szCs w:val="21"/>
              </w:rPr>
              <w:fldChar w:fldCharType="separate"/>
            </w:r>
            <w:r>
              <w:rPr>
                <w:color w:val="auto"/>
                <w:szCs w:val="21"/>
              </w:rPr>
              <w:t>I</w:t>
            </w:r>
            <w:r>
              <w:rPr>
                <w:color w:val="auto"/>
                <w:szCs w:val="21"/>
              </w:rPr>
              <w:fldChar w:fldCharType="end"/>
            </w:r>
            <w:r>
              <w:rPr>
                <w:color w:val="auto"/>
                <w:szCs w:val="21"/>
              </w:rPr>
              <w:t>。</w:t>
            </w:r>
          </w:p>
          <w:p>
            <w:pPr>
              <w:spacing w:line="360" w:lineRule="auto"/>
              <w:ind w:firstLine="420" w:firstLineChars="200"/>
              <w:textAlignment w:val="baseline"/>
              <w:rPr>
                <w:color w:val="auto"/>
                <w:szCs w:val="21"/>
              </w:rPr>
            </w:pPr>
            <w:r>
              <w:rPr>
                <w:color w:val="auto"/>
                <w:szCs w:val="21"/>
              </w:rPr>
              <w:t>当Q≥1时，将Q值划分为：（1）1≤Q＜10；（2）10≤Q＜100；（3）Q≥100。</w:t>
            </w:r>
          </w:p>
          <w:p>
            <w:pPr>
              <w:wordWrap w:val="0"/>
              <w:topLinePunct/>
              <w:spacing w:line="360" w:lineRule="auto"/>
              <w:ind w:firstLine="420" w:firstLineChars="200"/>
              <w:textAlignment w:val="baseline"/>
              <w:rPr>
                <w:color w:val="auto"/>
                <w:szCs w:val="21"/>
              </w:rPr>
            </w:pPr>
            <w:r>
              <w:rPr>
                <w:color w:val="auto"/>
                <w:szCs w:val="21"/>
              </w:rPr>
              <w:t>通过计算，本项目Q=</w:t>
            </w:r>
            <w:r>
              <w:rPr>
                <w:rFonts w:hint="eastAsia"/>
                <w:color w:val="auto"/>
                <w:szCs w:val="21"/>
              </w:rPr>
              <w:t>0.001/5=0.0002</w:t>
            </w:r>
            <w:r>
              <w:rPr>
                <w:color w:val="auto"/>
                <w:szCs w:val="21"/>
              </w:rPr>
              <w:t>＜1，所以</w:t>
            </w:r>
            <w:r>
              <w:rPr>
                <w:rFonts w:hint="eastAsia"/>
                <w:color w:val="auto"/>
                <w:szCs w:val="21"/>
              </w:rPr>
              <w:t>项目不构成重大危险源</w:t>
            </w:r>
            <w:r>
              <w:rPr>
                <w:color w:val="auto"/>
                <w:szCs w:val="21"/>
              </w:rPr>
              <w:t>。</w:t>
            </w:r>
          </w:p>
          <w:p>
            <w:pPr>
              <w:spacing w:line="360" w:lineRule="auto"/>
              <w:ind w:firstLine="420" w:firstLineChars="200"/>
              <w:textAlignment w:val="baseline"/>
              <w:rPr>
                <w:color w:val="auto"/>
                <w:szCs w:val="21"/>
              </w:rPr>
            </w:pPr>
            <w:r>
              <w:rPr>
                <w:rFonts w:hint="eastAsia"/>
                <w:color w:val="auto"/>
                <w:szCs w:val="21"/>
              </w:rPr>
              <w:t>（3）</w:t>
            </w:r>
            <w:r>
              <w:rPr>
                <w:color w:val="auto"/>
                <w:szCs w:val="21"/>
              </w:rPr>
              <w:t>环境风险识别</w:t>
            </w:r>
          </w:p>
          <w:p>
            <w:pPr>
              <w:spacing w:line="360" w:lineRule="auto"/>
              <w:ind w:firstLine="420" w:firstLineChars="200"/>
              <w:rPr>
                <w:color w:val="auto"/>
                <w:szCs w:val="21"/>
              </w:rPr>
            </w:pPr>
            <w:r>
              <w:rPr>
                <w:color w:val="auto"/>
                <w:szCs w:val="21"/>
              </w:rPr>
              <w:t>本项目生产设施可能产生的环境风险识别如下表所示：</w:t>
            </w:r>
          </w:p>
          <w:p>
            <w:pPr>
              <w:widowControl/>
              <w:snapToGrid w:val="0"/>
              <w:spacing w:before="62"/>
              <w:ind w:firstLine="420"/>
              <w:jc w:val="center"/>
              <w:rPr>
                <w:b/>
                <w:bCs/>
                <w:color w:val="auto"/>
                <w:kern w:val="0"/>
                <w:sz w:val="18"/>
                <w:szCs w:val="18"/>
              </w:rPr>
            </w:pPr>
            <w:r>
              <w:rPr>
                <w:b/>
                <w:bCs/>
                <w:color w:val="auto"/>
                <w:kern w:val="0"/>
                <w:sz w:val="18"/>
                <w:szCs w:val="18"/>
              </w:rPr>
              <w:t>表4-1</w:t>
            </w:r>
            <w:r>
              <w:rPr>
                <w:rFonts w:hint="eastAsia"/>
                <w:b/>
                <w:bCs/>
                <w:color w:val="auto"/>
                <w:kern w:val="0"/>
                <w:sz w:val="18"/>
                <w:szCs w:val="18"/>
                <w:lang w:val="en-US" w:eastAsia="zh-CN"/>
              </w:rPr>
              <w:t>2</w:t>
            </w:r>
            <w:r>
              <w:rPr>
                <w:b/>
                <w:bCs/>
                <w:color w:val="auto"/>
                <w:kern w:val="0"/>
                <w:sz w:val="18"/>
                <w:szCs w:val="18"/>
              </w:rPr>
              <w:t xml:space="preserve">   生产系统危险性识别</w:t>
            </w:r>
          </w:p>
          <w:tbl>
            <w:tblPr>
              <w:tblStyle w:val="22"/>
              <w:tblW w:w="805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660"/>
              <w:gridCol w:w="1357"/>
              <w:gridCol w:w="438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658" w:type="dxa"/>
                  <w:noWrap/>
                  <w:vAlign w:val="center"/>
                </w:tcPr>
                <w:p>
                  <w:pPr>
                    <w:jc w:val="center"/>
                    <w:rPr>
                      <w:bCs/>
                      <w:color w:val="auto"/>
                      <w:sz w:val="18"/>
                      <w:szCs w:val="18"/>
                    </w:rPr>
                  </w:pPr>
                  <w:r>
                    <w:rPr>
                      <w:bCs/>
                      <w:color w:val="auto"/>
                      <w:sz w:val="18"/>
                      <w:szCs w:val="18"/>
                    </w:rPr>
                    <w:t>序号</w:t>
                  </w:r>
                </w:p>
              </w:tc>
              <w:tc>
                <w:tcPr>
                  <w:tcW w:w="1660" w:type="dxa"/>
                  <w:noWrap/>
                  <w:vAlign w:val="center"/>
                </w:tcPr>
                <w:p>
                  <w:pPr>
                    <w:jc w:val="center"/>
                    <w:rPr>
                      <w:bCs/>
                      <w:color w:val="auto"/>
                      <w:sz w:val="18"/>
                      <w:szCs w:val="18"/>
                    </w:rPr>
                  </w:pPr>
                  <w:r>
                    <w:rPr>
                      <w:bCs/>
                      <w:color w:val="auto"/>
                      <w:sz w:val="18"/>
                      <w:szCs w:val="18"/>
                    </w:rPr>
                    <w:t>突发环境</w:t>
                  </w:r>
                </w:p>
                <w:p>
                  <w:pPr>
                    <w:jc w:val="center"/>
                    <w:rPr>
                      <w:bCs/>
                      <w:color w:val="auto"/>
                      <w:sz w:val="18"/>
                      <w:szCs w:val="18"/>
                    </w:rPr>
                  </w:pPr>
                  <w:r>
                    <w:rPr>
                      <w:bCs/>
                      <w:color w:val="auto"/>
                      <w:sz w:val="18"/>
                      <w:szCs w:val="18"/>
                    </w:rPr>
                    <w:t>事件类型</w:t>
                  </w:r>
                </w:p>
              </w:tc>
              <w:tc>
                <w:tcPr>
                  <w:tcW w:w="1357" w:type="dxa"/>
                  <w:noWrap/>
                  <w:vAlign w:val="center"/>
                </w:tcPr>
                <w:p>
                  <w:pPr>
                    <w:jc w:val="center"/>
                    <w:rPr>
                      <w:bCs/>
                      <w:color w:val="auto"/>
                      <w:sz w:val="18"/>
                      <w:szCs w:val="18"/>
                    </w:rPr>
                  </w:pPr>
                  <w:r>
                    <w:rPr>
                      <w:bCs/>
                      <w:color w:val="auto"/>
                      <w:sz w:val="18"/>
                      <w:szCs w:val="18"/>
                    </w:rPr>
                    <w:t>描述</w:t>
                  </w:r>
                </w:p>
              </w:tc>
              <w:tc>
                <w:tcPr>
                  <w:tcW w:w="4382" w:type="dxa"/>
                  <w:noWrap/>
                  <w:vAlign w:val="center"/>
                </w:tcPr>
                <w:p>
                  <w:pPr>
                    <w:jc w:val="center"/>
                    <w:rPr>
                      <w:bCs/>
                      <w:color w:val="auto"/>
                      <w:sz w:val="18"/>
                      <w:szCs w:val="18"/>
                    </w:rPr>
                  </w:pPr>
                  <w:r>
                    <w:rPr>
                      <w:bCs/>
                      <w:color w:val="auto"/>
                      <w:sz w:val="18"/>
                      <w:szCs w:val="18"/>
                    </w:rPr>
                    <w:t>后果及次生环境事件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658" w:type="dxa"/>
                  <w:noWrap/>
                  <w:vAlign w:val="center"/>
                </w:tcPr>
                <w:p>
                  <w:pPr>
                    <w:spacing w:beforeLines="20" w:afterLines="20"/>
                    <w:jc w:val="center"/>
                    <w:rPr>
                      <w:bCs/>
                      <w:color w:val="auto"/>
                      <w:sz w:val="18"/>
                      <w:szCs w:val="18"/>
                    </w:rPr>
                  </w:pPr>
                  <w:r>
                    <w:rPr>
                      <w:bCs/>
                      <w:color w:val="auto"/>
                      <w:sz w:val="18"/>
                      <w:szCs w:val="18"/>
                    </w:rPr>
                    <w:t>1</w:t>
                  </w:r>
                </w:p>
              </w:tc>
              <w:tc>
                <w:tcPr>
                  <w:tcW w:w="1660" w:type="dxa"/>
                  <w:noWrap/>
                  <w:vAlign w:val="center"/>
                </w:tcPr>
                <w:p>
                  <w:pPr>
                    <w:jc w:val="center"/>
                    <w:rPr>
                      <w:bCs/>
                      <w:color w:val="auto"/>
                      <w:sz w:val="18"/>
                      <w:szCs w:val="18"/>
                    </w:rPr>
                  </w:pPr>
                  <w:r>
                    <w:rPr>
                      <w:rFonts w:hint="eastAsia"/>
                      <w:color w:val="auto"/>
                      <w:sz w:val="18"/>
                      <w:szCs w:val="18"/>
                    </w:rPr>
                    <w:t>医疗废物</w:t>
                  </w:r>
                  <w:r>
                    <w:rPr>
                      <w:color w:val="auto"/>
                      <w:sz w:val="18"/>
                      <w:szCs w:val="18"/>
                    </w:rPr>
                    <w:t>泄露事故</w:t>
                  </w:r>
                </w:p>
              </w:tc>
              <w:tc>
                <w:tcPr>
                  <w:tcW w:w="1357" w:type="dxa"/>
                  <w:noWrap/>
                  <w:vAlign w:val="center"/>
                </w:tcPr>
                <w:p>
                  <w:pPr>
                    <w:rPr>
                      <w:bCs/>
                      <w:color w:val="auto"/>
                      <w:sz w:val="18"/>
                      <w:szCs w:val="18"/>
                    </w:rPr>
                  </w:pPr>
                  <w:r>
                    <w:rPr>
                      <w:rFonts w:hint="eastAsia"/>
                      <w:color w:val="auto"/>
                      <w:sz w:val="18"/>
                      <w:szCs w:val="18"/>
                    </w:rPr>
                    <w:t>医疗废物在收集、预处理、运输过程中因意外</w:t>
                  </w:r>
                  <w:r>
                    <w:rPr>
                      <w:color w:val="auto"/>
                      <w:sz w:val="18"/>
                      <w:szCs w:val="18"/>
                    </w:rPr>
                    <w:t>导致泄漏</w:t>
                  </w:r>
                </w:p>
              </w:tc>
              <w:tc>
                <w:tcPr>
                  <w:tcW w:w="4382" w:type="dxa"/>
                  <w:noWrap/>
                  <w:vAlign w:val="center"/>
                </w:tcPr>
                <w:p>
                  <w:pPr>
                    <w:rPr>
                      <w:color w:val="auto"/>
                      <w:sz w:val="18"/>
                      <w:szCs w:val="18"/>
                    </w:rPr>
                  </w:pPr>
                  <w:r>
                    <w:rPr>
                      <w:rFonts w:hint="eastAsia"/>
                      <w:color w:val="auto"/>
                      <w:sz w:val="18"/>
                      <w:szCs w:val="18"/>
                    </w:rPr>
                    <w:t>医疗</w:t>
                  </w:r>
                  <w:r>
                    <w:rPr>
                      <w:color w:val="auto"/>
                      <w:sz w:val="18"/>
                      <w:szCs w:val="18"/>
                    </w:rPr>
                    <w:t>泄漏造成次生的地表水污染事故</w:t>
                  </w:r>
                </w:p>
                <w:p>
                  <w:pPr>
                    <w:rPr>
                      <w:color w:val="auto"/>
                      <w:sz w:val="18"/>
                      <w:szCs w:val="18"/>
                    </w:rPr>
                  </w:pPr>
                  <w:r>
                    <w:rPr>
                      <w:color w:val="auto"/>
                      <w:sz w:val="18"/>
                      <w:szCs w:val="18"/>
                    </w:rPr>
                    <w:t>地表水：泄漏物如不及时收集处理可能会随地表径流进入地表水体，污染水体。</w:t>
                  </w:r>
                </w:p>
                <w:p>
                  <w:pPr>
                    <w:rPr>
                      <w:bCs/>
                      <w:color w:val="auto"/>
                      <w:sz w:val="18"/>
                      <w:szCs w:val="18"/>
                    </w:rPr>
                  </w:pPr>
                  <w:r>
                    <w:rPr>
                      <w:color w:val="auto"/>
                      <w:sz w:val="18"/>
                      <w:szCs w:val="18"/>
                    </w:rPr>
                    <w:t>地下水和土壤：渗入地下水和土壤。</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658" w:type="dxa"/>
                  <w:noWrap/>
                  <w:vAlign w:val="center"/>
                </w:tcPr>
                <w:p>
                  <w:pPr>
                    <w:spacing w:beforeLines="20" w:afterLines="20"/>
                    <w:jc w:val="center"/>
                    <w:rPr>
                      <w:bCs/>
                      <w:color w:val="auto"/>
                      <w:sz w:val="18"/>
                      <w:szCs w:val="18"/>
                    </w:rPr>
                  </w:pPr>
                  <w:r>
                    <w:rPr>
                      <w:rFonts w:hint="eastAsia"/>
                      <w:bCs/>
                      <w:color w:val="auto"/>
                      <w:sz w:val="18"/>
                      <w:szCs w:val="18"/>
                    </w:rPr>
                    <w:t>2</w:t>
                  </w:r>
                </w:p>
              </w:tc>
              <w:tc>
                <w:tcPr>
                  <w:tcW w:w="1660" w:type="dxa"/>
                  <w:noWrap/>
                  <w:vAlign w:val="center"/>
                </w:tcPr>
                <w:p>
                  <w:pPr>
                    <w:jc w:val="center"/>
                    <w:rPr>
                      <w:color w:val="auto"/>
                      <w:sz w:val="18"/>
                      <w:szCs w:val="18"/>
                    </w:rPr>
                  </w:pPr>
                  <w:r>
                    <w:rPr>
                      <w:color w:val="auto"/>
                      <w:sz w:val="18"/>
                      <w:szCs w:val="18"/>
                    </w:rPr>
                    <w:t>废水事故</w:t>
                  </w:r>
                </w:p>
                <w:p>
                  <w:pPr>
                    <w:jc w:val="center"/>
                    <w:rPr>
                      <w:bCs/>
                      <w:color w:val="auto"/>
                      <w:sz w:val="18"/>
                      <w:szCs w:val="18"/>
                    </w:rPr>
                  </w:pPr>
                  <w:r>
                    <w:rPr>
                      <w:color w:val="auto"/>
                      <w:sz w:val="18"/>
                      <w:szCs w:val="18"/>
                    </w:rPr>
                    <w:t>性排放</w:t>
                  </w:r>
                </w:p>
              </w:tc>
              <w:tc>
                <w:tcPr>
                  <w:tcW w:w="1357" w:type="dxa"/>
                  <w:noWrap/>
                  <w:vAlign w:val="center"/>
                </w:tcPr>
                <w:p>
                  <w:pPr>
                    <w:rPr>
                      <w:rFonts w:hint="eastAsia" w:eastAsia="宋体"/>
                      <w:bCs/>
                      <w:color w:val="auto"/>
                      <w:sz w:val="18"/>
                      <w:szCs w:val="18"/>
                      <w:lang w:eastAsia="zh-CN"/>
                    </w:rPr>
                  </w:pPr>
                  <w:r>
                    <w:rPr>
                      <w:color w:val="auto"/>
                      <w:sz w:val="18"/>
                      <w:szCs w:val="18"/>
                    </w:rPr>
                    <w:t>废水</w:t>
                  </w:r>
                  <w:r>
                    <w:rPr>
                      <w:rFonts w:hint="eastAsia"/>
                      <w:color w:val="auto"/>
                      <w:sz w:val="18"/>
                      <w:szCs w:val="18"/>
                    </w:rPr>
                    <w:t>处理设备出现故障</w:t>
                  </w:r>
                  <w:r>
                    <w:rPr>
                      <w:rFonts w:hint="eastAsia"/>
                      <w:color w:val="auto"/>
                      <w:sz w:val="18"/>
                      <w:szCs w:val="18"/>
                      <w:lang w:eastAsia="zh-CN"/>
                    </w:rPr>
                    <w:t>；未定时添加次氯酸钠消毒</w:t>
                  </w:r>
                </w:p>
              </w:tc>
              <w:tc>
                <w:tcPr>
                  <w:tcW w:w="4382" w:type="dxa"/>
                  <w:noWrap/>
                  <w:vAlign w:val="center"/>
                </w:tcPr>
                <w:p>
                  <w:pPr>
                    <w:rPr>
                      <w:rFonts w:hint="eastAsia" w:eastAsia="宋体"/>
                      <w:bCs/>
                      <w:color w:val="auto"/>
                      <w:sz w:val="18"/>
                      <w:szCs w:val="18"/>
                      <w:lang w:eastAsia="zh-CN"/>
                    </w:rPr>
                  </w:pPr>
                  <w:r>
                    <w:rPr>
                      <w:color w:val="auto"/>
                      <w:sz w:val="18"/>
                      <w:szCs w:val="18"/>
                    </w:rPr>
                    <w:t>医疗废水泄露，造成水质污染</w:t>
                  </w:r>
                  <w:r>
                    <w:rPr>
                      <w:rFonts w:hint="eastAsia"/>
                      <w:color w:val="auto"/>
                      <w:sz w:val="18"/>
                      <w:szCs w:val="18"/>
                      <w:lang w:eastAsia="zh-CN"/>
                    </w:rPr>
                    <w:t>；宠物医疗废水以及宠物做手术器械和地面、宠物笼清洁废水超标排放，</w:t>
                  </w:r>
                  <w:r>
                    <w:rPr>
                      <w:color w:val="auto"/>
                      <w:sz w:val="18"/>
                      <w:szCs w:val="18"/>
                    </w:rPr>
                    <w:t>造成水质污染</w:t>
                  </w:r>
                  <w:r>
                    <w:rPr>
                      <w:rFonts w:hint="eastAsia"/>
                      <w:color w:val="auto"/>
                      <w:sz w:val="18"/>
                      <w:szCs w:val="18"/>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658" w:type="dxa"/>
                  <w:noWrap/>
                  <w:vAlign w:val="center"/>
                </w:tcPr>
                <w:p>
                  <w:pPr>
                    <w:spacing w:beforeLines="20" w:afterLines="20"/>
                    <w:jc w:val="center"/>
                    <w:rPr>
                      <w:bCs/>
                      <w:color w:val="auto"/>
                      <w:sz w:val="18"/>
                      <w:szCs w:val="18"/>
                    </w:rPr>
                  </w:pPr>
                  <w:r>
                    <w:rPr>
                      <w:rFonts w:hint="eastAsia"/>
                      <w:bCs/>
                      <w:color w:val="auto"/>
                      <w:sz w:val="18"/>
                      <w:szCs w:val="18"/>
                    </w:rPr>
                    <w:t>3</w:t>
                  </w:r>
                </w:p>
              </w:tc>
              <w:tc>
                <w:tcPr>
                  <w:tcW w:w="1660" w:type="dxa"/>
                  <w:noWrap/>
                  <w:vAlign w:val="center"/>
                </w:tcPr>
                <w:p>
                  <w:pPr>
                    <w:jc w:val="center"/>
                    <w:rPr>
                      <w:color w:val="auto"/>
                      <w:sz w:val="18"/>
                      <w:szCs w:val="18"/>
                    </w:rPr>
                  </w:pPr>
                  <w:r>
                    <w:rPr>
                      <w:rFonts w:hint="eastAsia"/>
                      <w:color w:val="auto"/>
                      <w:sz w:val="18"/>
                      <w:szCs w:val="18"/>
                    </w:rPr>
                    <w:t>废气事故性排放</w:t>
                  </w:r>
                </w:p>
              </w:tc>
              <w:tc>
                <w:tcPr>
                  <w:tcW w:w="1357" w:type="dxa"/>
                  <w:noWrap/>
                  <w:vAlign w:val="center"/>
                </w:tcPr>
                <w:p>
                  <w:pPr>
                    <w:rPr>
                      <w:color w:val="auto"/>
                      <w:sz w:val="18"/>
                      <w:szCs w:val="18"/>
                    </w:rPr>
                  </w:pPr>
                  <w:r>
                    <w:rPr>
                      <w:rFonts w:hint="eastAsia"/>
                      <w:color w:val="auto"/>
                      <w:sz w:val="18"/>
                      <w:szCs w:val="18"/>
                    </w:rPr>
                    <w:t>废气处理设备出现故障</w:t>
                  </w:r>
                </w:p>
              </w:tc>
              <w:tc>
                <w:tcPr>
                  <w:tcW w:w="4382" w:type="dxa"/>
                  <w:noWrap/>
                  <w:vAlign w:val="center"/>
                </w:tcPr>
                <w:p>
                  <w:pPr>
                    <w:rPr>
                      <w:color w:val="auto"/>
                      <w:sz w:val="18"/>
                      <w:szCs w:val="18"/>
                    </w:rPr>
                  </w:pPr>
                  <w:r>
                    <w:rPr>
                      <w:rFonts w:hint="eastAsia"/>
                      <w:color w:val="auto"/>
                      <w:sz w:val="18"/>
                      <w:szCs w:val="18"/>
                    </w:rPr>
                    <w:t>造成大气污染</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658" w:type="dxa"/>
                  <w:noWrap/>
                  <w:vAlign w:val="center"/>
                </w:tcPr>
                <w:p>
                  <w:pPr>
                    <w:spacing w:beforeLines="20" w:afterLines="20"/>
                    <w:jc w:val="center"/>
                    <w:rPr>
                      <w:rFonts w:hint="eastAsia" w:eastAsia="宋体"/>
                      <w:bCs/>
                      <w:color w:val="auto"/>
                      <w:sz w:val="18"/>
                      <w:szCs w:val="18"/>
                      <w:lang w:val="en-US" w:eastAsia="zh-CN"/>
                    </w:rPr>
                  </w:pPr>
                  <w:r>
                    <w:rPr>
                      <w:rFonts w:hint="eastAsia"/>
                      <w:bCs/>
                      <w:color w:val="auto"/>
                      <w:sz w:val="18"/>
                      <w:szCs w:val="18"/>
                      <w:lang w:val="en-US" w:eastAsia="zh-CN"/>
                    </w:rPr>
                    <w:t>4</w:t>
                  </w:r>
                </w:p>
              </w:tc>
              <w:tc>
                <w:tcPr>
                  <w:tcW w:w="1660" w:type="dxa"/>
                  <w:noWrap/>
                  <w:vAlign w:val="center"/>
                </w:tcPr>
                <w:p>
                  <w:pPr>
                    <w:jc w:val="both"/>
                    <w:rPr>
                      <w:rFonts w:hint="default" w:eastAsia="宋体"/>
                      <w:color w:val="auto"/>
                      <w:sz w:val="18"/>
                      <w:szCs w:val="18"/>
                      <w:lang w:val="en-US" w:eastAsia="zh-CN"/>
                    </w:rPr>
                  </w:pPr>
                  <w:r>
                    <w:rPr>
                      <w:rFonts w:hint="eastAsia"/>
                      <w:color w:val="auto"/>
                      <w:sz w:val="18"/>
                      <w:szCs w:val="18"/>
                      <w:lang w:val="en-US" w:eastAsia="zh-CN"/>
                    </w:rPr>
                    <w:t xml:space="preserve">  病患宠物外逃</w:t>
                  </w:r>
                </w:p>
              </w:tc>
              <w:tc>
                <w:tcPr>
                  <w:tcW w:w="1357" w:type="dxa"/>
                  <w:noWrap/>
                  <w:vAlign w:val="center"/>
                </w:tcPr>
                <w:p>
                  <w:pPr>
                    <w:rPr>
                      <w:rFonts w:hint="eastAsia" w:eastAsia="宋体"/>
                      <w:color w:val="auto"/>
                      <w:sz w:val="18"/>
                      <w:szCs w:val="18"/>
                      <w:lang w:eastAsia="zh-CN"/>
                    </w:rPr>
                  </w:pPr>
                  <w:r>
                    <w:rPr>
                      <w:rFonts w:hint="eastAsia"/>
                      <w:color w:val="auto"/>
                      <w:sz w:val="18"/>
                      <w:szCs w:val="18"/>
                      <w:lang w:eastAsia="zh-CN"/>
                    </w:rPr>
                    <w:t>病患宠物外逃</w:t>
                  </w:r>
                </w:p>
              </w:tc>
              <w:tc>
                <w:tcPr>
                  <w:tcW w:w="4382" w:type="dxa"/>
                  <w:noWrap/>
                  <w:vAlign w:val="center"/>
                </w:tcPr>
                <w:p>
                  <w:pPr>
                    <w:rPr>
                      <w:rFonts w:hint="eastAsia" w:eastAsia="宋体"/>
                      <w:color w:val="auto"/>
                      <w:sz w:val="18"/>
                      <w:szCs w:val="18"/>
                      <w:lang w:eastAsia="zh-CN"/>
                    </w:rPr>
                  </w:pPr>
                  <w:r>
                    <w:rPr>
                      <w:rFonts w:hint="eastAsia"/>
                      <w:color w:val="auto"/>
                      <w:sz w:val="18"/>
                      <w:szCs w:val="18"/>
                      <w:lang w:eastAsia="zh-CN"/>
                    </w:rPr>
                    <w:t>传播疾病</w:t>
                  </w:r>
                </w:p>
              </w:tc>
            </w:tr>
          </w:tbl>
          <w:p>
            <w:pPr>
              <w:spacing w:line="360" w:lineRule="auto"/>
              <w:ind w:firstLine="420" w:firstLineChars="200"/>
              <w:textAlignment w:val="baseline"/>
              <w:rPr>
                <w:color w:val="auto"/>
                <w:szCs w:val="21"/>
              </w:rPr>
            </w:pPr>
            <w:r>
              <w:rPr>
                <w:rFonts w:hint="eastAsia"/>
                <w:color w:val="auto"/>
                <w:szCs w:val="21"/>
              </w:rPr>
              <w:t>（</w:t>
            </w:r>
            <w:r>
              <w:rPr>
                <w:rFonts w:hint="eastAsia"/>
                <w:color w:val="auto"/>
                <w:szCs w:val="21"/>
                <w:lang w:val="en-US" w:eastAsia="zh-CN"/>
              </w:rPr>
              <w:t>4</w:t>
            </w:r>
            <w:r>
              <w:rPr>
                <w:rFonts w:hint="eastAsia"/>
                <w:color w:val="auto"/>
                <w:szCs w:val="21"/>
              </w:rPr>
              <w:t>）</w:t>
            </w:r>
            <w:r>
              <w:rPr>
                <w:color w:val="auto"/>
                <w:szCs w:val="21"/>
              </w:rPr>
              <w:t>环境风险分析</w:t>
            </w:r>
          </w:p>
          <w:p>
            <w:pPr>
              <w:spacing w:line="360" w:lineRule="auto"/>
              <w:ind w:firstLine="420" w:firstLineChars="200"/>
              <w:rPr>
                <w:color w:val="auto"/>
                <w:szCs w:val="21"/>
              </w:rPr>
            </w:pPr>
            <w:r>
              <w:rPr>
                <w:rFonts w:hint="eastAsia" w:ascii="仿宋" w:hAnsi="仿宋" w:eastAsia="仿宋" w:cs="仿宋"/>
                <w:color w:val="auto"/>
                <w:szCs w:val="21"/>
              </w:rPr>
              <w:t>①</w:t>
            </w:r>
            <w:r>
              <w:rPr>
                <w:rFonts w:hint="eastAsia"/>
                <w:color w:val="auto"/>
                <w:szCs w:val="21"/>
              </w:rPr>
              <w:t>医疗废物泄露事故</w:t>
            </w:r>
            <w:r>
              <w:rPr>
                <w:color w:val="auto"/>
                <w:szCs w:val="21"/>
              </w:rPr>
              <w:t>分析</w:t>
            </w:r>
          </w:p>
          <w:p>
            <w:pPr>
              <w:spacing w:line="360" w:lineRule="auto"/>
              <w:ind w:firstLine="420" w:firstLineChars="200"/>
              <w:textAlignment w:val="baseline"/>
              <w:rPr>
                <w:rFonts w:ascii="宋体" w:hAnsi="宋体" w:cs="宋体"/>
                <w:color w:val="auto"/>
                <w:szCs w:val="21"/>
              </w:rPr>
            </w:pPr>
            <w:bookmarkStart w:id="7" w:name="_Toc164156975"/>
            <w:bookmarkStart w:id="8" w:name="_Toc478056552"/>
            <w:bookmarkStart w:id="9" w:name="_Toc465960681"/>
            <w:bookmarkStart w:id="10" w:name="_Toc406748021"/>
            <w:bookmarkStart w:id="11" w:name="_Toc171670675"/>
            <w:bookmarkStart w:id="12" w:name="_Toc451862636"/>
            <w:bookmarkStart w:id="13" w:name="_Toc448922642"/>
            <w:bookmarkStart w:id="14" w:name="_Toc405409832"/>
            <w:r>
              <w:rPr>
                <w:rFonts w:hint="eastAsia" w:ascii="宋体" w:hAnsi="宋体" w:cs="宋体"/>
                <w:color w:val="auto"/>
                <w:szCs w:val="21"/>
              </w:rPr>
              <w:t>本项目医疗废物，暂存于医疗废物暂存间里，然后交于有资质单位处理，若发生泄露，会下渗污染地下水、土壤或进入地表水体。</w:t>
            </w:r>
          </w:p>
          <w:p>
            <w:pPr>
              <w:spacing w:line="360" w:lineRule="auto"/>
              <w:ind w:firstLine="420" w:firstLineChars="200"/>
              <w:textAlignment w:val="baseline"/>
              <w:rPr>
                <w:color w:val="auto"/>
                <w:szCs w:val="21"/>
              </w:rPr>
            </w:pPr>
            <w:r>
              <w:rPr>
                <w:rFonts w:hint="eastAsia" w:ascii="宋体" w:hAnsi="宋体" w:cs="宋体"/>
                <w:color w:val="auto"/>
                <w:szCs w:val="21"/>
              </w:rPr>
              <w:t>②</w:t>
            </w:r>
            <w:r>
              <w:rPr>
                <w:color w:val="auto"/>
                <w:szCs w:val="21"/>
              </w:rPr>
              <w:t>废</w:t>
            </w:r>
            <w:r>
              <w:rPr>
                <w:rFonts w:hint="eastAsia"/>
                <w:color w:val="auto"/>
                <w:szCs w:val="21"/>
              </w:rPr>
              <w:t>水</w:t>
            </w:r>
            <w:r>
              <w:rPr>
                <w:color w:val="auto"/>
                <w:szCs w:val="21"/>
              </w:rPr>
              <w:t>处理系统故障分析</w:t>
            </w:r>
          </w:p>
          <w:p>
            <w:pPr>
              <w:spacing w:line="360" w:lineRule="auto"/>
              <w:ind w:firstLine="420" w:firstLineChars="200"/>
              <w:rPr>
                <w:color w:val="auto"/>
                <w:szCs w:val="21"/>
              </w:rPr>
            </w:pPr>
            <w:r>
              <w:rPr>
                <w:color w:val="auto"/>
                <w:szCs w:val="21"/>
              </w:rPr>
              <w:t>本项目</w:t>
            </w:r>
            <w:r>
              <w:rPr>
                <w:rFonts w:hint="eastAsia"/>
                <w:color w:val="auto"/>
                <w:szCs w:val="21"/>
              </w:rPr>
              <w:t>了</w:t>
            </w:r>
            <w:r>
              <w:rPr>
                <w:color w:val="auto"/>
                <w:szCs w:val="21"/>
              </w:rPr>
              <w:t>设置</w:t>
            </w:r>
            <w:r>
              <w:rPr>
                <w:rFonts w:hint="eastAsia"/>
                <w:color w:val="auto"/>
                <w:szCs w:val="21"/>
              </w:rPr>
              <w:t>接触消毒池；</w:t>
            </w:r>
            <w:r>
              <w:rPr>
                <w:color w:val="auto"/>
                <w:szCs w:val="21"/>
              </w:rPr>
              <w:t>若</w:t>
            </w:r>
            <w:r>
              <w:rPr>
                <w:rFonts w:hint="eastAsia"/>
                <w:color w:val="auto"/>
                <w:szCs w:val="21"/>
                <w:lang w:eastAsia="zh-CN"/>
              </w:rPr>
              <w:t>消毒池</w:t>
            </w:r>
            <w:r>
              <w:rPr>
                <w:color w:val="auto"/>
                <w:szCs w:val="21"/>
              </w:rPr>
              <w:t>发生故障，会导致</w:t>
            </w:r>
            <w:r>
              <w:rPr>
                <w:rFonts w:hint="eastAsia"/>
                <w:color w:val="auto"/>
                <w:szCs w:val="21"/>
              </w:rPr>
              <w:t>医疗废水</w:t>
            </w:r>
            <w:r>
              <w:rPr>
                <w:color w:val="auto"/>
                <w:szCs w:val="21"/>
              </w:rPr>
              <w:t>超标排放。</w:t>
            </w:r>
          </w:p>
          <w:p>
            <w:pPr>
              <w:spacing w:line="360" w:lineRule="auto"/>
              <w:ind w:firstLine="420" w:firstLineChars="200"/>
              <w:textAlignment w:val="baseline"/>
              <w:rPr>
                <w:rFonts w:ascii="宋体" w:hAnsi="宋体" w:cs="宋体"/>
                <w:color w:val="auto"/>
                <w:szCs w:val="21"/>
              </w:rPr>
            </w:pPr>
            <w:r>
              <w:rPr>
                <w:rFonts w:hint="eastAsia" w:ascii="宋体" w:hAnsi="宋体" w:cs="宋体"/>
                <w:color w:val="auto"/>
                <w:szCs w:val="21"/>
              </w:rPr>
              <w:t>③废气处理系统故障分析</w:t>
            </w:r>
          </w:p>
          <w:p>
            <w:pPr>
              <w:spacing w:line="360" w:lineRule="auto"/>
              <w:ind w:firstLine="420" w:firstLineChars="200"/>
              <w:rPr>
                <w:color w:val="auto"/>
                <w:szCs w:val="21"/>
              </w:rPr>
            </w:pPr>
            <w:r>
              <w:rPr>
                <w:color w:val="auto"/>
                <w:szCs w:val="21"/>
              </w:rPr>
              <w:t>本项目</w:t>
            </w:r>
            <w:r>
              <w:rPr>
                <w:rFonts w:hint="eastAsia"/>
                <w:color w:val="auto"/>
                <w:szCs w:val="21"/>
              </w:rPr>
              <w:t>了</w:t>
            </w:r>
            <w:r>
              <w:rPr>
                <w:color w:val="auto"/>
                <w:szCs w:val="21"/>
              </w:rPr>
              <w:t>设置</w:t>
            </w:r>
            <w:r>
              <w:rPr>
                <w:rFonts w:hint="eastAsia"/>
                <w:color w:val="auto"/>
                <w:szCs w:val="21"/>
                <w:lang w:eastAsia="zh-CN"/>
              </w:rPr>
              <w:t>宠物散发的异味</w:t>
            </w:r>
            <w:r>
              <w:rPr>
                <w:rFonts w:hint="eastAsia"/>
                <w:color w:val="auto"/>
                <w:szCs w:val="21"/>
              </w:rPr>
              <w:t>处理设施</w:t>
            </w:r>
            <w:r>
              <w:rPr>
                <w:color w:val="auto"/>
                <w:szCs w:val="21"/>
              </w:rPr>
              <w:t>，用于处理</w:t>
            </w:r>
            <w:r>
              <w:rPr>
                <w:rFonts w:hint="eastAsia"/>
                <w:color w:val="auto"/>
                <w:szCs w:val="21"/>
              </w:rPr>
              <w:t>医院产生的</w:t>
            </w:r>
            <w:r>
              <w:rPr>
                <w:rFonts w:hint="eastAsia"/>
                <w:color w:val="auto"/>
                <w:szCs w:val="21"/>
                <w:lang w:eastAsia="zh-CN"/>
              </w:rPr>
              <w:t>宠物散发的异味</w:t>
            </w:r>
            <w:r>
              <w:rPr>
                <w:rFonts w:hint="eastAsia"/>
                <w:color w:val="auto"/>
                <w:szCs w:val="21"/>
              </w:rPr>
              <w:t>；</w:t>
            </w:r>
            <w:r>
              <w:rPr>
                <w:color w:val="auto"/>
                <w:szCs w:val="21"/>
              </w:rPr>
              <w:t>若</w:t>
            </w:r>
            <w:r>
              <w:rPr>
                <w:rFonts w:hint="eastAsia"/>
                <w:color w:val="auto"/>
                <w:szCs w:val="21"/>
              </w:rPr>
              <w:t>宠物异味处理设施</w:t>
            </w:r>
            <w:r>
              <w:rPr>
                <w:color w:val="auto"/>
                <w:szCs w:val="21"/>
              </w:rPr>
              <w:t>发生故障，会导致</w:t>
            </w:r>
            <w:r>
              <w:rPr>
                <w:rFonts w:hint="eastAsia"/>
                <w:color w:val="auto"/>
                <w:szCs w:val="21"/>
              </w:rPr>
              <w:t>宠物异味</w:t>
            </w:r>
            <w:r>
              <w:rPr>
                <w:color w:val="auto"/>
                <w:szCs w:val="21"/>
              </w:rPr>
              <w:t>超标排放。</w:t>
            </w:r>
          </w:p>
          <w:p>
            <w:pPr>
              <w:spacing w:line="360" w:lineRule="auto"/>
              <w:ind w:firstLine="420" w:firstLineChars="200"/>
              <w:textAlignment w:val="baseline"/>
              <w:rPr>
                <w:rFonts w:hint="eastAsia" w:eastAsia="宋体"/>
                <w:color w:val="auto"/>
                <w:szCs w:val="21"/>
                <w:lang w:eastAsia="zh-CN"/>
              </w:rPr>
            </w:pPr>
            <w:r>
              <w:rPr>
                <w:rFonts w:hint="eastAsia" w:ascii="宋体" w:hAnsi="宋体" w:eastAsia="宋体" w:cs="宋体"/>
                <w:color w:val="auto"/>
                <w:szCs w:val="21"/>
              </w:rPr>
              <w:t>④</w:t>
            </w:r>
            <w:r>
              <w:rPr>
                <w:rFonts w:hint="eastAsia"/>
                <w:color w:val="auto"/>
                <w:szCs w:val="21"/>
                <w:lang w:eastAsia="zh-CN"/>
              </w:rPr>
              <w:t>病患宠物外逃</w:t>
            </w:r>
          </w:p>
          <w:p>
            <w:pPr>
              <w:spacing w:line="360" w:lineRule="auto"/>
              <w:ind w:firstLine="420" w:firstLineChars="200"/>
              <w:textAlignment w:val="baseline"/>
              <w:rPr>
                <w:rFonts w:hint="eastAsia" w:eastAsia="宋体"/>
                <w:color w:val="auto"/>
                <w:szCs w:val="21"/>
                <w:lang w:eastAsia="zh-CN"/>
              </w:rPr>
            </w:pPr>
            <w:r>
              <w:rPr>
                <w:rFonts w:hint="eastAsia"/>
                <w:color w:val="auto"/>
                <w:szCs w:val="21"/>
                <w:lang w:eastAsia="zh-CN"/>
              </w:rPr>
              <w:t>病患宠物外逃，传播疾病。</w:t>
            </w:r>
          </w:p>
          <w:p>
            <w:pPr>
              <w:spacing w:line="360" w:lineRule="auto"/>
              <w:ind w:firstLine="420" w:firstLineChars="200"/>
              <w:textAlignment w:val="baseline"/>
              <w:rPr>
                <w:color w:val="auto"/>
                <w:szCs w:val="21"/>
              </w:rPr>
            </w:pPr>
            <w:r>
              <w:rPr>
                <w:rFonts w:hint="eastAsia"/>
                <w:color w:val="auto"/>
                <w:szCs w:val="21"/>
              </w:rPr>
              <w:t>（</w:t>
            </w:r>
            <w:r>
              <w:rPr>
                <w:rFonts w:hint="eastAsia"/>
                <w:color w:val="auto"/>
                <w:szCs w:val="21"/>
                <w:lang w:val="en-US" w:eastAsia="zh-CN"/>
              </w:rPr>
              <w:t>5</w:t>
            </w:r>
            <w:r>
              <w:rPr>
                <w:rFonts w:hint="eastAsia"/>
                <w:color w:val="auto"/>
                <w:szCs w:val="21"/>
              </w:rPr>
              <w:t>）</w:t>
            </w:r>
            <w:r>
              <w:rPr>
                <w:color w:val="auto"/>
                <w:szCs w:val="21"/>
              </w:rPr>
              <w:t>风险防范措施</w:t>
            </w:r>
            <w:bookmarkEnd w:id="7"/>
            <w:bookmarkEnd w:id="8"/>
            <w:bookmarkEnd w:id="9"/>
            <w:bookmarkEnd w:id="10"/>
            <w:bookmarkEnd w:id="11"/>
            <w:bookmarkEnd w:id="12"/>
            <w:bookmarkEnd w:id="13"/>
            <w:bookmarkEnd w:id="14"/>
          </w:p>
          <w:p>
            <w:pPr>
              <w:spacing w:line="360" w:lineRule="auto"/>
              <w:ind w:firstLine="420" w:firstLineChars="200"/>
              <w:textAlignment w:val="baseline"/>
              <w:rPr>
                <w:color w:val="auto"/>
                <w:kern w:val="0"/>
                <w:szCs w:val="21"/>
                <w:lang w:val="zh-CN"/>
              </w:rPr>
            </w:pPr>
            <w:r>
              <w:rPr>
                <w:rFonts w:hint="eastAsia"/>
                <w:color w:val="auto"/>
                <w:szCs w:val="21"/>
              </w:rPr>
              <w:t>1</w:t>
            </w:r>
            <w:r>
              <w:rPr>
                <w:color w:val="auto"/>
                <w:szCs w:val="21"/>
              </w:rPr>
              <w:t>）医疗废物泄露</w:t>
            </w:r>
            <w:r>
              <w:rPr>
                <w:color w:val="auto"/>
                <w:kern w:val="0"/>
                <w:szCs w:val="21"/>
                <w:lang w:val="zh-CN"/>
              </w:rPr>
              <w:t>风险防范措施</w:t>
            </w:r>
          </w:p>
          <w:p>
            <w:pPr>
              <w:spacing w:line="360" w:lineRule="auto"/>
              <w:ind w:firstLine="420" w:firstLineChars="200"/>
              <w:rPr>
                <w:b/>
                <w:bCs/>
                <w:color w:val="auto"/>
                <w:szCs w:val="21"/>
              </w:rPr>
            </w:pPr>
            <w:r>
              <w:rPr>
                <w:rFonts w:hint="eastAsia"/>
                <w:color w:val="auto"/>
              </w:rPr>
              <w:t>尽量少量储存，定时定点安排人员进行隐患排查，定期进行安全教育工作，提高全体员工的安全和环境应急能力，储备了专门的应急物质和设备，设置专门的收集容器。</w:t>
            </w:r>
          </w:p>
          <w:p>
            <w:pPr>
              <w:spacing w:line="360" w:lineRule="auto"/>
              <w:ind w:firstLine="420" w:firstLineChars="200"/>
              <w:rPr>
                <w:color w:val="auto"/>
              </w:rPr>
            </w:pPr>
            <w:r>
              <w:rPr>
                <w:rFonts w:hint="eastAsia"/>
                <w:color w:val="auto"/>
              </w:rPr>
              <w:t>2）废水事故性风险防范措施</w:t>
            </w:r>
          </w:p>
          <w:p>
            <w:pPr>
              <w:spacing w:line="360" w:lineRule="auto"/>
              <w:ind w:firstLine="420" w:firstLineChars="200"/>
              <w:rPr>
                <w:color w:val="auto"/>
              </w:rPr>
            </w:pPr>
            <w:r>
              <w:rPr>
                <w:rFonts w:hint="eastAsia"/>
                <w:color w:val="auto"/>
              </w:rPr>
              <w:t>加强管理</w:t>
            </w:r>
            <w:r>
              <w:rPr>
                <w:rFonts w:hint="eastAsia"/>
                <w:color w:val="auto"/>
                <w:lang w:eastAsia="zh-CN"/>
              </w:rPr>
              <w:t>，严格定时添加次氯酸钠消毒宠物医疗废水以及宠物做手术器械和地面、宠物笼清洁废水</w:t>
            </w:r>
            <w:r>
              <w:rPr>
                <w:rFonts w:hint="eastAsia"/>
                <w:color w:val="auto"/>
              </w:rPr>
              <w:t>。</w:t>
            </w:r>
          </w:p>
          <w:p>
            <w:pPr>
              <w:spacing w:line="360" w:lineRule="auto"/>
              <w:ind w:firstLine="420" w:firstLineChars="200"/>
              <w:rPr>
                <w:color w:val="auto"/>
                <w:szCs w:val="21"/>
              </w:rPr>
            </w:pPr>
            <w:r>
              <w:rPr>
                <w:rFonts w:hint="eastAsia"/>
                <w:color w:val="auto"/>
                <w:szCs w:val="21"/>
              </w:rPr>
              <w:t>3）废气事故性风险防范措施</w:t>
            </w:r>
          </w:p>
          <w:p>
            <w:pPr>
              <w:spacing w:line="360" w:lineRule="auto"/>
              <w:ind w:firstLine="420" w:firstLineChars="200"/>
              <w:rPr>
                <w:b/>
                <w:bCs/>
                <w:color w:val="auto"/>
                <w:szCs w:val="21"/>
              </w:rPr>
            </w:pPr>
            <w:r>
              <w:rPr>
                <w:rFonts w:hint="eastAsia"/>
                <w:color w:val="auto"/>
              </w:rPr>
              <w:t>加强管理。</w:t>
            </w:r>
          </w:p>
          <w:p>
            <w:pPr>
              <w:spacing w:line="360" w:lineRule="auto"/>
              <w:ind w:firstLine="420" w:firstLineChars="200"/>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4）宠物管理的风险防范措施</w:t>
            </w:r>
          </w:p>
          <w:p>
            <w:pPr>
              <w:spacing w:line="360" w:lineRule="auto"/>
              <w:ind w:firstLine="420" w:firstLineChars="200"/>
              <w:rPr>
                <w:b/>
                <w:bCs/>
                <w:color w:val="auto"/>
                <w:szCs w:val="21"/>
              </w:rPr>
            </w:pPr>
            <w:r>
              <w:rPr>
                <w:rFonts w:hint="eastAsia"/>
                <w:b w:val="0"/>
                <w:bCs w:val="0"/>
                <w:color w:val="auto"/>
                <w:szCs w:val="21"/>
                <w:lang w:eastAsia="zh-CN"/>
              </w:rPr>
              <w:t>建设单位与宠物主人共同做好宠物在院诊疗期间的管理，采取宠物笼、宠物链等有效措施防止病患宠物外逃；加强管理，做好宠物安抚，防止宠物因饥饿、恐惧引起的外逃；做好医院内部消毒、杀虫、灭鼠工作；严格遵守《中华人民共和国动物防疫法》、《重大动物疫情应急条例》、《动物疫情报告管理办法》等法律法规，本项目选址、布局、设计、建筑、设备、用具符合防疫要求；远离动物生产、屠宰、经营、动物产品加工、经营场所；有污水、污物、病死动物无害化处理和清洗消毒设施、设备；诊疗人员无人畜共患病；防疫制度健全，一旦发现宠物传染病或疑似宠物疫情要及时按照</w:t>
            </w:r>
            <w:r>
              <w:rPr>
                <w:rFonts w:hint="eastAsia"/>
                <w:b w:val="0"/>
                <w:bCs w:val="0"/>
                <w:color w:val="auto"/>
                <w:szCs w:val="21"/>
                <w:lang w:val="en-US" w:eastAsia="zh-CN"/>
              </w:rPr>
              <w:t>规定程序上报，不得接受患传染病或疫情的宠物。</w:t>
            </w:r>
          </w:p>
          <w:p>
            <w:pPr>
              <w:spacing w:line="360" w:lineRule="auto"/>
              <w:ind w:firstLine="422" w:firstLineChars="200"/>
              <w:rPr>
                <w:color w:val="auto"/>
                <w:szCs w:val="21"/>
              </w:rPr>
            </w:pPr>
            <w:r>
              <w:rPr>
                <w:b/>
                <w:bCs/>
                <w:color w:val="auto"/>
                <w:szCs w:val="21"/>
              </w:rPr>
              <w:t>环境风险评价结论：</w:t>
            </w:r>
            <w:r>
              <w:rPr>
                <w:color w:val="auto"/>
                <w:szCs w:val="21"/>
              </w:rPr>
              <w:t>本项目营运期可能产生一定的风险影响，采取本环评提出的</w:t>
            </w:r>
          </w:p>
          <w:p>
            <w:pPr>
              <w:spacing w:line="360" w:lineRule="auto"/>
              <w:rPr>
                <w:color w:val="auto"/>
                <w:szCs w:val="21"/>
              </w:rPr>
            </w:pPr>
            <w:r>
              <w:rPr>
                <w:color w:val="auto"/>
                <w:szCs w:val="21"/>
              </w:rPr>
              <w:t>环境风险防范措施后，风险事故发生概率很低，对环境的影响可得到有效控制，对环境影响较小。因此，本项目风险水平是可以接受的。</w:t>
            </w:r>
          </w:p>
          <w:p>
            <w:pPr>
              <w:spacing w:line="360" w:lineRule="auto"/>
              <w:rPr>
                <w:b/>
                <w:color w:val="auto"/>
                <w:szCs w:val="21"/>
              </w:rPr>
            </w:pPr>
            <w:r>
              <w:rPr>
                <w:b/>
                <w:color w:val="auto"/>
                <w:szCs w:val="21"/>
              </w:rPr>
              <w:t>四、环保投资</w:t>
            </w:r>
          </w:p>
          <w:p>
            <w:pPr>
              <w:spacing w:line="360" w:lineRule="auto"/>
              <w:ind w:firstLine="420" w:firstLineChars="200"/>
              <w:rPr>
                <w:color w:val="auto"/>
                <w:szCs w:val="21"/>
              </w:rPr>
            </w:pPr>
            <w:r>
              <w:rPr>
                <w:color w:val="auto"/>
                <w:szCs w:val="21"/>
              </w:rPr>
              <w:t>本项目的总投资</w:t>
            </w:r>
            <w:r>
              <w:rPr>
                <w:rFonts w:hint="eastAsia"/>
                <w:color w:val="auto"/>
                <w:szCs w:val="21"/>
              </w:rPr>
              <w:t>60</w:t>
            </w:r>
            <w:r>
              <w:rPr>
                <w:color w:val="auto"/>
                <w:szCs w:val="21"/>
              </w:rPr>
              <w:t>万元，本项目环保投资约</w:t>
            </w:r>
            <w:r>
              <w:rPr>
                <w:rFonts w:hint="eastAsia"/>
                <w:color w:val="auto"/>
                <w:szCs w:val="21"/>
              </w:rPr>
              <w:t>21</w:t>
            </w:r>
            <w:r>
              <w:rPr>
                <w:color w:val="auto"/>
                <w:szCs w:val="21"/>
              </w:rPr>
              <w:t>万元环保投资占总投资的</w:t>
            </w:r>
            <w:r>
              <w:rPr>
                <w:rFonts w:hint="eastAsia"/>
                <w:color w:val="auto"/>
                <w:szCs w:val="21"/>
              </w:rPr>
              <w:t>35</w:t>
            </w:r>
            <w:r>
              <w:rPr>
                <w:color w:val="auto"/>
                <w:szCs w:val="21"/>
              </w:rPr>
              <w:t>%。各环保设施组成及投资估算详见下表。</w:t>
            </w:r>
          </w:p>
          <w:p>
            <w:pPr>
              <w:pStyle w:val="39"/>
              <w:rPr>
                <w:color w:val="auto"/>
                <w:sz w:val="18"/>
                <w:szCs w:val="18"/>
              </w:rPr>
            </w:pPr>
          </w:p>
          <w:p>
            <w:pPr>
              <w:pStyle w:val="39"/>
              <w:rPr>
                <w:color w:val="auto"/>
                <w:sz w:val="18"/>
                <w:szCs w:val="18"/>
              </w:rPr>
            </w:pPr>
            <w:r>
              <w:rPr>
                <w:color w:val="auto"/>
                <w:sz w:val="18"/>
                <w:szCs w:val="18"/>
              </w:rPr>
              <w:t>表4-1</w:t>
            </w:r>
            <w:r>
              <w:rPr>
                <w:rFonts w:hint="eastAsia"/>
                <w:color w:val="auto"/>
                <w:sz w:val="18"/>
                <w:szCs w:val="18"/>
                <w:lang w:val="en-US" w:eastAsia="zh-CN"/>
              </w:rPr>
              <w:t>3</w:t>
            </w:r>
            <w:r>
              <w:rPr>
                <w:color w:val="auto"/>
                <w:sz w:val="18"/>
                <w:szCs w:val="18"/>
              </w:rPr>
              <w:t xml:space="preserve">   环保设施组成及投资估算表    单位：万元</w:t>
            </w:r>
          </w:p>
          <w:tbl>
            <w:tblPr>
              <w:tblStyle w:val="21"/>
              <w:tblW w:w="8158"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90"/>
              <w:gridCol w:w="798"/>
              <w:gridCol w:w="5177"/>
              <w:gridCol w:w="777"/>
              <w:gridCol w:w="71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tcBorders>
                    <w:tl2br w:val="nil"/>
                    <w:tr2bl w:val="nil"/>
                  </w:tcBorders>
                  <w:noWrap/>
                  <w:vAlign w:val="center"/>
                </w:tcPr>
                <w:p>
                  <w:pPr>
                    <w:pStyle w:val="33"/>
                    <w:spacing w:before="24" w:after="24"/>
                    <w:rPr>
                      <w:rFonts w:ascii="Times New Roman"/>
                      <w:b/>
                      <w:color w:val="auto"/>
                      <w:sz w:val="18"/>
                      <w:szCs w:val="18"/>
                    </w:rPr>
                  </w:pPr>
                  <w:r>
                    <w:rPr>
                      <w:rFonts w:ascii="Times New Roman"/>
                      <w:b/>
                      <w:color w:val="auto"/>
                      <w:sz w:val="18"/>
                      <w:szCs w:val="18"/>
                    </w:rPr>
                    <w:t>项目</w:t>
                  </w:r>
                </w:p>
              </w:tc>
              <w:tc>
                <w:tcPr>
                  <w:tcW w:w="5975" w:type="dxa"/>
                  <w:gridSpan w:val="2"/>
                  <w:tcBorders>
                    <w:tl2br w:val="nil"/>
                    <w:tr2bl w:val="nil"/>
                  </w:tcBorders>
                  <w:noWrap/>
                  <w:vAlign w:val="center"/>
                </w:tcPr>
                <w:p>
                  <w:pPr>
                    <w:pStyle w:val="33"/>
                    <w:spacing w:before="24" w:after="24"/>
                    <w:rPr>
                      <w:rFonts w:ascii="Times New Roman"/>
                      <w:b/>
                      <w:color w:val="auto"/>
                      <w:sz w:val="18"/>
                      <w:szCs w:val="18"/>
                    </w:rPr>
                  </w:pPr>
                  <w:r>
                    <w:rPr>
                      <w:rFonts w:ascii="Times New Roman"/>
                      <w:b/>
                      <w:color w:val="auto"/>
                      <w:sz w:val="18"/>
                      <w:szCs w:val="18"/>
                    </w:rPr>
                    <w:t>内容</w:t>
                  </w:r>
                </w:p>
              </w:tc>
              <w:tc>
                <w:tcPr>
                  <w:tcW w:w="777" w:type="dxa"/>
                  <w:tcBorders>
                    <w:tl2br w:val="nil"/>
                    <w:tr2bl w:val="nil"/>
                  </w:tcBorders>
                  <w:noWrap/>
                  <w:vAlign w:val="center"/>
                </w:tcPr>
                <w:p>
                  <w:pPr>
                    <w:pStyle w:val="33"/>
                    <w:spacing w:before="24" w:after="24"/>
                    <w:rPr>
                      <w:rFonts w:ascii="Times New Roman"/>
                      <w:b/>
                      <w:color w:val="auto"/>
                      <w:sz w:val="18"/>
                      <w:szCs w:val="18"/>
                    </w:rPr>
                  </w:pPr>
                  <w:r>
                    <w:rPr>
                      <w:rFonts w:ascii="Times New Roman"/>
                      <w:b/>
                      <w:color w:val="auto"/>
                      <w:sz w:val="18"/>
                      <w:szCs w:val="18"/>
                    </w:rPr>
                    <w:t>投资</w:t>
                  </w:r>
                </w:p>
              </w:tc>
              <w:tc>
                <w:tcPr>
                  <w:tcW w:w="716" w:type="dxa"/>
                  <w:tcBorders>
                    <w:tl2br w:val="nil"/>
                    <w:tr2bl w:val="nil"/>
                  </w:tcBorders>
                  <w:noWrap/>
                </w:tcPr>
                <w:p>
                  <w:pPr>
                    <w:pStyle w:val="33"/>
                    <w:spacing w:before="24" w:after="24"/>
                    <w:rPr>
                      <w:rFonts w:ascii="Times New Roman"/>
                      <w:b/>
                      <w:color w:val="auto"/>
                      <w:sz w:val="18"/>
                      <w:szCs w:val="18"/>
                    </w:rPr>
                  </w:pPr>
                  <w:r>
                    <w:rPr>
                      <w:rFonts w:ascii="Times New Roman"/>
                      <w:b/>
                      <w:color w:val="auto"/>
                      <w:sz w:val="18"/>
                      <w:szCs w:val="18"/>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690" w:type="dxa"/>
                  <w:vMerge w:val="restart"/>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废气治理</w:t>
                  </w:r>
                </w:p>
              </w:tc>
              <w:tc>
                <w:tcPr>
                  <w:tcW w:w="798" w:type="dxa"/>
                  <w:vMerge w:val="restart"/>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运营期</w:t>
                  </w:r>
                </w:p>
              </w:tc>
              <w:tc>
                <w:tcPr>
                  <w:tcW w:w="5177" w:type="dxa"/>
                  <w:tcBorders>
                    <w:tl2br w:val="nil"/>
                    <w:tr2bl w:val="nil"/>
                  </w:tcBorders>
                  <w:noWrap/>
                  <w:vAlign w:val="center"/>
                </w:tcPr>
                <w:p>
                  <w:pPr>
                    <w:rPr>
                      <w:bCs/>
                      <w:color w:val="auto"/>
                      <w:sz w:val="18"/>
                      <w:szCs w:val="18"/>
                    </w:rPr>
                  </w:pPr>
                  <w:r>
                    <w:rPr>
                      <w:bCs/>
                      <w:color w:val="auto"/>
                      <w:sz w:val="18"/>
                      <w:szCs w:val="18"/>
                    </w:rPr>
                    <w:t>医疗废物暂存间产生的恶臭</w:t>
                  </w:r>
                  <w:r>
                    <w:rPr>
                      <w:rFonts w:hint="eastAsia"/>
                      <w:bCs/>
                      <w:color w:val="auto"/>
                      <w:sz w:val="18"/>
                      <w:szCs w:val="18"/>
                    </w:rPr>
                    <w:t>：</w:t>
                  </w:r>
                  <w:r>
                    <w:rPr>
                      <w:bCs/>
                      <w:color w:val="auto"/>
                      <w:sz w:val="18"/>
                      <w:szCs w:val="18"/>
                    </w:rPr>
                    <w:t>医疗废物的密封、清运和消毒工作，加强管理，定期进行医疗废物暂存间储存设施、设备的清洁和消毒工作，并喷洒生物除臭剂；</w:t>
                  </w:r>
                </w:p>
              </w:tc>
              <w:tc>
                <w:tcPr>
                  <w:tcW w:w="777" w:type="dxa"/>
                  <w:tcBorders>
                    <w:tl2br w:val="nil"/>
                    <w:tr2bl w:val="nil"/>
                  </w:tcBorders>
                  <w:noWrap/>
                  <w:vAlign w:val="center"/>
                </w:tcPr>
                <w:p>
                  <w:pPr>
                    <w:pStyle w:val="33"/>
                    <w:spacing w:before="24" w:after="24"/>
                    <w:rPr>
                      <w:rFonts w:hint="default" w:ascii="Times New Roman" w:eastAsia="宋体"/>
                      <w:color w:val="auto"/>
                      <w:sz w:val="18"/>
                      <w:szCs w:val="18"/>
                      <w:lang w:val="en-US" w:eastAsia="zh-CN"/>
                    </w:rPr>
                  </w:pPr>
                  <w:r>
                    <w:rPr>
                      <w:rFonts w:hint="eastAsia" w:ascii="Times New Roman"/>
                      <w:color w:val="auto"/>
                      <w:sz w:val="18"/>
                      <w:szCs w:val="18"/>
                      <w:lang w:val="en-US" w:eastAsia="zh-CN"/>
                    </w:rPr>
                    <w:t>1.5</w:t>
                  </w:r>
                </w:p>
              </w:tc>
              <w:tc>
                <w:tcPr>
                  <w:tcW w:w="716" w:type="dxa"/>
                  <w:tcBorders>
                    <w:tl2br w:val="nil"/>
                    <w:tr2bl w:val="nil"/>
                  </w:tcBorders>
                  <w:noWrap/>
                  <w:vAlign w:val="center"/>
                </w:tcPr>
                <w:p>
                  <w:pPr>
                    <w:spacing w:before="62" w:after="62"/>
                    <w:rPr>
                      <w:rFonts w:hint="eastAsia" w:eastAsia="宋体"/>
                      <w:color w:val="auto"/>
                      <w:sz w:val="18"/>
                      <w:szCs w:val="18"/>
                      <w:lang w:val="en-US" w:eastAsia="zh-CN"/>
                    </w:rPr>
                  </w:pPr>
                  <w:r>
                    <w:rPr>
                      <w:rFonts w:hint="eastAsia"/>
                      <w:color w:val="auto"/>
                      <w:sz w:val="18"/>
                      <w:szCs w:val="18"/>
                      <w:lang w:val="en-US" w:eastAsia="zh-CN"/>
                    </w:rPr>
                    <w:t xml:space="preserve"> 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color w:val="auto"/>
                      <w:sz w:val="18"/>
                      <w:szCs w:val="18"/>
                    </w:rPr>
                  </w:pPr>
                  <w:r>
                    <w:rPr>
                      <w:bCs/>
                      <w:color w:val="auto"/>
                      <w:sz w:val="18"/>
                      <w:szCs w:val="18"/>
                    </w:rPr>
                    <w:t>污水处理设施</w:t>
                  </w:r>
                  <w:r>
                    <w:rPr>
                      <w:rFonts w:hint="eastAsia"/>
                      <w:bCs/>
                      <w:color w:val="auto"/>
                      <w:sz w:val="18"/>
                      <w:szCs w:val="18"/>
                    </w:rPr>
                    <w:t>产生的</w:t>
                  </w:r>
                  <w:r>
                    <w:rPr>
                      <w:bCs/>
                      <w:color w:val="auto"/>
                      <w:sz w:val="18"/>
                      <w:szCs w:val="18"/>
                    </w:rPr>
                    <w:t>恶臭</w:t>
                  </w:r>
                  <w:r>
                    <w:rPr>
                      <w:rFonts w:hint="eastAsia"/>
                      <w:bCs/>
                      <w:color w:val="auto"/>
                      <w:sz w:val="18"/>
                      <w:szCs w:val="18"/>
                    </w:rPr>
                    <w:t>：</w:t>
                  </w:r>
                  <w:r>
                    <w:rPr>
                      <w:bCs/>
                      <w:color w:val="auto"/>
                      <w:sz w:val="18"/>
                      <w:szCs w:val="18"/>
                    </w:rPr>
                    <w:t>污水处理设施密封，定期对设备进行消毒；</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spacing w:before="62" w:after="62"/>
                    <w:rPr>
                      <w:rFonts w:hint="eastAsia" w:eastAsia="宋体"/>
                      <w:color w:val="auto"/>
                      <w:sz w:val="18"/>
                      <w:szCs w:val="18"/>
                      <w:lang w:val="en-US" w:eastAsia="zh-CN"/>
                    </w:rPr>
                  </w:pPr>
                  <w:r>
                    <w:rPr>
                      <w:rFonts w:hint="eastAsia"/>
                      <w:color w:val="auto"/>
                      <w:sz w:val="18"/>
                      <w:szCs w:val="18"/>
                      <w:lang w:val="en-US" w:eastAsia="zh-CN"/>
                    </w:rPr>
                    <w:t xml:space="preserve"> 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color w:val="auto"/>
                      <w:sz w:val="18"/>
                      <w:szCs w:val="18"/>
                    </w:rPr>
                  </w:pPr>
                  <w:r>
                    <w:rPr>
                      <w:rFonts w:hint="eastAsia"/>
                      <w:bCs/>
                      <w:color w:val="auto"/>
                      <w:sz w:val="18"/>
                      <w:szCs w:val="18"/>
                      <w:lang w:eastAsia="zh-CN"/>
                    </w:rPr>
                    <w:t>宠物散发的异味</w:t>
                  </w:r>
                  <w:r>
                    <w:rPr>
                      <w:rFonts w:hint="eastAsia"/>
                      <w:bCs/>
                      <w:color w:val="auto"/>
                      <w:sz w:val="18"/>
                      <w:szCs w:val="18"/>
                    </w:rPr>
                    <w:t>：</w:t>
                  </w:r>
                  <w:r>
                    <w:rPr>
                      <w:bCs/>
                      <w:color w:val="auto"/>
                      <w:sz w:val="18"/>
                      <w:szCs w:val="18"/>
                    </w:rPr>
                    <w:t>通过设置抽排风系统，并使用紫外灯消毒装置和活性炭吸附装置</w:t>
                  </w:r>
                  <w:r>
                    <w:rPr>
                      <w:rFonts w:hint="eastAsia"/>
                      <w:bCs/>
                      <w:color w:val="auto"/>
                      <w:sz w:val="18"/>
                      <w:szCs w:val="18"/>
                    </w:rPr>
                    <w:t>处理后通过排风口外排</w:t>
                  </w:r>
                  <w:r>
                    <w:rPr>
                      <w:bCs/>
                      <w:color w:val="auto"/>
                      <w:sz w:val="18"/>
                      <w:szCs w:val="18"/>
                    </w:rPr>
                    <w:t>，</w:t>
                  </w:r>
                  <w:r>
                    <w:rPr>
                      <w:rFonts w:hint="eastAsia"/>
                      <w:bCs/>
                      <w:color w:val="auto"/>
                      <w:sz w:val="18"/>
                      <w:szCs w:val="18"/>
                    </w:rPr>
                    <w:t>排风口位于1楼大门处，排口朝向</w:t>
                  </w:r>
                  <w:r>
                    <w:rPr>
                      <w:rFonts w:hint="eastAsia"/>
                      <w:bCs/>
                      <w:color w:val="auto"/>
                      <w:sz w:val="18"/>
                      <w:szCs w:val="18"/>
                      <w:lang w:eastAsia="zh-CN"/>
                    </w:rPr>
                    <w:t>公路一侧</w:t>
                  </w:r>
                  <w:r>
                    <w:rPr>
                      <w:rFonts w:hint="eastAsia"/>
                      <w:bCs/>
                      <w:color w:val="auto"/>
                      <w:sz w:val="18"/>
                      <w:szCs w:val="18"/>
                    </w:rPr>
                    <w:t>。</w:t>
                  </w:r>
                </w:p>
              </w:tc>
              <w:tc>
                <w:tcPr>
                  <w:tcW w:w="777" w:type="dxa"/>
                  <w:tcBorders>
                    <w:tl2br w:val="nil"/>
                    <w:tr2bl w:val="nil"/>
                  </w:tcBorders>
                  <w:noWrap/>
                  <w:vAlign w:val="center"/>
                </w:tcPr>
                <w:p>
                  <w:pPr>
                    <w:pStyle w:val="33"/>
                    <w:spacing w:before="24" w:after="24"/>
                    <w:rPr>
                      <w:rFonts w:hint="default" w:ascii="Times New Roman" w:eastAsia="宋体"/>
                      <w:color w:val="auto"/>
                      <w:sz w:val="18"/>
                      <w:szCs w:val="18"/>
                      <w:lang w:val="en-US" w:eastAsia="zh-CN"/>
                    </w:rPr>
                  </w:pPr>
                  <w:r>
                    <w:rPr>
                      <w:rFonts w:hint="eastAsia" w:ascii="Times New Roman"/>
                      <w:color w:val="auto"/>
                      <w:sz w:val="18"/>
                      <w:szCs w:val="18"/>
                      <w:lang w:val="en-US" w:eastAsia="zh-CN"/>
                    </w:rPr>
                    <w:t>1.5</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lang w:val="en-US" w:eastAsia="zh-CN"/>
                    </w:rPr>
                    <w:t xml:space="preserve"> 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690" w:type="dxa"/>
                  <w:vMerge w:val="restart"/>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废水治理</w:t>
                  </w:r>
                </w:p>
              </w:tc>
              <w:tc>
                <w:tcPr>
                  <w:tcW w:w="798" w:type="dxa"/>
                  <w:vMerge w:val="restart"/>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运营期</w:t>
                  </w:r>
                </w:p>
              </w:tc>
              <w:tc>
                <w:tcPr>
                  <w:tcW w:w="5177" w:type="dxa"/>
                  <w:tcBorders>
                    <w:tl2br w:val="nil"/>
                    <w:tr2bl w:val="nil"/>
                  </w:tcBorders>
                  <w:noWrap/>
                  <w:vAlign w:val="center"/>
                </w:tcPr>
                <w:p>
                  <w:pPr>
                    <w:spacing w:line="276" w:lineRule="auto"/>
                    <w:rPr>
                      <w:color w:val="auto"/>
                      <w:sz w:val="18"/>
                      <w:szCs w:val="18"/>
                    </w:rPr>
                  </w:pPr>
                  <w:r>
                    <w:rPr>
                      <w:color w:val="auto"/>
                      <w:sz w:val="18"/>
                      <w:szCs w:val="18"/>
                    </w:rPr>
                    <w:t>工作人员生活污水</w:t>
                  </w:r>
                  <w:r>
                    <w:rPr>
                      <w:rFonts w:hint="eastAsia"/>
                      <w:color w:val="auto"/>
                      <w:sz w:val="18"/>
                      <w:szCs w:val="18"/>
                    </w:rPr>
                    <w:t>：</w:t>
                  </w:r>
                  <w:r>
                    <w:rPr>
                      <w:color w:val="auto"/>
                      <w:sz w:val="18"/>
                      <w:szCs w:val="18"/>
                    </w:rPr>
                    <w:t>通过污水管道进入已建的预处理池处理达到《污水综合排放标准》（GB8978-1998）三级排放标准后排入市政污水管网，最终进入</w:t>
                  </w:r>
                  <w:r>
                    <w:rPr>
                      <w:rFonts w:hint="eastAsia"/>
                      <w:color w:val="auto"/>
                      <w:sz w:val="18"/>
                      <w:szCs w:val="18"/>
                      <w:lang w:eastAsia="zh-CN"/>
                    </w:rPr>
                    <w:t>苍溪县石家坝城市污水处理厂</w:t>
                  </w:r>
                  <w:r>
                    <w:rPr>
                      <w:color w:val="auto"/>
                      <w:sz w:val="18"/>
                      <w:szCs w:val="18"/>
                    </w:rPr>
                    <w:t>处理</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color w:val="auto"/>
                      <w:sz w:val="18"/>
                      <w:szCs w:val="18"/>
                    </w:rPr>
                  </w:pPr>
                  <w:r>
                    <w:rPr>
                      <w:rFonts w:hint="eastAsia"/>
                      <w:color w:val="auto"/>
                      <w:sz w:val="18"/>
                      <w:szCs w:val="18"/>
                    </w:rPr>
                    <w:t>宠物治疗废水：</w:t>
                  </w:r>
                  <w:r>
                    <w:rPr>
                      <w:rFonts w:hint="eastAsia"/>
                      <w:bCs/>
                      <w:color w:val="auto"/>
                      <w:sz w:val="18"/>
                      <w:szCs w:val="18"/>
                    </w:rPr>
                    <w:t>设置专用废水收集管道将废水收集至污水消毒池</w:t>
                  </w:r>
                  <w:r>
                    <w:rPr>
                      <w:rFonts w:hint="eastAsia"/>
                      <w:color w:val="auto"/>
                      <w:sz w:val="18"/>
                      <w:szCs w:val="18"/>
                    </w:rPr>
                    <w:t>（</w:t>
                  </w:r>
                  <w:r>
                    <w:rPr>
                      <w:color w:val="auto"/>
                      <w:sz w:val="18"/>
                      <w:szCs w:val="18"/>
                    </w:rPr>
                    <w:t>处理规模为：</w:t>
                  </w:r>
                  <w:r>
                    <w:rPr>
                      <w:rFonts w:hint="eastAsia"/>
                      <w:color w:val="auto"/>
                      <w:sz w:val="18"/>
                      <w:szCs w:val="18"/>
                    </w:rPr>
                    <w:t>2</w:t>
                  </w:r>
                  <w:r>
                    <w:rPr>
                      <w:color w:val="auto"/>
                      <w:sz w:val="18"/>
                      <w:szCs w:val="18"/>
                    </w:rPr>
                    <w:t>m</w:t>
                  </w:r>
                  <w:r>
                    <w:rPr>
                      <w:color w:val="auto"/>
                      <w:sz w:val="18"/>
                      <w:szCs w:val="18"/>
                      <w:vertAlign w:val="superscript"/>
                    </w:rPr>
                    <w:t>3</w:t>
                  </w:r>
                  <w:r>
                    <w:rPr>
                      <w:color w:val="auto"/>
                      <w:sz w:val="18"/>
                      <w:szCs w:val="18"/>
                    </w:rPr>
                    <w:t>/d</w:t>
                  </w:r>
                  <w:r>
                    <w:rPr>
                      <w:rFonts w:hint="eastAsia"/>
                      <w:color w:val="auto"/>
                      <w:sz w:val="18"/>
                      <w:szCs w:val="18"/>
                    </w:rPr>
                    <w:t>）</w:t>
                  </w:r>
                  <w:r>
                    <w:rPr>
                      <w:rFonts w:hint="eastAsia"/>
                      <w:bCs/>
                      <w:color w:val="auto"/>
                      <w:sz w:val="18"/>
                      <w:szCs w:val="18"/>
                    </w:rPr>
                    <w:t>进行处理，处理后达到</w:t>
                  </w:r>
                  <w:r>
                    <w:rPr>
                      <w:color w:val="auto"/>
                      <w:sz w:val="18"/>
                      <w:szCs w:val="18"/>
                    </w:rPr>
                    <w:t>《医疗机构水污染物排放标准》（GB18466-2005）表2中的预处理标准</w:t>
                  </w:r>
                  <w:r>
                    <w:rPr>
                      <w:rFonts w:hint="eastAsia"/>
                      <w:bCs/>
                      <w:color w:val="auto"/>
                      <w:sz w:val="18"/>
                      <w:szCs w:val="18"/>
                    </w:rPr>
                    <w:t>，通过市政污水管网和其他废水进入预处理池处理，最终通过污水管网进入</w:t>
                  </w:r>
                  <w:r>
                    <w:rPr>
                      <w:rFonts w:hint="eastAsia"/>
                      <w:bCs/>
                      <w:color w:val="auto"/>
                      <w:sz w:val="18"/>
                      <w:szCs w:val="18"/>
                      <w:lang w:eastAsia="zh-CN"/>
                    </w:rPr>
                    <w:t>苍溪县石家坝城市污水处理厂</w:t>
                  </w:r>
                </w:p>
              </w:tc>
              <w:tc>
                <w:tcPr>
                  <w:tcW w:w="777" w:type="dxa"/>
                  <w:vMerge w:val="restart"/>
                  <w:tcBorders>
                    <w:tl2br w:val="nil"/>
                    <w:tr2bl w:val="nil"/>
                  </w:tcBorders>
                  <w:noWrap/>
                  <w:vAlign w:val="center"/>
                </w:tcPr>
                <w:p>
                  <w:pPr>
                    <w:pStyle w:val="33"/>
                    <w:spacing w:before="24" w:after="24"/>
                    <w:rPr>
                      <w:rFonts w:hint="default" w:ascii="Times New Roman" w:eastAsia="宋体"/>
                      <w:color w:val="auto"/>
                      <w:sz w:val="18"/>
                      <w:szCs w:val="18"/>
                      <w:lang w:val="en-US" w:eastAsia="zh-CN"/>
                    </w:rPr>
                  </w:pPr>
                  <w:r>
                    <w:rPr>
                      <w:rFonts w:hint="eastAsia" w:ascii="Times New Roman"/>
                      <w:color w:val="auto"/>
                      <w:sz w:val="18"/>
                      <w:szCs w:val="18"/>
                      <w:lang w:val="en-US" w:eastAsia="zh-CN"/>
                    </w:rPr>
                    <w:t>2.0</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color w:val="auto"/>
                      <w:sz w:val="18"/>
                      <w:szCs w:val="18"/>
                    </w:rPr>
                  </w:pPr>
                  <w:r>
                    <w:rPr>
                      <w:rFonts w:hint="eastAsia"/>
                      <w:color w:val="auto"/>
                      <w:sz w:val="18"/>
                      <w:szCs w:val="18"/>
                      <w:lang w:eastAsia="zh-CN"/>
                    </w:rPr>
                    <w:t>宠物做手术器械和</w:t>
                  </w:r>
                  <w:r>
                    <w:rPr>
                      <w:rFonts w:hint="eastAsia"/>
                      <w:color w:val="auto"/>
                      <w:sz w:val="18"/>
                      <w:szCs w:val="18"/>
                    </w:rPr>
                    <w:t>地面</w:t>
                  </w:r>
                  <w:r>
                    <w:rPr>
                      <w:rFonts w:hint="eastAsia"/>
                      <w:color w:val="auto"/>
                      <w:sz w:val="18"/>
                      <w:szCs w:val="18"/>
                      <w:lang w:eastAsia="zh-CN"/>
                    </w:rPr>
                    <w:t>、宠物笼</w:t>
                  </w:r>
                  <w:r>
                    <w:rPr>
                      <w:rFonts w:hint="eastAsia"/>
                      <w:color w:val="auto"/>
                      <w:sz w:val="18"/>
                      <w:szCs w:val="18"/>
                    </w:rPr>
                    <w:t>清洁废水：</w:t>
                  </w:r>
                  <w:r>
                    <w:rPr>
                      <w:rFonts w:hint="eastAsia"/>
                      <w:bCs/>
                      <w:color w:val="auto"/>
                      <w:sz w:val="18"/>
                      <w:szCs w:val="18"/>
                    </w:rPr>
                    <w:t>设置专用废水收集管道将废水收集至污水消毒池</w:t>
                  </w:r>
                  <w:r>
                    <w:rPr>
                      <w:rFonts w:hint="eastAsia"/>
                      <w:color w:val="auto"/>
                      <w:sz w:val="18"/>
                      <w:szCs w:val="18"/>
                    </w:rPr>
                    <w:t>（</w:t>
                  </w:r>
                  <w:r>
                    <w:rPr>
                      <w:color w:val="auto"/>
                      <w:sz w:val="18"/>
                      <w:szCs w:val="18"/>
                    </w:rPr>
                    <w:t>处理规模为：</w:t>
                  </w:r>
                  <w:r>
                    <w:rPr>
                      <w:rFonts w:hint="eastAsia"/>
                      <w:color w:val="auto"/>
                      <w:sz w:val="18"/>
                      <w:szCs w:val="18"/>
                    </w:rPr>
                    <w:t>2</w:t>
                  </w:r>
                  <w:r>
                    <w:rPr>
                      <w:color w:val="auto"/>
                      <w:sz w:val="18"/>
                      <w:szCs w:val="18"/>
                    </w:rPr>
                    <w:t>m</w:t>
                  </w:r>
                  <w:r>
                    <w:rPr>
                      <w:color w:val="auto"/>
                      <w:sz w:val="18"/>
                      <w:szCs w:val="18"/>
                      <w:vertAlign w:val="superscript"/>
                    </w:rPr>
                    <w:t>3</w:t>
                  </w:r>
                  <w:r>
                    <w:rPr>
                      <w:color w:val="auto"/>
                      <w:sz w:val="18"/>
                      <w:szCs w:val="18"/>
                    </w:rPr>
                    <w:t>/d</w:t>
                  </w:r>
                  <w:r>
                    <w:rPr>
                      <w:rFonts w:hint="eastAsia"/>
                      <w:color w:val="auto"/>
                      <w:sz w:val="18"/>
                      <w:szCs w:val="18"/>
                    </w:rPr>
                    <w:t>）</w:t>
                  </w:r>
                  <w:r>
                    <w:rPr>
                      <w:rFonts w:hint="eastAsia"/>
                      <w:bCs/>
                      <w:color w:val="auto"/>
                      <w:sz w:val="18"/>
                      <w:szCs w:val="18"/>
                    </w:rPr>
                    <w:t>进行处理，处理后达到</w:t>
                  </w:r>
                  <w:r>
                    <w:rPr>
                      <w:color w:val="auto"/>
                      <w:sz w:val="18"/>
                      <w:szCs w:val="18"/>
                    </w:rPr>
                    <w:t>《医疗机构水污染物排放标准》（GB18466-2005）表2中的预处理标准</w:t>
                  </w:r>
                  <w:r>
                    <w:rPr>
                      <w:rFonts w:hint="eastAsia"/>
                      <w:bCs/>
                      <w:color w:val="auto"/>
                      <w:sz w:val="18"/>
                      <w:szCs w:val="18"/>
                    </w:rPr>
                    <w:t>，通过市政污水管网和其他废水进入预处理池处理，最终通过污水管网进入</w:t>
                  </w:r>
                  <w:r>
                    <w:rPr>
                      <w:rFonts w:hint="eastAsia"/>
                      <w:bCs/>
                      <w:color w:val="auto"/>
                      <w:sz w:val="18"/>
                      <w:szCs w:val="18"/>
                      <w:lang w:eastAsia="zh-CN"/>
                    </w:rPr>
                    <w:t>苍溪县石家坝城市污水处理厂</w:t>
                  </w:r>
                </w:p>
              </w:tc>
              <w:tc>
                <w:tcPr>
                  <w:tcW w:w="777" w:type="dxa"/>
                  <w:vMerge w:val="continue"/>
                  <w:tcBorders>
                    <w:tl2br w:val="nil"/>
                    <w:tr2bl w:val="nil"/>
                  </w:tcBorders>
                  <w:noWrap/>
                  <w:vAlign w:val="center"/>
                </w:tcPr>
                <w:p>
                  <w:pPr>
                    <w:pStyle w:val="33"/>
                    <w:spacing w:before="24" w:after="24"/>
                    <w:rPr>
                      <w:rFonts w:ascii="Times New Roman"/>
                      <w:color w:val="auto"/>
                      <w:sz w:val="18"/>
                      <w:szCs w:val="18"/>
                    </w:rPr>
                  </w:pP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690"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噪声</w:t>
                  </w:r>
                </w:p>
                <w:p>
                  <w:pPr>
                    <w:pStyle w:val="33"/>
                    <w:spacing w:before="24" w:after="24"/>
                    <w:rPr>
                      <w:rFonts w:ascii="Times New Roman"/>
                      <w:color w:val="auto"/>
                      <w:sz w:val="18"/>
                      <w:szCs w:val="18"/>
                    </w:rPr>
                  </w:pPr>
                  <w:r>
                    <w:rPr>
                      <w:rFonts w:ascii="Times New Roman"/>
                      <w:color w:val="auto"/>
                      <w:sz w:val="18"/>
                      <w:szCs w:val="18"/>
                    </w:rPr>
                    <w:t>治理</w:t>
                  </w:r>
                </w:p>
              </w:tc>
              <w:tc>
                <w:tcPr>
                  <w:tcW w:w="798"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运营期</w:t>
                  </w:r>
                </w:p>
              </w:tc>
              <w:tc>
                <w:tcPr>
                  <w:tcW w:w="5177" w:type="dxa"/>
                  <w:tcBorders>
                    <w:tl2br w:val="nil"/>
                    <w:tr2bl w:val="nil"/>
                  </w:tcBorders>
                  <w:noWrap/>
                  <w:vAlign w:val="center"/>
                </w:tcPr>
                <w:p>
                  <w:pPr>
                    <w:pStyle w:val="33"/>
                    <w:spacing w:before="24" w:after="24"/>
                    <w:jc w:val="both"/>
                    <w:rPr>
                      <w:rFonts w:ascii="Times New Roman"/>
                      <w:color w:val="auto"/>
                      <w:kern w:val="2"/>
                      <w:sz w:val="18"/>
                      <w:szCs w:val="18"/>
                      <w:lang w:val="zh-CN"/>
                    </w:rPr>
                  </w:pPr>
                  <w:r>
                    <w:rPr>
                      <w:rFonts w:hint="eastAsia" w:ascii="Times New Roman"/>
                      <w:color w:val="auto"/>
                      <w:kern w:val="2"/>
                      <w:sz w:val="18"/>
                      <w:szCs w:val="18"/>
                      <w:lang w:val="zh-CN"/>
                    </w:rPr>
                    <w:t>建筑隔声，选用低噪声设备，在医疗设备安装时配套安装减震垫，可有效隔离振动的传播。做好设备的安装调试，定期对设备进行维护，保持器良好的运行效果。安装静音的新风系统</w:t>
                  </w:r>
                  <w:r>
                    <w:rPr>
                      <w:rFonts w:hint="eastAsia" w:ascii="Times New Roman"/>
                      <w:color w:val="auto"/>
                      <w:kern w:val="2"/>
                      <w:sz w:val="18"/>
                      <w:szCs w:val="18"/>
                      <w:lang w:val="zh-CN" w:eastAsia="zh-CN"/>
                    </w:rPr>
                    <w:t>和静音空调</w:t>
                  </w:r>
                  <w:r>
                    <w:rPr>
                      <w:rFonts w:hint="eastAsia" w:ascii="Times New Roman"/>
                      <w:color w:val="auto"/>
                      <w:kern w:val="2"/>
                      <w:sz w:val="18"/>
                      <w:szCs w:val="18"/>
                      <w:lang w:val="zh-CN"/>
                    </w:rPr>
                    <w:t>，并请专业的</w:t>
                  </w:r>
                  <w:r>
                    <w:rPr>
                      <w:rFonts w:hint="eastAsia" w:ascii="Times New Roman"/>
                      <w:color w:val="auto"/>
                      <w:kern w:val="2"/>
                      <w:sz w:val="18"/>
                      <w:szCs w:val="18"/>
                      <w:lang w:val="zh-CN" w:eastAsia="zh-CN"/>
                    </w:rPr>
                    <w:t>人</w:t>
                  </w:r>
                  <w:r>
                    <w:rPr>
                      <w:rFonts w:hint="eastAsia" w:ascii="Times New Roman"/>
                      <w:color w:val="auto"/>
                      <w:kern w:val="2"/>
                      <w:sz w:val="18"/>
                      <w:szCs w:val="18"/>
                      <w:lang w:val="zh-CN"/>
                    </w:rPr>
                    <w:t>安装</w:t>
                  </w:r>
                  <w:r>
                    <w:rPr>
                      <w:rFonts w:hint="eastAsia" w:ascii="Times New Roman"/>
                      <w:color w:val="auto"/>
                      <w:kern w:val="2"/>
                      <w:sz w:val="18"/>
                      <w:szCs w:val="18"/>
                      <w:lang w:val="zh-CN" w:eastAsia="zh-CN"/>
                    </w:rPr>
                    <w:t>。</w:t>
                  </w:r>
                  <w:r>
                    <w:rPr>
                      <w:rFonts w:hint="eastAsia" w:ascii="Times New Roman"/>
                      <w:color w:val="auto"/>
                      <w:kern w:val="2"/>
                      <w:sz w:val="18"/>
                      <w:szCs w:val="18"/>
                      <w:lang w:val="zh-CN"/>
                    </w:rPr>
                    <w:t>为避免动物叫声的影响，建设项目方将室内治疗室、住院室等宠物活动较多的区域安装隔声门（窗）或者双层玻璃，</w:t>
                  </w:r>
                  <w:r>
                    <w:rPr>
                      <w:rFonts w:hint="eastAsia" w:ascii="Times New Roman"/>
                      <w:color w:val="auto"/>
                      <w:kern w:val="2"/>
                      <w:sz w:val="18"/>
                      <w:szCs w:val="18"/>
                      <w:lang w:val="zh-CN" w:eastAsia="zh-CN"/>
                    </w:rPr>
                    <w:t>四周缝隙使用橡胶封条，采用硬质地板的设计</w:t>
                  </w:r>
                  <w:r>
                    <w:rPr>
                      <w:rFonts w:hint="eastAsia" w:ascii="Times New Roman"/>
                      <w:color w:val="auto"/>
                      <w:kern w:val="2"/>
                      <w:sz w:val="18"/>
                      <w:szCs w:val="18"/>
                      <w:lang w:val="zh-CN"/>
                    </w:rPr>
                    <w:t>。对于留观或住院期间持续产生高噪声的宠物，尽快找到原因，尽可能通知该宠物主人陪同宠物往返多次就诊而非住院。</w:t>
                  </w:r>
                </w:p>
              </w:tc>
              <w:tc>
                <w:tcPr>
                  <w:tcW w:w="777" w:type="dxa"/>
                  <w:tcBorders>
                    <w:tl2br w:val="nil"/>
                    <w:tr2bl w:val="nil"/>
                  </w:tcBorders>
                  <w:noWrap/>
                  <w:vAlign w:val="center"/>
                </w:tcPr>
                <w:p>
                  <w:pPr>
                    <w:pStyle w:val="33"/>
                    <w:spacing w:before="24" w:after="24"/>
                    <w:rPr>
                      <w:rFonts w:hint="eastAsia" w:ascii="Times New Roman" w:eastAsia="宋体"/>
                      <w:color w:val="auto"/>
                      <w:kern w:val="2"/>
                      <w:sz w:val="18"/>
                      <w:szCs w:val="18"/>
                      <w:lang w:val="en-US" w:eastAsia="zh-CN"/>
                    </w:rPr>
                  </w:pPr>
                  <w:r>
                    <w:rPr>
                      <w:rFonts w:hint="eastAsia" w:ascii="Times New Roman"/>
                      <w:color w:val="auto"/>
                      <w:kern w:val="2"/>
                      <w:sz w:val="18"/>
                      <w:szCs w:val="18"/>
                      <w:lang w:val="en-US" w:eastAsia="zh-CN"/>
                    </w:rPr>
                    <w:t>2</w:t>
                  </w:r>
                </w:p>
              </w:tc>
              <w:tc>
                <w:tcPr>
                  <w:tcW w:w="716" w:type="dxa"/>
                  <w:tcBorders>
                    <w:tl2br w:val="nil"/>
                    <w:tr2bl w:val="nil"/>
                  </w:tcBorders>
                  <w:noWrap/>
                  <w:vAlign w:val="center"/>
                </w:tcPr>
                <w:p>
                  <w:pPr>
                    <w:pStyle w:val="33"/>
                    <w:spacing w:before="24" w:after="24"/>
                    <w:rPr>
                      <w:rFonts w:ascii="Times New Roman"/>
                      <w:color w:val="auto"/>
                      <w:kern w:val="2"/>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690" w:type="dxa"/>
                  <w:vMerge w:val="restart"/>
                  <w:tcBorders>
                    <w:tl2br w:val="nil"/>
                    <w:tr2bl w:val="nil"/>
                  </w:tcBorders>
                  <w:noWrap/>
                  <w:vAlign w:val="center"/>
                </w:tcPr>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r>
                    <w:rPr>
                      <w:rFonts w:ascii="Times New Roman"/>
                      <w:color w:val="auto"/>
                      <w:sz w:val="18"/>
                      <w:szCs w:val="18"/>
                    </w:rPr>
                    <w:t>固废</w:t>
                  </w:r>
                </w:p>
                <w:p>
                  <w:pPr>
                    <w:pStyle w:val="33"/>
                    <w:spacing w:before="24" w:after="24"/>
                    <w:rPr>
                      <w:rFonts w:ascii="Times New Roman"/>
                      <w:color w:val="auto"/>
                      <w:sz w:val="18"/>
                      <w:szCs w:val="18"/>
                    </w:rPr>
                  </w:pPr>
                  <w:r>
                    <w:rPr>
                      <w:rFonts w:ascii="Times New Roman"/>
                      <w:color w:val="auto"/>
                      <w:sz w:val="18"/>
                      <w:szCs w:val="18"/>
                    </w:rPr>
                    <w:t>处置</w:t>
                  </w:r>
                </w:p>
              </w:tc>
              <w:tc>
                <w:tcPr>
                  <w:tcW w:w="798" w:type="dxa"/>
                  <w:vMerge w:val="restart"/>
                  <w:tcBorders>
                    <w:tl2br w:val="nil"/>
                    <w:tr2bl w:val="nil"/>
                  </w:tcBorders>
                  <w:noWrap/>
                  <w:vAlign w:val="center"/>
                </w:tcPr>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p>
                <w:p>
                  <w:pPr>
                    <w:pStyle w:val="33"/>
                    <w:spacing w:before="24" w:after="24"/>
                    <w:rPr>
                      <w:rFonts w:ascii="Times New Roman"/>
                      <w:color w:val="auto"/>
                      <w:sz w:val="18"/>
                      <w:szCs w:val="18"/>
                    </w:rPr>
                  </w:pPr>
                  <w:r>
                    <w:rPr>
                      <w:rFonts w:ascii="Times New Roman"/>
                      <w:color w:val="auto"/>
                      <w:sz w:val="18"/>
                      <w:szCs w:val="18"/>
                    </w:rPr>
                    <w:t>运营期</w:t>
                  </w:r>
                </w:p>
              </w:tc>
              <w:tc>
                <w:tcPr>
                  <w:tcW w:w="5177" w:type="dxa"/>
                  <w:tcBorders>
                    <w:tl2br w:val="nil"/>
                    <w:tr2bl w:val="nil"/>
                  </w:tcBorders>
                  <w:noWrap/>
                  <w:vAlign w:val="center"/>
                </w:tcPr>
                <w:p>
                  <w:pPr>
                    <w:rPr>
                      <w:color w:val="auto"/>
                      <w:sz w:val="18"/>
                      <w:szCs w:val="18"/>
                      <w:lang w:val="zh-CN"/>
                    </w:rPr>
                  </w:pPr>
                  <w:r>
                    <w:rPr>
                      <w:rFonts w:hint="eastAsia"/>
                      <w:bCs/>
                      <w:color w:val="auto"/>
                      <w:sz w:val="18"/>
                      <w:szCs w:val="18"/>
                    </w:rPr>
                    <w:t>生活垃圾</w:t>
                  </w:r>
                  <w:r>
                    <w:rPr>
                      <w:bCs/>
                      <w:color w:val="auto"/>
                      <w:sz w:val="18"/>
                      <w:szCs w:val="18"/>
                    </w:rPr>
                    <w:t>：</w:t>
                  </w:r>
                  <w:r>
                    <w:rPr>
                      <w:rFonts w:hint="eastAsia"/>
                      <w:bCs/>
                      <w:color w:val="auto"/>
                      <w:sz w:val="18"/>
                      <w:szCs w:val="18"/>
                    </w:rPr>
                    <w:t>经场内垃圾桶收集后定期运送至当地市政垃圾收集点，最后由环卫部门统一清运。</w:t>
                  </w:r>
                </w:p>
              </w:tc>
              <w:tc>
                <w:tcPr>
                  <w:tcW w:w="777" w:type="dxa"/>
                  <w:tcBorders>
                    <w:tl2br w:val="nil"/>
                    <w:tr2bl w:val="nil"/>
                  </w:tcBorders>
                  <w:noWrap/>
                  <w:vAlign w:val="center"/>
                </w:tcPr>
                <w:p>
                  <w:pPr>
                    <w:pStyle w:val="33"/>
                    <w:spacing w:before="24" w:after="24"/>
                    <w:ind w:firstLine="180" w:firstLineChars="100"/>
                    <w:jc w:val="both"/>
                    <w:rPr>
                      <w:rFonts w:ascii="Times New Roman"/>
                      <w:color w:val="auto"/>
                      <w:kern w:val="2"/>
                      <w:sz w:val="18"/>
                      <w:szCs w:val="18"/>
                    </w:rPr>
                  </w:pPr>
                  <w:r>
                    <w:rPr>
                      <w:rFonts w:hint="eastAsia" w:ascii="Times New Roman"/>
                      <w:color w:val="auto"/>
                      <w:kern w:val="2"/>
                      <w:sz w:val="18"/>
                      <w:szCs w:val="18"/>
                    </w:rPr>
                    <w:t>0.5</w:t>
                  </w:r>
                </w:p>
              </w:tc>
              <w:tc>
                <w:tcPr>
                  <w:tcW w:w="716" w:type="dxa"/>
                  <w:tcBorders>
                    <w:tl2br w:val="nil"/>
                    <w:tr2bl w:val="nil"/>
                  </w:tcBorders>
                  <w:noWrap/>
                  <w:vAlign w:val="center"/>
                </w:tcPr>
                <w:p>
                  <w:pPr>
                    <w:rPr>
                      <w:color w:val="auto"/>
                      <w:sz w:val="18"/>
                      <w:szCs w:val="18"/>
                    </w:rPr>
                  </w:pPr>
                  <w:r>
                    <w:rPr>
                      <w:rFonts w:hint="eastAsia"/>
                      <w:color w:val="auto"/>
                      <w:sz w:val="18"/>
                      <w:szCs w:val="18"/>
                    </w:rPr>
                    <w:t xml:space="preserve"> </w:t>
                  </w: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color w:val="auto"/>
                      <w:sz w:val="18"/>
                      <w:szCs w:val="18"/>
                    </w:rPr>
                  </w:pPr>
                  <w:r>
                    <w:rPr>
                      <w:bCs/>
                      <w:color w:val="auto"/>
                      <w:sz w:val="18"/>
                      <w:szCs w:val="18"/>
                    </w:rPr>
                    <w:t>宠物粪污</w:t>
                  </w:r>
                  <w:r>
                    <w:rPr>
                      <w:rFonts w:hint="eastAsia"/>
                      <w:bCs/>
                      <w:color w:val="auto"/>
                      <w:sz w:val="18"/>
                      <w:szCs w:val="18"/>
                    </w:rPr>
                    <w:t>：</w:t>
                  </w:r>
                  <w:r>
                    <w:rPr>
                      <w:bCs/>
                      <w:color w:val="auto"/>
                      <w:sz w:val="18"/>
                      <w:szCs w:val="18"/>
                    </w:rPr>
                    <w:t>粪便单独收集处置委托环卫部门清运处置。</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rPr>
                    <w:t xml:space="preserve"> </w:t>
                  </w: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bCs/>
                      <w:color w:val="auto"/>
                      <w:sz w:val="18"/>
                      <w:szCs w:val="18"/>
                    </w:rPr>
                  </w:pPr>
                  <w:r>
                    <w:rPr>
                      <w:rFonts w:hint="eastAsia"/>
                      <w:color w:val="auto"/>
                      <w:spacing w:val="-3"/>
                      <w:sz w:val="18"/>
                      <w:szCs w:val="18"/>
                    </w:rPr>
                    <w:t>废包装及输液瓶：</w:t>
                  </w:r>
                  <w:r>
                    <w:rPr>
                      <w:color w:val="auto"/>
                      <w:sz w:val="18"/>
                      <w:szCs w:val="18"/>
                    </w:rPr>
                    <w:t>暂存于医疗外包装暂存间</w:t>
                  </w:r>
                  <w:r>
                    <w:rPr>
                      <w:rFonts w:hint="eastAsia"/>
                      <w:color w:val="auto"/>
                      <w:sz w:val="18"/>
                      <w:szCs w:val="18"/>
                    </w:rPr>
                    <w:t>（建筑面积2m</w:t>
                  </w:r>
                  <w:r>
                    <w:rPr>
                      <w:rFonts w:hint="eastAsia"/>
                      <w:color w:val="auto"/>
                      <w:sz w:val="18"/>
                      <w:szCs w:val="18"/>
                      <w:vertAlign w:val="superscript"/>
                    </w:rPr>
                    <w:t>2</w:t>
                  </w:r>
                  <w:r>
                    <w:rPr>
                      <w:rFonts w:hint="eastAsia"/>
                      <w:color w:val="auto"/>
                      <w:sz w:val="18"/>
                      <w:szCs w:val="18"/>
                    </w:rPr>
                    <w:t>,位于宠物医院1楼）</w:t>
                  </w:r>
                  <w:r>
                    <w:rPr>
                      <w:color w:val="auto"/>
                      <w:sz w:val="18"/>
                      <w:szCs w:val="18"/>
                    </w:rPr>
                    <w:t>，交由</w:t>
                  </w:r>
                  <w:r>
                    <w:rPr>
                      <w:rFonts w:hint="eastAsia"/>
                      <w:color w:val="auto"/>
                      <w:sz w:val="18"/>
                      <w:szCs w:val="18"/>
                    </w:rPr>
                    <w:t>相关</w:t>
                  </w:r>
                  <w:r>
                    <w:rPr>
                      <w:color w:val="auto"/>
                      <w:sz w:val="18"/>
                      <w:szCs w:val="18"/>
                    </w:rPr>
                    <w:t>公司回收处理</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bCs/>
                      <w:color w:val="auto"/>
                      <w:sz w:val="18"/>
                      <w:szCs w:val="18"/>
                    </w:rPr>
                  </w:pPr>
                  <w:r>
                    <w:rPr>
                      <w:rFonts w:hint="eastAsia"/>
                      <w:color w:val="auto"/>
                      <w:spacing w:val="-3"/>
                      <w:sz w:val="18"/>
                      <w:szCs w:val="18"/>
                    </w:rPr>
                    <w:t>水质处理器产生的悬浮物及污泥：水质处理器产生的悬浮物及污泥为危险废物，定期清淘后交由相关资质单位处理，并签订处理处置协议。</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color w:val="auto"/>
                      <w:spacing w:val="-3"/>
                      <w:sz w:val="18"/>
                      <w:szCs w:val="18"/>
                    </w:rPr>
                  </w:pPr>
                  <w:r>
                    <w:rPr>
                      <w:rFonts w:hint="eastAsia"/>
                      <w:color w:val="auto"/>
                      <w:spacing w:val="-3"/>
                      <w:sz w:val="18"/>
                      <w:szCs w:val="18"/>
                    </w:rPr>
                    <w:t>废紫外下灯管：集中收集后贮存在医疗废物暂存间的医疗废物收集桶内，定期由有资质企业处置。</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bCs/>
                      <w:color w:val="auto"/>
                      <w:sz w:val="18"/>
                      <w:szCs w:val="18"/>
                    </w:rPr>
                  </w:pPr>
                  <w:r>
                    <w:rPr>
                      <w:rFonts w:hint="eastAsia"/>
                      <w:color w:val="auto"/>
                      <w:spacing w:val="-3"/>
                      <w:sz w:val="18"/>
                      <w:szCs w:val="18"/>
                    </w:rPr>
                    <w:t>感染性医疗废物、损伤性医疗废物：集中收集于医疗垃圾暂存区（面积</w:t>
                  </w:r>
                  <w:r>
                    <w:rPr>
                      <w:rFonts w:hint="eastAsia"/>
                      <w:color w:val="auto"/>
                      <w:spacing w:val="-3"/>
                      <w:sz w:val="18"/>
                      <w:szCs w:val="18"/>
                      <w:lang w:val="en-US" w:eastAsia="zh-CN"/>
                    </w:rPr>
                    <w:t>2</w:t>
                  </w:r>
                  <w:r>
                    <w:rPr>
                      <w:rFonts w:hint="eastAsia"/>
                      <w:color w:val="auto"/>
                      <w:spacing w:val="-3"/>
                      <w:sz w:val="18"/>
                      <w:szCs w:val="18"/>
                    </w:rPr>
                    <w:t>m</w:t>
                  </w:r>
                  <w:r>
                    <w:rPr>
                      <w:rFonts w:hint="eastAsia"/>
                      <w:color w:val="auto"/>
                      <w:spacing w:val="-3"/>
                      <w:sz w:val="18"/>
                      <w:szCs w:val="18"/>
                      <w:vertAlign w:val="superscript"/>
                    </w:rPr>
                    <w:t>2</w:t>
                  </w:r>
                  <w:r>
                    <w:rPr>
                      <w:rFonts w:hint="eastAsia"/>
                      <w:color w:val="auto"/>
                      <w:spacing w:val="-3"/>
                      <w:sz w:val="18"/>
                      <w:szCs w:val="18"/>
                    </w:rPr>
                    <w:t>，位于宠物医院</w:t>
                  </w:r>
                  <w:r>
                    <w:rPr>
                      <w:rFonts w:hint="eastAsia"/>
                      <w:color w:val="auto"/>
                      <w:spacing w:val="-3"/>
                      <w:sz w:val="18"/>
                      <w:szCs w:val="18"/>
                      <w:lang w:val="en-US" w:eastAsia="zh-CN"/>
                    </w:rPr>
                    <w:t>1</w:t>
                  </w:r>
                  <w:r>
                    <w:rPr>
                      <w:rFonts w:hint="eastAsia"/>
                      <w:color w:val="auto"/>
                      <w:spacing w:val="-3"/>
                      <w:sz w:val="18"/>
                      <w:szCs w:val="18"/>
                    </w:rPr>
                    <w:t>楼），医疗垃圾暂存区重点防渗，定期委托</w:t>
                  </w:r>
                  <w:r>
                    <w:rPr>
                      <w:rFonts w:hint="eastAsia"/>
                      <w:color w:val="auto"/>
                      <w:spacing w:val="-3"/>
                      <w:sz w:val="18"/>
                      <w:szCs w:val="18"/>
                      <w:lang w:eastAsia="zh-CN"/>
                    </w:rPr>
                    <w:t>有资质单位</w:t>
                  </w:r>
                  <w:r>
                    <w:rPr>
                      <w:rFonts w:hint="eastAsia"/>
                      <w:color w:val="auto"/>
                      <w:spacing w:val="-3"/>
                      <w:sz w:val="18"/>
                      <w:szCs w:val="18"/>
                    </w:rPr>
                    <w:t>进行清运处理。</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2</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bCs/>
                      <w:color w:val="auto"/>
                      <w:sz w:val="18"/>
                      <w:szCs w:val="18"/>
                    </w:rPr>
                  </w:pPr>
                  <w:r>
                    <w:rPr>
                      <w:rFonts w:hint="eastAsia"/>
                      <w:color w:val="auto"/>
                      <w:spacing w:val="-3"/>
                      <w:sz w:val="18"/>
                      <w:szCs w:val="18"/>
                    </w:rPr>
                    <w:t>化学性废物</w:t>
                  </w:r>
                  <w:r>
                    <w:rPr>
                      <w:rFonts w:hint="eastAsia"/>
                      <w:color w:val="auto"/>
                      <w:spacing w:val="-3"/>
                      <w:sz w:val="18"/>
                      <w:szCs w:val="18"/>
                      <w:lang w:eastAsia="zh-CN"/>
                    </w:rPr>
                    <w:t>：</w:t>
                  </w:r>
                  <w:r>
                    <w:rPr>
                      <w:rFonts w:hint="eastAsia"/>
                      <w:color w:val="auto"/>
                      <w:spacing w:val="-3"/>
                      <w:sz w:val="18"/>
                      <w:szCs w:val="18"/>
                    </w:rPr>
                    <w:t>要求桶装收集暂存后定期交由相关资质单位处理，并签订处理处置协议。</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bCs/>
                      <w:color w:val="auto"/>
                      <w:sz w:val="18"/>
                      <w:szCs w:val="18"/>
                    </w:rPr>
                  </w:pPr>
                  <w:r>
                    <w:rPr>
                      <w:rFonts w:hint="eastAsia"/>
                      <w:color w:val="auto"/>
                      <w:spacing w:val="-3"/>
                      <w:sz w:val="18"/>
                      <w:szCs w:val="18"/>
                    </w:rPr>
                    <w:t>病理性废物</w:t>
                  </w:r>
                  <w:r>
                    <w:rPr>
                      <w:rFonts w:hint="eastAsia"/>
                      <w:color w:val="auto"/>
                      <w:spacing w:val="-3"/>
                      <w:sz w:val="18"/>
                      <w:szCs w:val="18"/>
                      <w:lang w:eastAsia="zh-CN"/>
                    </w:rPr>
                    <w:t>：</w:t>
                  </w:r>
                  <w:r>
                    <w:rPr>
                      <w:rFonts w:hint="eastAsia"/>
                      <w:color w:val="auto"/>
                      <w:sz w:val="18"/>
                      <w:szCs w:val="18"/>
                      <w:lang w:val="zh-CN"/>
                    </w:rPr>
                    <w:t>动物切除组织暂时冷藏，交由有资质单位处置，并签订处置协议，动物尸体暂时冷藏，并与当日联系有资质的焚化站拉走处理，不过夜，并签订处置协议</w:t>
                  </w:r>
                  <w:r>
                    <w:rPr>
                      <w:rFonts w:hint="eastAsia"/>
                      <w:color w:val="auto"/>
                      <w:spacing w:val="-3"/>
                      <w:sz w:val="18"/>
                      <w:szCs w:val="18"/>
                    </w:rPr>
                    <w:t>。</w:t>
                  </w:r>
                </w:p>
              </w:tc>
              <w:tc>
                <w:tcPr>
                  <w:tcW w:w="777" w:type="dxa"/>
                  <w:tcBorders>
                    <w:tl2br w:val="nil"/>
                    <w:tr2bl w:val="nil"/>
                  </w:tcBorders>
                  <w:noWrap/>
                  <w:vAlign w:val="center"/>
                </w:tcPr>
                <w:p>
                  <w:pPr>
                    <w:pStyle w:val="33"/>
                    <w:spacing w:before="24" w:after="24"/>
                    <w:rPr>
                      <w:rFonts w:hint="default" w:ascii="Times New Roman" w:eastAsia="宋体"/>
                      <w:color w:val="auto"/>
                      <w:sz w:val="18"/>
                      <w:szCs w:val="18"/>
                      <w:lang w:val="en-US" w:eastAsia="zh-CN"/>
                    </w:rPr>
                  </w:pPr>
                  <w:r>
                    <w:rPr>
                      <w:rFonts w:hint="eastAsia" w:ascii="Times New Roman"/>
                      <w:color w:val="auto"/>
                      <w:sz w:val="18"/>
                      <w:szCs w:val="18"/>
                      <w:lang w:val="en-US" w:eastAsia="zh-CN"/>
                    </w:rPr>
                    <w:t>1.5</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spacing w:line="240" w:lineRule="auto"/>
                    <w:rPr>
                      <w:rFonts w:hint="eastAsia"/>
                      <w:color w:val="auto"/>
                      <w:spacing w:val="-3"/>
                      <w:sz w:val="18"/>
                      <w:szCs w:val="18"/>
                    </w:rPr>
                  </w:pPr>
                  <w:r>
                    <w:rPr>
                      <w:rFonts w:hint="eastAsia" w:eastAsia="宋体"/>
                      <w:color w:val="auto"/>
                      <w:spacing w:val="-3"/>
                      <w:sz w:val="18"/>
                      <w:szCs w:val="18"/>
                      <w:lang w:eastAsia="zh-CN"/>
                    </w:rPr>
                    <w:t>废活性炭：</w:t>
                  </w:r>
                  <w:r>
                    <w:rPr>
                      <w:rFonts w:hint="eastAsia" w:eastAsia="宋体"/>
                      <w:color w:val="auto"/>
                      <w:spacing w:val="-3"/>
                      <w:sz w:val="18"/>
                      <w:szCs w:val="18"/>
                    </w:rPr>
                    <w:t>集中收集后贮存在医疗废物暂存间的收集桶内，定期由有资质企业处置。</w:t>
                  </w:r>
                </w:p>
              </w:tc>
              <w:tc>
                <w:tcPr>
                  <w:tcW w:w="777" w:type="dxa"/>
                  <w:tcBorders>
                    <w:tl2br w:val="nil"/>
                    <w:tr2bl w:val="nil"/>
                  </w:tcBorders>
                  <w:noWrap/>
                  <w:vAlign w:val="center"/>
                </w:tcPr>
                <w:p>
                  <w:pPr>
                    <w:pStyle w:val="33"/>
                    <w:spacing w:before="24" w:after="24"/>
                    <w:rPr>
                      <w:rFonts w:hint="eastAsia"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hint="eastAsia" w:ascii="Times New Roman"/>
                      <w:color w:val="auto"/>
                      <w:sz w:val="18"/>
                      <w:szCs w:val="18"/>
                    </w:rPr>
                  </w:pPr>
                  <w:r>
                    <w:rPr>
                      <w:rFonts w:hint="eastAsia"/>
                      <w:color w:val="auto"/>
                      <w:sz w:val="18"/>
                      <w:szCs w:val="18"/>
                      <w:lang w:val="en-US" w:eastAsia="zh-CN"/>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vMerge w:val="continue"/>
                  <w:tcBorders>
                    <w:tl2br w:val="nil"/>
                    <w:tr2bl w:val="nil"/>
                  </w:tcBorders>
                  <w:noWrap/>
                  <w:vAlign w:val="center"/>
                </w:tcPr>
                <w:p>
                  <w:pPr>
                    <w:pStyle w:val="33"/>
                    <w:spacing w:before="24" w:after="24"/>
                    <w:rPr>
                      <w:rFonts w:ascii="Times New Roman"/>
                      <w:color w:val="auto"/>
                      <w:sz w:val="18"/>
                      <w:szCs w:val="18"/>
                    </w:rPr>
                  </w:pPr>
                </w:p>
              </w:tc>
              <w:tc>
                <w:tcPr>
                  <w:tcW w:w="798" w:type="dxa"/>
                  <w:vMerge w:val="continue"/>
                  <w:tcBorders>
                    <w:tl2br w:val="nil"/>
                    <w:tr2bl w:val="nil"/>
                  </w:tcBorders>
                  <w:noWrap/>
                  <w:vAlign w:val="center"/>
                </w:tcPr>
                <w:p>
                  <w:pPr>
                    <w:pStyle w:val="33"/>
                    <w:spacing w:before="24" w:after="24"/>
                    <w:rPr>
                      <w:rFonts w:ascii="Times New Roman"/>
                      <w:color w:val="auto"/>
                      <w:sz w:val="18"/>
                      <w:szCs w:val="18"/>
                    </w:rPr>
                  </w:pPr>
                </w:p>
              </w:tc>
              <w:tc>
                <w:tcPr>
                  <w:tcW w:w="5177" w:type="dxa"/>
                  <w:tcBorders>
                    <w:tl2br w:val="nil"/>
                    <w:tr2bl w:val="nil"/>
                  </w:tcBorders>
                  <w:noWrap/>
                  <w:vAlign w:val="center"/>
                </w:tcPr>
                <w:p>
                  <w:pPr>
                    <w:rPr>
                      <w:bCs/>
                      <w:color w:val="auto"/>
                      <w:sz w:val="18"/>
                      <w:szCs w:val="18"/>
                    </w:rPr>
                  </w:pPr>
                  <w:r>
                    <w:rPr>
                      <w:rFonts w:hint="eastAsia"/>
                      <w:color w:val="auto"/>
                      <w:spacing w:val="-3"/>
                      <w:sz w:val="18"/>
                      <w:szCs w:val="18"/>
                    </w:rPr>
                    <w:t>药物性废物</w:t>
                  </w:r>
                  <w:r>
                    <w:rPr>
                      <w:rFonts w:hint="eastAsia"/>
                      <w:color w:val="auto"/>
                      <w:spacing w:val="-3"/>
                      <w:sz w:val="18"/>
                      <w:szCs w:val="18"/>
                      <w:lang w:eastAsia="zh-CN"/>
                    </w:rPr>
                    <w:t>：</w:t>
                  </w:r>
                  <w:r>
                    <w:rPr>
                      <w:rFonts w:hint="eastAsia"/>
                      <w:color w:val="auto"/>
                      <w:spacing w:val="-3"/>
                      <w:sz w:val="18"/>
                      <w:szCs w:val="18"/>
                    </w:rPr>
                    <w:t>医院只有少量的过期药品，收集在医疗废物暂存间，医疗废物暂存间重点防渗，返回厂家。</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77" w:hRule="atLeast"/>
                <w:jc w:val="center"/>
              </w:trPr>
              <w:tc>
                <w:tcPr>
                  <w:tcW w:w="690"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地下水</w:t>
                  </w:r>
                </w:p>
              </w:tc>
              <w:tc>
                <w:tcPr>
                  <w:tcW w:w="798"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运营期</w:t>
                  </w:r>
                </w:p>
              </w:tc>
              <w:tc>
                <w:tcPr>
                  <w:tcW w:w="5177" w:type="dxa"/>
                  <w:tcBorders>
                    <w:tl2br w:val="nil"/>
                    <w:tr2bl w:val="nil"/>
                  </w:tcBorders>
                  <w:noWrap/>
                  <w:vAlign w:val="center"/>
                </w:tcPr>
                <w:p>
                  <w:pPr>
                    <w:rPr>
                      <w:color w:val="auto"/>
                      <w:spacing w:val="-3"/>
                      <w:sz w:val="18"/>
                      <w:szCs w:val="18"/>
                    </w:rPr>
                  </w:pPr>
                  <w:r>
                    <w:rPr>
                      <w:color w:val="auto"/>
                      <w:sz w:val="18"/>
                      <w:szCs w:val="18"/>
                    </w:rPr>
                    <w:t>危废间</w:t>
                  </w:r>
                  <w:r>
                    <w:rPr>
                      <w:rFonts w:hint="eastAsia"/>
                      <w:color w:val="auto"/>
                      <w:sz w:val="18"/>
                      <w:szCs w:val="18"/>
                    </w:rPr>
                    <w:t>、污水</w:t>
                  </w:r>
                  <w:r>
                    <w:rPr>
                      <w:rFonts w:hint="eastAsia"/>
                      <w:color w:val="auto"/>
                      <w:sz w:val="18"/>
                      <w:szCs w:val="18"/>
                      <w:lang w:eastAsia="zh-CN"/>
                    </w:rPr>
                    <w:t>消毒池</w:t>
                  </w:r>
                  <w:r>
                    <w:rPr>
                      <w:color w:val="auto"/>
                      <w:sz w:val="18"/>
                      <w:szCs w:val="18"/>
                    </w:rPr>
                    <w:t>进行重点防渗（</w:t>
                  </w:r>
                  <w:r>
                    <w:rPr>
                      <w:color w:val="auto"/>
                      <w:spacing w:val="-3"/>
                      <w:sz w:val="18"/>
                      <w:szCs w:val="18"/>
                    </w:rPr>
                    <w:t>防渗混凝土+</w:t>
                  </w:r>
                  <w:r>
                    <w:rPr>
                      <w:rFonts w:hint="eastAsia"/>
                      <w:color w:val="auto"/>
                      <w:spacing w:val="-3"/>
                      <w:sz w:val="18"/>
                      <w:szCs w:val="18"/>
                      <w:lang w:eastAsia="zh-CN"/>
                    </w:rPr>
                    <w:t>托盘</w:t>
                  </w:r>
                  <w:r>
                    <w:rPr>
                      <w:color w:val="auto"/>
                      <w:spacing w:val="-3"/>
                      <w:sz w:val="18"/>
                      <w:szCs w:val="18"/>
                    </w:rPr>
                    <w:t>）</w:t>
                  </w:r>
                </w:p>
                <w:p>
                  <w:pPr>
                    <w:rPr>
                      <w:color w:val="auto"/>
                      <w:sz w:val="18"/>
                      <w:szCs w:val="18"/>
                    </w:rPr>
                  </w:pPr>
                  <w:r>
                    <w:rPr>
                      <w:rFonts w:hint="eastAsia"/>
                      <w:color w:val="auto"/>
                      <w:spacing w:val="-3"/>
                      <w:sz w:val="18"/>
                      <w:szCs w:val="18"/>
                    </w:rPr>
                    <w:t>综合楼其他区域</w:t>
                  </w:r>
                  <w:r>
                    <w:rPr>
                      <w:color w:val="auto"/>
                      <w:spacing w:val="-3"/>
                      <w:sz w:val="18"/>
                      <w:szCs w:val="18"/>
                    </w:rPr>
                    <w:t>一般防渗（防渗混凝土）</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计算到固废</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90" w:type="dxa"/>
                  <w:vMerge w:val="restart"/>
                  <w:tcBorders>
                    <w:tl2br w:val="nil"/>
                    <w:tr2bl w:val="nil"/>
                  </w:tcBorders>
                  <w:noWrap/>
                  <w:vAlign w:val="center"/>
                </w:tcPr>
                <w:p>
                  <w:pPr>
                    <w:pStyle w:val="33"/>
                    <w:spacing w:before="24" w:after="24"/>
                    <w:rPr>
                      <w:rFonts w:ascii="Times New Roman"/>
                      <w:color w:val="auto"/>
                      <w:sz w:val="18"/>
                      <w:szCs w:val="18"/>
                    </w:rPr>
                  </w:pPr>
                  <w:r>
                    <w:rPr>
                      <w:rStyle w:val="42"/>
                      <w:rFonts w:hint="eastAsia" w:ascii="Times New Roman" w:cs="Times New Roman"/>
                      <w:b w:val="0"/>
                      <w:color w:val="auto"/>
                      <w:sz w:val="18"/>
                      <w:szCs w:val="18"/>
                    </w:rPr>
                    <w:t>其他</w:t>
                  </w:r>
                </w:p>
              </w:tc>
              <w:tc>
                <w:tcPr>
                  <w:tcW w:w="798"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风险防范措施</w:t>
                  </w:r>
                </w:p>
              </w:tc>
              <w:tc>
                <w:tcPr>
                  <w:tcW w:w="5177" w:type="dxa"/>
                  <w:tcBorders>
                    <w:tl2br w:val="nil"/>
                    <w:tr2bl w:val="nil"/>
                  </w:tcBorders>
                  <w:noWrap/>
                  <w:vAlign w:val="center"/>
                </w:tcPr>
                <w:p>
                  <w:pPr>
                    <w:pStyle w:val="33"/>
                    <w:spacing w:before="24" w:after="24"/>
                    <w:jc w:val="both"/>
                    <w:rPr>
                      <w:rFonts w:ascii="Times New Roman"/>
                      <w:color w:val="auto"/>
                      <w:sz w:val="18"/>
                      <w:szCs w:val="18"/>
                    </w:rPr>
                  </w:pPr>
                  <w:r>
                    <w:rPr>
                      <w:rFonts w:ascii="Times New Roman"/>
                      <w:color w:val="auto"/>
                      <w:sz w:val="18"/>
                      <w:szCs w:val="18"/>
                    </w:rPr>
                    <w:t>做好于医疗废物暂存间</w:t>
                  </w:r>
                  <w:r>
                    <w:rPr>
                      <w:rFonts w:hint="eastAsia" w:ascii="Times New Roman"/>
                      <w:color w:val="auto"/>
                      <w:sz w:val="18"/>
                      <w:szCs w:val="18"/>
                    </w:rPr>
                    <w:t>泄露和废水事故性排放</w:t>
                  </w:r>
                  <w:r>
                    <w:rPr>
                      <w:rFonts w:ascii="Times New Roman"/>
                      <w:color w:val="auto"/>
                      <w:sz w:val="18"/>
                      <w:szCs w:val="18"/>
                    </w:rPr>
                    <w:t>防范</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1</w:t>
                  </w:r>
                  <w:r>
                    <w:rPr>
                      <w:rFonts w:ascii="Times New Roman"/>
                      <w:color w:val="auto"/>
                      <w:sz w:val="18"/>
                      <w:szCs w:val="18"/>
                    </w:rPr>
                    <w:t>.0</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690" w:type="dxa"/>
                  <w:vMerge w:val="continue"/>
                  <w:tcBorders>
                    <w:tl2br w:val="nil"/>
                    <w:tr2bl w:val="nil"/>
                  </w:tcBorders>
                  <w:noWrap/>
                  <w:vAlign w:val="center"/>
                </w:tcPr>
                <w:p>
                  <w:pPr>
                    <w:pStyle w:val="33"/>
                    <w:spacing w:before="24" w:after="24"/>
                    <w:rPr>
                      <w:rStyle w:val="42"/>
                      <w:rFonts w:ascii="Times New Roman" w:cs="Times New Roman"/>
                      <w:b w:val="0"/>
                      <w:color w:val="auto"/>
                      <w:sz w:val="18"/>
                      <w:szCs w:val="18"/>
                    </w:rPr>
                  </w:pPr>
                </w:p>
              </w:tc>
              <w:tc>
                <w:tcPr>
                  <w:tcW w:w="798" w:type="dxa"/>
                  <w:tcBorders>
                    <w:tl2br w:val="nil"/>
                    <w:tr2bl w:val="nil"/>
                  </w:tcBorders>
                  <w:noWrap/>
                  <w:vAlign w:val="center"/>
                </w:tcPr>
                <w:p>
                  <w:pPr>
                    <w:jc w:val="center"/>
                    <w:rPr>
                      <w:color w:val="auto"/>
                      <w:sz w:val="18"/>
                      <w:szCs w:val="18"/>
                    </w:rPr>
                  </w:pPr>
                  <w:r>
                    <w:rPr>
                      <w:color w:val="auto"/>
                      <w:sz w:val="18"/>
                      <w:szCs w:val="18"/>
                    </w:rPr>
                    <w:t>企业自行监测计划</w:t>
                  </w:r>
                </w:p>
              </w:tc>
              <w:tc>
                <w:tcPr>
                  <w:tcW w:w="5177" w:type="dxa"/>
                  <w:tcBorders>
                    <w:tl2br w:val="nil"/>
                    <w:tr2bl w:val="nil"/>
                  </w:tcBorders>
                  <w:noWrap/>
                  <w:vAlign w:val="center"/>
                </w:tcPr>
                <w:p>
                  <w:pPr>
                    <w:jc w:val="center"/>
                    <w:rPr>
                      <w:rFonts w:hint="eastAsia" w:eastAsia="宋体"/>
                      <w:color w:val="auto"/>
                      <w:sz w:val="18"/>
                      <w:szCs w:val="18"/>
                      <w:lang w:val="en-US" w:eastAsia="zh-CN"/>
                    </w:rPr>
                  </w:pPr>
                  <w:r>
                    <w:rPr>
                      <w:color w:val="auto"/>
                      <w:sz w:val="18"/>
                      <w:szCs w:val="18"/>
                    </w:rPr>
                    <w:t>见表</w:t>
                  </w:r>
                  <w:r>
                    <w:rPr>
                      <w:rFonts w:hint="eastAsia"/>
                      <w:color w:val="auto"/>
                      <w:sz w:val="18"/>
                      <w:szCs w:val="18"/>
                    </w:rPr>
                    <w:t>4</w:t>
                  </w:r>
                  <w:r>
                    <w:rPr>
                      <w:color w:val="auto"/>
                      <w:sz w:val="18"/>
                      <w:szCs w:val="18"/>
                    </w:rPr>
                    <w:t>-</w:t>
                  </w:r>
                  <w:r>
                    <w:rPr>
                      <w:rFonts w:hint="eastAsia"/>
                      <w:color w:val="auto"/>
                      <w:sz w:val="18"/>
                      <w:szCs w:val="18"/>
                    </w:rPr>
                    <w:t>1、4-4、4-</w:t>
                  </w:r>
                  <w:r>
                    <w:rPr>
                      <w:rFonts w:hint="eastAsia"/>
                      <w:color w:val="auto"/>
                      <w:sz w:val="18"/>
                      <w:szCs w:val="18"/>
                      <w:lang w:val="en-US" w:eastAsia="zh-CN"/>
                    </w:rPr>
                    <w:t>6</w:t>
                  </w:r>
                </w:p>
              </w:tc>
              <w:tc>
                <w:tcPr>
                  <w:tcW w:w="777" w:type="dxa"/>
                  <w:tcBorders>
                    <w:tl2br w:val="nil"/>
                    <w:tr2bl w:val="nil"/>
                  </w:tcBorders>
                  <w:noWrap/>
                  <w:vAlign w:val="center"/>
                </w:tcPr>
                <w:p>
                  <w:pPr>
                    <w:jc w:val="center"/>
                    <w:rPr>
                      <w:color w:val="auto"/>
                      <w:sz w:val="18"/>
                      <w:szCs w:val="18"/>
                    </w:rPr>
                  </w:pPr>
                  <w:r>
                    <w:rPr>
                      <w:rFonts w:hint="eastAsia"/>
                      <w:color w:val="auto"/>
                      <w:sz w:val="18"/>
                      <w:szCs w:val="18"/>
                    </w:rPr>
                    <w:t>1.0</w:t>
                  </w:r>
                </w:p>
              </w:tc>
              <w:tc>
                <w:tcPr>
                  <w:tcW w:w="716" w:type="dxa"/>
                  <w:tcBorders>
                    <w:tl2br w:val="nil"/>
                    <w:tr2bl w:val="nil"/>
                  </w:tcBorders>
                  <w:noWrap/>
                  <w:vAlign w:val="center"/>
                </w:tcPr>
                <w:p>
                  <w:pPr>
                    <w:jc w:val="center"/>
                    <w:rPr>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690"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环境管理</w:t>
                  </w:r>
                </w:p>
              </w:tc>
              <w:tc>
                <w:tcPr>
                  <w:tcW w:w="798"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运营期</w:t>
                  </w:r>
                </w:p>
              </w:tc>
              <w:tc>
                <w:tcPr>
                  <w:tcW w:w="5177"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安排管理人员负责</w:t>
                  </w:r>
                  <w:r>
                    <w:rPr>
                      <w:rFonts w:hint="eastAsia" w:ascii="Times New Roman"/>
                      <w:color w:val="auto"/>
                      <w:sz w:val="18"/>
                      <w:szCs w:val="18"/>
                    </w:rPr>
                    <w:t>实验室</w:t>
                  </w:r>
                  <w:r>
                    <w:rPr>
                      <w:rFonts w:ascii="Times New Roman"/>
                      <w:color w:val="auto"/>
                      <w:sz w:val="18"/>
                      <w:szCs w:val="18"/>
                    </w:rPr>
                    <w:t>的环境管理，做好</w:t>
                  </w:r>
                  <w:r>
                    <w:rPr>
                      <w:rFonts w:hint="eastAsia" w:ascii="Times New Roman"/>
                      <w:color w:val="auto"/>
                      <w:sz w:val="18"/>
                      <w:szCs w:val="18"/>
                    </w:rPr>
                    <w:t>实验室</w:t>
                  </w:r>
                  <w:r>
                    <w:rPr>
                      <w:rFonts w:ascii="Times New Roman"/>
                      <w:color w:val="auto"/>
                      <w:sz w:val="18"/>
                      <w:szCs w:val="18"/>
                    </w:rPr>
                    <w:t>危废处理台账</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新建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488" w:type="dxa"/>
                  <w:gridSpan w:val="2"/>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合计</w:t>
                  </w:r>
                </w:p>
              </w:tc>
              <w:tc>
                <w:tcPr>
                  <w:tcW w:w="5177"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w:t>
                  </w:r>
                </w:p>
              </w:tc>
              <w:tc>
                <w:tcPr>
                  <w:tcW w:w="777" w:type="dxa"/>
                  <w:tcBorders>
                    <w:tl2br w:val="nil"/>
                    <w:tr2bl w:val="nil"/>
                  </w:tcBorders>
                  <w:noWrap/>
                  <w:vAlign w:val="center"/>
                </w:tcPr>
                <w:p>
                  <w:pPr>
                    <w:pStyle w:val="33"/>
                    <w:spacing w:before="24" w:after="24"/>
                    <w:rPr>
                      <w:rFonts w:ascii="Times New Roman"/>
                      <w:color w:val="auto"/>
                      <w:sz w:val="18"/>
                      <w:szCs w:val="18"/>
                    </w:rPr>
                  </w:pPr>
                  <w:r>
                    <w:rPr>
                      <w:rFonts w:hint="eastAsia" w:ascii="Times New Roman"/>
                      <w:color w:val="auto"/>
                      <w:sz w:val="18"/>
                      <w:szCs w:val="18"/>
                    </w:rPr>
                    <w:t>21</w:t>
                  </w:r>
                </w:p>
              </w:tc>
              <w:tc>
                <w:tcPr>
                  <w:tcW w:w="716" w:type="dxa"/>
                  <w:tcBorders>
                    <w:tl2br w:val="nil"/>
                    <w:tr2bl w:val="nil"/>
                  </w:tcBorders>
                  <w:noWrap/>
                  <w:vAlign w:val="center"/>
                </w:tcPr>
                <w:p>
                  <w:pPr>
                    <w:pStyle w:val="33"/>
                    <w:spacing w:before="24" w:after="24"/>
                    <w:rPr>
                      <w:rFonts w:ascii="Times New Roman"/>
                      <w:color w:val="auto"/>
                      <w:sz w:val="18"/>
                      <w:szCs w:val="18"/>
                    </w:rPr>
                  </w:pPr>
                  <w:r>
                    <w:rPr>
                      <w:rFonts w:ascii="Times New Roman"/>
                      <w:color w:val="auto"/>
                      <w:sz w:val="18"/>
                      <w:szCs w:val="18"/>
                    </w:rPr>
                    <w:t>/</w:t>
                  </w:r>
                </w:p>
              </w:tc>
            </w:tr>
          </w:tbl>
          <w:p>
            <w:pPr>
              <w:adjustRightInd w:val="0"/>
              <w:snapToGrid w:val="0"/>
              <w:rPr>
                <w:bCs/>
                <w:color w:val="auto"/>
                <w:spacing w:val="-10"/>
                <w:szCs w:val="21"/>
              </w:rPr>
            </w:pPr>
          </w:p>
        </w:tc>
      </w:tr>
    </w:tbl>
    <w:p>
      <w:pPr>
        <w:adjustRightInd w:val="0"/>
        <w:snapToGrid w:val="0"/>
        <w:spacing w:line="360" w:lineRule="auto"/>
        <w:rPr>
          <w:b/>
          <w:color w:val="auto"/>
          <w:kern w:val="0"/>
          <w:sz w:val="28"/>
          <w:szCs w:val="28"/>
        </w:rPr>
        <w:sectPr>
          <w:pgSz w:w="11907" w:h="16840"/>
          <w:pgMar w:top="1701" w:right="1531" w:bottom="2127" w:left="1531" w:header="851" w:footer="851" w:gutter="0"/>
          <w:pgBorders>
            <w:top w:val="none" w:sz="0" w:space="0"/>
            <w:left w:val="none" w:sz="0" w:space="0"/>
            <w:bottom w:val="none" w:sz="0" w:space="0"/>
            <w:right w:val="none" w:sz="0" w:space="0"/>
          </w:pgBorders>
          <w:cols w:space="720" w:num="1"/>
          <w:docGrid w:linePitch="312" w:charSpace="0"/>
        </w:sectPr>
      </w:pPr>
    </w:p>
    <w:p>
      <w:pPr>
        <w:pStyle w:val="19"/>
        <w:jc w:val="center"/>
        <w:outlineLvl w:val="0"/>
        <w:rPr>
          <w:rFonts w:ascii="Times New Roman" w:hAnsi="Times New Roman" w:eastAsia="黑体"/>
          <w:snapToGrid w:val="0"/>
          <w:color w:val="auto"/>
          <w:sz w:val="30"/>
          <w:szCs w:val="30"/>
        </w:rPr>
      </w:pPr>
      <w:r>
        <w:rPr>
          <w:rFonts w:ascii="Times New Roman" w:hAnsi="Times New Roman" w:eastAsia="黑体"/>
          <w:snapToGrid w:val="0"/>
          <w:color w:val="auto"/>
          <w:sz w:val="30"/>
          <w:szCs w:val="30"/>
        </w:rPr>
        <w:t>五、</w:t>
      </w:r>
      <w:bookmarkStart w:id="15" w:name="_Hlk54167917"/>
      <w:r>
        <w:rPr>
          <w:rFonts w:ascii="Times New Roman" w:hAnsi="Times New Roman" w:eastAsia="黑体"/>
          <w:snapToGrid w:val="0"/>
          <w:color w:val="auto"/>
          <w:sz w:val="30"/>
          <w:szCs w:val="30"/>
        </w:rPr>
        <w:t>环境保护措施监督检查清单</w:t>
      </w:r>
      <w:bookmarkEnd w:id="15"/>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8"/>
        <w:gridCol w:w="1755"/>
        <w:gridCol w:w="1755"/>
        <w:gridCol w:w="2334"/>
        <w:gridCol w:w="117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tcBorders>
              <w:tl2br w:val="single" w:color="auto" w:sz="4" w:space="0"/>
            </w:tcBorders>
            <w:noWrap/>
          </w:tcPr>
          <w:p>
            <w:pPr>
              <w:adjustRightInd w:val="0"/>
              <w:snapToGrid w:val="0"/>
              <w:ind w:firstLine="840"/>
              <w:rPr>
                <w:color w:val="auto"/>
                <w:szCs w:val="21"/>
              </w:rPr>
            </w:pPr>
            <w:r>
              <w:rPr>
                <w:color w:val="auto"/>
                <w:szCs w:val="21"/>
              </w:rPr>
              <w:t>内容</w:t>
            </w:r>
          </w:p>
          <w:p>
            <w:pPr>
              <w:adjustRightInd w:val="0"/>
              <w:snapToGrid w:val="0"/>
              <w:rPr>
                <w:color w:val="auto"/>
                <w:szCs w:val="21"/>
              </w:rPr>
            </w:pPr>
            <w:r>
              <w:rPr>
                <w:color w:val="auto"/>
                <w:szCs w:val="21"/>
              </w:rPr>
              <w:t>要素</w:t>
            </w:r>
          </w:p>
        </w:tc>
        <w:tc>
          <w:tcPr>
            <w:tcW w:w="1755" w:type="dxa"/>
            <w:noWrap/>
            <w:vAlign w:val="center"/>
          </w:tcPr>
          <w:p>
            <w:pPr>
              <w:adjustRightInd w:val="0"/>
              <w:snapToGrid w:val="0"/>
              <w:jc w:val="center"/>
              <w:rPr>
                <w:color w:val="auto"/>
                <w:szCs w:val="21"/>
              </w:rPr>
            </w:pPr>
            <w:r>
              <w:rPr>
                <w:color w:val="auto"/>
                <w:szCs w:val="21"/>
              </w:rPr>
              <w:t>排放口(编号、</w:t>
            </w:r>
          </w:p>
          <w:p>
            <w:pPr>
              <w:adjustRightInd w:val="0"/>
              <w:snapToGrid w:val="0"/>
              <w:jc w:val="center"/>
              <w:rPr>
                <w:color w:val="auto"/>
                <w:szCs w:val="21"/>
              </w:rPr>
            </w:pPr>
            <w:r>
              <w:rPr>
                <w:color w:val="auto"/>
                <w:szCs w:val="21"/>
              </w:rPr>
              <w:t>名称)/污染源</w:t>
            </w:r>
          </w:p>
        </w:tc>
        <w:tc>
          <w:tcPr>
            <w:tcW w:w="1755" w:type="dxa"/>
            <w:noWrap/>
            <w:vAlign w:val="center"/>
          </w:tcPr>
          <w:p>
            <w:pPr>
              <w:adjustRightInd w:val="0"/>
              <w:snapToGrid w:val="0"/>
              <w:jc w:val="center"/>
              <w:rPr>
                <w:color w:val="auto"/>
                <w:szCs w:val="21"/>
              </w:rPr>
            </w:pPr>
            <w:r>
              <w:rPr>
                <w:color w:val="auto"/>
                <w:szCs w:val="21"/>
              </w:rPr>
              <w:t>污染物项目</w:t>
            </w:r>
          </w:p>
        </w:tc>
        <w:tc>
          <w:tcPr>
            <w:tcW w:w="2334" w:type="dxa"/>
            <w:noWrap/>
            <w:vAlign w:val="center"/>
          </w:tcPr>
          <w:p>
            <w:pPr>
              <w:adjustRightInd w:val="0"/>
              <w:snapToGrid w:val="0"/>
              <w:jc w:val="center"/>
              <w:rPr>
                <w:color w:val="auto"/>
                <w:szCs w:val="21"/>
              </w:rPr>
            </w:pPr>
            <w:r>
              <w:rPr>
                <w:color w:val="auto"/>
                <w:szCs w:val="21"/>
              </w:rPr>
              <w:t>环境保护措施</w:t>
            </w:r>
          </w:p>
        </w:tc>
        <w:tc>
          <w:tcPr>
            <w:tcW w:w="1178" w:type="dxa"/>
            <w:noWrap/>
            <w:vAlign w:val="center"/>
          </w:tcPr>
          <w:p>
            <w:pPr>
              <w:adjustRightInd w:val="0"/>
              <w:snapToGrid w:val="0"/>
              <w:jc w:val="center"/>
              <w:rPr>
                <w:color w:val="auto"/>
                <w:szCs w:val="21"/>
              </w:rPr>
            </w:pPr>
            <w:r>
              <w:rPr>
                <w:color w:val="auto"/>
                <w:szCs w:val="21"/>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vMerge w:val="restart"/>
            <w:noWrap/>
            <w:vAlign w:val="center"/>
          </w:tcPr>
          <w:p>
            <w:pPr>
              <w:adjustRightInd w:val="0"/>
              <w:snapToGrid w:val="0"/>
              <w:jc w:val="center"/>
              <w:rPr>
                <w:color w:val="auto"/>
                <w:szCs w:val="21"/>
              </w:rPr>
            </w:pPr>
            <w:r>
              <w:rPr>
                <w:color w:val="auto"/>
                <w:szCs w:val="21"/>
              </w:rPr>
              <w:t>大气环境</w:t>
            </w:r>
          </w:p>
        </w:tc>
        <w:tc>
          <w:tcPr>
            <w:tcW w:w="1755" w:type="dxa"/>
            <w:noWrap/>
            <w:vAlign w:val="center"/>
          </w:tcPr>
          <w:p>
            <w:pPr>
              <w:adjustRightInd w:val="0"/>
              <w:snapToGrid w:val="0"/>
              <w:jc w:val="center"/>
              <w:rPr>
                <w:color w:val="auto"/>
                <w:szCs w:val="21"/>
              </w:rPr>
            </w:pPr>
            <w:r>
              <w:rPr>
                <w:bCs/>
                <w:color w:val="auto"/>
                <w:szCs w:val="21"/>
              </w:rPr>
              <w:t>医疗废物暂存间产生的恶臭</w:t>
            </w:r>
          </w:p>
        </w:tc>
        <w:tc>
          <w:tcPr>
            <w:tcW w:w="1755" w:type="dxa"/>
            <w:noWrap/>
            <w:vAlign w:val="center"/>
          </w:tcPr>
          <w:p>
            <w:pPr>
              <w:adjustRightInd w:val="0"/>
              <w:snapToGrid w:val="0"/>
              <w:jc w:val="center"/>
              <w:rPr>
                <w:color w:val="auto"/>
                <w:szCs w:val="21"/>
              </w:rPr>
            </w:pPr>
            <w:r>
              <w:rPr>
                <w:bCs/>
                <w:color w:val="auto"/>
                <w:szCs w:val="21"/>
              </w:rPr>
              <w:t>医疗废物暂存间产生的恶臭</w:t>
            </w:r>
          </w:p>
        </w:tc>
        <w:tc>
          <w:tcPr>
            <w:tcW w:w="2334" w:type="dxa"/>
            <w:noWrap/>
            <w:vAlign w:val="center"/>
          </w:tcPr>
          <w:p>
            <w:pPr>
              <w:rPr>
                <w:color w:val="auto"/>
                <w:szCs w:val="21"/>
              </w:rPr>
            </w:pPr>
            <w:r>
              <w:rPr>
                <w:bCs/>
                <w:color w:val="auto"/>
                <w:szCs w:val="21"/>
              </w:rPr>
              <w:t>医疗废物的密封、清运和消毒工作，加强管理，定期进行医疗废物暂存间储存设施、设备的清洁和消毒工作，并喷洒生物除臭剂；</w:t>
            </w:r>
          </w:p>
        </w:tc>
        <w:tc>
          <w:tcPr>
            <w:tcW w:w="1178" w:type="dxa"/>
            <w:noWrap/>
            <w:vAlign w:val="center"/>
          </w:tcPr>
          <w:p>
            <w:pPr>
              <w:wordWrap w:val="0"/>
              <w:topLinePunct/>
              <w:rPr>
                <w:color w:val="auto"/>
                <w:szCs w:val="21"/>
              </w:rPr>
            </w:pPr>
            <w:r>
              <w:rPr>
                <w:rFonts w:hint="eastAsia"/>
                <w:color w:val="auto"/>
                <w:szCs w:val="21"/>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vMerge w:val="continue"/>
            <w:noWrap/>
            <w:vAlign w:val="center"/>
          </w:tcPr>
          <w:p>
            <w:pPr>
              <w:adjustRightInd w:val="0"/>
              <w:snapToGrid w:val="0"/>
              <w:jc w:val="center"/>
              <w:rPr>
                <w:color w:val="auto"/>
                <w:szCs w:val="21"/>
              </w:rPr>
            </w:pPr>
          </w:p>
        </w:tc>
        <w:tc>
          <w:tcPr>
            <w:tcW w:w="1755" w:type="dxa"/>
            <w:noWrap/>
            <w:vAlign w:val="center"/>
          </w:tcPr>
          <w:p>
            <w:pPr>
              <w:adjustRightInd w:val="0"/>
              <w:snapToGrid w:val="0"/>
              <w:jc w:val="center"/>
              <w:rPr>
                <w:color w:val="auto"/>
                <w:szCs w:val="21"/>
              </w:rPr>
            </w:pPr>
            <w:r>
              <w:rPr>
                <w:bCs/>
                <w:color w:val="auto"/>
                <w:szCs w:val="21"/>
              </w:rPr>
              <w:t>污水处理设施</w:t>
            </w:r>
            <w:r>
              <w:rPr>
                <w:rFonts w:hint="eastAsia"/>
                <w:bCs/>
                <w:color w:val="auto"/>
                <w:szCs w:val="21"/>
              </w:rPr>
              <w:t>产生的</w:t>
            </w:r>
            <w:r>
              <w:rPr>
                <w:bCs/>
                <w:color w:val="auto"/>
                <w:szCs w:val="21"/>
              </w:rPr>
              <w:t>恶臭</w:t>
            </w:r>
          </w:p>
        </w:tc>
        <w:tc>
          <w:tcPr>
            <w:tcW w:w="1755" w:type="dxa"/>
            <w:noWrap/>
            <w:vAlign w:val="center"/>
          </w:tcPr>
          <w:p>
            <w:pPr>
              <w:adjustRightInd w:val="0"/>
              <w:snapToGrid w:val="0"/>
              <w:jc w:val="center"/>
              <w:rPr>
                <w:color w:val="auto"/>
                <w:szCs w:val="21"/>
              </w:rPr>
            </w:pPr>
            <w:r>
              <w:rPr>
                <w:bCs/>
                <w:color w:val="auto"/>
                <w:szCs w:val="21"/>
              </w:rPr>
              <w:t>污水处理设施</w:t>
            </w:r>
            <w:r>
              <w:rPr>
                <w:rFonts w:hint="eastAsia"/>
                <w:bCs/>
                <w:color w:val="auto"/>
                <w:szCs w:val="21"/>
              </w:rPr>
              <w:t>产生的</w:t>
            </w:r>
            <w:r>
              <w:rPr>
                <w:bCs/>
                <w:color w:val="auto"/>
                <w:szCs w:val="21"/>
              </w:rPr>
              <w:t>恶臭</w:t>
            </w:r>
          </w:p>
        </w:tc>
        <w:tc>
          <w:tcPr>
            <w:tcW w:w="2334" w:type="dxa"/>
            <w:noWrap/>
            <w:vAlign w:val="center"/>
          </w:tcPr>
          <w:p>
            <w:pPr>
              <w:rPr>
                <w:color w:val="auto"/>
                <w:szCs w:val="21"/>
              </w:rPr>
            </w:pPr>
            <w:r>
              <w:rPr>
                <w:bCs/>
                <w:color w:val="auto"/>
                <w:szCs w:val="21"/>
              </w:rPr>
              <w:t>污水处理设施密封，定期对设备进行消毒；</w:t>
            </w:r>
          </w:p>
        </w:tc>
        <w:tc>
          <w:tcPr>
            <w:tcW w:w="1178" w:type="dxa"/>
            <w:noWrap/>
            <w:vAlign w:val="center"/>
          </w:tcPr>
          <w:p>
            <w:pPr>
              <w:wordWrap w:val="0"/>
              <w:topLinePunct/>
              <w:rPr>
                <w:color w:val="auto"/>
                <w:szCs w:val="21"/>
              </w:rPr>
            </w:pPr>
            <w:r>
              <w:rPr>
                <w:rFonts w:hint="eastAsia"/>
                <w:color w:val="auto"/>
                <w:szCs w:val="21"/>
              </w:rPr>
              <w:t xml:space="preserve">  </w:t>
            </w:r>
            <w:r>
              <w:rPr>
                <w:rFonts w:hint="eastAsia"/>
                <w:color w:val="auto"/>
                <w:szCs w:val="21"/>
                <w:lang w:val="en-US" w:eastAsia="zh-CN"/>
              </w:rPr>
              <w:t xml:space="preserve">  </w:t>
            </w:r>
            <w:r>
              <w:rPr>
                <w:rFonts w:hint="eastAsia"/>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vMerge w:val="continue"/>
            <w:noWrap/>
            <w:vAlign w:val="center"/>
          </w:tcPr>
          <w:p>
            <w:pPr>
              <w:adjustRightInd w:val="0"/>
              <w:snapToGrid w:val="0"/>
              <w:jc w:val="center"/>
              <w:rPr>
                <w:color w:val="auto"/>
                <w:szCs w:val="21"/>
              </w:rPr>
            </w:pPr>
          </w:p>
        </w:tc>
        <w:tc>
          <w:tcPr>
            <w:tcW w:w="1755" w:type="dxa"/>
            <w:noWrap/>
            <w:vAlign w:val="center"/>
          </w:tcPr>
          <w:p>
            <w:pPr>
              <w:adjustRightInd w:val="0"/>
              <w:snapToGrid w:val="0"/>
              <w:jc w:val="center"/>
              <w:rPr>
                <w:rFonts w:hint="eastAsia" w:eastAsia="宋体"/>
                <w:color w:val="auto"/>
                <w:szCs w:val="21"/>
                <w:lang w:eastAsia="zh-CN"/>
              </w:rPr>
            </w:pPr>
            <w:r>
              <w:rPr>
                <w:rFonts w:hint="eastAsia"/>
                <w:bCs/>
                <w:color w:val="auto"/>
                <w:szCs w:val="21"/>
                <w:lang w:eastAsia="zh-CN"/>
              </w:rPr>
              <w:t>宠物散发的异味</w:t>
            </w:r>
          </w:p>
        </w:tc>
        <w:tc>
          <w:tcPr>
            <w:tcW w:w="1755" w:type="dxa"/>
            <w:noWrap/>
            <w:vAlign w:val="center"/>
          </w:tcPr>
          <w:p>
            <w:pPr>
              <w:adjustRightInd w:val="0"/>
              <w:snapToGrid w:val="0"/>
              <w:jc w:val="center"/>
              <w:rPr>
                <w:rFonts w:hint="eastAsia" w:eastAsia="宋体"/>
                <w:color w:val="auto"/>
                <w:szCs w:val="21"/>
                <w:lang w:eastAsia="zh-CN"/>
              </w:rPr>
            </w:pPr>
            <w:r>
              <w:rPr>
                <w:rFonts w:hint="eastAsia"/>
                <w:bCs/>
                <w:color w:val="auto"/>
                <w:szCs w:val="21"/>
                <w:lang w:eastAsia="zh-CN"/>
              </w:rPr>
              <w:t>宠物散发的异味</w:t>
            </w:r>
          </w:p>
        </w:tc>
        <w:tc>
          <w:tcPr>
            <w:tcW w:w="2334" w:type="dxa"/>
            <w:noWrap/>
            <w:vAlign w:val="center"/>
          </w:tcPr>
          <w:p>
            <w:pPr>
              <w:rPr>
                <w:color w:val="auto"/>
                <w:szCs w:val="21"/>
              </w:rPr>
            </w:pPr>
            <w:r>
              <w:rPr>
                <w:rFonts w:hint="eastAsia"/>
                <w:bCs/>
                <w:color w:val="auto"/>
                <w:szCs w:val="21"/>
                <w:lang w:eastAsia="zh-CN"/>
              </w:rPr>
              <w:t>宠物散发的异味</w:t>
            </w:r>
            <w:r>
              <w:rPr>
                <w:bCs/>
                <w:color w:val="auto"/>
                <w:szCs w:val="21"/>
              </w:rPr>
              <w:t>通过设置抽排风系统，并使用紫外灯消毒装置和活性炭吸附装置</w:t>
            </w:r>
            <w:r>
              <w:rPr>
                <w:rFonts w:hint="eastAsia"/>
                <w:bCs/>
                <w:color w:val="auto"/>
                <w:szCs w:val="21"/>
              </w:rPr>
              <w:t>处理后通过排风口外排</w:t>
            </w:r>
            <w:r>
              <w:rPr>
                <w:bCs/>
                <w:color w:val="auto"/>
                <w:szCs w:val="21"/>
              </w:rPr>
              <w:t>以降低空气中含菌量。</w:t>
            </w:r>
          </w:p>
        </w:tc>
        <w:tc>
          <w:tcPr>
            <w:tcW w:w="1178" w:type="dxa"/>
            <w:noWrap/>
            <w:vAlign w:val="center"/>
          </w:tcPr>
          <w:p>
            <w:pPr>
              <w:wordWrap w:val="0"/>
              <w:topLinePunct/>
              <w:ind w:firstLine="420" w:firstLineChars="200"/>
              <w:rPr>
                <w:color w:val="auto"/>
                <w:szCs w:val="21"/>
              </w:rPr>
            </w:pPr>
            <w:r>
              <w:rPr>
                <w:rFonts w:hint="eastAsia"/>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78" w:type="dxa"/>
            <w:vMerge w:val="restart"/>
            <w:noWrap/>
            <w:vAlign w:val="center"/>
          </w:tcPr>
          <w:p>
            <w:pPr>
              <w:adjustRightInd w:val="0"/>
              <w:snapToGrid w:val="0"/>
              <w:jc w:val="center"/>
              <w:rPr>
                <w:color w:val="auto"/>
                <w:szCs w:val="21"/>
              </w:rPr>
            </w:pPr>
            <w:r>
              <w:rPr>
                <w:color w:val="auto"/>
                <w:szCs w:val="21"/>
              </w:rPr>
              <w:t>地表水环境</w:t>
            </w:r>
          </w:p>
        </w:tc>
        <w:tc>
          <w:tcPr>
            <w:tcW w:w="1755" w:type="dxa"/>
            <w:noWrap/>
            <w:vAlign w:val="center"/>
          </w:tcPr>
          <w:p>
            <w:pPr>
              <w:wordWrap w:val="0"/>
              <w:topLinePunct/>
              <w:rPr>
                <w:color w:val="auto"/>
                <w:szCs w:val="21"/>
              </w:rPr>
            </w:pPr>
            <w:r>
              <w:rPr>
                <w:color w:val="auto"/>
                <w:spacing w:val="-2"/>
                <w:szCs w:val="21"/>
              </w:rPr>
              <w:t>工作人员生活污水</w:t>
            </w:r>
          </w:p>
        </w:tc>
        <w:tc>
          <w:tcPr>
            <w:tcW w:w="1755" w:type="dxa"/>
            <w:noWrap/>
            <w:vAlign w:val="center"/>
          </w:tcPr>
          <w:p>
            <w:pPr>
              <w:snapToGrid w:val="0"/>
              <w:spacing w:beforeLines="20" w:afterLines="20"/>
              <w:jc w:val="center"/>
              <w:rPr>
                <w:color w:val="auto"/>
                <w:szCs w:val="21"/>
              </w:rPr>
            </w:pPr>
            <w:r>
              <w:rPr>
                <w:rFonts w:hint="eastAsia"/>
                <w:color w:val="auto"/>
                <w:spacing w:val="-2"/>
                <w:kern w:val="0"/>
                <w:szCs w:val="21"/>
              </w:rPr>
              <w:t>悬浮物、化学需氧量、五日生化需氧量、氨氮、粪大肠菌群</w:t>
            </w:r>
          </w:p>
        </w:tc>
        <w:tc>
          <w:tcPr>
            <w:tcW w:w="2334" w:type="dxa"/>
            <w:noWrap/>
            <w:vAlign w:val="center"/>
          </w:tcPr>
          <w:p>
            <w:pPr>
              <w:pStyle w:val="33"/>
              <w:wordWrap w:val="0"/>
              <w:topLinePunct/>
              <w:spacing w:before="24" w:after="24" w:line="260" w:lineRule="auto"/>
              <w:ind w:right="42" w:rightChars="20"/>
              <w:jc w:val="both"/>
              <w:rPr>
                <w:rFonts w:hint="eastAsia" w:ascii="Times New Roman"/>
                <w:color w:val="auto"/>
                <w:spacing w:val="-2"/>
                <w:szCs w:val="21"/>
                <w:lang w:eastAsia="zh-CN"/>
              </w:rPr>
            </w:pPr>
            <w:r>
              <w:rPr>
                <w:rFonts w:ascii="Times New Roman"/>
                <w:color w:val="auto"/>
                <w:spacing w:val="-2"/>
                <w:szCs w:val="21"/>
              </w:rPr>
              <w:t>通过污水管道进入已建的预处理池处理达到《污水综合排放标准》（GB8978-1998）三级排放标准后排入市政污水管网，最终进入</w:t>
            </w:r>
            <w:r>
              <w:rPr>
                <w:rFonts w:hint="eastAsia" w:ascii="Times New Roman"/>
                <w:color w:val="auto"/>
                <w:spacing w:val="-2"/>
                <w:szCs w:val="21"/>
                <w:lang w:eastAsia="zh-CN"/>
              </w:rPr>
              <w:t>苍溪县石家坝城市污水处理厂</w:t>
            </w:r>
          </w:p>
          <w:p>
            <w:pPr>
              <w:pStyle w:val="33"/>
              <w:wordWrap w:val="0"/>
              <w:topLinePunct/>
              <w:spacing w:before="24" w:after="24" w:line="260" w:lineRule="auto"/>
              <w:ind w:right="42" w:rightChars="20"/>
              <w:jc w:val="both"/>
              <w:rPr>
                <w:rFonts w:ascii="Times New Roman"/>
                <w:color w:val="auto"/>
                <w:szCs w:val="21"/>
              </w:rPr>
            </w:pPr>
            <w:r>
              <w:rPr>
                <w:rFonts w:ascii="Times New Roman"/>
                <w:color w:val="auto"/>
                <w:spacing w:val="-2"/>
                <w:szCs w:val="21"/>
              </w:rPr>
              <w:t>处理</w:t>
            </w:r>
          </w:p>
        </w:tc>
        <w:tc>
          <w:tcPr>
            <w:tcW w:w="1178" w:type="dxa"/>
            <w:noWrap/>
            <w:vAlign w:val="center"/>
          </w:tcPr>
          <w:p>
            <w:pPr>
              <w:adjustRightInd w:val="0"/>
              <w:snapToGrid w:val="0"/>
              <w:jc w:val="center"/>
              <w:rPr>
                <w:color w:val="auto"/>
                <w:szCs w:val="21"/>
              </w:rPr>
            </w:pPr>
            <w:r>
              <w:rPr>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778" w:type="dxa"/>
            <w:vMerge w:val="continue"/>
            <w:noWrap/>
            <w:vAlign w:val="center"/>
          </w:tcPr>
          <w:p>
            <w:pPr>
              <w:adjustRightInd w:val="0"/>
              <w:snapToGrid w:val="0"/>
              <w:jc w:val="center"/>
              <w:rPr>
                <w:color w:val="auto"/>
                <w:szCs w:val="21"/>
              </w:rPr>
            </w:pPr>
          </w:p>
        </w:tc>
        <w:tc>
          <w:tcPr>
            <w:tcW w:w="1755" w:type="dxa"/>
            <w:noWrap/>
            <w:vAlign w:val="center"/>
          </w:tcPr>
          <w:p>
            <w:pPr>
              <w:wordWrap w:val="0"/>
              <w:topLinePunct/>
              <w:ind w:firstLine="210" w:firstLineChars="100"/>
              <w:rPr>
                <w:bCs/>
                <w:color w:val="auto"/>
                <w:szCs w:val="21"/>
              </w:rPr>
            </w:pPr>
            <w:r>
              <w:rPr>
                <w:rFonts w:hint="eastAsia"/>
                <w:bCs/>
                <w:color w:val="auto"/>
                <w:szCs w:val="21"/>
              </w:rPr>
              <w:t>宠物治疗废水</w:t>
            </w:r>
          </w:p>
        </w:tc>
        <w:tc>
          <w:tcPr>
            <w:tcW w:w="1755" w:type="dxa"/>
            <w:noWrap/>
            <w:vAlign w:val="center"/>
          </w:tcPr>
          <w:p>
            <w:pPr>
              <w:snapToGrid w:val="0"/>
              <w:spacing w:beforeLines="20" w:afterLines="20"/>
              <w:jc w:val="center"/>
              <w:rPr>
                <w:color w:val="auto"/>
                <w:szCs w:val="21"/>
              </w:rPr>
            </w:pPr>
            <w:r>
              <w:rPr>
                <w:rFonts w:hint="eastAsia"/>
                <w:color w:val="auto"/>
                <w:spacing w:val="-2"/>
                <w:kern w:val="0"/>
                <w:szCs w:val="21"/>
              </w:rPr>
              <w:t>pH、悬浮物、化学需氧量、五日生化需氧量、氨氮、粪大肠菌群、总余氯</w:t>
            </w:r>
          </w:p>
        </w:tc>
        <w:tc>
          <w:tcPr>
            <w:tcW w:w="2334" w:type="dxa"/>
            <w:noWrap/>
            <w:vAlign w:val="center"/>
          </w:tcPr>
          <w:p>
            <w:pPr>
              <w:keepNext w:val="0"/>
              <w:keepLines w:val="0"/>
              <w:pageBreakBefore w:val="0"/>
              <w:widowControl w:val="0"/>
              <w:kinsoku/>
              <w:wordWrap w:val="0"/>
              <w:overflowPunct/>
              <w:topLinePunct/>
              <w:autoSpaceDE/>
              <w:autoSpaceDN/>
              <w:bidi w:val="0"/>
              <w:adjustRightInd/>
              <w:snapToGrid/>
              <w:textAlignment w:val="auto"/>
              <w:rPr>
                <w:color w:val="auto"/>
                <w:szCs w:val="21"/>
              </w:rPr>
            </w:pPr>
            <w:r>
              <w:rPr>
                <w:rFonts w:hint="eastAsia"/>
                <w:bCs/>
                <w:color w:val="auto"/>
                <w:szCs w:val="21"/>
              </w:rPr>
              <w:t>设置专用废水收集管道将废水收集至污水消毒池</w:t>
            </w:r>
            <w:r>
              <w:rPr>
                <w:rFonts w:hint="eastAsia"/>
                <w:color w:val="auto"/>
                <w:szCs w:val="21"/>
              </w:rPr>
              <w:t>（</w:t>
            </w:r>
            <w:r>
              <w:rPr>
                <w:color w:val="auto"/>
                <w:szCs w:val="21"/>
              </w:rPr>
              <w:t>处理规模为：</w:t>
            </w:r>
            <w:r>
              <w:rPr>
                <w:rFonts w:hint="eastAsia"/>
                <w:color w:val="auto"/>
                <w:szCs w:val="21"/>
              </w:rPr>
              <w:t>2</w:t>
            </w:r>
            <w:r>
              <w:rPr>
                <w:color w:val="auto"/>
                <w:szCs w:val="21"/>
              </w:rPr>
              <w:t>m</w:t>
            </w:r>
            <w:r>
              <w:rPr>
                <w:color w:val="auto"/>
                <w:szCs w:val="21"/>
                <w:vertAlign w:val="superscript"/>
              </w:rPr>
              <w:t>3</w:t>
            </w:r>
            <w:r>
              <w:rPr>
                <w:color w:val="auto"/>
                <w:szCs w:val="21"/>
              </w:rPr>
              <w:t>/d</w:t>
            </w:r>
            <w:r>
              <w:rPr>
                <w:rFonts w:hint="eastAsia"/>
                <w:color w:val="auto"/>
                <w:szCs w:val="21"/>
              </w:rPr>
              <w:t>）</w:t>
            </w:r>
            <w:r>
              <w:rPr>
                <w:rFonts w:hint="eastAsia"/>
                <w:bCs/>
                <w:color w:val="auto"/>
                <w:szCs w:val="21"/>
              </w:rPr>
              <w:t>进行处理，处理后达到</w:t>
            </w:r>
            <w:r>
              <w:rPr>
                <w:color w:val="auto"/>
                <w:szCs w:val="21"/>
              </w:rPr>
              <w:t>《医疗机构水污染物排放标准》（GB18466-2005）表2中的预处理标准</w:t>
            </w:r>
            <w:r>
              <w:rPr>
                <w:rFonts w:hint="eastAsia"/>
                <w:bCs/>
                <w:color w:val="auto"/>
                <w:szCs w:val="21"/>
              </w:rPr>
              <w:t>，通过市政污水管网和其他废水进入预处理池处理，最终通过污水管网进入</w:t>
            </w:r>
            <w:r>
              <w:rPr>
                <w:rFonts w:hint="eastAsia"/>
                <w:bCs/>
                <w:color w:val="auto"/>
                <w:szCs w:val="21"/>
                <w:lang w:eastAsia="zh-CN"/>
              </w:rPr>
              <w:t>苍溪县石家坝城市污水处理厂</w:t>
            </w:r>
          </w:p>
        </w:tc>
        <w:tc>
          <w:tcPr>
            <w:tcW w:w="1178" w:type="dxa"/>
            <w:vMerge w:val="restart"/>
            <w:noWrap/>
            <w:vAlign w:val="center"/>
          </w:tcPr>
          <w:p>
            <w:pPr>
              <w:adjustRightInd w:val="0"/>
              <w:snapToGrid w:val="0"/>
              <w:jc w:val="center"/>
              <w:rPr>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1778" w:type="dxa"/>
            <w:vMerge w:val="continue"/>
            <w:noWrap/>
            <w:vAlign w:val="center"/>
          </w:tcPr>
          <w:p>
            <w:pPr>
              <w:adjustRightInd w:val="0"/>
              <w:snapToGrid w:val="0"/>
              <w:jc w:val="center"/>
              <w:rPr>
                <w:color w:val="auto"/>
                <w:szCs w:val="21"/>
              </w:rPr>
            </w:pPr>
          </w:p>
        </w:tc>
        <w:tc>
          <w:tcPr>
            <w:tcW w:w="1755" w:type="dxa"/>
            <w:noWrap/>
            <w:vAlign w:val="center"/>
          </w:tcPr>
          <w:p>
            <w:pPr>
              <w:wordWrap w:val="0"/>
              <w:topLinePunct/>
              <w:rPr>
                <w:bCs/>
                <w:color w:val="auto"/>
                <w:szCs w:val="21"/>
              </w:rPr>
            </w:pPr>
            <w:r>
              <w:rPr>
                <w:rFonts w:hint="eastAsia"/>
                <w:bCs/>
                <w:color w:val="auto"/>
                <w:szCs w:val="21"/>
                <w:lang w:eastAsia="zh-CN"/>
              </w:rPr>
              <w:t>宠物做手术器械和</w:t>
            </w:r>
            <w:r>
              <w:rPr>
                <w:rFonts w:hint="eastAsia"/>
                <w:bCs/>
                <w:color w:val="auto"/>
                <w:szCs w:val="21"/>
              </w:rPr>
              <w:t>地面</w:t>
            </w:r>
            <w:r>
              <w:rPr>
                <w:rFonts w:hint="eastAsia"/>
                <w:bCs/>
                <w:color w:val="auto"/>
                <w:szCs w:val="21"/>
                <w:lang w:eastAsia="zh-CN"/>
              </w:rPr>
              <w:t>、宠物笼</w:t>
            </w:r>
            <w:r>
              <w:rPr>
                <w:rFonts w:hint="eastAsia"/>
                <w:bCs/>
                <w:color w:val="auto"/>
                <w:szCs w:val="21"/>
              </w:rPr>
              <w:t>清洁废水</w:t>
            </w:r>
          </w:p>
        </w:tc>
        <w:tc>
          <w:tcPr>
            <w:tcW w:w="1755" w:type="dxa"/>
            <w:noWrap/>
            <w:vAlign w:val="center"/>
          </w:tcPr>
          <w:p>
            <w:pPr>
              <w:snapToGrid w:val="0"/>
              <w:spacing w:beforeLines="20" w:afterLines="20"/>
              <w:jc w:val="center"/>
              <w:rPr>
                <w:color w:val="auto"/>
                <w:szCs w:val="21"/>
              </w:rPr>
            </w:pPr>
            <w:r>
              <w:rPr>
                <w:rFonts w:hint="eastAsia"/>
                <w:color w:val="auto"/>
                <w:spacing w:val="-2"/>
                <w:kern w:val="0"/>
                <w:szCs w:val="21"/>
              </w:rPr>
              <w:t>pH、悬浮物、化学需氧量、五日生化需氧量、氨氮、粪大肠菌群、总余氯</w:t>
            </w:r>
          </w:p>
        </w:tc>
        <w:tc>
          <w:tcPr>
            <w:tcW w:w="2334" w:type="dxa"/>
            <w:noWrap/>
            <w:vAlign w:val="center"/>
          </w:tcPr>
          <w:p>
            <w:pPr>
              <w:keepNext w:val="0"/>
              <w:keepLines w:val="0"/>
              <w:pageBreakBefore w:val="0"/>
              <w:widowControl w:val="0"/>
              <w:kinsoku/>
              <w:wordWrap w:val="0"/>
              <w:overflowPunct/>
              <w:topLinePunct/>
              <w:autoSpaceDE/>
              <w:autoSpaceDN/>
              <w:bidi w:val="0"/>
              <w:adjustRightInd/>
              <w:snapToGrid/>
              <w:textAlignment w:val="auto"/>
              <w:rPr>
                <w:color w:val="auto"/>
                <w:szCs w:val="21"/>
              </w:rPr>
            </w:pPr>
            <w:r>
              <w:rPr>
                <w:rFonts w:hint="eastAsia"/>
                <w:bCs/>
                <w:color w:val="auto"/>
                <w:szCs w:val="21"/>
              </w:rPr>
              <w:t>设置专用废水收集管道将废水收集至污水消毒池</w:t>
            </w:r>
            <w:r>
              <w:rPr>
                <w:rFonts w:hint="eastAsia"/>
                <w:color w:val="auto"/>
                <w:szCs w:val="21"/>
              </w:rPr>
              <w:t>（</w:t>
            </w:r>
            <w:r>
              <w:rPr>
                <w:color w:val="auto"/>
                <w:szCs w:val="21"/>
              </w:rPr>
              <w:t>处理规模为：</w:t>
            </w:r>
            <w:r>
              <w:rPr>
                <w:rFonts w:hint="eastAsia"/>
                <w:color w:val="auto"/>
                <w:szCs w:val="21"/>
              </w:rPr>
              <w:t>2</w:t>
            </w:r>
            <w:r>
              <w:rPr>
                <w:color w:val="auto"/>
                <w:szCs w:val="21"/>
              </w:rPr>
              <w:t>m</w:t>
            </w:r>
            <w:r>
              <w:rPr>
                <w:color w:val="auto"/>
                <w:szCs w:val="21"/>
                <w:vertAlign w:val="superscript"/>
              </w:rPr>
              <w:t>3</w:t>
            </w:r>
            <w:r>
              <w:rPr>
                <w:color w:val="auto"/>
                <w:szCs w:val="21"/>
              </w:rPr>
              <w:t>/d</w:t>
            </w:r>
            <w:r>
              <w:rPr>
                <w:rFonts w:hint="eastAsia"/>
                <w:color w:val="auto"/>
                <w:szCs w:val="21"/>
              </w:rPr>
              <w:t>）</w:t>
            </w:r>
            <w:r>
              <w:rPr>
                <w:rFonts w:hint="eastAsia"/>
                <w:bCs/>
                <w:color w:val="auto"/>
                <w:szCs w:val="21"/>
              </w:rPr>
              <w:t>进行处理，处理后达到</w:t>
            </w:r>
            <w:r>
              <w:rPr>
                <w:color w:val="auto"/>
                <w:szCs w:val="21"/>
              </w:rPr>
              <w:t>《医疗机构水污染物排放标准》（GB18466-2005）表2中的预处理标准</w:t>
            </w:r>
            <w:r>
              <w:rPr>
                <w:rFonts w:hint="eastAsia"/>
                <w:bCs/>
                <w:color w:val="auto"/>
                <w:szCs w:val="21"/>
              </w:rPr>
              <w:t>，通过市政污水管网和其他废水进入预处理池处理，最终通过污水管网进入</w:t>
            </w:r>
            <w:r>
              <w:rPr>
                <w:rFonts w:hint="eastAsia"/>
                <w:bCs/>
                <w:color w:val="auto"/>
                <w:szCs w:val="21"/>
                <w:lang w:eastAsia="zh-CN"/>
              </w:rPr>
              <w:t>苍溪县石家坝城市污水处理厂</w:t>
            </w:r>
          </w:p>
        </w:tc>
        <w:tc>
          <w:tcPr>
            <w:tcW w:w="1178" w:type="dxa"/>
            <w:vMerge w:val="continue"/>
            <w:noWrap/>
            <w:vAlign w:val="center"/>
          </w:tcPr>
          <w:p>
            <w:pPr>
              <w:adjustRightInd w:val="0"/>
              <w:snapToGrid w:val="0"/>
              <w:jc w:val="center"/>
              <w:rPr>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noWrap/>
            <w:vAlign w:val="center"/>
          </w:tcPr>
          <w:p>
            <w:pPr>
              <w:adjustRightInd w:val="0"/>
              <w:snapToGrid w:val="0"/>
              <w:jc w:val="center"/>
              <w:rPr>
                <w:color w:val="auto"/>
                <w:szCs w:val="21"/>
              </w:rPr>
            </w:pPr>
            <w:r>
              <w:rPr>
                <w:color w:val="auto"/>
                <w:szCs w:val="21"/>
              </w:rPr>
              <w:t>声环境</w:t>
            </w:r>
          </w:p>
        </w:tc>
        <w:tc>
          <w:tcPr>
            <w:tcW w:w="1755" w:type="dxa"/>
            <w:noWrap/>
            <w:vAlign w:val="center"/>
          </w:tcPr>
          <w:p>
            <w:pPr>
              <w:adjustRightInd w:val="0"/>
              <w:snapToGrid w:val="0"/>
              <w:jc w:val="center"/>
              <w:rPr>
                <w:color w:val="auto"/>
                <w:szCs w:val="21"/>
              </w:rPr>
            </w:pPr>
            <w:r>
              <w:rPr>
                <w:color w:val="auto"/>
                <w:szCs w:val="21"/>
              </w:rPr>
              <w:t>设备噪声</w:t>
            </w:r>
          </w:p>
        </w:tc>
        <w:tc>
          <w:tcPr>
            <w:tcW w:w="1755" w:type="dxa"/>
            <w:noWrap/>
            <w:vAlign w:val="center"/>
          </w:tcPr>
          <w:p>
            <w:pPr>
              <w:adjustRightInd w:val="0"/>
              <w:snapToGrid w:val="0"/>
              <w:jc w:val="center"/>
              <w:rPr>
                <w:color w:val="auto"/>
                <w:szCs w:val="21"/>
              </w:rPr>
            </w:pPr>
            <w:r>
              <w:rPr>
                <w:color w:val="auto"/>
                <w:szCs w:val="21"/>
              </w:rPr>
              <w:t>噪声</w:t>
            </w:r>
          </w:p>
        </w:tc>
        <w:tc>
          <w:tcPr>
            <w:tcW w:w="2334" w:type="dxa"/>
            <w:noWrap/>
            <w:vAlign w:val="center"/>
          </w:tcPr>
          <w:p>
            <w:pPr>
              <w:adjustRightInd w:val="0"/>
              <w:snapToGrid w:val="0"/>
              <w:jc w:val="both"/>
              <w:rPr>
                <w:color w:val="auto"/>
                <w:szCs w:val="21"/>
              </w:rPr>
            </w:pPr>
            <w:r>
              <w:rPr>
                <w:rFonts w:hint="eastAsia"/>
                <w:color w:val="auto"/>
                <w:szCs w:val="21"/>
              </w:rPr>
              <w:t>建筑隔声，选用低噪声设备，在医疗设备安装时配套安装减震垫，可有效隔离振动的传播。做好设备的安装调试，定期对设备进行维护，保持器良好的运行效果。安装静音的新风系统</w:t>
            </w:r>
            <w:r>
              <w:rPr>
                <w:rFonts w:hint="eastAsia"/>
                <w:color w:val="auto"/>
                <w:szCs w:val="21"/>
                <w:lang w:eastAsia="zh-CN"/>
              </w:rPr>
              <w:t>和静音空调</w:t>
            </w:r>
            <w:r>
              <w:rPr>
                <w:rFonts w:hint="eastAsia"/>
                <w:color w:val="auto"/>
                <w:szCs w:val="21"/>
              </w:rPr>
              <w:t>，并请专业的</w:t>
            </w:r>
            <w:r>
              <w:rPr>
                <w:rFonts w:hint="eastAsia"/>
                <w:color w:val="auto"/>
                <w:szCs w:val="21"/>
                <w:lang w:eastAsia="zh-CN"/>
              </w:rPr>
              <w:t>人</w:t>
            </w:r>
            <w:r>
              <w:rPr>
                <w:rFonts w:hint="eastAsia"/>
                <w:color w:val="auto"/>
                <w:szCs w:val="21"/>
              </w:rPr>
              <w:t>安装</w:t>
            </w:r>
            <w:r>
              <w:rPr>
                <w:rFonts w:hint="eastAsia"/>
                <w:color w:val="auto"/>
                <w:szCs w:val="21"/>
                <w:lang w:eastAsia="zh-CN"/>
              </w:rPr>
              <w:t>。</w:t>
            </w:r>
            <w:r>
              <w:rPr>
                <w:rFonts w:hint="eastAsia"/>
                <w:color w:val="auto"/>
                <w:szCs w:val="21"/>
              </w:rPr>
              <w:t>为避免动物叫声的影响，建设项目方将室内治疗室、住院室等宠物活动较多的区域安装隔声门（窗）或者双层玻璃</w:t>
            </w:r>
            <w:r>
              <w:rPr>
                <w:rFonts w:hint="eastAsia"/>
                <w:color w:val="auto"/>
                <w:szCs w:val="21"/>
                <w:lang w:eastAsia="zh-CN"/>
              </w:rPr>
              <w:t>，</w:t>
            </w:r>
            <w:r>
              <w:rPr>
                <w:rFonts w:hint="eastAsia" w:eastAsia="宋体"/>
                <w:color w:val="auto"/>
                <w:sz w:val="21"/>
                <w:szCs w:val="21"/>
                <w:lang w:eastAsia="zh-CN"/>
              </w:rPr>
              <w:t>四周缝隙使用橡胶封条，采用硬质地板的设计</w:t>
            </w:r>
            <w:r>
              <w:rPr>
                <w:rFonts w:hint="eastAsia"/>
                <w:color w:val="auto"/>
                <w:szCs w:val="21"/>
              </w:rPr>
              <w:t>。对于留观或住院期间持续产生高噪声的宠物，尽快找到原因，尽可能通知该宠物主人陪同宠物往返多次就诊而非住院。</w:t>
            </w:r>
          </w:p>
        </w:tc>
        <w:tc>
          <w:tcPr>
            <w:tcW w:w="1178" w:type="dxa"/>
            <w:noWrap/>
            <w:vAlign w:val="center"/>
          </w:tcPr>
          <w:p>
            <w:pPr>
              <w:wordWrap w:val="0"/>
              <w:topLinePunct/>
              <w:adjustRightInd w:val="0"/>
              <w:snapToGrid w:val="0"/>
              <w:jc w:val="center"/>
              <w:rPr>
                <w:color w:val="auto"/>
                <w:szCs w:val="21"/>
              </w:rPr>
            </w:pPr>
            <w:r>
              <w:rPr>
                <w:color w:val="auto"/>
                <w:szCs w:val="21"/>
              </w:rPr>
              <w:t>《声环境质量标准》（GB3096-2008）2类标准限值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noWrap/>
            <w:vAlign w:val="center"/>
          </w:tcPr>
          <w:p>
            <w:pPr>
              <w:adjustRightInd w:val="0"/>
              <w:snapToGrid w:val="0"/>
              <w:jc w:val="center"/>
              <w:rPr>
                <w:color w:val="auto"/>
                <w:szCs w:val="21"/>
              </w:rPr>
            </w:pPr>
            <w:r>
              <w:rPr>
                <w:color w:val="auto"/>
                <w:szCs w:val="21"/>
              </w:rPr>
              <w:t>电磁辐射</w:t>
            </w:r>
          </w:p>
        </w:tc>
        <w:tc>
          <w:tcPr>
            <w:tcW w:w="1755" w:type="dxa"/>
            <w:noWrap/>
            <w:vAlign w:val="center"/>
          </w:tcPr>
          <w:p>
            <w:pPr>
              <w:adjustRightInd w:val="0"/>
              <w:snapToGrid w:val="0"/>
              <w:jc w:val="center"/>
              <w:rPr>
                <w:color w:val="auto"/>
                <w:szCs w:val="21"/>
              </w:rPr>
            </w:pPr>
            <w:r>
              <w:rPr>
                <w:color w:val="auto"/>
                <w:szCs w:val="21"/>
              </w:rPr>
              <w:t>无</w:t>
            </w:r>
          </w:p>
        </w:tc>
        <w:tc>
          <w:tcPr>
            <w:tcW w:w="1755" w:type="dxa"/>
            <w:noWrap/>
            <w:vAlign w:val="center"/>
          </w:tcPr>
          <w:p>
            <w:pPr>
              <w:adjustRightInd w:val="0"/>
              <w:snapToGrid w:val="0"/>
              <w:jc w:val="center"/>
              <w:rPr>
                <w:color w:val="auto"/>
                <w:szCs w:val="21"/>
              </w:rPr>
            </w:pPr>
            <w:r>
              <w:rPr>
                <w:color w:val="auto"/>
                <w:szCs w:val="21"/>
              </w:rPr>
              <w:t>无</w:t>
            </w:r>
          </w:p>
        </w:tc>
        <w:tc>
          <w:tcPr>
            <w:tcW w:w="2334" w:type="dxa"/>
            <w:noWrap/>
            <w:vAlign w:val="center"/>
          </w:tcPr>
          <w:p>
            <w:pPr>
              <w:adjustRightInd w:val="0"/>
              <w:snapToGrid w:val="0"/>
              <w:jc w:val="center"/>
              <w:rPr>
                <w:color w:val="auto"/>
                <w:szCs w:val="21"/>
              </w:rPr>
            </w:pPr>
            <w:r>
              <w:rPr>
                <w:color w:val="auto"/>
                <w:szCs w:val="21"/>
              </w:rPr>
              <w:t>无</w:t>
            </w:r>
          </w:p>
        </w:tc>
        <w:tc>
          <w:tcPr>
            <w:tcW w:w="1178" w:type="dxa"/>
            <w:noWrap/>
            <w:vAlign w:val="center"/>
          </w:tcPr>
          <w:p>
            <w:pPr>
              <w:adjustRightInd w:val="0"/>
              <w:snapToGrid w:val="0"/>
              <w:jc w:val="center"/>
              <w:rPr>
                <w:color w:val="auto"/>
                <w:szCs w:val="21"/>
              </w:rPr>
            </w:pPr>
            <w:r>
              <w:rPr>
                <w:color w:val="auto"/>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778" w:type="dxa"/>
            <w:noWrap/>
            <w:vAlign w:val="center"/>
          </w:tcPr>
          <w:p>
            <w:pPr>
              <w:adjustRightInd w:val="0"/>
              <w:snapToGrid w:val="0"/>
              <w:jc w:val="center"/>
              <w:rPr>
                <w:color w:val="auto"/>
                <w:szCs w:val="21"/>
              </w:rPr>
            </w:pPr>
            <w:r>
              <w:rPr>
                <w:color w:val="auto"/>
                <w:szCs w:val="21"/>
              </w:rPr>
              <w:t>固体废物</w:t>
            </w:r>
          </w:p>
        </w:tc>
        <w:tc>
          <w:tcPr>
            <w:tcW w:w="7022" w:type="dxa"/>
            <w:gridSpan w:val="4"/>
            <w:noWrap/>
            <w:vAlign w:val="center"/>
          </w:tcPr>
          <w:p>
            <w:pPr>
              <w:rPr>
                <w:color w:val="auto"/>
                <w:szCs w:val="21"/>
              </w:rPr>
            </w:pPr>
            <w:r>
              <w:rPr>
                <w:color w:val="auto"/>
                <w:szCs w:val="21"/>
              </w:rPr>
              <w:t>生活垃圾经场内垃圾桶收集后定期运送至当地市政垃圾收集点，最后由环卫部门统一清运</w:t>
            </w:r>
            <w:r>
              <w:rPr>
                <w:rFonts w:hint="eastAsia"/>
                <w:color w:val="auto"/>
                <w:szCs w:val="21"/>
              </w:rPr>
              <w:t>；宠物粪污单独收集处置委托环卫部门清运处置；水质处理器产生的悬浮物及污泥、医疗废物为危险废物，定期清淘后交由相关资质单位处理，并签订处理处置协议；</w:t>
            </w:r>
            <w:r>
              <w:rPr>
                <w:rFonts w:hint="eastAsia"/>
                <w:color w:val="auto"/>
                <w:spacing w:val="-3"/>
                <w:szCs w:val="21"/>
              </w:rPr>
              <w:t>废包装及输液瓶</w:t>
            </w:r>
            <w:r>
              <w:rPr>
                <w:color w:val="auto"/>
                <w:szCs w:val="21"/>
              </w:rPr>
              <w:t>暂存于医疗外包装暂存间，交由</w:t>
            </w:r>
            <w:r>
              <w:rPr>
                <w:rFonts w:hint="eastAsia"/>
                <w:color w:val="auto"/>
                <w:szCs w:val="21"/>
              </w:rPr>
              <w:t>相关</w:t>
            </w:r>
            <w:r>
              <w:rPr>
                <w:color w:val="auto"/>
                <w:szCs w:val="21"/>
              </w:rPr>
              <w:t>公司回收处理</w:t>
            </w:r>
            <w:r>
              <w:rPr>
                <w:rFonts w:hint="eastAsia"/>
                <w:color w:val="auto"/>
                <w:szCs w:val="21"/>
              </w:rPr>
              <w:t>；废紫外线灯管</w:t>
            </w:r>
            <w:r>
              <w:rPr>
                <w:rFonts w:hint="eastAsia"/>
                <w:color w:val="auto"/>
                <w:szCs w:val="21"/>
                <w:lang w:eastAsia="zh-CN"/>
              </w:rPr>
              <w:t>、废活性炭</w:t>
            </w:r>
            <w:r>
              <w:rPr>
                <w:rFonts w:hint="eastAsia"/>
                <w:color w:val="auto"/>
                <w:szCs w:val="21"/>
              </w:rPr>
              <w:t>集中收集后贮存在医疗废物暂存间的收集桶内，定期由有资质企业处置。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778" w:type="dxa"/>
            <w:noWrap/>
            <w:vAlign w:val="center"/>
          </w:tcPr>
          <w:p>
            <w:pPr>
              <w:adjustRightInd w:val="0"/>
              <w:snapToGrid w:val="0"/>
              <w:jc w:val="center"/>
              <w:rPr>
                <w:color w:val="auto"/>
                <w:szCs w:val="21"/>
              </w:rPr>
            </w:pPr>
            <w:r>
              <w:rPr>
                <w:color w:val="auto"/>
                <w:szCs w:val="21"/>
              </w:rPr>
              <w:t>土壤及地下水</w:t>
            </w:r>
          </w:p>
          <w:p>
            <w:pPr>
              <w:adjustRightInd w:val="0"/>
              <w:snapToGrid w:val="0"/>
              <w:jc w:val="center"/>
              <w:rPr>
                <w:color w:val="auto"/>
                <w:szCs w:val="21"/>
              </w:rPr>
            </w:pPr>
            <w:r>
              <w:rPr>
                <w:color w:val="auto"/>
                <w:szCs w:val="21"/>
              </w:rPr>
              <w:t>污染防治措施</w:t>
            </w:r>
          </w:p>
        </w:tc>
        <w:tc>
          <w:tcPr>
            <w:tcW w:w="7022" w:type="dxa"/>
            <w:gridSpan w:val="4"/>
            <w:noWrap/>
            <w:vAlign w:val="center"/>
          </w:tcPr>
          <w:p>
            <w:pPr>
              <w:rPr>
                <w:color w:val="auto"/>
                <w:spacing w:val="-3"/>
                <w:szCs w:val="21"/>
              </w:rPr>
            </w:pPr>
            <w:r>
              <w:rPr>
                <w:color w:val="auto"/>
                <w:szCs w:val="21"/>
              </w:rPr>
              <w:t>危废间</w:t>
            </w:r>
            <w:r>
              <w:rPr>
                <w:rFonts w:hint="eastAsia"/>
                <w:color w:val="auto"/>
                <w:szCs w:val="21"/>
              </w:rPr>
              <w:t>、医疗废水处理系统</w:t>
            </w:r>
            <w:r>
              <w:rPr>
                <w:color w:val="auto"/>
                <w:szCs w:val="21"/>
              </w:rPr>
              <w:t>进行重点防渗（</w:t>
            </w:r>
            <w:r>
              <w:rPr>
                <w:rFonts w:hint="eastAsia"/>
                <w:color w:val="auto"/>
                <w:szCs w:val="21"/>
                <w:lang w:eastAsia="zh-CN"/>
              </w:rPr>
              <w:t>托盘</w:t>
            </w:r>
            <w:r>
              <w:rPr>
                <w:color w:val="auto"/>
                <w:spacing w:val="-3"/>
                <w:szCs w:val="21"/>
              </w:rPr>
              <w:t>+环氧树脂）</w:t>
            </w:r>
          </w:p>
          <w:p>
            <w:pPr>
              <w:rPr>
                <w:color w:val="auto"/>
                <w:szCs w:val="21"/>
              </w:rPr>
            </w:pPr>
            <w:r>
              <w:rPr>
                <w:rFonts w:hint="eastAsia"/>
                <w:color w:val="auto"/>
                <w:spacing w:val="-3"/>
                <w:szCs w:val="21"/>
              </w:rPr>
              <w:t>其他区域</w:t>
            </w:r>
            <w:r>
              <w:rPr>
                <w:color w:val="auto"/>
                <w:spacing w:val="-3"/>
                <w:szCs w:val="21"/>
              </w:rPr>
              <w:t>一般防渗（防渗混凝土）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1778" w:type="dxa"/>
            <w:noWrap/>
            <w:vAlign w:val="center"/>
          </w:tcPr>
          <w:p>
            <w:pPr>
              <w:adjustRightInd w:val="0"/>
              <w:snapToGrid w:val="0"/>
              <w:jc w:val="center"/>
              <w:rPr>
                <w:color w:val="auto"/>
                <w:szCs w:val="21"/>
              </w:rPr>
            </w:pPr>
            <w:r>
              <w:rPr>
                <w:color w:val="auto"/>
                <w:szCs w:val="21"/>
              </w:rPr>
              <w:t>生态保护措施</w:t>
            </w:r>
          </w:p>
        </w:tc>
        <w:tc>
          <w:tcPr>
            <w:tcW w:w="7022" w:type="dxa"/>
            <w:gridSpan w:val="4"/>
            <w:noWrap/>
            <w:vAlign w:val="center"/>
          </w:tcPr>
          <w:p>
            <w:pPr>
              <w:adjustRightInd w:val="0"/>
              <w:snapToGrid w:val="0"/>
              <w:rPr>
                <w:color w:val="auto"/>
                <w:szCs w:val="21"/>
              </w:rPr>
            </w:pPr>
            <w:r>
              <w:rPr>
                <w:color w:val="auto"/>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778" w:type="dxa"/>
            <w:noWrap/>
            <w:vAlign w:val="center"/>
          </w:tcPr>
          <w:p>
            <w:pPr>
              <w:adjustRightInd w:val="0"/>
              <w:snapToGrid w:val="0"/>
              <w:jc w:val="center"/>
              <w:rPr>
                <w:color w:val="auto"/>
                <w:spacing w:val="-8"/>
                <w:szCs w:val="21"/>
              </w:rPr>
            </w:pPr>
            <w:r>
              <w:rPr>
                <w:color w:val="auto"/>
                <w:spacing w:val="-8"/>
                <w:szCs w:val="21"/>
              </w:rPr>
              <w:t>环境风险</w:t>
            </w:r>
          </w:p>
          <w:p>
            <w:pPr>
              <w:adjustRightInd w:val="0"/>
              <w:snapToGrid w:val="0"/>
              <w:jc w:val="center"/>
              <w:rPr>
                <w:color w:val="auto"/>
                <w:spacing w:val="-8"/>
                <w:szCs w:val="21"/>
              </w:rPr>
            </w:pPr>
            <w:r>
              <w:rPr>
                <w:color w:val="auto"/>
                <w:spacing w:val="-8"/>
                <w:szCs w:val="21"/>
              </w:rPr>
              <w:t>防范措施</w:t>
            </w:r>
          </w:p>
        </w:tc>
        <w:tc>
          <w:tcPr>
            <w:tcW w:w="7022" w:type="dxa"/>
            <w:gridSpan w:val="4"/>
            <w:noWrap/>
            <w:vAlign w:val="center"/>
          </w:tcPr>
          <w:p>
            <w:pPr>
              <w:spacing w:line="360" w:lineRule="auto"/>
              <w:ind w:firstLine="420" w:firstLineChars="200"/>
              <w:rPr>
                <w:color w:val="auto"/>
              </w:rPr>
            </w:pPr>
            <w:r>
              <w:rPr>
                <w:rFonts w:hint="eastAsia"/>
                <w:color w:val="auto"/>
              </w:rPr>
              <w:t>①医疗废物泄露事故</w:t>
            </w:r>
            <w:r>
              <w:rPr>
                <w:color w:val="auto"/>
              </w:rPr>
              <w:t>分析</w:t>
            </w:r>
          </w:p>
          <w:p>
            <w:pPr>
              <w:spacing w:line="360" w:lineRule="auto"/>
              <w:ind w:firstLine="420" w:firstLineChars="200"/>
              <w:textAlignment w:val="baseline"/>
              <w:rPr>
                <w:color w:val="auto"/>
              </w:rPr>
            </w:pPr>
            <w:r>
              <w:rPr>
                <w:rFonts w:hint="eastAsia"/>
                <w:color w:val="auto"/>
              </w:rPr>
              <w:t>本项目医疗废物，暂存于医疗废物暂存间里，然后交于有资质单位处理，若发生泄露，会下渗污染地下水、土壤或进入地表水体。</w:t>
            </w:r>
          </w:p>
          <w:p>
            <w:pPr>
              <w:spacing w:line="360" w:lineRule="auto"/>
              <w:ind w:firstLine="420" w:firstLineChars="200"/>
              <w:textAlignment w:val="baseline"/>
              <w:rPr>
                <w:color w:val="auto"/>
              </w:rPr>
            </w:pPr>
            <w:r>
              <w:rPr>
                <w:rFonts w:hint="eastAsia"/>
                <w:color w:val="auto"/>
              </w:rPr>
              <w:t>②</w:t>
            </w:r>
            <w:r>
              <w:rPr>
                <w:color w:val="auto"/>
              </w:rPr>
              <w:t>废</w:t>
            </w:r>
            <w:r>
              <w:rPr>
                <w:rFonts w:hint="eastAsia"/>
                <w:color w:val="auto"/>
              </w:rPr>
              <w:t>水</w:t>
            </w:r>
            <w:r>
              <w:rPr>
                <w:color w:val="auto"/>
              </w:rPr>
              <w:t>处理系统故障分析</w:t>
            </w:r>
          </w:p>
          <w:p>
            <w:pPr>
              <w:spacing w:line="360" w:lineRule="auto"/>
              <w:ind w:firstLine="420" w:firstLineChars="200"/>
              <w:rPr>
                <w:color w:val="auto"/>
              </w:rPr>
            </w:pPr>
            <w:r>
              <w:rPr>
                <w:color w:val="auto"/>
              </w:rPr>
              <w:t>本项目</w:t>
            </w:r>
            <w:r>
              <w:rPr>
                <w:rFonts w:hint="eastAsia"/>
                <w:color w:val="auto"/>
              </w:rPr>
              <w:t>了</w:t>
            </w:r>
            <w:r>
              <w:rPr>
                <w:color w:val="auto"/>
              </w:rPr>
              <w:t>设置</w:t>
            </w:r>
            <w:r>
              <w:rPr>
                <w:rFonts w:hint="eastAsia"/>
                <w:color w:val="auto"/>
                <w:lang w:eastAsia="zh-CN"/>
              </w:rPr>
              <w:t>污水消毒池</w:t>
            </w:r>
            <w:r>
              <w:rPr>
                <w:color w:val="auto"/>
              </w:rPr>
              <w:t>，用于处理</w:t>
            </w:r>
            <w:r>
              <w:rPr>
                <w:rFonts w:hint="eastAsia"/>
                <w:color w:val="auto"/>
              </w:rPr>
              <w:t>医院产生的医疗废水；</w:t>
            </w:r>
            <w:r>
              <w:rPr>
                <w:color w:val="auto"/>
              </w:rPr>
              <w:t>若</w:t>
            </w:r>
            <w:r>
              <w:rPr>
                <w:rFonts w:hint="eastAsia"/>
                <w:color w:val="auto"/>
                <w:lang w:eastAsia="zh-CN"/>
              </w:rPr>
              <w:t>污水消毒池</w:t>
            </w:r>
            <w:r>
              <w:rPr>
                <w:color w:val="auto"/>
              </w:rPr>
              <w:t>发生故障</w:t>
            </w:r>
            <w:r>
              <w:rPr>
                <w:rFonts w:hint="eastAsia"/>
                <w:color w:val="auto"/>
                <w:lang w:eastAsia="zh-CN"/>
              </w:rPr>
              <w:t>或者未定时添加次氯酸钠消毒</w:t>
            </w:r>
            <w:r>
              <w:rPr>
                <w:color w:val="auto"/>
              </w:rPr>
              <w:t>，会导致</w:t>
            </w:r>
            <w:r>
              <w:rPr>
                <w:rFonts w:hint="eastAsia"/>
                <w:color w:val="auto"/>
              </w:rPr>
              <w:t>医疗废水</w:t>
            </w:r>
            <w:r>
              <w:rPr>
                <w:color w:val="auto"/>
              </w:rPr>
              <w:t>超标排放。</w:t>
            </w:r>
          </w:p>
          <w:p>
            <w:pPr>
              <w:spacing w:line="360" w:lineRule="auto"/>
              <w:ind w:firstLine="420" w:firstLineChars="200"/>
              <w:textAlignment w:val="baseline"/>
              <w:rPr>
                <w:color w:val="auto"/>
              </w:rPr>
            </w:pPr>
            <w:r>
              <w:rPr>
                <w:rFonts w:hint="eastAsia"/>
                <w:color w:val="auto"/>
              </w:rPr>
              <w:t>③废气处理系统故障分析</w:t>
            </w:r>
          </w:p>
          <w:p>
            <w:pPr>
              <w:spacing w:line="360" w:lineRule="auto"/>
              <w:ind w:firstLine="420" w:firstLineChars="200"/>
              <w:rPr>
                <w:rFonts w:hint="eastAsia"/>
                <w:color w:val="auto"/>
                <w:lang w:val="en-US" w:eastAsia="zh-CN"/>
              </w:rPr>
            </w:pPr>
            <w:r>
              <w:rPr>
                <w:color w:val="auto"/>
              </w:rPr>
              <w:t>本项目</w:t>
            </w:r>
            <w:r>
              <w:rPr>
                <w:rFonts w:hint="eastAsia"/>
                <w:color w:val="auto"/>
              </w:rPr>
              <w:t>了</w:t>
            </w:r>
            <w:r>
              <w:rPr>
                <w:color w:val="auto"/>
              </w:rPr>
              <w:t>设置</w:t>
            </w:r>
            <w:r>
              <w:rPr>
                <w:rFonts w:hint="eastAsia"/>
                <w:color w:val="auto"/>
                <w:lang w:eastAsia="zh-CN"/>
              </w:rPr>
              <w:t>宠物散发的异味</w:t>
            </w:r>
            <w:r>
              <w:rPr>
                <w:rFonts w:hint="eastAsia"/>
                <w:color w:val="auto"/>
              </w:rPr>
              <w:t>处理设施</w:t>
            </w:r>
            <w:r>
              <w:rPr>
                <w:color w:val="auto"/>
              </w:rPr>
              <w:t>，用于处理</w:t>
            </w:r>
            <w:r>
              <w:rPr>
                <w:rFonts w:hint="eastAsia"/>
                <w:color w:val="auto"/>
              </w:rPr>
              <w:t>医院产生的</w:t>
            </w:r>
            <w:r>
              <w:rPr>
                <w:rFonts w:hint="eastAsia"/>
                <w:color w:val="auto"/>
                <w:lang w:eastAsia="zh-CN"/>
              </w:rPr>
              <w:t>宠物散发的异味</w:t>
            </w:r>
            <w:r>
              <w:rPr>
                <w:rFonts w:hint="eastAsia"/>
                <w:color w:val="auto"/>
              </w:rPr>
              <w:t>；</w:t>
            </w:r>
            <w:r>
              <w:rPr>
                <w:color w:val="auto"/>
              </w:rPr>
              <w:t>若</w:t>
            </w:r>
            <w:r>
              <w:rPr>
                <w:rFonts w:hint="eastAsia"/>
                <w:color w:val="auto"/>
              </w:rPr>
              <w:t>宠物异味处理设施</w:t>
            </w:r>
            <w:r>
              <w:rPr>
                <w:color w:val="auto"/>
              </w:rPr>
              <w:t>发生故障，会导致</w:t>
            </w:r>
            <w:r>
              <w:rPr>
                <w:rFonts w:hint="eastAsia"/>
                <w:color w:val="auto"/>
              </w:rPr>
              <w:t>宠物异味</w:t>
            </w:r>
            <w:r>
              <w:rPr>
                <w:color w:val="auto"/>
              </w:rPr>
              <w:t>超标排放。</w:t>
            </w:r>
            <w:r>
              <w:rPr>
                <w:rFonts w:hint="eastAsia"/>
                <w:color w:val="auto"/>
                <w:lang w:val="en-US" w:eastAsia="zh-CN"/>
              </w:rPr>
              <w:t xml:space="preserve">      </w:t>
            </w:r>
          </w:p>
          <w:p>
            <w:pPr>
              <w:spacing w:line="360" w:lineRule="auto"/>
              <w:ind w:firstLine="420" w:firstLineChars="200"/>
              <w:rPr>
                <w:rFonts w:hint="eastAsia" w:ascii="Times New Roman" w:hAnsi="Times New Roman" w:eastAsia="宋体" w:cs="Times New Roman"/>
                <w:color w:val="auto"/>
                <w:szCs w:val="21"/>
                <w:lang w:val="en-US" w:eastAsia="zh-CN"/>
              </w:rPr>
            </w:pPr>
            <w:r>
              <w:rPr>
                <w:rFonts w:hint="eastAsia"/>
                <w:color w:val="auto"/>
                <w:szCs w:val="21"/>
                <w:lang w:val="en-US" w:eastAsia="zh-CN"/>
              </w:rPr>
              <w:t xml:space="preserve"> </w:t>
            </w:r>
            <w:r>
              <w:rPr>
                <w:rFonts w:hint="eastAsia" w:ascii="宋体" w:hAnsi="宋体" w:eastAsia="宋体" w:cs="宋体"/>
                <w:color w:val="auto"/>
                <w:szCs w:val="21"/>
                <w:lang w:val="en-US" w:eastAsia="zh-CN"/>
              </w:rPr>
              <w:t>④</w:t>
            </w:r>
            <w:r>
              <w:rPr>
                <w:rFonts w:hint="eastAsia" w:ascii="Times New Roman" w:hAnsi="Times New Roman" w:eastAsia="宋体" w:cs="Times New Roman"/>
                <w:color w:val="auto"/>
                <w:szCs w:val="21"/>
                <w:lang w:val="en-US" w:eastAsia="zh-CN"/>
              </w:rPr>
              <w:t>宠物管理的风险防范措施</w:t>
            </w:r>
          </w:p>
          <w:p>
            <w:pPr>
              <w:spacing w:line="360" w:lineRule="auto"/>
              <w:ind w:firstLine="420" w:firstLineChars="200"/>
              <w:rPr>
                <w:rFonts w:hint="default"/>
                <w:color w:val="auto"/>
                <w:lang w:val="en-US" w:eastAsia="zh-CN"/>
              </w:rPr>
            </w:pPr>
            <w:r>
              <w:rPr>
                <w:rFonts w:hint="eastAsia"/>
                <w:b w:val="0"/>
                <w:bCs w:val="0"/>
                <w:color w:val="auto"/>
                <w:szCs w:val="21"/>
                <w:lang w:eastAsia="zh-CN"/>
              </w:rPr>
              <w:t>建设单位与宠物主人共同做好宠物在院诊疗期间的管理，采取宠物笼、宠物链等有效措施防止病患宠物外逃；加强管理，做好宠物安抚，防止宠物因饥饿、恐惧引起的外逃；做好医院内部消毒、杀虫、灭鼠工作；严格遵守《中华人民共和国动物防疫法》、《重大动物疫情应急条例》、《动物疫情报告管理办法》等法律法规，本项目选址、布局、设计、建筑、设备、用具符合防疫要求；远离动物生产、屠宰、经营、动物产品加工、经营场所；有污水、污物、病死动物无害化处理和清洗消毒设施、设备；诊疗人员无人畜共患病；防疫制度健全，一旦发现宠物传染病或疑似宠物疫情要及时按照</w:t>
            </w:r>
            <w:r>
              <w:rPr>
                <w:rFonts w:hint="eastAsia"/>
                <w:b w:val="0"/>
                <w:bCs w:val="0"/>
                <w:color w:val="auto"/>
                <w:szCs w:val="21"/>
                <w:lang w:val="en-US" w:eastAsia="zh-CN"/>
              </w:rPr>
              <w:t>规定程序上报，不得接受患传染病或疫情的宠物。</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10" w:hRule="atLeast"/>
          <w:jc w:val="center"/>
        </w:trPr>
        <w:tc>
          <w:tcPr>
            <w:tcW w:w="1778" w:type="dxa"/>
            <w:noWrap/>
            <w:vAlign w:val="center"/>
          </w:tcPr>
          <w:p>
            <w:pPr>
              <w:adjustRightInd w:val="0"/>
              <w:snapToGrid w:val="0"/>
              <w:jc w:val="center"/>
              <w:rPr>
                <w:color w:val="auto"/>
                <w:spacing w:val="-8"/>
                <w:szCs w:val="21"/>
              </w:rPr>
            </w:pPr>
            <w:r>
              <w:rPr>
                <w:color w:val="auto"/>
                <w:spacing w:val="-8"/>
                <w:szCs w:val="21"/>
              </w:rPr>
              <w:t>其他环境</w:t>
            </w:r>
          </w:p>
          <w:p>
            <w:pPr>
              <w:adjustRightInd w:val="0"/>
              <w:snapToGrid w:val="0"/>
              <w:jc w:val="center"/>
              <w:rPr>
                <w:color w:val="auto"/>
                <w:spacing w:val="-8"/>
                <w:szCs w:val="21"/>
              </w:rPr>
            </w:pPr>
            <w:r>
              <w:rPr>
                <w:color w:val="auto"/>
                <w:spacing w:val="-8"/>
                <w:szCs w:val="21"/>
              </w:rPr>
              <w:t>管理要求</w:t>
            </w:r>
          </w:p>
        </w:tc>
        <w:tc>
          <w:tcPr>
            <w:tcW w:w="7022" w:type="dxa"/>
            <w:gridSpan w:val="4"/>
            <w:noWrap/>
            <w:vAlign w:val="center"/>
          </w:tcPr>
          <w:p>
            <w:pPr>
              <w:numPr>
                <w:ilvl w:val="0"/>
                <w:numId w:val="8"/>
              </w:numPr>
              <w:adjustRightInd w:val="0"/>
              <w:snapToGrid w:val="0"/>
              <w:spacing w:line="360" w:lineRule="auto"/>
              <w:rPr>
                <w:color w:val="auto"/>
                <w:szCs w:val="21"/>
              </w:rPr>
            </w:pPr>
            <w:r>
              <w:rPr>
                <w:color w:val="auto"/>
                <w:szCs w:val="21"/>
              </w:rPr>
              <w:t>环境管理</w:t>
            </w:r>
          </w:p>
          <w:p>
            <w:pPr>
              <w:adjustRightInd w:val="0"/>
              <w:snapToGrid w:val="0"/>
              <w:spacing w:line="360" w:lineRule="auto"/>
              <w:ind w:firstLine="420"/>
              <w:rPr>
                <w:color w:val="auto"/>
                <w:szCs w:val="21"/>
              </w:rPr>
            </w:pPr>
            <w:r>
              <w:rPr>
                <w:color w:val="auto"/>
                <w:szCs w:val="21"/>
              </w:rPr>
              <w:t>根据《建设项目环境影响评价技术导则 总纲》（HJ2.1-2016）等要求，本次评价针对项目不同时期环境管理提出相关要求，具体见下表。</w:t>
            </w:r>
          </w:p>
          <w:p>
            <w:pPr>
              <w:adjustRightInd w:val="0"/>
              <w:snapToGrid w:val="0"/>
              <w:spacing w:line="240" w:lineRule="auto"/>
              <w:ind w:firstLine="420"/>
              <w:rPr>
                <w:b/>
                <w:bCs/>
                <w:color w:val="auto"/>
                <w:sz w:val="18"/>
                <w:szCs w:val="18"/>
              </w:rPr>
            </w:pPr>
            <w:r>
              <w:rPr>
                <w:b/>
                <w:bCs/>
                <w:color w:val="auto"/>
                <w:sz w:val="18"/>
                <w:szCs w:val="18"/>
              </w:rPr>
              <w:t xml:space="preserve"> </w:t>
            </w:r>
            <w:r>
              <w:rPr>
                <w:rFonts w:hint="eastAsia"/>
                <w:b/>
                <w:bCs/>
                <w:color w:val="auto"/>
                <w:sz w:val="18"/>
                <w:szCs w:val="18"/>
                <w:lang w:val="en-US" w:eastAsia="zh-CN"/>
              </w:rPr>
              <w:t xml:space="preserve">            </w:t>
            </w:r>
            <w:r>
              <w:rPr>
                <w:b/>
                <w:bCs/>
                <w:color w:val="auto"/>
                <w:sz w:val="18"/>
                <w:szCs w:val="18"/>
              </w:rPr>
              <w:t>表5-1  项目环境管理计划一览表</w:t>
            </w:r>
          </w:p>
          <w:tbl>
            <w:tblPr>
              <w:tblStyle w:val="22"/>
              <w:tblW w:w="6806" w:type="dxa"/>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67"/>
              <w:gridCol w:w="1307"/>
              <w:gridCol w:w="473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67" w:type="dxa"/>
                  <w:tcBorders>
                    <w:tl2br w:val="nil"/>
                    <w:tr2bl w:val="nil"/>
                  </w:tcBorders>
                  <w:noWrap/>
                </w:tcPr>
                <w:p>
                  <w:pPr>
                    <w:adjustRightInd w:val="0"/>
                    <w:snapToGrid w:val="0"/>
                    <w:rPr>
                      <w:color w:val="auto"/>
                      <w:sz w:val="18"/>
                      <w:szCs w:val="18"/>
                    </w:rPr>
                  </w:pPr>
                  <w:r>
                    <w:rPr>
                      <w:color w:val="auto"/>
                      <w:sz w:val="18"/>
                      <w:szCs w:val="18"/>
                    </w:rPr>
                    <w:t>序号</w:t>
                  </w:r>
                </w:p>
              </w:tc>
              <w:tc>
                <w:tcPr>
                  <w:tcW w:w="1307" w:type="dxa"/>
                  <w:tcBorders>
                    <w:tl2br w:val="nil"/>
                    <w:tr2bl w:val="nil"/>
                  </w:tcBorders>
                  <w:noWrap/>
                </w:tcPr>
                <w:p>
                  <w:pPr>
                    <w:adjustRightInd w:val="0"/>
                    <w:snapToGrid w:val="0"/>
                    <w:rPr>
                      <w:color w:val="auto"/>
                      <w:sz w:val="18"/>
                      <w:szCs w:val="18"/>
                    </w:rPr>
                  </w:pPr>
                  <w:r>
                    <w:rPr>
                      <w:color w:val="auto"/>
                      <w:sz w:val="18"/>
                      <w:szCs w:val="18"/>
                    </w:rPr>
                    <w:t>运行时段</w:t>
                  </w:r>
                </w:p>
              </w:tc>
              <w:tc>
                <w:tcPr>
                  <w:tcW w:w="4732" w:type="dxa"/>
                  <w:tcBorders>
                    <w:tl2br w:val="nil"/>
                    <w:tr2bl w:val="nil"/>
                  </w:tcBorders>
                  <w:noWrap/>
                </w:tcPr>
                <w:p>
                  <w:pPr>
                    <w:adjustRightInd w:val="0"/>
                    <w:snapToGrid w:val="0"/>
                    <w:rPr>
                      <w:color w:val="auto"/>
                      <w:sz w:val="18"/>
                      <w:szCs w:val="18"/>
                    </w:rPr>
                  </w:pPr>
                  <w:r>
                    <w:rPr>
                      <w:color w:val="auto"/>
                      <w:sz w:val="18"/>
                      <w:szCs w:val="18"/>
                    </w:rPr>
                    <w:t xml:space="preserve">      管理计划</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67" w:type="dxa"/>
                  <w:tcBorders>
                    <w:tl2br w:val="nil"/>
                    <w:tr2bl w:val="nil"/>
                  </w:tcBorders>
                  <w:noWrap/>
                </w:tcPr>
                <w:p>
                  <w:pPr>
                    <w:adjustRightInd w:val="0"/>
                    <w:snapToGrid w:val="0"/>
                    <w:rPr>
                      <w:color w:val="auto"/>
                      <w:sz w:val="18"/>
                      <w:szCs w:val="18"/>
                    </w:rPr>
                  </w:pPr>
                  <w:r>
                    <w:rPr>
                      <w:color w:val="auto"/>
                      <w:sz w:val="18"/>
                      <w:szCs w:val="18"/>
                    </w:rPr>
                    <w:t xml:space="preserve">  1</w:t>
                  </w:r>
                </w:p>
              </w:tc>
              <w:tc>
                <w:tcPr>
                  <w:tcW w:w="1307" w:type="dxa"/>
                  <w:tcBorders>
                    <w:tl2br w:val="nil"/>
                    <w:tr2bl w:val="nil"/>
                  </w:tcBorders>
                  <w:noWrap/>
                </w:tcPr>
                <w:p>
                  <w:pPr>
                    <w:adjustRightInd w:val="0"/>
                    <w:snapToGrid w:val="0"/>
                    <w:rPr>
                      <w:color w:val="auto"/>
                      <w:sz w:val="18"/>
                      <w:szCs w:val="18"/>
                    </w:rPr>
                  </w:pPr>
                  <w:r>
                    <w:rPr>
                      <w:color w:val="auto"/>
                      <w:sz w:val="18"/>
                      <w:szCs w:val="18"/>
                    </w:rPr>
                    <w:t>施工期</w:t>
                  </w:r>
                </w:p>
              </w:tc>
              <w:tc>
                <w:tcPr>
                  <w:tcW w:w="4732" w:type="dxa"/>
                  <w:tcBorders>
                    <w:tl2br w:val="nil"/>
                    <w:tr2bl w:val="nil"/>
                  </w:tcBorders>
                  <w:noWrap/>
                </w:tcPr>
                <w:p>
                  <w:pPr>
                    <w:adjustRightInd w:val="0"/>
                    <w:snapToGrid w:val="0"/>
                    <w:rPr>
                      <w:color w:val="auto"/>
                      <w:sz w:val="18"/>
                      <w:szCs w:val="18"/>
                    </w:rPr>
                  </w:pPr>
                  <w:r>
                    <w:rPr>
                      <w:color w:val="auto"/>
                      <w:sz w:val="18"/>
                      <w:szCs w:val="18"/>
                    </w:rPr>
                    <w:t>认真落实施工期各项污染物治理措施；根据环评报告及环评批复的污染防治措施和“三同时”原则落实环保投资。</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67" w:type="dxa"/>
                  <w:tcBorders>
                    <w:tl2br w:val="nil"/>
                    <w:tr2bl w:val="nil"/>
                  </w:tcBorders>
                  <w:noWrap/>
                </w:tcPr>
                <w:p>
                  <w:pPr>
                    <w:adjustRightInd w:val="0"/>
                    <w:snapToGrid w:val="0"/>
                    <w:rPr>
                      <w:color w:val="auto"/>
                      <w:sz w:val="18"/>
                      <w:szCs w:val="18"/>
                    </w:rPr>
                  </w:pPr>
                  <w:r>
                    <w:rPr>
                      <w:color w:val="auto"/>
                      <w:sz w:val="18"/>
                      <w:szCs w:val="18"/>
                    </w:rPr>
                    <w:t xml:space="preserve">  2</w:t>
                  </w:r>
                </w:p>
              </w:tc>
              <w:tc>
                <w:tcPr>
                  <w:tcW w:w="1307" w:type="dxa"/>
                  <w:tcBorders>
                    <w:tl2br w:val="nil"/>
                    <w:tr2bl w:val="nil"/>
                  </w:tcBorders>
                  <w:noWrap/>
                </w:tcPr>
                <w:p>
                  <w:pPr>
                    <w:adjustRightInd w:val="0"/>
                    <w:snapToGrid w:val="0"/>
                    <w:rPr>
                      <w:color w:val="auto"/>
                      <w:sz w:val="18"/>
                      <w:szCs w:val="18"/>
                    </w:rPr>
                  </w:pPr>
                  <w:r>
                    <w:rPr>
                      <w:color w:val="auto"/>
                      <w:sz w:val="18"/>
                      <w:szCs w:val="18"/>
                    </w:rPr>
                    <w:t>竣工验收期</w:t>
                  </w:r>
                </w:p>
              </w:tc>
              <w:tc>
                <w:tcPr>
                  <w:tcW w:w="4732" w:type="dxa"/>
                  <w:tcBorders>
                    <w:tl2br w:val="nil"/>
                    <w:tr2bl w:val="nil"/>
                  </w:tcBorders>
                  <w:noWrap/>
                </w:tcPr>
                <w:p>
                  <w:pPr>
                    <w:adjustRightInd w:val="0"/>
                    <w:snapToGrid w:val="0"/>
                    <w:rPr>
                      <w:color w:val="auto"/>
                      <w:sz w:val="18"/>
                      <w:szCs w:val="18"/>
                    </w:rPr>
                  </w:pPr>
                  <w:r>
                    <w:rPr>
                      <w:color w:val="auto"/>
                      <w:sz w:val="18"/>
                      <w:szCs w:val="18"/>
                    </w:rPr>
                    <w:t>项目建成后会</w:t>
                  </w:r>
                  <w:r>
                    <w:rPr>
                      <w:rFonts w:hint="eastAsia"/>
                      <w:color w:val="auto"/>
                      <w:sz w:val="18"/>
                      <w:szCs w:val="18"/>
                    </w:rPr>
                    <w:t>同</w:t>
                  </w:r>
                  <w:r>
                    <w:rPr>
                      <w:color w:val="auto"/>
                      <w:sz w:val="18"/>
                      <w:szCs w:val="18"/>
                    </w:rPr>
                    <w:t>有关单位认真呢检查环保设施是否符合“三同时”原则，检查结果递交当地环境保护行政主管部门；监测环保设施运行效率和效果；按相关管理要求积极组织环保竣工验收，通过验收后方可正式投入运营。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767" w:type="dxa"/>
                  <w:tcBorders>
                    <w:tl2br w:val="nil"/>
                    <w:tr2bl w:val="nil"/>
                  </w:tcBorders>
                  <w:noWrap/>
                </w:tcPr>
                <w:p>
                  <w:pPr>
                    <w:adjustRightInd w:val="0"/>
                    <w:snapToGrid w:val="0"/>
                    <w:rPr>
                      <w:color w:val="auto"/>
                      <w:sz w:val="18"/>
                      <w:szCs w:val="18"/>
                    </w:rPr>
                  </w:pPr>
                  <w:r>
                    <w:rPr>
                      <w:color w:val="auto"/>
                      <w:sz w:val="18"/>
                      <w:szCs w:val="18"/>
                    </w:rPr>
                    <w:t xml:space="preserve">  3</w:t>
                  </w:r>
                </w:p>
              </w:tc>
              <w:tc>
                <w:tcPr>
                  <w:tcW w:w="1307" w:type="dxa"/>
                  <w:tcBorders>
                    <w:tl2br w:val="nil"/>
                    <w:tr2bl w:val="nil"/>
                  </w:tcBorders>
                  <w:noWrap/>
                </w:tcPr>
                <w:p>
                  <w:pPr>
                    <w:adjustRightInd w:val="0"/>
                    <w:snapToGrid w:val="0"/>
                    <w:rPr>
                      <w:color w:val="auto"/>
                      <w:sz w:val="18"/>
                      <w:szCs w:val="18"/>
                    </w:rPr>
                  </w:pPr>
                  <w:r>
                    <w:rPr>
                      <w:color w:val="auto"/>
                      <w:sz w:val="18"/>
                      <w:szCs w:val="18"/>
                    </w:rPr>
                    <w:t>运行期</w:t>
                  </w:r>
                </w:p>
              </w:tc>
              <w:tc>
                <w:tcPr>
                  <w:tcW w:w="4732" w:type="dxa"/>
                  <w:tcBorders>
                    <w:tl2br w:val="nil"/>
                    <w:tr2bl w:val="nil"/>
                  </w:tcBorders>
                  <w:noWrap/>
                </w:tcPr>
                <w:p>
                  <w:pPr>
                    <w:adjustRightInd w:val="0"/>
                    <w:snapToGrid w:val="0"/>
                    <w:rPr>
                      <w:color w:val="auto"/>
                      <w:sz w:val="18"/>
                      <w:szCs w:val="18"/>
                    </w:rPr>
                  </w:pPr>
                  <w:r>
                    <w:rPr>
                      <w:color w:val="auto"/>
                      <w:sz w:val="18"/>
                      <w:szCs w:val="18"/>
                    </w:rPr>
                    <w:t>建立健全环保管理制度；保障环保设施、环保设施等运行和维护费用；严格执行危险废物转移联单制度，做好危险废物处置登记工作；认真做好环保管理及宣传工作；认真配合当地环境保护行政主管部门完成各项环保工作。</w:t>
                  </w:r>
                </w:p>
              </w:tc>
            </w:tr>
          </w:tbl>
          <w:p>
            <w:pPr>
              <w:adjustRightInd w:val="0"/>
              <w:snapToGrid w:val="0"/>
              <w:spacing w:line="360" w:lineRule="auto"/>
              <w:ind w:firstLine="420"/>
              <w:rPr>
                <w:color w:val="auto"/>
                <w:szCs w:val="21"/>
              </w:rPr>
            </w:pPr>
          </w:p>
        </w:tc>
      </w:tr>
    </w:tbl>
    <w:p>
      <w:pPr>
        <w:pStyle w:val="19"/>
        <w:jc w:val="both"/>
        <w:outlineLvl w:val="0"/>
        <w:rPr>
          <w:rFonts w:ascii="Times New Roman" w:hAnsi="Times New Roman" w:eastAsia="黑体"/>
          <w:snapToGrid w:val="0"/>
          <w:color w:val="auto"/>
          <w:sz w:val="30"/>
          <w:szCs w:val="30"/>
        </w:rPr>
      </w:pPr>
      <w:r>
        <w:rPr>
          <w:rFonts w:ascii="Times New Roman" w:hAnsi="Times New Roman"/>
          <w:snapToGrid w:val="0"/>
          <w:color w:val="auto"/>
        </w:rPr>
        <w:br w:type="page"/>
      </w:r>
      <w:r>
        <w:rPr>
          <w:rFonts w:hint="eastAsia" w:ascii="Times New Roman" w:hAnsi="Times New Roman"/>
          <w:snapToGrid w:val="0"/>
          <w:color w:val="auto"/>
          <w:lang w:val="en-US" w:eastAsia="zh-CN"/>
        </w:rPr>
        <w:t xml:space="preserve">                       </w:t>
      </w:r>
      <w:r>
        <w:rPr>
          <w:rFonts w:ascii="Times New Roman" w:hAnsi="Times New Roman" w:eastAsia="黑体"/>
          <w:snapToGrid w:val="0"/>
          <w:color w:val="auto"/>
          <w:sz w:val="30"/>
          <w:szCs w:val="30"/>
        </w:rPr>
        <w:t>六、结论</w:t>
      </w:r>
    </w:p>
    <w:tbl>
      <w:tblPr>
        <w:tblStyle w:val="21"/>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noWrap/>
          </w:tcPr>
          <w:p>
            <w:pPr>
              <w:spacing w:line="360" w:lineRule="auto"/>
              <w:ind w:firstLine="420" w:firstLineChars="200"/>
              <w:rPr>
                <w:color w:val="auto"/>
                <w:szCs w:val="21"/>
              </w:rPr>
            </w:pPr>
            <w:r>
              <w:rPr>
                <w:color w:val="auto"/>
                <w:szCs w:val="21"/>
              </w:rPr>
              <w:t>项目建设符合国家相关产业政策，符合相关污染防治规范要求，符合</w:t>
            </w:r>
            <w:r>
              <w:rPr>
                <w:rFonts w:hint="eastAsia"/>
                <w:color w:val="auto"/>
                <w:szCs w:val="21"/>
              </w:rPr>
              <w:t>“</w:t>
            </w:r>
            <w:r>
              <w:rPr>
                <w:color w:val="auto"/>
                <w:szCs w:val="21"/>
              </w:rPr>
              <w:t>三线一单</w:t>
            </w:r>
            <w:r>
              <w:rPr>
                <w:rFonts w:hint="eastAsia"/>
                <w:color w:val="auto"/>
                <w:szCs w:val="21"/>
              </w:rPr>
              <w:t>”</w:t>
            </w:r>
            <w:r>
              <w:rPr>
                <w:color w:val="auto"/>
                <w:szCs w:val="21"/>
              </w:rPr>
              <w:t>的要求，与广元市</w:t>
            </w:r>
            <w:r>
              <w:rPr>
                <w:rFonts w:hint="eastAsia"/>
                <w:color w:val="auto"/>
                <w:szCs w:val="21"/>
                <w:lang w:eastAsia="zh-CN"/>
              </w:rPr>
              <w:t>苍溪县</w:t>
            </w:r>
            <w:r>
              <w:rPr>
                <w:color w:val="auto"/>
                <w:szCs w:val="21"/>
              </w:rPr>
              <w:t>目前规划政策不相违背，区域环境质量总体上能达到环境标准要求，项目拟采取的污染防治措施经济技术可行。在确保项目</w:t>
            </w:r>
            <w:r>
              <w:rPr>
                <w:rFonts w:hint="eastAsia"/>
                <w:color w:val="auto"/>
                <w:szCs w:val="21"/>
              </w:rPr>
              <w:t>“</w:t>
            </w:r>
            <w:r>
              <w:rPr>
                <w:color w:val="auto"/>
                <w:szCs w:val="21"/>
              </w:rPr>
              <w:t>三废</w:t>
            </w:r>
            <w:r>
              <w:rPr>
                <w:rFonts w:hint="eastAsia"/>
                <w:color w:val="auto"/>
                <w:szCs w:val="21"/>
              </w:rPr>
              <w:t>”</w:t>
            </w:r>
            <w:r>
              <w:rPr>
                <w:color w:val="auto"/>
                <w:szCs w:val="21"/>
              </w:rPr>
              <w:t>污染物达标排放，做好固废处理处置、地下水防渗、环境风险防范等措施，并严格执行</w:t>
            </w:r>
            <w:r>
              <w:rPr>
                <w:rFonts w:hint="eastAsia"/>
                <w:color w:val="auto"/>
                <w:szCs w:val="21"/>
              </w:rPr>
              <w:t>“</w:t>
            </w:r>
            <w:r>
              <w:rPr>
                <w:color w:val="auto"/>
                <w:szCs w:val="21"/>
              </w:rPr>
              <w:t>三同时</w:t>
            </w:r>
            <w:r>
              <w:rPr>
                <w:rFonts w:hint="eastAsia"/>
                <w:color w:val="auto"/>
                <w:szCs w:val="21"/>
              </w:rPr>
              <w:t>”</w:t>
            </w:r>
            <w:r>
              <w:rPr>
                <w:color w:val="auto"/>
                <w:szCs w:val="21"/>
              </w:rPr>
              <w:t>制度，落实设计和环评报告表中提出的各项环保治理措施的前提下，项目建成后是不会改变区域现有功能的。因此，该项目从环境保护角度看是可行的。</w:t>
            </w:r>
          </w:p>
          <w:p>
            <w:pPr>
              <w:tabs>
                <w:tab w:val="left" w:pos="740"/>
              </w:tabs>
              <w:spacing w:line="360" w:lineRule="auto"/>
              <w:rPr>
                <w:color w:val="auto"/>
                <w:sz w:val="24"/>
              </w:rPr>
            </w:pPr>
          </w:p>
        </w:tc>
      </w:tr>
    </w:tbl>
    <w:p>
      <w:pPr>
        <w:rPr>
          <w:color w:val="auto"/>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9"/>
        <w:adjustRightInd w:val="0"/>
        <w:snapToGrid w:val="0"/>
        <w:spacing w:before="0" w:beforeAutospacing="0" w:after="0" w:afterAutospacing="0" w:line="648" w:lineRule="auto"/>
        <w:outlineLvl w:val="0"/>
        <w:rPr>
          <w:rFonts w:ascii="Times New Roman" w:hAnsi="Times New Roman" w:eastAsia="黑体"/>
          <w:snapToGrid w:val="0"/>
          <w:color w:val="auto"/>
          <w:sz w:val="32"/>
          <w:szCs w:val="32"/>
        </w:rPr>
      </w:pPr>
      <w:r>
        <w:rPr>
          <w:rFonts w:ascii="Times New Roman" w:hAnsi="Times New Roman" w:eastAsia="黑体"/>
          <w:snapToGrid w:val="0"/>
          <w:color w:val="auto"/>
          <w:sz w:val="32"/>
          <w:szCs w:val="32"/>
        </w:rPr>
        <w:t>附表</w:t>
      </w:r>
    </w:p>
    <w:p>
      <w:pPr>
        <w:pStyle w:val="19"/>
        <w:adjustRightInd w:val="0"/>
        <w:snapToGrid w:val="0"/>
        <w:spacing w:before="0" w:beforeAutospacing="0" w:after="0" w:afterAutospacing="0" w:line="240" w:lineRule="auto"/>
        <w:jc w:val="center"/>
        <w:outlineLvl w:val="0"/>
        <w:rPr>
          <w:rFonts w:ascii="Times New Roman" w:hAnsi="Times New Roman" w:eastAsia="方正小标宋_GBK"/>
          <w:snapToGrid w:val="0"/>
          <w:color w:val="auto"/>
          <w:sz w:val="38"/>
          <w:szCs w:val="38"/>
        </w:rPr>
      </w:pPr>
      <w:r>
        <w:rPr>
          <w:rFonts w:ascii="Times New Roman" w:hAnsi="Times New Roman" w:eastAsia="方正小标宋_GBK"/>
          <w:snapToGrid w:val="0"/>
          <w:color w:val="auto"/>
          <w:sz w:val="38"/>
          <w:szCs w:val="38"/>
        </w:rPr>
        <w:t>建设项目污染物排放量汇总表</w:t>
      </w:r>
    </w:p>
    <w:tbl>
      <w:tblPr>
        <w:tblStyle w:val="21"/>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761"/>
        <w:gridCol w:w="1959"/>
        <w:gridCol w:w="82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588" w:type="dxa"/>
            <w:tcBorders>
              <w:tl2br w:val="single" w:color="auto" w:sz="4" w:space="0"/>
            </w:tcBorders>
            <w:noWrap/>
            <w:tcMar>
              <w:left w:w="28" w:type="dxa"/>
              <w:right w:w="28" w:type="dxa"/>
            </w:tcMar>
            <w:vAlign w:val="center"/>
          </w:tcPr>
          <w:p>
            <w:pPr>
              <w:pStyle w:val="33"/>
              <w:spacing w:beforeLines="0" w:afterLines="0" w:line="240" w:lineRule="auto"/>
              <w:jc w:val="right"/>
              <w:rPr>
                <w:rFonts w:ascii="Times New Roman" w:eastAsia="黑体"/>
                <w:snapToGrid w:val="0"/>
                <w:color w:val="auto"/>
                <w:spacing w:val="-6"/>
                <w:kern w:val="21"/>
                <w:szCs w:val="21"/>
              </w:rPr>
            </w:pPr>
            <w:r>
              <w:rPr>
                <w:rFonts w:ascii="Times New Roman" w:eastAsia="黑体"/>
                <w:snapToGrid w:val="0"/>
                <w:color w:val="auto"/>
                <w:spacing w:val="-6"/>
                <w:kern w:val="21"/>
                <w:szCs w:val="21"/>
              </w:rPr>
              <w:t>项目</w:t>
            </w:r>
          </w:p>
          <w:p>
            <w:pPr>
              <w:pStyle w:val="33"/>
              <w:spacing w:beforeLines="0" w:afterLines="0" w:line="240" w:lineRule="auto"/>
              <w:jc w:val="left"/>
              <w:rPr>
                <w:rFonts w:ascii="Times New Roman" w:eastAsia="黑体"/>
                <w:snapToGrid w:val="0"/>
                <w:color w:val="auto"/>
                <w:spacing w:val="-6"/>
                <w:kern w:val="21"/>
                <w:szCs w:val="21"/>
              </w:rPr>
            </w:pPr>
            <w:r>
              <w:rPr>
                <w:rFonts w:ascii="Times New Roman" w:eastAsia="黑体"/>
                <w:snapToGrid w:val="0"/>
                <w:color w:val="auto"/>
                <w:spacing w:val="-6"/>
                <w:kern w:val="21"/>
                <w:szCs w:val="21"/>
              </w:rPr>
              <w:t>分类</w:t>
            </w:r>
          </w:p>
        </w:tc>
        <w:tc>
          <w:tcPr>
            <w:tcW w:w="1417" w:type="dxa"/>
            <w:noWrap/>
            <w:tcMar>
              <w:left w:w="28" w:type="dxa"/>
              <w:right w:w="28" w:type="dxa"/>
            </w:tcMar>
            <w:vAlign w:val="center"/>
          </w:tcPr>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污染物名称</w:t>
            </w:r>
          </w:p>
        </w:tc>
        <w:tc>
          <w:tcPr>
            <w:tcW w:w="1701" w:type="dxa"/>
            <w:noWrap/>
            <w:tcMar>
              <w:left w:w="28" w:type="dxa"/>
              <w:right w:w="28" w:type="dxa"/>
            </w:tcMar>
            <w:vAlign w:val="center"/>
          </w:tcPr>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现有工程</w:t>
            </w:r>
          </w:p>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排放量（固体废物产生量）</w:t>
            </w: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1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①</w:t>
            </w:r>
            <w:r>
              <w:rPr>
                <w:rFonts w:ascii="Times New Roman" w:eastAsia="黑体"/>
                <w:snapToGrid w:val="0"/>
                <w:color w:val="auto"/>
                <w:spacing w:val="-6"/>
                <w:kern w:val="21"/>
                <w:szCs w:val="21"/>
              </w:rPr>
              <w:fldChar w:fldCharType="end"/>
            </w:r>
          </w:p>
        </w:tc>
        <w:tc>
          <w:tcPr>
            <w:tcW w:w="1276" w:type="dxa"/>
            <w:noWrap/>
            <w:tcMar>
              <w:left w:w="28" w:type="dxa"/>
              <w:right w:w="28" w:type="dxa"/>
            </w:tcMar>
            <w:vAlign w:val="center"/>
          </w:tcPr>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现有工程</w:t>
            </w:r>
          </w:p>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许可排放量</w:t>
            </w:r>
          </w:p>
          <w:p>
            <w:pPr>
              <w:pStyle w:val="33"/>
              <w:spacing w:beforeLines="0" w:afterLines="0"/>
              <w:rPr>
                <w:rFonts w:ascii="Times New Roman" w:eastAsia="黑体"/>
                <w:snapToGrid w:val="0"/>
                <w:color w:val="auto"/>
                <w:spacing w:val="-6"/>
                <w:kern w:val="21"/>
                <w:szCs w:val="21"/>
              </w:rPr>
            </w:pP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2 \* GB3 \* MERGEFORMAT </w:instrText>
            </w:r>
            <w:r>
              <w:rPr>
                <w:rFonts w:ascii="Times New Roman" w:eastAsia="黑体"/>
                <w:snapToGrid w:val="0"/>
                <w:color w:val="auto"/>
                <w:spacing w:val="-6"/>
                <w:kern w:val="21"/>
                <w:szCs w:val="21"/>
              </w:rPr>
              <w:fldChar w:fldCharType="separate"/>
            </w:r>
            <w:r>
              <w:rPr>
                <w:rFonts w:ascii="Times New Roman" w:eastAsia="黑体"/>
                <w:snapToGrid w:val="0"/>
                <w:color w:val="auto"/>
                <w:spacing w:val="-6"/>
                <w:kern w:val="21"/>
                <w:szCs w:val="21"/>
              </w:rPr>
              <w:t>②</w:t>
            </w:r>
            <w:r>
              <w:rPr>
                <w:rFonts w:ascii="Times New Roman" w:eastAsia="黑体"/>
                <w:snapToGrid w:val="0"/>
                <w:color w:val="auto"/>
                <w:spacing w:val="-6"/>
                <w:kern w:val="21"/>
                <w:szCs w:val="21"/>
              </w:rPr>
              <w:fldChar w:fldCharType="end"/>
            </w:r>
          </w:p>
        </w:tc>
        <w:tc>
          <w:tcPr>
            <w:tcW w:w="1701" w:type="dxa"/>
            <w:noWrap/>
            <w:tcMar>
              <w:left w:w="28" w:type="dxa"/>
              <w:right w:w="28" w:type="dxa"/>
            </w:tcMar>
            <w:vAlign w:val="center"/>
          </w:tcPr>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在建工程</w:t>
            </w:r>
          </w:p>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排放量（固体废物产生量）</w:t>
            </w: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3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③</w:t>
            </w:r>
            <w:r>
              <w:rPr>
                <w:rFonts w:ascii="Times New Roman" w:eastAsia="黑体"/>
                <w:snapToGrid w:val="0"/>
                <w:color w:val="auto"/>
                <w:spacing w:val="-6"/>
                <w:kern w:val="21"/>
                <w:szCs w:val="21"/>
              </w:rPr>
              <w:fldChar w:fldCharType="end"/>
            </w:r>
          </w:p>
        </w:tc>
        <w:tc>
          <w:tcPr>
            <w:tcW w:w="1559" w:type="dxa"/>
            <w:noWrap/>
            <w:tcMar>
              <w:left w:w="28" w:type="dxa"/>
              <w:right w:w="28" w:type="dxa"/>
            </w:tcMar>
            <w:vAlign w:val="center"/>
          </w:tcPr>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本项目</w:t>
            </w:r>
          </w:p>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排放量（固体废物产生量）</w:t>
            </w: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4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④</w:t>
            </w:r>
            <w:r>
              <w:rPr>
                <w:rFonts w:ascii="Times New Roman" w:eastAsia="黑体"/>
                <w:snapToGrid w:val="0"/>
                <w:color w:val="auto"/>
                <w:spacing w:val="-6"/>
                <w:kern w:val="21"/>
                <w:szCs w:val="21"/>
              </w:rPr>
              <w:fldChar w:fldCharType="end"/>
            </w:r>
          </w:p>
        </w:tc>
        <w:tc>
          <w:tcPr>
            <w:tcW w:w="1761" w:type="dxa"/>
            <w:noWrap/>
            <w:tcMar>
              <w:left w:w="28" w:type="dxa"/>
              <w:right w:w="28" w:type="dxa"/>
            </w:tcMar>
            <w:vAlign w:val="center"/>
          </w:tcPr>
          <w:p>
            <w:pPr>
              <w:pStyle w:val="33"/>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以新带老削减量</w:t>
            </w:r>
          </w:p>
          <w:p>
            <w:pPr>
              <w:pStyle w:val="33"/>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（新建项目不填）</w:t>
            </w:r>
            <w:r>
              <w:rPr>
                <w:rFonts w:ascii="Times New Roman" w:eastAsia="黑体"/>
                <w:snapToGrid w:val="0"/>
                <w:color w:val="auto"/>
                <w:spacing w:val="-16"/>
                <w:kern w:val="21"/>
                <w:szCs w:val="21"/>
              </w:rPr>
              <w:fldChar w:fldCharType="begin"/>
            </w:r>
            <w:r>
              <w:rPr>
                <w:rFonts w:ascii="Times New Roman" w:eastAsia="黑体"/>
                <w:snapToGrid w:val="0"/>
                <w:color w:val="auto"/>
                <w:spacing w:val="-16"/>
                <w:kern w:val="21"/>
                <w:szCs w:val="21"/>
              </w:rPr>
              <w:instrText xml:space="preserve"> = 5 \* GB3 \* MERGEFORMAT </w:instrText>
            </w:r>
            <w:r>
              <w:rPr>
                <w:rFonts w:ascii="Times New Roman" w:eastAsia="黑体"/>
                <w:snapToGrid w:val="0"/>
                <w:color w:val="auto"/>
                <w:spacing w:val="-16"/>
                <w:kern w:val="21"/>
                <w:szCs w:val="21"/>
              </w:rPr>
              <w:fldChar w:fldCharType="separate"/>
            </w:r>
            <w:r>
              <w:rPr>
                <w:rFonts w:ascii="Times New Roman" w:eastAsia="黑体"/>
                <w:color w:val="auto"/>
                <w:kern w:val="2"/>
                <w:szCs w:val="21"/>
              </w:rPr>
              <w:t>⑤</w:t>
            </w:r>
            <w:r>
              <w:rPr>
                <w:rFonts w:ascii="Times New Roman" w:eastAsia="黑体"/>
                <w:snapToGrid w:val="0"/>
                <w:color w:val="auto"/>
                <w:spacing w:val="-16"/>
                <w:kern w:val="21"/>
                <w:szCs w:val="21"/>
              </w:rPr>
              <w:fldChar w:fldCharType="end"/>
            </w:r>
          </w:p>
        </w:tc>
        <w:tc>
          <w:tcPr>
            <w:tcW w:w="1959" w:type="dxa"/>
            <w:noWrap/>
            <w:tcMar>
              <w:left w:w="28" w:type="dxa"/>
              <w:right w:w="28" w:type="dxa"/>
            </w:tcMar>
            <w:vAlign w:val="center"/>
          </w:tcPr>
          <w:p>
            <w:pPr>
              <w:pStyle w:val="33"/>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本项目建成后</w:t>
            </w:r>
          </w:p>
          <w:p>
            <w:pPr>
              <w:pStyle w:val="33"/>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全厂排放量（固体废物产生量）</w:t>
            </w:r>
            <w:r>
              <w:rPr>
                <w:rFonts w:ascii="Times New Roman" w:eastAsia="黑体"/>
                <w:snapToGrid w:val="0"/>
                <w:color w:val="auto"/>
                <w:spacing w:val="-16"/>
                <w:kern w:val="21"/>
                <w:szCs w:val="21"/>
              </w:rPr>
              <w:fldChar w:fldCharType="begin"/>
            </w:r>
            <w:r>
              <w:rPr>
                <w:rFonts w:ascii="Times New Roman" w:eastAsia="黑体"/>
                <w:snapToGrid w:val="0"/>
                <w:color w:val="auto"/>
                <w:spacing w:val="-16"/>
                <w:kern w:val="21"/>
                <w:szCs w:val="21"/>
              </w:rPr>
              <w:instrText xml:space="preserve"> = 6 \* GB3 \* MERGEFORMAT </w:instrText>
            </w:r>
            <w:r>
              <w:rPr>
                <w:rFonts w:ascii="Times New Roman" w:eastAsia="黑体"/>
                <w:snapToGrid w:val="0"/>
                <w:color w:val="auto"/>
                <w:spacing w:val="-16"/>
                <w:kern w:val="21"/>
                <w:szCs w:val="21"/>
              </w:rPr>
              <w:fldChar w:fldCharType="separate"/>
            </w:r>
            <w:r>
              <w:rPr>
                <w:rFonts w:ascii="Times New Roman" w:eastAsia="黑体"/>
                <w:color w:val="auto"/>
                <w:kern w:val="2"/>
                <w:szCs w:val="21"/>
              </w:rPr>
              <w:t>⑥</w:t>
            </w:r>
            <w:r>
              <w:rPr>
                <w:rFonts w:ascii="Times New Roman" w:eastAsia="黑体"/>
                <w:snapToGrid w:val="0"/>
                <w:color w:val="auto"/>
                <w:spacing w:val="-16"/>
                <w:kern w:val="21"/>
                <w:szCs w:val="21"/>
              </w:rPr>
              <w:fldChar w:fldCharType="end"/>
            </w:r>
          </w:p>
        </w:tc>
        <w:tc>
          <w:tcPr>
            <w:tcW w:w="826" w:type="dxa"/>
            <w:noWrap/>
            <w:tcMar>
              <w:left w:w="28" w:type="dxa"/>
              <w:right w:w="28" w:type="dxa"/>
            </w:tcMar>
            <w:vAlign w:val="center"/>
          </w:tcPr>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变化量</w:t>
            </w:r>
          </w:p>
          <w:p>
            <w:pPr>
              <w:pStyle w:val="33"/>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7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⑦</w:t>
            </w:r>
            <w:r>
              <w:rPr>
                <w:rFonts w:ascii="Times New Roman" w:eastAsia="黑体"/>
                <w:snapToGrid w:val="0"/>
                <w:color w:val="auto"/>
                <w:spacing w:val="-6"/>
                <w:kern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8" w:hRule="atLeast"/>
        </w:trPr>
        <w:tc>
          <w:tcPr>
            <w:tcW w:w="1588" w:type="dxa"/>
            <w:vMerge w:val="restart"/>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废气</w:t>
            </w:r>
          </w:p>
        </w:tc>
        <w:tc>
          <w:tcPr>
            <w:tcW w:w="1417" w:type="dxa"/>
            <w:noWrap/>
            <w:vAlign w:val="center"/>
          </w:tcPr>
          <w:p>
            <w:pPr>
              <w:adjustRightInd w:val="0"/>
              <w:snapToGrid w:val="0"/>
              <w:jc w:val="center"/>
              <w:rPr>
                <w:snapToGrid w:val="0"/>
                <w:color w:val="auto"/>
                <w:kern w:val="21"/>
                <w:szCs w:val="21"/>
              </w:rPr>
            </w:pPr>
            <w:r>
              <w:rPr>
                <w:bCs/>
                <w:color w:val="auto"/>
                <w:szCs w:val="21"/>
              </w:rPr>
              <w:t>医疗废物暂存间产生的恶臭</w:t>
            </w:r>
          </w:p>
        </w:tc>
        <w:tc>
          <w:tcPr>
            <w:tcW w:w="1701" w:type="dxa"/>
            <w:noWrap/>
            <w:vAlign w:val="center"/>
          </w:tcPr>
          <w:p>
            <w:pPr>
              <w:adjustRightInd w:val="0"/>
              <w:snapToGrid w:val="0"/>
              <w:rPr>
                <w:snapToGrid w:val="0"/>
                <w:color w:val="auto"/>
                <w:kern w:val="21"/>
                <w:szCs w:val="21"/>
              </w:rPr>
            </w:pPr>
            <w:r>
              <w:rPr>
                <w:rFonts w:hint="eastAsia"/>
                <w:bCs/>
                <w:color w:val="auto"/>
                <w:szCs w:val="21"/>
              </w:rPr>
              <w:t xml:space="preserve">      0</w:t>
            </w:r>
          </w:p>
        </w:tc>
        <w:tc>
          <w:tcPr>
            <w:tcW w:w="1276" w:type="dxa"/>
            <w:noWrap/>
            <w:vAlign w:val="center"/>
          </w:tcPr>
          <w:p>
            <w:pPr>
              <w:adjustRightInd w:val="0"/>
              <w:snapToGrid w:val="0"/>
              <w:rPr>
                <w:snapToGrid w:val="0"/>
                <w:color w:val="auto"/>
                <w:kern w:val="21"/>
                <w:szCs w:val="21"/>
              </w:rPr>
            </w:pPr>
            <w:r>
              <w:rPr>
                <w:rFonts w:hint="eastAsia"/>
                <w:bCs/>
                <w:color w:val="auto"/>
                <w:szCs w:val="21"/>
              </w:rPr>
              <w:t xml:space="preserve">     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vAlign w:val="center"/>
          </w:tcPr>
          <w:p>
            <w:pPr>
              <w:adjustRightInd w:val="0"/>
              <w:snapToGrid w:val="0"/>
              <w:rPr>
                <w:snapToGrid w:val="0"/>
                <w:color w:val="auto"/>
                <w:kern w:val="21"/>
                <w:szCs w:val="21"/>
              </w:rPr>
            </w:pPr>
            <w:r>
              <w:rPr>
                <w:rFonts w:hint="eastAsia"/>
                <w:bCs/>
                <w:color w:val="auto"/>
                <w:szCs w:val="21"/>
              </w:rPr>
              <w:t xml:space="preserve">      0</w:t>
            </w:r>
          </w:p>
        </w:tc>
        <w:tc>
          <w:tcPr>
            <w:tcW w:w="1761" w:type="dxa"/>
            <w:noWrap/>
            <w:vAlign w:val="center"/>
          </w:tcPr>
          <w:p>
            <w:pPr>
              <w:jc w:val="center"/>
              <w:rPr>
                <w:color w:val="auto"/>
                <w:szCs w:val="21"/>
              </w:rPr>
            </w:pPr>
          </w:p>
          <w:p>
            <w:pPr>
              <w:pStyle w:val="2"/>
              <w:ind w:firstLine="0"/>
              <w:jc w:val="center"/>
              <w:rPr>
                <w:rFonts w:eastAsia="宋体"/>
                <w:snapToGrid w:val="0"/>
                <w:color w:val="auto"/>
                <w:kern w:val="21"/>
                <w:sz w:val="21"/>
                <w:szCs w:val="21"/>
              </w:rPr>
            </w:pPr>
            <w:r>
              <w:rPr>
                <w:rFonts w:eastAsia="宋体"/>
                <w:color w:val="auto"/>
                <w:sz w:val="21"/>
                <w:szCs w:val="21"/>
              </w:rPr>
              <w:t>0</w:t>
            </w:r>
          </w:p>
        </w:tc>
        <w:tc>
          <w:tcPr>
            <w:tcW w:w="1959" w:type="dxa"/>
            <w:noWrap/>
            <w:vAlign w:val="center"/>
          </w:tcPr>
          <w:p>
            <w:pPr>
              <w:adjustRightInd w:val="0"/>
              <w:snapToGrid w:val="0"/>
              <w:jc w:val="center"/>
              <w:rPr>
                <w:snapToGrid w:val="0"/>
                <w:color w:val="auto"/>
                <w:kern w:val="21"/>
                <w:szCs w:val="21"/>
              </w:rPr>
            </w:pPr>
            <w:r>
              <w:rPr>
                <w:rFonts w:hint="eastAsia"/>
                <w:bCs/>
                <w:color w:val="auto"/>
                <w:szCs w:val="21"/>
              </w:rPr>
              <w:t xml:space="preserve"> 0</w:t>
            </w:r>
          </w:p>
        </w:tc>
        <w:tc>
          <w:tcPr>
            <w:tcW w:w="826" w:type="dxa"/>
            <w:noWrap/>
            <w:vAlign w:val="center"/>
          </w:tcPr>
          <w:p>
            <w:pPr>
              <w:jc w:val="center"/>
              <w:rPr>
                <w:snapToGrid w:val="0"/>
                <w:color w:val="auto"/>
                <w:kern w:val="21"/>
                <w:szCs w:val="21"/>
              </w:rPr>
            </w:pPr>
            <w:r>
              <w:rPr>
                <w:bCs/>
                <w:color w:val="auto"/>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adjustRightInd w:val="0"/>
              <w:snapToGrid w:val="0"/>
              <w:jc w:val="center"/>
              <w:rPr>
                <w:snapToGrid w:val="0"/>
                <w:color w:val="auto"/>
                <w:kern w:val="21"/>
                <w:szCs w:val="21"/>
              </w:rPr>
            </w:pPr>
            <w:r>
              <w:rPr>
                <w:bCs/>
                <w:color w:val="auto"/>
                <w:szCs w:val="21"/>
              </w:rPr>
              <w:t>污水处理设施</w:t>
            </w:r>
            <w:r>
              <w:rPr>
                <w:rFonts w:hint="eastAsia"/>
                <w:bCs/>
                <w:color w:val="auto"/>
                <w:szCs w:val="21"/>
              </w:rPr>
              <w:t>产生的</w:t>
            </w:r>
            <w:r>
              <w:rPr>
                <w:bCs/>
                <w:color w:val="auto"/>
                <w:szCs w:val="21"/>
              </w:rPr>
              <w:t>恶臭</w:t>
            </w:r>
          </w:p>
        </w:tc>
        <w:tc>
          <w:tcPr>
            <w:tcW w:w="1701" w:type="dxa"/>
            <w:noWrap/>
          </w:tcPr>
          <w:p>
            <w:pPr>
              <w:jc w:val="center"/>
              <w:rPr>
                <w:snapToGrid w:val="0"/>
                <w:color w:val="auto"/>
                <w:kern w:val="21"/>
                <w:szCs w:val="21"/>
              </w:rPr>
            </w:pPr>
            <w:r>
              <w:rPr>
                <w:rFonts w:hint="eastAsia"/>
                <w:bCs/>
                <w:color w:val="auto"/>
                <w:szCs w:val="21"/>
              </w:rPr>
              <w:t xml:space="preserve"> 0</w:t>
            </w:r>
          </w:p>
        </w:tc>
        <w:tc>
          <w:tcPr>
            <w:tcW w:w="1276" w:type="dxa"/>
            <w:noWrap/>
          </w:tcPr>
          <w:p>
            <w:pPr>
              <w:jc w:val="center"/>
              <w:rPr>
                <w:snapToGrid w:val="0"/>
                <w:color w:val="auto"/>
                <w:kern w:val="21"/>
                <w:szCs w:val="21"/>
              </w:rPr>
            </w:pPr>
            <w:r>
              <w:rPr>
                <w:rFonts w:hint="eastAsia"/>
                <w:bCs/>
                <w:color w:val="auto"/>
                <w:szCs w:val="21"/>
              </w:rPr>
              <w:t xml:space="preserve"> 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tcPr>
          <w:p>
            <w:pPr>
              <w:jc w:val="center"/>
              <w:rPr>
                <w:snapToGrid w:val="0"/>
                <w:color w:val="auto"/>
                <w:kern w:val="21"/>
                <w:szCs w:val="21"/>
              </w:rPr>
            </w:pPr>
            <w:r>
              <w:rPr>
                <w:rFonts w:hint="eastAsia"/>
                <w:bCs/>
                <w:color w:val="auto"/>
                <w:szCs w:val="21"/>
              </w:rPr>
              <w:t xml:space="preserve"> 0</w:t>
            </w:r>
          </w:p>
        </w:tc>
        <w:tc>
          <w:tcPr>
            <w:tcW w:w="1761" w:type="dxa"/>
            <w:noWrap/>
          </w:tcPr>
          <w:p>
            <w:pPr>
              <w:pStyle w:val="2"/>
              <w:ind w:firstLine="0"/>
              <w:jc w:val="center"/>
              <w:rPr>
                <w:rFonts w:eastAsia="宋体"/>
                <w:snapToGrid w:val="0"/>
                <w:color w:val="auto"/>
                <w:kern w:val="21"/>
                <w:sz w:val="21"/>
                <w:szCs w:val="21"/>
              </w:rPr>
            </w:pPr>
            <w:r>
              <w:rPr>
                <w:color w:val="auto"/>
                <w:sz w:val="21"/>
                <w:szCs w:val="21"/>
              </w:rPr>
              <w:t>0</w:t>
            </w:r>
          </w:p>
        </w:tc>
        <w:tc>
          <w:tcPr>
            <w:tcW w:w="1959" w:type="dxa"/>
            <w:noWrap/>
            <w:vAlign w:val="center"/>
          </w:tcPr>
          <w:p>
            <w:pPr>
              <w:adjustRightInd w:val="0"/>
              <w:snapToGrid w:val="0"/>
              <w:jc w:val="center"/>
              <w:rPr>
                <w:snapToGrid w:val="0"/>
                <w:color w:val="auto"/>
                <w:kern w:val="21"/>
                <w:szCs w:val="21"/>
              </w:rPr>
            </w:pPr>
            <w:r>
              <w:rPr>
                <w:rFonts w:hint="eastAsia"/>
                <w:bCs/>
                <w:color w:val="auto"/>
                <w:szCs w:val="21"/>
              </w:rPr>
              <w:t xml:space="preserve"> 0</w:t>
            </w:r>
          </w:p>
        </w:tc>
        <w:tc>
          <w:tcPr>
            <w:tcW w:w="826" w:type="dxa"/>
            <w:noWrap/>
            <w:vAlign w:val="center"/>
          </w:tcPr>
          <w:p>
            <w:pPr>
              <w:jc w:val="center"/>
              <w:rPr>
                <w:snapToGrid w:val="0"/>
                <w:color w:val="auto"/>
                <w:kern w:val="21"/>
                <w:szCs w:val="21"/>
              </w:rPr>
            </w:pPr>
            <w:r>
              <w:rPr>
                <w:bCs/>
                <w:color w:val="auto"/>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adjustRightInd w:val="0"/>
              <w:snapToGrid w:val="0"/>
              <w:jc w:val="center"/>
              <w:rPr>
                <w:rFonts w:hint="eastAsia" w:eastAsia="宋体"/>
                <w:snapToGrid w:val="0"/>
                <w:color w:val="auto"/>
                <w:kern w:val="21"/>
                <w:szCs w:val="21"/>
                <w:lang w:eastAsia="zh-CN"/>
              </w:rPr>
            </w:pPr>
            <w:r>
              <w:rPr>
                <w:rFonts w:hint="eastAsia"/>
                <w:bCs/>
                <w:color w:val="auto"/>
                <w:szCs w:val="21"/>
                <w:lang w:eastAsia="zh-CN"/>
              </w:rPr>
              <w:t>宠物散发的异味</w:t>
            </w:r>
          </w:p>
        </w:tc>
        <w:tc>
          <w:tcPr>
            <w:tcW w:w="1701" w:type="dxa"/>
            <w:noWrap/>
          </w:tcPr>
          <w:p>
            <w:pPr>
              <w:jc w:val="center"/>
              <w:rPr>
                <w:snapToGrid w:val="0"/>
                <w:color w:val="auto"/>
                <w:kern w:val="21"/>
                <w:szCs w:val="21"/>
              </w:rPr>
            </w:pPr>
            <w:r>
              <w:rPr>
                <w:rFonts w:hint="eastAsia"/>
                <w:bCs/>
                <w:color w:val="auto"/>
                <w:szCs w:val="21"/>
              </w:rPr>
              <w:t xml:space="preserve"> 0</w:t>
            </w:r>
          </w:p>
        </w:tc>
        <w:tc>
          <w:tcPr>
            <w:tcW w:w="1276" w:type="dxa"/>
            <w:noWrap/>
          </w:tcPr>
          <w:p>
            <w:pPr>
              <w:jc w:val="center"/>
              <w:rPr>
                <w:snapToGrid w:val="0"/>
                <w:color w:val="auto"/>
                <w:kern w:val="21"/>
                <w:szCs w:val="21"/>
              </w:rPr>
            </w:pPr>
            <w:r>
              <w:rPr>
                <w:rFonts w:hint="eastAsia"/>
                <w:bCs/>
                <w:color w:val="auto"/>
                <w:szCs w:val="21"/>
              </w:rPr>
              <w:t xml:space="preserve"> 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tcPr>
          <w:p>
            <w:pPr>
              <w:jc w:val="center"/>
              <w:rPr>
                <w:snapToGrid w:val="0"/>
                <w:color w:val="auto"/>
                <w:kern w:val="21"/>
                <w:szCs w:val="21"/>
              </w:rPr>
            </w:pPr>
            <w:r>
              <w:rPr>
                <w:rFonts w:hint="eastAsia"/>
                <w:bCs/>
                <w:color w:val="auto"/>
                <w:szCs w:val="21"/>
              </w:rPr>
              <w:t xml:space="preserve"> 0</w:t>
            </w:r>
          </w:p>
        </w:tc>
        <w:tc>
          <w:tcPr>
            <w:tcW w:w="1761" w:type="dxa"/>
            <w:noWrap/>
          </w:tcPr>
          <w:p>
            <w:pPr>
              <w:pStyle w:val="2"/>
              <w:ind w:firstLine="0"/>
              <w:jc w:val="center"/>
              <w:rPr>
                <w:rFonts w:eastAsia="宋体"/>
                <w:snapToGrid w:val="0"/>
                <w:color w:val="auto"/>
                <w:kern w:val="21"/>
                <w:sz w:val="21"/>
                <w:szCs w:val="21"/>
              </w:rPr>
            </w:pPr>
            <w:r>
              <w:rPr>
                <w:color w:val="auto"/>
                <w:sz w:val="21"/>
                <w:szCs w:val="21"/>
              </w:rPr>
              <w:t>0</w:t>
            </w:r>
          </w:p>
        </w:tc>
        <w:tc>
          <w:tcPr>
            <w:tcW w:w="1959" w:type="dxa"/>
            <w:noWrap/>
            <w:vAlign w:val="center"/>
          </w:tcPr>
          <w:p>
            <w:pPr>
              <w:adjustRightInd w:val="0"/>
              <w:snapToGrid w:val="0"/>
              <w:jc w:val="center"/>
              <w:rPr>
                <w:snapToGrid w:val="0"/>
                <w:color w:val="auto"/>
                <w:kern w:val="21"/>
                <w:szCs w:val="21"/>
              </w:rPr>
            </w:pPr>
            <w:r>
              <w:rPr>
                <w:rFonts w:hint="eastAsia"/>
                <w:bCs/>
                <w:color w:val="auto"/>
                <w:szCs w:val="21"/>
              </w:rPr>
              <w:t xml:space="preserve"> 0</w:t>
            </w:r>
          </w:p>
        </w:tc>
        <w:tc>
          <w:tcPr>
            <w:tcW w:w="826" w:type="dxa"/>
            <w:noWrap/>
            <w:vAlign w:val="center"/>
          </w:tcPr>
          <w:p>
            <w:pPr>
              <w:jc w:val="center"/>
              <w:rPr>
                <w:snapToGrid w:val="0"/>
                <w:color w:val="auto"/>
                <w:kern w:val="21"/>
                <w:szCs w:val="21"/>
              </w:rPr>
            </w:pPr>
            <w:r>
              <w:rPr>
                <w:bCs/>
                <w:color w:val="auto"/>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废水</w:t>
            </w:r>
          </w:p>
        </w:tc>
        <w:tc>
          <w:tcPr>
            <w:tcW w:w="1417" w:type="dxa"/>
            <w:noWrap/>
            <w:vAlign w:val="center"/>
          </w:tcPr>
          <w:p>
            <w:pPr>
              <w:wordWrap w:val="0"/>
              <w:topLinePunct/>
              <w:rPr>
                <w:snapToGrid w:val="0"/>
                <w:color w:val="auto"/>
                <w:kern w:val="21"/>
                <w:szCs w:val="21"/>
              </w:rPr>
            </w:pPr>
            <w:r>
              <w:rPr>
                <w:color w:val="auto"/>
                <w:spacing w:val="-2"/>
                <w:szCs w:val="21"/>
              </w:rPr>
              <w:t>工作人员生活污水</w:t>
            </w:r>
          </w:p>
        </w:tc>
        <w:tc>
          <w:tcPr>
            <w:tcW w:w="1701" w:type="dxa"/>
            <w:noWrap/>
            <w:vAlign w:val="center"/>
          </w:tcPr>
          <w:p>
            <w:pPr>
              <w:adjustRightInd w:val="0"/>
              <w:snapToGrid w:val="0"/>
              <w:rPr>
                <w:snapToGrid w:val="0"/>
                <w:color w:val="auto"/>
                <w:kern w:val="21"/>
                <w:szCs w:val="21"/>
              </w:rPr>
            </w:pPr>
            <w:r>
              <w:rPr>
                <w:rFonts w:hint="eastAsia"/>
                <w:bCs/>
                <w:color w:val="auto"/>
                <w:szCs w:val="21"/>
              </w:rPr>
              <w:t xml:space="preserve">      0</w:t>
            </w:r>
          </w:p>
        </w:tc>
        <w:tc>
          <w:tcPr>
            <w:tcW w:w="1276" w:type="dxa"/>
            <w:noWrap/>
            <w:vAlign w:val="center"/>
          </w:tcPr>
          <w:p>
            <w:pPr>
              <w:adjustRightInd w:val="0"/>
              <w:snapToGrid w:val="0"/>
              <w:rPr>
                <w:snapToGrid w:val="0"/>
                <w:color w:val="auto"/>
                <w:kern w:val="21"/>
                <w:szCs w:val="21"/>
              </w:rPr>
            </w:pPr>
            <w:r>
              <w:rPr>
                <w:rFonts w:hint="eastAsia"/>
                <w:bCs/>
                <w:color w:val="auto"/>
                <w:szCs w:val="21"/>
              </w:rPr>
              <w:t xml:space="preserve">    0</w:t>
            </w:r>
          </w:p>
        </w:tc>
        <w:tc>
          <w:tcPr>
            <w:tcW w:w="1701" w:type="dxa"/>
            <w:noWrap/>
            <w:vAlign w:val="center"/>
          </w:tcPr>
          <w:p>
            <w:pPr>
              <w:adjustRightInd w:val="0"/>
              <w:snapToGrid w:val="0"/>
              <w:rPr>
                <w:snapToGrid w:val="0"/>
                <w:color w:val="auto"/>
                <w:kern w:val="21"/>
                <w:szCs w:val="21"/>
              </w:rPr>
            </w:pPr>
            <w:r>
              <w:rPr>
                <w:rFonts w:hint="eastAsia"/>
                <w:bCs/>
                <w:color w:val="auto"/>
                <w:szCs w:val="21"/>
              </w:rPr>
              <w:t xml:space="preserve">      0</w:t>
            </w:r>
          </w:p>
        </w:tc>
        <w:tc>
          <w:tcPr>
            <w:tcW w:w="1559" w:type="dxa"/>
            <w:noWrap/>
            <w:vAlign w:val="center"/>
          </w:tcPr>
          <w:p>
            <w:pPr>
              <w:pStyle w:val="33"/>
              <w:spacing w:before="24" w:after="24"/>
              <w:rPr>
                <w:rFonts w:ascii="Times New Roman"/>
                <w:snapToGrid w:val="0"/>
                <w:color w:val="auto"/>
                <w:kern w:val="21"/>
                <w:szCs w:val="21"/>
              </w:rPr>
            </w:pPr>
            <w:r>
              <w:rPr>
                <w:rFonts w:hint="eastAsia" w:ascii="Times New Roman"/>
                <w:snapToGrid w:val="0"/>
                <w:color w:val="auto"/>
                <w:kern w:val="21"/>
                <w:szCs w:val="21"/>
              </w:rPr>
              <w:t>51</w:t>
            </w:r>
          </w:p>
        </w:tc>
        <w:tc>
          <w:tcPr>
            <w:tcW w:w="1761" w:type="dxa"/>
            <w:noWrap/>
            <w:vAlign w:val="center"/>
          </w:tcPr>
          <w:p>
            <w:pPr>
              <w:jc w:val="center"/>
              <w:rPr>
                <w:snapToGrid w:val="0"/>
                <w:color w:val="auto"/>
                <w:kern w:val="21"/>
                <w:szCs w:val="21"/>
              </w:rPr>
            </w:pPr>
            <w:r>
              <w:rPr>
                <w:rFonts w:hint="eastAsia"/>
                <w:snapToGrid w:val="0"/>
                <w:color w:val="auto"/>
                <w:kern w:val="21"/>
                <w:szCs w:val="21"/>
              </w:rPr>
              <w:t>0</w:t>
            </w:r>
          </w:p>
        </w:tc>
        <w:tc>
          <w:tcPr>
            <w:tcW w:w="1959" w:type="dxa"/>
            <w:noWrap/>
            <w:vAlign w:val="center"/>
          </w:tcPr>
          <w:p>
            <w:pPr>
              <w:pStyle w:val="33"/>
              <w:spacing w:before="24" w:after="24"/>
              <w:rPr>
                <w:rFonts w:ascii="Times New Roman"/>
                <w:snapToGrid w:val="0"/>
                <w:color w:val="auto"/>
                <w:kern w:val="21"/>
                <w:szCs w:val="21"/>
              </w:rPr>
            </w:pPr>
            <w:r>
              <w:rPr>
                <w:rFonts w:hint="eastAsia" w:ascii="Times New Roman"/>
                <w:snapToGrid w:val="0"/>
                <w:color w:val="auto"/>
                <w:kern w:val="21"/>
                <w:szCs w:val="21"/>
              </w:rPr>
              <w:t>51</w:t>
            </w:r>
          </w:p>
        </w:tc>
        <w:tc>
          <w:tcPr>
            <w:tcW w:w="826" w:type="dxa"/>
            <w:noWrap/>
            <w:vAlign w:val="center"/>
          </w:tcPr>
          <w:p>
            <w:pPr>
              <w:pStyle w:val="33"/>
              <w:spacing w:before="24" w:after="24"/>
              <w:rPr>
                <w:rFonts w:ascii="Times New Roman"/>
                <w:snapToGrid w:val="0"/>
                <w:color w:val="auto"/>
                <w:kern w:val="21"/>
                <w:szCs w:val="21"/>
              </w:rPr>
            </w:pPr>
            <w:r>
              <w:rPr>
                <w:rFonts w:hint="eastAsia" w:ascii="Times New Roman"/>
                <w:snapToGrid w:val="0"/>
                <w:color w:val="auto"/>
                <w:kern w:val="21"/>
                <w:szCs w:val="21"/>
              </w:rPr>
              <w:t>+51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wordWrap w:val="0"/>
              <w:topLinePunct/>
              <w:rPr>
                <w:color w:val="auto"/>
                <w:szCs w:val="21"/>
              </w:rPr>
            </w:pPr>
            <w:r>
              <w:rPr>
                <w:rFonts w:hint="eastAsia"/>
                <w:color w:val="auto"/>
                <w:spacing w:val="-2"/>
                <w:kern w:val="0"/>
                <w:szCs w:val="21"/>
              </w:rPr>
              <w:t>宠物治疗废水</w:t>
            </w:r>
          </w:p>
        </w:tc>
        <w:tc>
          <w:tcPr>
            <w:tcW w:w="1701" w:type="dxa"/>
            <w:noWrap/>
          </w:tcPr>
          <w:p>
            <w:pPr>
              <w:jc w:val="center"/>
              <w:rPr>
                <w:snapToGrid w:val="0"/>
                <w:color w:val="auto"/>
                <w:kern w:val="21"/>
                <w:szCs w:val="21"/>
              </w:rPr>
            </w:pPr>
            <w:r>
              <w:rPr>
                <w:rFonts w:hint="eastAsia"/>
                <w:bCs/>
                <w:color w:val="auto"/>
                <w:szCs w:val="21"/>
              </w:rPr>
              <w:t xml:space="preserve"> 0</w:t>
            </w:r>
          </w:p>
        </w:tc>
        <w:tc>
          <w:tcPr>
            <w:tcW w:w="1276" w:type="dxa"/>
            <w:noWrap/>
          </w:tcPr>
          <w:p>
            <w:pPr>
              <w:jc w:val="center"/>
              <w:rPr>
                <w:snapToGrid w:val="0"/>
                <w:color w:val="auto"/>
                <w:kern w:val="21"/>
                <w:szCs w:val="21"/>
              </w:rPr>
            </w:pPr>
            <w:r>
              <w:rPr>
                <w:rFonts w:hint="eastAsia"/>
                <w:bCs/>
                <w:color w:val="auto"/>
                <w:szCs w:val="21"/>
              </w:rPr>
              <w:t xml:space="preserve"> 0</w:t>
            </w:r>
          </w:p>
        </w:tc>
        <w:tc>
          <w:tcPr>
            <w:tcW w:w="1701" w:type="dxa"/>
            <w:noWrap/>
          </w:tcPr>
          <w:p>
            <w:pPr>
              <w:jc w:val="center"/>
              <w:rPr>
                <w:snapToGrid w:val="0"/>
                <w:color w:val="auto"/>
                <w:kern w:val="21"/>
                <w:szCs w:val="21"/>
              </w:rPr>
            </w:pPr>
            <w:r>
              <w:rPr>
                <w:rFonts w:hint="eastAsia"/>
                <w:bCs/>
                <w:color w:val="auto"/>
                <w:szCs w:val="21"/>
              </w:rPr>
              <w:t xml:space="preserve"> 0</w:t>
            </w:r>
          </w:p>
        </w:tc>
        <w:tc>
          <w:tcPr>
            <w:tcW w:w="1559" w:type="dxa"/>
            <w:noWrap/>
            <w:vAlign w:val="center"/>
          </w:tcPr>
          <w:p>
            <w:pPr>
              <w:jc w:val="center"/>
              <w:rPr>
                <w:bCs/>
                <w:color w:val="auto"/>
                <w:szCs w:val="21"/>
              </w:rPr>
            </w:pPr>
            <w:r>
              <w:rPr>
                <w:rFonts w:hint="eastAsia"/>
                <w:bCs/>
                <w:color w:val="auto"/>
                <w:szCs w:val="21"/>
              </w:rPr>
              <w:t>90</w:t>
            </w:r>
          </w:p>
        </w:tc>
        <w:tc>
          <w:tcPr>
            <w:tcW w:w="1761" w:type="dxa"/>
            <w:noWrap/>
            <w:vAlign w:val="center"/>
          </w:tcPr>
          <w:p>
            <w:pPr>
              <w:jc w:val="center"/>
              <w:rPr>
                <w:bCs/>
                <w:color w:val="auto"/>
                <w:szCs w:val="21"/>
              </w:rPr>
            </w:pPr>
            <w:r>
              <w:rPr>
                <w:bCs/>
                <w:color w:val="auto"/>
                <w:szCs w:val="21"/>
              </w:rPr>
              <w:t>0</w:t>
            </w:r>
          </w:p>
        </w:tc>
        <w:tc>
          <w:tcPr>
            <w:tcW w:w="1959" w:type="dxa"/>
            <w:noWrap/>
            <w:vAlign w:val="center"/>
          </w:tcPr>
          <w:p>
            <w:pPr>
              <w:jc w:val="center"/>
              <w:rPr>
                <w:bCs/>
                <w:color w:val="auto"/>
                <w:szCs w:val="21"/>
              </w:rPr>
            </w:pPr>
            <w:r>
              <w:rPr>
                <w:rFonts w:hint="eastAsia"/>
                <w:bCs/>
                <w:color w:val="auto"/>
                <w:szCs w:val="21"/>
              </w:rPr>
              <w:t>90</w:t>
            </w:r>
          </w:p>
        </w:tc>
        <w:tc>
          <w:tcPr>
            <w:tcW w:w="826" w:type="dxa"/>
            <w:noWrap/>
            <w:vAlign w:val="center"/>
          </w:tcPr>
          <w:p>
            <w:pPr>
              <w:pStyle w:val="33"/>
              <w:spacing w:before="24" w:after="24"/>
              <w:rPr>
                <w:rFonts w:ascii="Times New Roman"/>
                <w:snapToGrid w:val="0"/>
                <w:color w:val="auto"/>
                <w:kern w:val="21"/>
                <w:szCs w:val="21"/>
              </w:rPr>
            </w:pPr>
            <w:r>
              <w:rPr>
                <w:rFonts w:hint="eastAsia" w:ascii="Times New Roman"/>
                <w:snapToGrid w:val="0"/>
                <w:color w:val="auto"/>
                <w:kern w:val="21"/>
                <w:szCs w:val="21"/>
              </w:rPr>
              <w:t>+90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1"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wordWrap w:val="0"/>
              <w:topLinePunct/>
              <w:rPr>
                <w:color w:val="auto"/>
                <w:szCs w:val="21"/>
              </w:rPr>
            </w:pPr>
            <w:r>
              <w:rPr>
                <w:rFonts w:hint="eastAsia"/>
                <w:color w:val="auto"/>
                <w:szCs w:val="21"/>
                <w:lang w:eastAsia="zh-CN"/>
              </w:rPr>
              <w:t>宠物做手术器械和</w:t>
            </w:r>
            <w:r>
              <w:rPr>
                <w:rFonts w:hint="eastAsia"/>
                <w:color w:val="auto"/>
                <w:szCs w:val="21"/>
              </w:rPr>
              <w:t>地面</w:t>
            </w:r>
            <w:r>
              <w:rPr>
                <w:rFonts w:hint="eastAsia"/>
                <w:color w:val="auto"/>
                <w:szCs w:val="21"/>
                <w:lang w:eastAsia="zh-CN"/>
              </w:rPr>
              <w:t>、宠物笼</w:t>
            </w:r>
            <w:r>
              <w:rPr>
                <w:rFonts w:hint="eastAsia"/>
                <w:color w:val="auto"/>
                <w:szCs w:val="21"/>
              </w:rPr>
              <w:t>清洁废水</w:t>
            </w:r>
          </w:p>
        </w:tc>
        <w:tc>
          <w:tcPr>
            <w:tcW w:w="1701" w:type="dxa"/>
            <w:noWrap/>
          </w:tcPr>
          <w:p>
            <w:pPr>
              <w:jc w:val="center"/>
              <w:rPr>
                <w:snapToGrid w:val="0"/>
                <w:color w:val="auto"/>
                <w:kern w:val="21"/>
                <w:szCs w:val="21"/>
              </w:rPr>
            </w:pPr>
            <w:r>
              <w:rPr>
                <w:rFonts w:hint="eastAsia"/>
                <w:bCs/>
                <w:color w:val="auto"/>
                <w:szCs w:val="21"/>
              </w:rPr>
              <w:t xml:space="preserve"> 0</w:t>
            </w:r>
          </w:p>
        </w:tc>
        <w:tc>
          <w:tcPr>
            <w:tcW w:w="1276" w:type="dxa"/>
            <w:noWrap/>
          </w:tcPr>
          <w:p>
            <w:pPr>
              <w:jc w:val="center"/>
              <w:rPr>
                <w:snapToGrid w:val="0"/>
                <w:color w:val="auto"/>
                <w:kern w:val="21"/>
                <w:szCs w:val="21"/>
              </w:rPr>
            </w:pPr>
            <w:r>
              <w:rPr>
                <w:rFonts w:hint="eastAsia"/>
                <w:bCs/>
                <w:color w:val="auto"/>
                <w:szCs w:val="21"/>
              </w:rPr>
              <w:t xml:space="preserve"> 0</w:t>
            </w:r>
          </w:p>
        </w:tc>
        <w:tc>
          <w:tcPr>
            <w:tcW w:w="1701" w:type="dxa"/>
            <w:noWrap/>
          </w:tcPr>
          <w:p>
            <w:pPr>
              <w:jc w:val="center"/>
              <w:rPr>
                <w:snapToGrid w:val="0"/>
                <w:color w:val="auto"/>
                <w:kern w:val="21"/>
                <w:szCs w:val="21"/>
              </w:rPr>
            </w:pPr>
            <w:r>
              <w:rPr>
                <w:rFonts w:hint="eastAsia"/>
                <w:bCs/>
                <w:color w:val="auto"/>
                <w:szCs w:val="21"/>
              </w:rPr>
              <w:t xml:space="preserve"> 0</w:t>
            </w:r>
          </w:p>
        </w:tc>
        <w:tc>
          <w:tcPr>
            <w:tcW w:w="1559" w:type="dxa"/>
            <w:noWrap/>
            <w:vAlign w:val="center"/>
          </w:tcPr>
          <w:p>
            <w:pPr>
              <w:jc w:val="center"/>
              <w:rPr>
                <w:bCs/>
                <w:color w:val="auto"/>
                <w:szCs w:val="21"/>
              </w:rPr>
            </w:pPr>
            <w:r>
              <w:rPr>
                <w:rFonts w:hint="eastAsia"/>
                <w:bCs/>
                <w:color w:val="auto"/>
                <w:szCs w:val="21"/>
              </w:rPr>
              <w:t>51</w:t>
            </w:r>
          </w:p>
        </w:tc>
        <w:tc>
          <w:tcPr>
            <w:tcW w:w="1761" w:type="dxa"/>
            <w:noWrap/>
            <w:vAlign w:val="center"/>
          </w:tcPr>
          <w:p>
            <w:pPr>
              <w:jc w:val="center"/>
              <w:rPr>
                <w:bCs/>
                <w:color w:val="auto"/>
                <w:szCs w:val="21"/>
              </w:rPr>
            </w:pPr>
            <w:r>
              <w:rPr>
                <w:bCs/>
                <w:color w:val="auto"/>
                <w:szCs w:val="21"/>
              </w:rPr>
              <w:t>0</w:t>
            </w:r>
          </w:p>
        </w:tc>
        <w:tc>
          <w:tcPr>
            <w:tcW w:w="1959" w:type="dxa"/>
            <w:noWrap/>
            <w:vAlign w:val="center"/>
          </w:tcPr>
          <w:p>
            <w:pPr>
              <w:pStyle w:val="33"/>
              <w:spacing w:before="24" w:after="24"/>
              <w:rPr>
                <w:rFonts w:ascii="Times New Roman"/>
                <w:bCs/>
                <w:color w:val="auto"/>
                <w:szCs w:val="21"/>
              </w:rPr>
            </w:pPr>
            <w:r>
              <w:rPr>
                <w:rFonts w:hint="eastAsia" w:ascii="Times New Roman"/>
                <w:bCs/>
                <w:color w:val="auto"/>
                <w:szCs w:val="21"/>
              </w:rPr>
              <w:t>51</w:t>
            </w:r>
          </w:p>
        </w:tc>
        <w:tc>
          <w:tcPr>
            <w:tcW w:w="826" w:type="dxa"/>
            <w:noWrap/>
            <w:vAlign w:val="center"/>
          </w:tcPr>
          <w:p>
            <w:pPr>
              <w:pStyle w:val="33"/>
              <w:spacing w:before="24" w:after="24"/>
              <w:rPr>
                <w:rFonts w:ascii="Times New Roman"/>
                <w:snapToGrid w:val="0"/>
                <w:color w:val="auto"/>
                <w:kern w:val="21"/>
                <w:szCs w:val="21"/>
              </w:rPr>
            </w:pPr>
            <w:r>
              <w:rPr>
                <w:rFonts w:hint="eastAsia" w:ascii="Times New Roman"/>
                <w:snapToGrid w:val="0"/>
                <w:color w:val="auto"/>
                <w:kern w:val="21"/>
                <w:szCs w:val="21"/>
              </w:rPr>
              <w:t>+51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588" w:type="dxa"/>
            <w:vMerge w:val="restart"/>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一般固废</w:t>
            </w:r>
          </w:p>
        </w:tc>
        <w:tc>
          <w:tcPr>
            <w:tcW w:w="1417" w:type="dxa"/>
            <w:noWrap/>
            <w:vAlign w:val="center"/>
          </w:tcPr>
          <w:p>
            <w:pPr>
              <w:jc w:val="center"/>
              <w:rPr>
                <w:color w:val="auto"/>
                <w:szCs w:val="21"/>
              </w:rPr>
            </w:pPr>
            <w:r>
              <w:rPr>
                <w:color w:val="auto"/>
                <w:szCs w:val="21"/>
              </w:rPr>
              <w:t>生活垃圾</w:t>
            </w:r>
          </w:p>
        </w:tc>
        <w:tc>
          <w:tcPr>
            <w:tcW w:w="1701" w:type="dxa"/>
            <w:noWrap/>
            <w:vAlign w:val="center"/>
          </w:tcPr>
          <w:p>
            <w:pPr>
              <w:jc w:val="center"/>
              <w:rPr>
                <w:bCs/>
                <w:color w:val="auto"/>
                <w:szCs w:val="21"/>
              </w:rPr>
            </w:pPr>
            <w:r>
              <w:rPr>
                <w:bCs/>
                <w:color w:val="auto"/>
                <w:szCs w:val="21"/>
              </w:rPr>
              <w:t>0</w:t>
            </w:r>
          </w:p>
        </w:tc>
        <w:tc>
          <w:tcPr>
            <w:tcW w:w="1276"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vAlign w:val="center"/>
          </w:tcPr>
          <w:p>
            <w:pPr>
              <w:jc w:val="center"/>
              <w:rPr>
                <w:bCs/>
                <w:color w:val="auto"/>
                <w:szCs w:val="21"/>
              </w:rPr>
            </w:pPr>
            <w:r>
              <w:rPr>
                <w:rFonts w:hint="eastAsia"/>
                <w:bCs/>
                <w:color w:val="auto"/>
                <w:szCs w:val="21"/>
                <w:lang w:val="en-US" w:eastAsia="zh-CN"/>
              </w:rPr>
              <w:t>1.05</w:t>
            </w:r>
          </w:p>
        </w:tc>
        <w:tc>
          <w:tcPr>
            <w:tcW w:w="1761" w:type="dxa"/>
            <w:noWrap/>
            <w:vAlign w:val="center"/>
          </w:tcPr>
          <w:p>
            <w:pPr>
              <w:pStyle w:val="33"/>
              <w:spacing w:before="24" w:after="24"/>
              <w:rPr>
                <w:rFonts w:ascii="Times New Roman"/>
                <w:snapToGrid w:val="0"/>
                <w:color w:val="auto"/>
                <w:kern w:val="21"/>
                <w:szCs w:val="21"/>
              </w:rPr>
            </w:pPr>
            <w:r>
              <w:rPr>
                <w:rFonts w:ascii="Times New Roman"/>
                <w:bCs/>
                <w:color w:val="auto"/>
                <w:szCs w:val="21"/>
              </w:rPr>
              <w:t>0</w:t>
            </w:r>
          </w:p>
        </w:tc>
        <w:tc>
          <w:tcPr>
            <w:tcW w:w="1959" w:type="dxa"/>
            <w:noWrap/>
            <w:vAlign w:val="center"/>
          </w:tcPr>
          <w:p>
            <w:pPr>
              <w:jc w:val="center"/>
              <w:rPr>
                <w:bCs/>
                <w:color w:val="auto"/>
                <w:kern w:val="0"/>
                <w:szCs w:val="21"/>
              </w:rPr>
            </w:pPr>
            <w:r>
              <w:rPr>
                <w:rFonts w:hint="eastAsia"/>
                <w:bCs/>
                <w:color w:val="auto"/>
                <w:szCs w:val="21"/>
                <w:lang w:val="en-US" w:eastAsia="zh-CN"/>
              </w:rPr>
              <w:t>1.05</w:t>
            </w:r>
          </w:p>
        </w:tc>
        <w:tc>
          <w:tcPr>
            <w:tcW w:w="826" w:type="dxa"/>
            <w:noWrap/>
            <w:vAlign w:val="center"/>
          </w:tcPr>
          <w:p>
            <w:pPr>
              <w:jc w:val="center"/>
              <w:rPr>
                <w:snapToGrid w:val="0"/>
                <w:color w:val="auto"/>
                <w:kern w:val="21"/>
                <w:szCs w:val="21"/>
              </w:rPr>
            </w:pPr>
            <w:r>
              <w:rPr>
                <w:rFonts w:hint="eastAsia"/>
                <w:bCs/>
                <w:color w:val="auto"/>
                <w:szCs w:val="21"/>
              </w:rPr>
              <w:t>+</w:t>
            </w:r>
            <w:r>
              <w:rPr>
                <w:rFonts w:hint="eastAsia"/>
                <w:bCs/>
                <w:color w:val="auto"/>
                <w:szCs w:val="21"/>
                <w:lang w:val="en-US" w:eastAsia="zh-CN"/>
              </w:rPr>
              <w:t>1.05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topLinePunct/>
              <w:adjustRightInd w:val="0"/>
              <w:snapToGrid w:val="0"/>
              <w:ind w:firstLine="210" w:firstLineChars="100"/>
              <w:rPr>
                <w:snapToGrid w:val="0"/>
                <w:color w:val="auto"/>
                <w:kern w:val="21"/>
                <w:szCs w:val="21"/>
              </w:rPr>
            </w:pPr>
            <w:r>
              <w:rPr>
                <w:rFonts w:hint="eastAsia"/>
                <w:color w:val="auto"/>
                <w:szCs w:val="21"/>
              </w:rPr>
              <w:t>宠物粪污</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276"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vAlign w:val="center"/>
          </w:tcPr>
          <w:p>
            <w:pPr>
              <w:jc w:val="center"/>
              <w:rPr>
                <w:bCs/>
                <w:color w:val="auto"/>
                <w:szCs w:val="21"/>
              </w:rPr>
            </w:pPr>
            <w:r>
              <w:rPr>
                <w:rFonts w:hint="eastAsia"/>
                <w:bCs/>
                <w:color w:val="auto"/>
                <w:szCs w:val="21"/>
              </w:rPr>
              <w:t>0.22</w:t>
            </w:r>
          </w:p>
        </w:tc>
        <w:tc>
          <w:tcPr>
            <w:tcW w:w="1761" w:type="dxa"/>
            <w:noWrap/>
            <w:vAlign w:val="center"/>
          </w:tcPr>
          <w:p>
            <w:pPr>
              <w:pStyle w:val="33"/>
              <w:spacing w:before="24" w:after="24"/>
              <w:rPr>
                <w:rFonts w:ascii="Times New Roman"/>
                <w:snapToGrid w:val="0"/>
                <w:color w:val="auto"/>
                <w:kern w:val="21"/>
                <w:szCs w:val="21"/>
              </w:rPr>
            </w:pPr>
            <w:r>
              <w:rPr>
                <w:rFonts w:ascii="Times New Roman"/>
                <w:bCs/>
                <w:color w:val="auto"/>
                <w:szCs w:val="21"/>
              </w:rPr>
              <w:t>0</w:t>
            </w:r>
          </w:p>
        </w:tc>
        <w:tc>
          <w:tcPr>
            <w:tcW w:w="1959" w:type="dxa"/>
            <w:noWrap/>
            <w:vAlign w:val="center"/>
          </w:tcPr>
          <w:p>
            <w:pPr>
              <w:jc w:val="center"/>
              <w:rPr>
                <w:snapToGrid w:val="0"/>
                <w:color w:val="auto"/>
                <w:kern w:val="21"/>
                <w:szCs w:val="21"/>
              </w:rPr>
            </w:pPr>
            <w:r>
              <w:rPr>
                <w:rFonts w:hint="eastAsia"/>
                <w:bCs/>
                <w:color w:val="auto"/>
                <w:szCs w:val="21"/>
              </w:rPr>
              <w:t>0.22</w:t>
            </w:r>
          </w:p>
        </w:tc>
        <w:tc>
          <w:tcPr>
            <w:tcW w:w="826" w:type="dxa"/>
            <w:noWrap/>
            <w:vAlign w:val="center"/>
          </w:tcPr>
          <w:p>
            <w:pPr>
              <w:jc w:val="center"/>
              <w:rPr>
                <w:snapToGrid w:val="0"/>
                <w:color w:val="auto"/>
                <w:kern w:val="21"/>
                <w:szCs w:val="21"/>
              </w:rPr>
            </w:pPr>
            <w:r>
              <w:rPr>
                <w:rFonts w:hint="eastAsia"/>
                <w:bCs/>
                <w:color w:val="auto"/>
                <w:szCs w:val="21"/>
              </w:rPr>
              <w:t>+0.22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topLinePunct/>
              <w:adjustRightInd w:val="0"/>
              <w:snapToGrid w:val="0"/>
              <w:jc w:val="center"/>
              <w:rPr>
                <w:bCs/>
                <w:color w:val="auto"/>
                <w:kern w:val="0"/>
                <w:szCs w:val="21"/>
              </w:rPr>
            </w:pPr>
            <w:r>
              <w:rPr>
                <w:bCs/>
                <w:color w:val="auto"/>
                <w:kern w:val="0"/>
                <w:szCs w:val="21"/>
              </w:rPr>
              <w:t>废包装及输液瓶</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276"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vAlign w:val="center"/>
          </w:tcPr>
          <w:p>
            <w:pPr>
              <w:jc w:val="center"/>
              <w:rPr>
                <w:bCs/>
                <w:color w:val="auto"/>
                <w:szCs w:val="21"/>
              </w:rPr>
            </w:pPr>
            <w:r>
              <w:rPr>
                <w:bCs/>
                <w:color w:val="auto"/>
                <w:szCs w:val="21"/>
              </w:rPr>
              <w:t>0.2</w:t>
            </w:r>
          </w:p>
        </w:tc>
        <w:tc>
          <w:tcPr>
            <w:tcW w:w="1761" w:type="dxa"/>
            <w:noWrap/>
            <w:vAlign w:val="center"/>
          </w:tcPr>
          <w:p>
            <w:pPr>
              <w:pStyle w:val="33"/>
              <w:spacing w:before="24" w:after="24"/>
              <w:rPr>
                <w:rFonts w:ascii="Times New Roman"/>
                <w:snapToGrid w:val="0"/>
                <w:color w:val="auto"/>
                <w:kern w:val="21"/>
                <w:szCs w:val="21"/>
              </w:rPr>
            </w:pPr>
            <w:r>
              <w:rPr>
                <w:rFonts w:ascii="Times New Roman"/>
                <w:bCs/>
                <w:color w:val="auto"/>
                <w:szCs w:val="21"/>
              </w:rPr>
              <w:t>0</w:t>
            </w:r>
          </w:p>
        </w:tc>
        <w:tc>
          <w:tcPr>
            <w:tcW w:w="1959" w:type="dxa"/>
            <w:noWrap/>
            <w:vAlign w:val="center"/>
          </w:tcPr>
          <w:p>
            <w:pPr>
              <w:jc w:val="center"/>
              <w:rPr>
                <w:bCs/>
                <w:color w:val="auto"/>
                <w:kern w:val="0"/>
                <w:szCs w:val="21"/>
              </w:rPr>
            </w:pPr>
            <w:r>
              <w:rPr>
                <w:bCs/>
                <w:color w:val="auto"/>
                <w:szCs w:val="21"/>
              </w:rPr>
              <w:t>0.2</w:t>
            </w:r>
          </w:p>
        </w:tc>
        <w:tc>
          <w:tcPr>
            <w:tcW w:w="826" w:type="dxa"/>
            <w:noWrap/>
            <w:vAlign w:val="center"/>
          </w:tcPr>
          <w:p>
            <w:pPr>
              <w:jc w:val="center"/>
              <w:rPr>
                <w:bCs/>
                <w:color w:val="auto"/>
                <w:kern w:val="0"/>
                <w:szCs w:val="21"/>
              </w:rPr>
            </w:pPr>
            <w:r>
              <w:rPr>
                <w:rFonts w:hint="eastAsia"/>
                <w:bCs/>
                <w:color w:val="auto"/>
                <w:szCs w:val="21"/>
              </w:rPr>
              <w:t>+</w:t>
            </w:r>
            <w:r>
              <w:rPr>
                <w:bCs/>
                <w:color w:val="auto"/>
                <w:szCs w:val="21"/>
              </w:rPr>
              <w:t>0.2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危险废物</w:t>
            </w:r>
          </w:p>
        </w:tc>
        <w:tc>
          <w:tcPr>
            <w:tcW w:w="1417" w:type="dxa"/>
            <w:noWrap/>
            <w:vAlign w:val="center"/>
          </w:tcPr>
          <w:p>
            <w:pPr>
              <w:topLinePunct/>
              <w:adjustRightInd w:val="0"/>
              <w:snapToGrid w:val="0"/>
              <w:jc w:val="center"/>
              <w:rPr>
                <w:bCs/>
                <w:color w:val="auto"/>
                <w:kern w:val="0"/>
                <w:szCs w:val="21"/>
              </w:rPr>
            </w:pPr>
            <w:r>
              <w:rPr>
                <w:rFonts w:hint="eastAsia"/>
                <w:bCs/>
                <w:color w:val="auto"/>
                <w:kern w:val="0"/>
                <w:szCs w:val="21"/>
              </w:rPr>
              <w:t>废紫外线灯管</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c>
          <w:tcPr>
            <w:tcW w:w="1276" w:type="dxa"/>
            <w:noWrap/>
            <w:vAlign w:val="center"/>
          </w:tcPr>
          <w:p>
            <w:pPr>
              <w:pStyle w:val="33"/>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c>
          <w:tcPr>
            <w:tcW w:w="1559" w:type="dxa"/>
            <w:noWrap/>
            <w:vAlign w:val="center"/>
          </w:tcPr>
          <w:p>
            <w:pPr>
              <w:jc w:val="center"/>
              <w:rPr>
                <w:bCs/>
                <w:color w:val="auto"/>
                <w:szCs w:val="21"/>
              </w:rPr>
            </w:pPr>
            <w:r>
              <w:rPr>
                <w:rFonts w:hint="eastAsia"/>
                <w:bCs/>
                <w:color w:val="auto"/>
                <w:szCs w:val="21"/>
              </w:rPr>
              <w:t>0.005</w:t>
            </w:r>
          </w:p>
        </w:tc>
        <w:tc>
          <w:tcPr>
            <w:tcW w:w="1761" w:type="dxa"/>
            <w:noWrap/>
            <w:vAlign w:val="center"/>
          </w:tcPr>
          <w:p>
            <w:pPr>
              <w:pStyle w:val="33"/>
              <w:spacing w:before="24" w:after="24"/>
              <w:rPr>
                <w:rFonts w:ascii="Times New Roman"/>
                <w:bCs/>
                <w:color w:val="auto"/>
                <w:szCs w:val="21"/>
              </w:rPr>
            </w:pPr>
            <w:r>
              <w:rPr>
                <w:rFonts w:hint="eastAsia" w:ascii="Times New Roman"/>
                <w:bCs/>
                <w:color w:val="auto"/>
                <w:szCs w:val="21"/>
              </w:rPr>
              <w:t>0</w:t>
            </w:r>
          </w:p>
        </w:tc>
        <w:tc>
          <w:tcPr>
            <w:tcW w:w="1959" w:type="dxa"/>
            <w:noWrap/>
            <w:vAlign w:val="center"/>
          </w:tcPr>
          <w:p>
            <w:pPr>
              <w:jc w:val="center"/>
              <w:rPr>
                <w:bCs/>
                <w:color w:val="auto"/>
                <w:szCs w:val="21"/>
              </w:rPr>
            </w:pPr>
            <w:r>
              <w:rPr>
                <w:rFonts w:hint="eastAsia"/>
                <w:bCs/>
                <w:color w:val="auto"/>
                <w:szCs w:val="21"/>
              </w:rPr>
              <w:t>0.005</w:t>
            </w:r>
          </w:p>
        </w:tc>
        <w:tc>
          <w:tcPr>
            <w:tcW w:w="826" w:type="dxa"/>
            <w:noWrap/>
            <w:vAlign w:val="center"/>
          </w:tcPr>
          <w:p>
            <w:pPr>
              <w:jc w:val="center"/>
              <w:rPr>
                <w:bCs/>
                <w:color w:val="auto"/>
                <w:szCs w:val="21"/>
              </w:rPr>
            </w:pPr>
            <w:r>
              <w:rPr>
                <w:rFonts w:hint="eastAsia"/>
                <w:bCs/>
                <w:color w:val="auto"/>
                <w:szCs w:val="21"/>
              </w:rPr>
              <w:t>+0.005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topLinePunct/>
              <w:adjustRightInd w:val="0"/>
              <w:snapToGrid w:val="0"/>
              <w:jc w:val="center"/>
              <w:rPr>
                <w:rFonts w:hint="eastAsia"/>
                <w:bCs/>
                <w:color w:val="auto"/>
                <w:kern w:val="0"/>
                <w:szCs w:val="21"/>
              </w:rPr>
            </w:pPr>
            <w:r>
              <w:rPr>
                <w:rFonts w:hint="eastAsia"/>
                <w:color w:val="auto"/>
                <w:szCs w:val="21"/>
                <w:lang w:eastAsia="zh-CN"/>
              </w:rPr>
              <w:t>废活性炭</w:t>
            </w:r>
          </w:p>
        </w:tc>
        <w:tc>
          <w:tcPr>
            <w:tcW w:w="1701" w:type="dxa"/>
            <w:noWrap/>
            <w:vAlign w:val="center"/>
          </w:tcPr>
          <w:p>
            <w:pPr>
              <w:pStyle w:val="33"/>
              <w:spacing w:beforeLines="0" w:afterLines="0" w:line="240" w:lineRule="auto"/>
              <w:rPr>
                <w:rFonts w:hint="eastAsia" w:ascii="Times New Roman" w:eastAsia="宋体"/>
                <w:snapToGrid w:val="0"/>
                <w:color w:val="auto"/>
                <w:kern w:val="21"/>
                <w:szCs w:val="21"/>
                <w:lang w:val="en-US" w:eastAsia="zh-CN"/>
              </w:rPr>
            </w:pPr>
            <w:r>
              <w:rPr>
                <w:rFonts w:hint="eastAsia" w:ascii="Times New Roman"/>
                <w:snapToGrid w:val="0"/>
                <w:color w:val="auto"/>
                <w:kern w:val="21"/>
                <w:szCs w:val="21"/>
                <w:lang w:val="en-US" w:eastAsia="zh-CN"/>
              </w:rPr>
              <w:t>0</w:t>
            </w:r>
          </w:p>
        </w:tc>
        <w:tc>
          <w:tcPr>
            <w:tcW w:w="1276" w:type="dxa"/>
            <w:noWrap/>
            <w:vAlign w:val="center"/>
          </w:tcPr>
          <w:p>
            <w:pPr>
              <w:pStyle w:val="33"/>
              <w:spacing w:beforeLines="0" w:afterLines="0" w:line="240" w:lineRule="auto"/>
              <w:rPr>
                <w:rFonts w:hint="eastAsia" w:ascii="Times New Roman" w:eastAsia="宋体"/>
                <w:snapToGrid w:val="0"/>
                <w:color w:val="auto"/>
                <w:kern w:val="21"/>
                <w:szCs w:val="21"/>
                <w:lang w:val="en-US" w:eastAsia="zh-CN"/>
              </w:rPr>
            </w:pPr>
            <w:r>
              <w:rPr>
                <w:rFonts w:hint="eastAsia" w:ascii="Times New Roman"/>
                <w:snapToGrid w:val="0"/>
                <w:color w:val="auto"/>
                <w:kern w:val="21"/>
                <w:szCs w:val="21"/>
                <w:lang w:val="en-US" w:eastAsia="zh-CN"/>
              </w:rPr>
              <w:t>0</w:t>
            </w:r>
          </w:p>
        </w:tc>
        <w:tc>
          <w:tcPr>
            <w:tcW w:w="1701" w:type="dxa"/>
            <w:noWrap/>
            <w:vAlign w:val="center"/>
          </w:tcPr>
          <w:p>
            <w:pPr>
              <w:pStyle w:val="33"/>
              <w:spacing w:beforeLines="0" w:afterLines="0" w:line="240" w:lineRule="auto"/>
              <w:rPr>
                <w:rFonts w:hint="eastAsia" w:ascii="Times New Roman" w:eastAsia="宋体"/>
                <w:snapToGrid w:val="0"/>
                <w:color w:val="auto"/>
                <w:kern w:val="21"/>
                <w:szCs w:val="21"/>
                <w:lang w:val="en-US" w:eastAsia="zh-CN"/>
              </w:rPr>
            </w:pPr>
            <w:r>
              <w:rPr>
                <w:rFonts w:hint="eastAsia" w:ascii="Times New Roman"/>
                <w:snapToGrid w:val="0"/>
                <w:color w:val="auto"/>
                <w:kern w:val="21"/>
                <w:szCs w:val="21"/>
                <w:lang w:val="en-US" w:eastAsia="zh-CN"/>
              </w:rPr>
              <w:t>0</w:t>
            </w:r>
          </w:p>
        </w:tc>
        <w:tc>
          <w:tcPr>
            <w:tcW w:w="1559" w:type="dxa"/>
            <w:noWrap/>
            <w:vAlign w:val="center"/>
          </w:tcPr>
          <w:p>
            <w:pPr>
              <w:jc w:val="center"/>
              <w:rPr>
                <w:rFonts w:hint="default" w:eastAsia="宋体"/>
                <w:bCs/>
                <w:color w:val="auto"/>
                <w:szCs w:val="21"/>
                <w:lang w:val="en-US" w:eastAsia="zh-CN"/>
              </w:rPr>
            </w:pPr>
            <w:r>
              <w:rPr>
                <w:rFonts w:hint="eastAsia"/>
                <w:bCs/>
                <w:color w:val="auto"/>
                <w:szCs w:val="21"/>
                <w:lang w:val="en-US" w:eastAsia="zh-CN"/>
              </w:rPr>
              <w:t>0.001</w:t>
            </w:r>
          </w:p>
        </w:tc>
        <w:tc>
          <w:tcPr>
            <w:tcW w:w="1761" w:type="dxa"/>
            <w:noWrap/>
            <w:vAlign w:val="center"/>
          </w:tcPr>
          <w:p>
            <w:pPr>
              <w:pStyle w:val="33"/>
              <w:spacing w:before="24" w:after="24"/>
              <w:rPr>
                <w:rFonts w:hint="eastAsia" w:ascii="Times New Roman" w:eastAsia="宋体"/>
                <w:bCs/>
                <w:color w:val="auto"/>
                <w:szCs w:val="21"/>
                <w:lang w:val="en-US" w:eastAsia="zh-CN"/>
              </w:rPr>
            </w:pPr>
            <w:r>
              <w:rPr>
                <w:rFonts w:hint="eastAsia" w:ascii="Times New Roman"/>
                <w:bCs/>
                <w:color w:val="auto"/>
                <w:szCs w:val="21"/>
                <w:lang w:val="en-US" w:eastAsia="zh-CN"/>
              </w:rPr>
              <w:t>0</w:t>
            </w:r>
          </w:p>
        </w:tc>
        <w:tc>
          <w:tcPr>
            <w:tcW w:w="1959" w:type="dxa"/>
            <w:noWrap/>
            <w:vAlign w:val="center"/>
          </w:tcPr>
          <w:p>
            <w:pPr>
              <w:jc w:val="center"/>
              <w:rPr>
                <w:rFonts w:hint="default" w:eastAsia="宋体"/>
                <w:bCs/>
                <w:color w:val="auto"/>
                <w:szCs w:val="21"/>
                <w:lang w:val="en-US" w:eastAsia="zh-CN"/>
              </w:rPr>
            </w:pPr>
            <w:r>
              <w:rPr>
                <w:rFonts w:hint="eastAsia"/>
                <w:bCs/>
                <w:color w:val="auto"/>
                <w:szCs w:val="21"/>
                <w:lang w:val="en-US" w:eastAsia="zh-CN"/>
              </w:rPr>
              <w:t>0.001</w:t>
            </w:r>
          </w:p>
        </w:tc>
        <w:tc>
          <w:tcPr>
            <w:tcW w:w="826" w:type="dxa"/>
            <w:noWrap/>
            <w:vAlign w:val="center"/>
          </w:tcPr>
          <w:p>
            <w:pPr>
              <w:jc w:val="center"/>
              <w:rPr>
                <w:rFonts w:hint="eastAsia" w:eastAsia="宋体"/>
                <w:bCs/>
                <w:color w:val="auto"/>
                <w:szCs w:val="21"/>
                <w:lang w:val="en-US" w:eastAsia="zh-CN"/>
              </w:rPr>
            </w:pPr>
            <w:r>
              <w:rPr>
                <w:rFonts w:hint="eastAsia"/>
                <w:bCs/>
                <w:color w:val="auto"/>
                <w:szCs w:val="21"/>
              </w:rPr>
              <w:t>+0.00</w:t>
            </w:r>
            <w:r>
              <w:rPr>
                <w:rFonts w:hint="eastAsia"/>
                <w:bCs/>
                <w:color w:val="auto"/>
                <w:szCs w:val="21"/>
                <w:lang w:val="en-US" w:eastAsia="zh-CN"/>
              </w:rPr>
              <w:t>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pStyle w:val="2"/>
              <w:ind w:firstLine="0"/>
              <w:rPr>
                <w:rFonts w:eastAsia="宋体"/>
                <w:bCs/>
                <w:color w:val="auto"/>
                <w:kern w:val="0"/>
                <w:sz w:val="21"/>
                <w:szCs w:val="21"/>
              </w:rPr>
            </w:pPr>
            <w:r>
              <w:rPr>
                <w:rFonts w:eastAsia="宋体"/>
                <w:bCs/>
                <w:color w:val="auto"/>
                <w:kern w:val="0"/>
                <w:sz w:val="21"/>
                <w:szCs w:val="21"/>
              </w:rPr>
              <w:t>水质处理器产生的悬浮物及污泥</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276"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vAlign w:val="center"/>
          </w:tcPr>
          <w:p>
            <w:pPr>
              <w:jc w:val="center"/>
              <w:rPr>
                <w:bCs/>
                <w:color w:val="auto"/>
                <w:szCs w:val="21"/>
              </w:rPr>
            </w:pPr>
            <w:r>
              <w:rPr>
                <w:rFonts w:hint="eastAsia"/>
                <w:bCs/>
                <w:color w:val="auto"/>
                <w:szCs w:val="21"/>
              </w:rPr>
              <w:t>0.286</w:t>
            </w:r>
          </w:p>
        </w:tc>
        <w:tc>
          <w:tcPr>
            <w:tcW w:w="1761" w:type="dxa"/>
            <w:noWrap/>
            <w:vAlign w:val="center"/>
          </w:tcPr>
          <w:p>
            <w:pPr>
              <w:jc w:val="center"/>
              <w:rPr>
                <w:bCs/>
                <w:color w:val="auto"/>
                <w:szCs w:val="21"/>
              </w:rPr>
            </w:pPr>
            <w:r>
              <w:rPr>
                <w:bCs/>
                <w:color w:val="auto"/>
                <w:szCs w:val="21"/>
              </w:rPr>
              <w:t>0</w:t>
            </w:r>
          </w:p>
        </w:tc>
        <w:tc>
          <w:tcPr>
            <w:tcW w:w="1959" w:type="dxa"/>
            <w:noWrap/>
            <w:vAlign w:val="center"/>
          </w:tcPr>
          <w:p>
            <w:pPr>
              <w:jc w:val="center"/>
              <w:rPr>
                <w:bCs/>
                <w:color w:val="auto"/>
                <w:kern w:val="0"/>
                <w:szCs w:val="21"/>
              </w:rPr>
            </w:pPr>
            <w:r>
              <w:rPr>
                <w:rFonts w:hint="eastAsia"/>
                <w:bCs/>
                <w:color w:val="auto"/>
                <w:szCs w:val="21"/>
              </w:rPr>
              <w:t>0.286</w:t>
            </w:r>
          </w:p>
        </w:tc>
        <w:tc>
          <w:tcPr>
            <w:tcW w:w="826" w:type="dxa"/>
            <w:noWrap/>
            <w:vAlign w:val="center"/>
          </w:tcPr>
          <w:p>
            <w:pPr>
              <w:jc w:val="center"/>
              <w:rPr>
                <w:bCs/>
                <w:color w:val="auto"/>
                <w:kern w:val="0"/>
                <w:szCs w:val="21"/>
              </w:rPr>
            </w:pPr>
            <w:r>
              <w:rPr>
                <w:rFonts w:hint="eastAsia"/>
                <w:bCs/>
                <w:color w:val="auto"/>
                <w:szCs w:val="21"/>
              </w:rPr>
              <w:t>+0.286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ign w:val="center"/>
          </w:tcPr>
          <w:p>
            <w:pPr>
              <w:pStyle w:val="33"/>
              <w:spacing w:beforeLines="0" w:afterLines="0" w:line="240" w:lineRule="auto"/>
              <w:rPr>
                <w:rFonts w:ascii="Times New Roman"/>
                <w:snapToGrid w:val="0"/>
                <w:color w:val="auto"/>
                <w:kern w:val="21"/>
                <w:szCs w:val="21"/>
              </w:rPr>
            </w:pPr>
          </w:p>
        </w:tc>
        <w:tc>
          <w:tcPr>
            <w:tcW w:w="1417" w:type="dxa"/>
            <w:noWrap/>
            <w:vAlign w:val="center"/>
          </w:tcPr>
          <w:p>
            <w:pPr>
              <w:pStyle w:val="2"/>
              <w:ind w:firstLine="0"/>
              <w:rPr>
                <w:rFonts w:eastAsia="宋体"/>
                <w:bCs/>
                <w:color w:val="auto"/>
                <w:kern w:val="0"/>
                <w:sz w:val="21"/>
                <w:szCs w:val="21"/>
              </w:rPr>
            </w:pPr>
            <w:r>
              <w:rPr>
                <w:rFonts w:eastAsia="宋体"/>
                <w:bCs/>
                <w:color w:val="auto"/>
                <w:kern w:val="0"/>
                <w:sz w:val="21"/>
                <w:szCs w:val="21"/>
              </w:rPr>
              <w:t>医疗废物</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276"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701" w:type="dxa"/>
            <w:noWrap/>
            <w:vAlign w:val="center"/>
          </w:tcPr>
          <w:p>
            <w:pPr>
              <w:pStyle w:val="33"/>
              <w:spacing w:beforeLines="0" w:afterLines="0" w:line="240" w:lineRule="auto"/>
              <w:rPr>
                <w:rFonts w:ascii="Times New Roman"/>
                <w:snapToGrid w:val="0"/>
                <w:color w:val="auto"/>
                <w:kern w:val="21"/>
                <w:szCs w:val="21"/>
              </w:rPr>
            </w:pPr>
            <w:r>
              <w:rPr>
                <w:rFonts w:ascii="Times New Roman"/>
                <w:snapToGrid w:val="0"/>
                <w:color w:val="auto"/>
                <w:kern w:val="21"/>
                <w:szCs w:val="21"/>
              </w:rPr>
              <w:t>0</w:t>
            </w:r>
          </w:p>
        </w:tc>
        <w:tc>
          <w:tcPr>
            <w:tcW w:w="1559" w:type="dxa"/>
            <w:noWrap/>
            <w:vAlign w:val="center"/>
          </w:tcPr>
          <w:p>
            <w:pPr>
              <w:jc w:val="center"/>
              <w:rPr>
                <w:bCs/>
                <w:color w:val="auto"/>
                <w:szCs w:val="21"/>
              </w:rPr>
            </w:pPr>
            <w:r>
              <w:rPr>
                <w:rFonts w:hint="eastAsia"/>
                <w:bCs/>
                <w:color w:val="auto"/>
                <w:szCs w:val="21"/>
              </w:rPr>
              <w:t>0.005</w:t>
            </w:r>
          </w:p>
        </w:tc>
        <w:tc>
          <w:tcPr>
            <w:tcW w:w="1761" w:type="dxa"/>
            <w:noWrap/>
            <w:vAlign w:val="center"/>
          </w:tcPr>
          <w:p>
            <w:pPr>
              <w:jc w:val="center"/>
              <w:rPr>
                <w:bCs/>
                <w:color w:val="auto"/>
                <w:szCs w:val="21"/>
              </w:rPr>
            </w:pPr>
            <w:r>
              <w:rPr>
                <w:bCs/>
                <w:color w:val="auto"/>
                <w:szCs w:val="21"/>
              </w:rPr>
              <w:t>0</w:t>
            </w:r>
          </w:p>
        </w:tc>
        <w:tc>
          <w:tcPr>
            <w:tcW w:w="1959" w:type="dxa"/>
            <w:noWrap/>
            <w:vAlign w:val="center"/>
          </w:tcPr>
          <w:p>
            <w:pPr>
              <w:jc w:val="center"/>
              <w:rPr>
                <w:bCs/>
                <w:color w:val="auto"/>
                <w:kern w:val="0"/>
                <w:szCs w:val="21"/>
              </w:rPr>
            </w:pPr>
            <w:r>
              <w:rPr>
                <w:rFonts w:hint="eastAsia"/>
                <w:bCs/>
                <w:color w:val="auto"/>
                <w:szCs w:val="21"/>
              </w:rPr>
              <w:t>0.005</w:t>
            </w:r>
          </w:p>
        </w:tc>
        <w:tc>
          <w:tcPr>
            <w:tcW w:w="826" w:type="dxa"/>
            <w:noWrap/>
            <w:vAlign w:val="center"/>
          </w:tcPr>
          <w:p>
            <w:pPr>
              <w:jc w:val="center"/>
              <w:rPr>
                <w:bCs/>
                <w:color w:val="auto"/>
                <w:kern w:val="0"/>
                <w:szCs w:val="21"/>
              </w:rPr>
            </w:pPr>
            <w:r>
              <w:rPr>
                <w:rFonts w:hint="eastAsia"/>
                <w:bCs/>
                <w:color w:val="auto"/>
                <w:szCs w:val="21"/>
              </w:rPr>
              <w:t>+0.005</w:t>
            </w:r>
          </w:p>
        </w:tc>
      </w:tr>
    </w:tbl>
    <w:p>
      <w:pPr>
        <w:pStyle w:val="33"/>
        <w:spacing w:beforeLines="80" w:after="24"/>
        <w:jc w:val="left"/>
        <w:rPr>
          <w:rFonts w:ascii="Times New Roman"/>
          <w:color w:val="auto"/>
        </w:rPr>
        <w:sectPr>
          <w:footerReference r:id="rId8" w:type="default"/>
          <w:pgSz w:w="16838" w:h="11906" w:orient="landscape"/>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r>
        <w:rPr>
          <w:rFonts w:ascii="Times New Roman"/>
          <w:snapToGrid w:val="0"/>
          <w:color w:val="auto"/>
          <w:kern w:val="21"/>
          <w:szCs w:val="21"/>
        </w:rPr>
        <w:t>注：</w:t>
      </w:r>
      <w:r>
        <w:rPr>
          <w:rFonts w:ascii="Times New Roman"/>
          <w:snapToGrid w:val="0"/>
          <w:color w:val="auto"/>
          <w:spacing w:val="-16"/>
          <w:kern w:val="21"/>
          <w:szCs w:val="21"/>
        </w:rPr>
        <w:fldChar w:fldCharType="begin"/>
      </w:r>
      <w:r>
        <w:rPr>
          <w:rFonts w:ascii="Times New Roman"/>
          <w:snapToGrid w:val="0"/>
          <w:color w:val="auto"/>
          <w:spacing w:val="-16"/>
          <w:kern w:val="21"/>
          <w:szCs w:val="21"/>
        </w:rPr>
        <w:instrText xml:space="preserve"> = 6 \* GB3 \* MERGEFORMAT </w:instrText>
      </w:r>
      <w:r>
        <w:rPr>
          <w:rFonts w:ascii="Times New Roman"/>
          <w:snapToGrid w:val="0"/>
          <w:color w:val="auto"/>
          <w:spacing w:val="-16"/>
          <w:kern w:val="21"/>
          <w:szCs w:val="21"/>
        </w:rPr>
        <w:fldChar w:fldCharType="separate"/>
      </w:r>
      <w:r>
        <w:rPr>
          <w:rFonts w:ascii="Times New Roman"/>
          <w:color w:val="auto"/>
          <w:szCs w:val="21"/>
        </w:rPr>
        <w:t>⑥</w:t>
      </w:r>
      <w:r>
        <w:rPr>
          <w:rFonts w:ascii="Times New Roman"/>
          <w:snapToGrid w:val="0"/>
          <w:color w:val="auto"/>
          <w:spacing w:val="-16"/>
          <w:kern w:val="21"/>
          <w:szCs w:val="21"/>
        </w:rPr>
        <w:fldChar w:fldCharType="end"/>
      </w:r>
      <w:r>
        <w:rPr>
          <w:rFonts w:ascii="Times New Roman"/>
          <w:snapToGrid w:val="0"/>
          <w:color w:val="auto"/>
          <w:spacing w:val="-1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1 \* GB3 \* MERGEFORMAT </w:instrText>
      </w:r>
      <w:r>
        <w:rPr>
          <w:rFonts w:ascii="Times New Roman"/>
          <w:snapToGrid w:val="0"/>
          <w:color w:val="auto"/>
          <w:spacing w:val="-6"/>
          <w:kern w:val="21"/>
          <w:szCs w:val="21"/>
        </w:rPr>
        <w:fldChar w:fldCharType="separate"/>
      </w:r>
      <w:r>
        <w:rPr>
          <w:rFonts w:ascii="Times New Roman"/>
          <w:color w:val="auto"/>
          <w:szCs w:val="21"/>
        </w:rPr>
        <w:t>①</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3 \* GB3 \* MERGEFORMAT </w:instrText>
      </w:r>
      <w:r>
        <w:rPr>
          <w:rFonts w:ascii="Times New Roman"/>
          <w:snapToGrid w:val="0"/>
          <w:color w:val="auto"/>
          <w:spacing w:val="-6"/>
          <w:kern w:val="21"/>
          <w:szCs w:val="21"/>
        </w:rPr>
        <w:fldChar w:fldCharType="separate"/>
      </w:r>
      <w:r>
        <w:rPr>
          <w:rFonts w:ascii="Times New Roman"/>
          <w:color w:val="auto"/>
          <w:szCs w:val="21"/>
        </w:rPr>
        <w:t>③</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4 \* GB3 \* MERGEFORMAT </w:instrText>
      </w:r>
      <w:r>
        <w:rPr>
          <w:rFonts w:ascii="Times New Roman"/>
          <w:snapToGrid w:val="0"/>
          <w:color w:val="auto"/>
          <w:spacing w:val="-6"/>
          <w:kern w:val="21"/>
          <w:szCs w:val="21"/>
        </w:rPr>
        <w:fldChar w:fldCharType="separate"/>
      </w:r>
      <w:r>
        <w:rPr>
          <w:rFonts w:ascii="Times New Roman"/>
          <w:color w:val="auto"/>
          <w:szCs w:val="21"/>
        </w:rPr>
        <w:t>④</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16"/>
          <w:kern w:val="21"/>
          <w:szCs w:val="21"/>
        </w:rPr>
        <w:fldChar w:fldCharType="begin"/>
      </w:r>
      <w:r>
        <w:rPr>
          <w:rFonts w:ascii="Times New Roman"/>
          <w:snapToGrid w:val="0"/>
          <w:color w:val="auto"/>
          <w:spacing w:val="-16"/>
          <w:kern w:val="21"/>
          <w:szCs w:val="21"/>
        </w:rPr>
        <w:instrText xml:space="preserve"> = 5 \* GB3 \* MERGEFORMAT </w:instrText>
      </w:r>
      <w:r>
        <w:rPr>
          <w:rFonts w:ascii="Times New Roman"/>
          <w:snapToGrid w:val="0"/>
          <w:color w:val="auto"/>
          <w:spacing w:val="-16"/>
          <w:kern w:val="21"/>
          <w:szCs w:val="21"/>
        </w:rPr>
        <w:fldChar w:fldCharType="separate"/>
      </w:r>
      <w:r>
        <w:rPr>
          <w:rFonts w:ascii="Times New Roman"/>
          <w:color w:val="auto"/>
          <w:szCs w:val="21"/>
        </w:rPr>
        <w:t>⑤</w:t>
      </w:r>
      <w:r>
        <w:rPr>
          <w:rFonts w:ascii="Times New Roman"/>
          <w:snapToGrid w:val="0"/>
          <w:color w:val="auto"/>
          <w:spacing w:val="-16"/>
          <w:kern w:val="21"/>
          <w:szCs w:val="21"/>
        </w:rPr>
        <w:fldChar w:fldCharType="end"/>
      </w:r>
      <w:r>
        <w:rPr>
          <w:rFonts w:ascii="Times New Roman"/>
          <w:snapToGrid w:val="0"/>
          <w:color w:val="auto"/>
          <w:spacing w:val="-1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7 \* GB3 \* MERGEFORMAT </w:instrText>
      </w:r>
      <w:r>
        <w:rPr>
          <w:rFonts w:ascii="Times New Roman"/>
          <w:snapToGrid w:val="0"/>
          <w:color w:val="auto"/>
          <w:spacing w:val="-6"/>
          <w:kern w:val="21"/>
          <w:szCs w:val="21"/>
        </w:rPr>
        <w:fldChar w:fldCharType="separate"/>
      </w:r>
      <w:r>
        <w:rPr>
          <w:rFonts w:ascii="Times New Roman"/>
          <w:color w:val="auto"/>
          <w:szCs w:val="21"/>
        </w:rPr>
        <w:t>⑦</w:t>
      </w:r>
      <w:r>
        <w:rPr>
          <w:rFonts w:ascii="Times New Roman"/>
          <w:snapToGrid w:val="0"/>
          <w:color w:val="auto"/>
          <w:spacing w:val="-6"/>
          <w:kern w:val="21"/>
          <w:szCs w:val="21"/>
        </w:rPr>
        <w:fldChar w:fldCharType="end"/>
      </w:r>
      <w:r>
        <w:rPr>
          <w:rFonts w:ascii="Times New Roman"/>
          <w:snapToGrid w:val="0"/>
          <w:color w:val="auto"/>
          <w:spacing w:val="-6"/>
          <w:kern w:val="21"/>
          <w:szCs w:val="21"/>
        </w:rPr>
        <w:t>=</w:t>
      </w:r>
      <w:r>
        <w:rPr>
          <w:rFonts w:ascii="Times New Roman"/>
          <w:snapToGrid w:val="0"/>
          <w:color w:val="auto"/>
          <w:spacing w:val="-16"/>
          <w:kern w:val="21"/>
          <w:szCs w:val="21"/>
        </w:rPr>
        <w:fldChar w:fldCharType="begin"/>
      </w:r>
      <w:r>
        <w:rPr>
          <w:rFonts w:ascii="Times New Roman"/>
          <w:snapToGrid w:val="0"/>
          <w:color w:val="auto"/>
          <w:spacing w:val="-16"/>
          <w:kern w:val="21"/>
          <w:szCs w:val="21"/>
        </w:rPr>
        <w:instrText xml:space="preserve"> = 6 \* GB3 \* MERGEFORMAT </w:instrText>
      </w:r>
      <w:r>
        <w:rPr>
          <w:rFonts w:ascii="Times New Roman"/>
          <w:snapToGrid w:val="0"/>
          <w:color w:val="auto"/>
          <w:spacing w:val="-16"/>
          <w:kern w:val="21"/>
          <w:szCs w:val="21"/>
        </w:rPr>
        <w:fldChar w:fldCharType="separate"/>
      </w:r>
      <w:r>
        <w:rPr>
          <w:rFonts w:ascii="Times New Roman"/>
          <w:color w:val="auto"/>
          <w:szCs w:val="21"/>
        </w:rPr>
        <w:t>⑥</w:t>
      </w:r>
      <w:r>
        <w:rPr>
          <w:rFonts w:ascii="Times New Roman"/>
          <w:snapToGrid w:val="0"/>
          <w:color w:val="auto"/>
          <w:spacing w:val="-16"/>
          <w:kern w:val="21"/>
          <w:szCs w:val="21"/>
        </w:rPr>
        <w:fldChar w:fldCharType="end"/>
      </w:r>
      <w:r>
        <w:rPr>
          <w:rFonts w:ascii="Times New Roman"/>
          <w:snapToGrid w:val="0"/>
          <w:color w:val="auto"/>
          <w:spacing w:val="-16"/>
          <w:kern w:val="21"/>
          <w:szCs w:val="21"/>
        </w:rPr>
        <w:t>-</w:t>
      </w:r>
      <w:r>
        <w:rPr>
          <w:rFonts w:ascii="Times New Roman"/>
          <w:snapToGrid w:val="0"/>
          <w:color w:val="auto"/>
          <w:spacing w:val="-6"/>
          <w:kern w:val="21"/>
          <w:szCs w:val="21"/>
        </w:rPr>
        <w:fldChar w:fldCharType="begin"/>
      </w:r>
      <w:r>
        <w:rPr>
          <w:rFonts w:ascii="Times New Roman"/>
          <w:snapToGrid w:val="0"/>
          <w:color w:val="auto"/>
          <w:spacing w:val="-6"/>
          <w:kern w:val="21"/>
          <w:szCs w:val="21"/>
        </w:rPr>
        <w:instrText xml:space="preserve"> = 1 \* GB3 \* MERGEFORMAT </w:instrText>
      </w:r>
      <w:r>
        <w:rPr>
          <w:rFonts w:ascii="Times New Roman"/>
          <w:snapToGrid w:val="0"/>
          <w:color w:val="auto"/>
          <w:spacing w:val="-6"/>
          <w:kern w:val="21"/>
          <w:szCs w:val="21"/>
        </w:rPr>
        <w:fldChar w:fldCharType="separate"/>
      </w:r>
      <w:r>
        <w:rPr>
          <w:rFonts w:ascii="Times New Roman"/>
          <w:color w:val="auto"/>
          <w:szCs w:val="21"/>
        </w:rPr>
        <w:t>①</w:t>
      </w:r>
      <w:r>
        <w:rPr>
          <w:rFonts w:ascii="Times New Roman"/>
          <w:snapToGrid w:val="0"/>
          <w:color w:val="auto"/>
          <w:spacing w:val="-6"/>
          <w:kern w:val="21"/>
          <w:szCs w:val="21"/>
        </w:rPr>
        <w:fldChar w:fldCharType="end"/>
      </w:r>
    </w:p>
    <w:p>
      <w:pPr>
        <w:rPr>
          <w:color w:val="auto"/>
        </w:rPr>
      </w:pPr>
    </w:p>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MS Mincho">
    <w:panose1 w:val="02020609040205080304"/>
    <w:charset w:val="80"/>
    <w:family w:val="modern"/>
    <w:pitch w:val="default"/>
    <w:sig w:usb0="A00002BF" w:usb1="68C7FCFB" w:usb2="00000010" w:usb3="00000000" w:csb0="4002009F" w:csb1="DFD70000"/>
  </w:font>
  <w:font w:name="Helvetica">
    <w:altName w:val="Arial"/>
    <w:panose1 w:val="00000000000000000000"/>
    <w:charset w:val="00"/>
    <w:family w:val="roman"/>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Style w:val="25"/>
        <w:rFonts w:ascii="宋体" w:hAnsi="宋体"/>
        <w:sz w:val="28"/>
        <w:szCs w:val="28"/>
      </w:rPr>
    </w:pPr>
  </w:p>
  <w:p>
    <w:pPr>
      <w:pStyle w:val="13"/>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5"/>
      </w:rPr>
    </w:pPr>
    <w:r>
      <w:fldChar w:fldCharType="begin"/>
    </w:r>
    <w:r>
      <w:rPr>
        <w:rStyle w:val="25"/>
      </w:rPr>
      <w:instrText xml:space="preserve">PAGE  </w:instrText>
    </w:r>
    <w:r>
      <w:fldChar w:fldCharType="end"/>
    </w:r>
  </w:p>
  <w:p>
    <w:pPr>
      <w:pStyle w:val="1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Style w:val="25"/>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3"/>
                          </w:pPr>
                          <w:r>
                            <w:fldChar w:fldCharType="begin"/>
                          </w:r>
                          <w:r>
                            <w:instrText xml:space="preserve"> PAGE  \* MERGEFORMAT </w:instrText>
                          </w:r>
                          <w:r>
                            <w:fldChar w:fldCharType="separate"/>
                          </w:r>
                          <w:r>
                            <w:t>50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eJfhs4BAACp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n3NmRWGXvz888f515/z7++M&#10;YiRQ77GiuntPlXF45wZamzmOFEy8hzaY9CVGjPIk7+kiLwyRyXRptVytSkpJys0O4RcP133A+B6c&#10;YcmoeaD3y7KK40eMY+lckrpZd6e0zm+o7T8BwhwjkJdgup2YjBMnKw67YaK3c82J2PW0CDW3tPec&#10;6Q+WdE47MxthNnazcfBB7bu8VKk7+ttDpJHypKnDCEsMk0MvmLlO25ZW5LGfqx7+sM1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CniX4bOAQAAqQMAAA4AAAAAAAAAAQAgAAAAHgEAAGRycy9l&#10;Mm9Eb2MueG1sUEsFBgAAAAAGAAYAWQEAAF4FA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50</w:t>
                    </w:r>
                    <w:r>
                      <w:fldChar w:fldCharType="end"/>
                    </w:r>
                  </w:p>
                </w:txbxContent>
              </v:textbox>
            </v:shape>
          </w:pict>
        </mc:Fallback>
      </mc:AlternateContent>
    </w:r>
  </w:p>
  <w:p>
    <w:pPr>
      <w:pStyle w:val="13"/>
      <w:ind w:right="360" w:firstLine="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Style w:val="25"/>
        <w:rFonts w:ascii="宋体" w:hAnsi="宋体"/>
        <w:sz w:val="28"/>
        <w:szCs w:val="28"/>
      </w:rPr>
    </w:pPr>
    <w:r>
      <w:rPr>
        <w:sz w:val="2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3"/>
                          </w:pPr>
                          <w:r>
                            <w:fldChar w:fldCharType="begin"/>
                          </w:r>
                          <w:r>
                            <w:instrText xml:space="preserve"> PAGE  \* MERGEFORMAT </w:instrText>
                          </w:r>
                          <w:r>
                            <w:fldChar w:fldCharType="separate"/>
                          </w:r>
                          <w:r>
                            <w:t>50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KSQYcfOAQAAqwMAAA4AAAAAAAAAAQAgAAAAHgEAAGRycy9l&#10;Mm9Eb2MueG1sUEsFBgAAAAAGAAYAWQEAAF4FA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50</w:t>
                    </w:r>
                    <w:r>
                      <w:fldChar w:fldCharType="end"/>
                    </w:r>
                  </w:p>
                </w:txbxContent>
              </v:textbox>
            </v:shape>
          </w:pict>
        </mc:Fallback>
      </mc:AlternateContent>
    </w:r>
  </w:p>
  <w:p>
    <w:pPr>
      <w:pStyle w:val="13"/>
      <w:ind w:right="360"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Style w:val="25"/>
        <w:rFonts w:ascii="宋体" w:hAnsi="宋体"/>
        <w:sz w:val="28"/>
        <w:szCs w:val="28"/>
      </w:rPr>
    </w:pPr>
    <w:r>
      <w:rPr>
        <w:sz w:val="2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3"/>
                          </w:pPr>
                          <w:r>
                            <w:fldChar w:fldCharType="begin"/>
                          </w:r>
                          <w:r>
                            <w:instrText xml:space="preserve"> PAGE  \* MERGEFORMAT </w:instrText>
                          </w:r>
                          <w:r>
                            <w:fldChar w:fldCharType="separate"/>
                          </w:r>
                          <w:r>
                            <w:t>50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A0+bUzOAQAAqwMAAA4AAAAAAAAAAQAgAAAAHgEAAGRycy9l&#10;Mm9Eb2MueG1sUEsFBgAAAAAGAAYAWQEAAF4FA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50</w:t>
                    </w:r>
                    <w:r>
                      <w:fldChar w:fldCharType="end"/>
                    </w:r>
                  </w:p>
                </w:txbxContent>
              </v:textbox>
            </v:shape>
          </w:pict>
        </mc:Fallback>
      </mc:AlternateContent>
    </w:r>
  </w:p>
  <w:p>
    <w:pPr>
      <w:pStyle w:val="13"/>
      <w:ind w:right="360" w:firstLine="360"/>
      <w:jc w:val="cen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firstLine="360"/>
      <w:jc w:val="cente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3"/>
                          </w:pPr>
                          <w:r>
                            <w:fldChar w:fldCharType="begin"/>
                          </w:r>
                          <w:r>
                            <w:instrText xml:space="preserve"> PAGE  \* MERGEFORMAT </w:instrText>
                          </w:r>
                          <w:r>
                            <w:fldChar w:fldCharType="separate"/>
                          </w:r>
                          <w:r>
                            <w:t>53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KVHPHrOAQAAqwMAAA4AAAAAAAAAAQAgAAAAHgEAAGRycy9l&#10;Mm9Eb2MueG1sUEsFBgAAAAAGAAYAWQEAAF4FA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53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D5225"/>
    <w:multiLevelType w:val="singleLevel"/>
    <w:tmpl w:val="84AD5225"/>
    <w:lvl w:ilvl="0" w:tentative="0">
      <w:start w:val="1"/>
      <w:numFmt w:val="decimal"/>
      <w:suff w:val="nothing"/>
      <w:lvlText w:val="%1、"/>
      <w:lvlJc w:val="left"/>
    </w:lvl>
  </w:abstractNum>
  <w:abstractNum w:abstractNumId="1">
    <w:nsid w:val="88A52C15"/>
    <w:multiLevelType w:val="singleLevel"/>
    <w:tmpl w:val="88A52C15"/>
    <w:lvl w:ilvl="0" w:tentative="0">
      <w:start w:val="1"/>
      <w:numFmt w:val="decimal"/>
      <w:suff w:val="nothing"/>
      <w:lvlText w:val="%1）"/>
      <w:lvlJc w:val="left"/>
    </w:lvl>
  </w:abstractNum>
  <w:abstractNum w:abstractNumId="2">
    <w:nsid w:val="CF8265E4"/>
    <w:multiLevelType w:val="singleLevel"/>
    <w:tmpl w:val="CF8265E4"/>
    <w:lvl w:ilvl="0" w:tentative="0">
      <w:start w:val="1"/>
      <w:numFmt w:val="decimal"/>
      <w:suff w:val="nothing"/>
      <w:lvlText w:val="%1、"/>
      <w:lvlJc w:val="left"/>
      <w:pPr>
        <w:ind w:left="-60"/>
      </w:pPr>
    </w:lvl>
  </w:abstractNum>
  <w:abstractNum w:abstractNumId="3">
    <w:nsid w:val="06CEBB21"/>
    <w:multiLevelType w:val="singleLevel"/>
    <w:tmpl w:val="06CEBB21"/>
    <w:lvl w:ilvl="0" w:tentative="0">
      <w:start w:val="5"/>
      <w:numFmt w:val="decimal"/>
      <w:suff w:val="nothing"/>
      <w:lvlText w:val="%1、"/>
      <w:lvlJc w:val="left"/>
    </w:lvl>
  </w:abstractNum>
  <w:abstractNum w:abstractNumId="4">
    <w:nsid w:val="1E2766EF"/>
    <w:multiLevelType w:val="multilevel"/>
    <w:tmpl w:val="1E2766EF"/>
    <w:lvl w:ilvl="0" w:tentative="0">
      <w:start w:val="1"/>
      <w:numFmt w:val="decimal"/>
      <w:pStyle w:val="4"/>
      <w:suff w:val="nothing"/>
      <w:lvlText w:val="%1、"/>
      <w:lvlJc w:val="left"/>
      <w:pPr>
        <w:ind w:left="0" w:firstLine="0"/>
      </w:pPr>
      <w:rPr>
        <w:rFonts w:hint="default" w:ascii="Times New Roman" w:hAnsi="Times New Roman" w:eastAsia="宋体"/>
        <w:b/>
        <w:i w:val="0"/>
        <w:sz w:val="28"/>
      </w:rPr>
    </w:lvl>
    <w:lvl w:ilvl="1" w:tentative="0">
      <w:start w:val="1"/>
      <w:numFmt w:val="decimal"/>
      <w:suff w:val="nothing"/>
      <w:lvlText w:val="（%2）"/>
      <w:lvlJc w:val="left"/>
      <w:pPr>
        <w:ind w:left="876" w:firstLine="400"/>
      </w:pPr>
      <w:rPr>
        <w:rFonts w:hint="eastAsia"/>
        <w:lang w:val="en-US"/>
      </w:rPr>
    </w:lvl>
    <w:lvl w:ilvl="2" w:tentative="0">
      <w:start w:val="1"/>
      <w:numFmt w:val="decimalEnclosedCircle"/>
      <w:suff w:val="nothing"/>
      <w:lvlText w:val="%3. "/>
      <w:lvlJc w:val="left"/>
      <w:pPr>
        <w:ind w:left="0" w:firstLine="400"/>
      </w:pPr>
      <w:rPr>
        <w:rFonts w:hint="default" w:ascii="Times New Roman" w:hAnsi="Times New Roman" w:eastAsia="宋体"/>
        <w:b w:val="0"/>
        <w:i w:val="0"/>
        <w:sz w:val="24"/>
      </w:rPr>
    </w:lvl>
    <w:lvl w:ilvl="3" w:tentative="0">
      <w:start w:val="1"/>
      <w:numFmt w:val="upperLetter"/>
      <w:suff w:val="space"/>
      <w:lvlText w:val="%4."/>
      <w:lvlJc w:val="left"/>
      <w:pPr>
        <w:ind w:left="0" w:firstLine="400"/>
      </w:pPr>
      <w:rPr>
        <w:rFonts w:hint="eastAsia"/>
        <w:b w:val="0"/>
        <w:i w:val="0"/>
        <w:iCs w:val="0"/>
        <w:caps w:val="0"/>
        <w:smallCaps w:val="0"/>
        <w:strike w:val="0"/>
        <w:dstrike w:val="0"/>
        <w:vanish w:val="0"/>
        <w:spacing w:val="0"/>
        <w:position w:val="0"/>
        <w:u w:val="none"/>
        <w:vertAlign w:val="baseline"/>
      </w:rPr>
    </w:lvl>
    <w:lvl w:ilvl="4" w:tentative="0">
      <w:start w:val="1"/>
      <w:numFmt w:val="upperRoman"/>
      <w:suff w:val="nothing"/>
      <w:lvlText w:val="%5."/>
      <w:lvlJc w:val="left"/>
      <w:pPr>
        <w:ind w:left="0" w:firstLine="400"/>
      </w:pPr>
      <w:rPr>
        <w:rFonts w:hint="default" w:ascii="Times New Roman" w:hAnsi="Times New Roman" w:eastAsia="宋体"/>
        <w:b w:val="0"/>
        <w:i/>
        <w:sz w:val="24"/>
      </w:rPr>
    </w:lvl>
    <w:lvl w:ilvl="5" w:tentative="0">
      <w:start w:val="1"/>
      <w:numFmt w:val="lowerLetter"/>
      <w:lvlText w:val="%6."/>
      <w:lvlJc w:val="left"/>
      <w:pPr>
        <w:ind w:left="2409" w:hanging="425"/>
      </w:pPr>
      <w:rPr>
        <w:rFonts w:hint="eastAsia"/>
      </w:rPr>
    </w:lvl>
    <w:lvl w:ilvl="6" w:tentative="0">
      <w:start w:val="1"/>
      <w:numFmt w:val="lowerRoman"/>
      <w:lvlText w:val="%7."/>
      <w:lvlJc w:val="left"/>
      <w:pPr>
        <w:ind w:left="2835" w:hanging="426"/>
      </w:pPr>
      <w:rPr>
        <w:rFonts w:hint="eastAsia"/>
      </w:rPr>
    </w:lvl>
    <w:lvl w:ilvl="7" w:tentative="0">
      <w:start w:val="1"/>
      <w:numFmt w:val="lowerLetter"/>
      <w:lvlText w:val="%8."/>
      <w:lvlJc w:val="left"/>
      <w:pPr>
        <w:ind w:left="3260" w:hanging="425"/>
      </w:pPr>
      <w:rPr>
        <w:rFonts w:hint="eastAsia"/>
      </w:rPr>
    </w:lvl>
    <w:lvl w:ilvl="8" w:tentative="0">
      <w:start w:val="1"/>
      <w:numFmt w:val="lowerRoman"/>
      <w:lvlText w:val="%9."/>
      <w:lvlJc w:val="left"/>
      <w:pPr>
        <w:ind w:left="3685" w:hanging="425"/>
      </w:pPr>
      <w:rPr>
        <w:rFonts w:hint="eastAsia"/>
      </w:rPr>
    </w:lvl>
  </w:abstractNum>
  <w:abstractNum w:abstractNumId="5">
    <w:nsid w:val="44F77D84"/>
    <w:multiLevelType w:val="singleLevel"/>
    <w:tmpl w:val="44F77D84"/>
    <w:lvl w:ilvl="0" w:tentative="0">
      <w:start w:val="1"/>
      <w:numFmt w:val="decimal"/>
      <w:suff w:val="nothing"/>
      <w:lvlText w:val="%1、"/>
      <w:lvlJc w:val="left"/>
      <w:rPr>
        <w:rFonts w:hint="default"/>
        <w:color w:val="auto"/>
      </w:rPr>
    </w:lvl>
  </w:abstractNum>
  <w:abstractNum w:abstractNumId="6">
    <w:nsid w:val="4DE97001"/>
    <w:multiLevelType w:val="singleLevel"/>
    <w:tmpl w:val="4DE97001"/>
    <w:lvl w:ilvl="0" w:tentative="0">
      <w:start w:val="1"/>
      <w:numFmt w:val="chineseCounting"/>
      <w:suff w:val="nothing"/>
      <w:lvlText w:val="%1、"/>
      <w:lvlJc w:val="left"/>
      <w:rPr>
        <w:rFonts w:hint="eastAsia"/>
      </w:rPr>
    </w:lvl>
  </w:abstractNum>
  <w:abstractNum w:abstractNumId="7">
    <w:nsid w:val="7C17B599"/>
    <w:multiLevelType w:val="singleLevel"/>
    <w:tmpl w:val="7C17B599"/>
    <w:lvl w:ilvl="0" w:tentative="0">
      <w:start w:val="2"/>
      <w:numFmt w:val="decimal"/>
      <w:suff w:val="nothing"/>
      <w:lvlText w:val="%1）"/>
      <w:lvlJc w:val="left"/>
    </w:lvl>
  </w:abstractNum>
  <w:num w:numId="1">
    <w:abstractNumId w:val="4"/>
  </w:num>
  <w:num w:numId="2">
    <w:abstractNumId w:val="3"/>
  </w:num>
  <w:num w:numId="3">
    <w:abstractNumId w:val="7"/>
  </w:num>
  <w:num w:numId="4">
    <w:abstractNumId w:val="1"/>
  </w:num>
  <w:num w:numId="5">
    <w:abstractNumId w:val="2"/>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zNjgzNTk3MDZkMTNkMDNkNzEyYTZkMDFlZTFjOWUifQ=="/>
  </w:docVars>
  <w:rsids>
    <w:rsidRoot w:val="135049F8"/>
    <w:rsid w:val="00081CDF"/>
    <w:rsid w:val="001E7D21"/>
    <w:rsid w:val="003D48B4"/>
    <w:rsid w:val="00423183"/>
    <w:rsid w:val="008B19A1"/>
    <w:rsid w:val="00974627"/>
    <w:rsid w:val="00AE49AA"/>
    <w:rsid w:val="00CE4C3E"/>
    <w:rsid w:val="00FB2286"/>
    <w:rsid w:val="030551CD"/>
    <w:rsid w:val="034772CC"/>
    <w:rsid w:val="07FA244F"/>
    <w:rsid w:val="0C81791F"/>
    <w:rsid w:val="0D7129DD"/>
    <w:rsid w:val="1039657C"/>
    <w:rsid w:val="114813DE"/>
    <w:rsid w:val="114F264D"/>
    <w:rsid w:val="135049F8"/>
    <w:rsid w:val="14DF35E2"/>
    <w:rsid w:val="14F904F2"/>
    <w:rsid w:val="16185542"/>
    <w:rsid w:val="161D1896"/>
    <w:rsid w:val="166B1FCE"/>
    <w:rsid w:val="17614581"/>
    <w:rsid w:val="187C450C"/>
    <w:rsid w:val="18927EAB"/>
    <w:rsid w:val="1A346E18"/>
    <w:rsid w:val="1C8D484C"/>
    <w:rsid w:val="1DD00249"/>
    <w:rsid w:val="1F697433"/>
    <w:rsid w:val="2077533A"/>
    <w:rsid w:val="20C537D1"/>
    <w:rsid w:val="248D710E"/>
    <w:rsid w:val="25A3214A"/>
    <w:rsid w:val="265C4564"/>
    <w:rsid w:val="29B07605"/>
    <w:rsid w:val="2A7E18F1"/>
    <w:rsid w:val="2B696E31"/>
    <w:rsid w:val="2CC93007"/>
    <w:rsid w:val="2CD02E13"/>
    <w:rsid w:val="2D6F6A0C"/>
    <w:rsid w:val="2F102504"/>
    <w:rsid w:val="2F316ABC"/>
    <w:rsid w:val="309F3BA1"/>
    <w:rsid w:val="368E0885"/>
    <w:rsid w:val="37621662"/>
    <w:rsid w:val="38477BCD"/>
    <w:rsid w:val="39CB4AA7"/>
    <w:rsid w:val="39D73560"/>
    <w:rsid w:val="3CD227B2"/>
    <w:rsid w:val="3DD46BF1"/>
    <w:rsid w:val="43172081"/>
    <w:rsid w:val="485460E7"/>
    <w:rsid w:val="4B9E04AB"/>
    <w:rsid w:val="4BCC05B9"/>
    <w:rsid w:val="537C72A1"/>
    <w:rsid w:val="55472792"/>
    <w:rsid w:val="582B2206"/>
    <w:rsid w:val="58543202"/>
    <w:rsid w:val="58720533"/>
    <w:rsid w:val="59984CF8"/>
    <w:rsid w:val="59AD06B7"/>
    <w:rsid w:val="5A3431E7"/>
    <w:rsid w:val="5AC42FB8"/>
    <w:rsid w:val="5B7567A1"/>
    <w:rsid w:val="5E214EFA"/>
    <w:rsid w:val="6081609D"/>
    <w:rsid w:val="611A0147"/>
    <w:rsid w:val="61330A5D"/>
    <w:rsid w:val="62102ED7"/>
    <w:rsid w:val="64944A91"/>
    <w:rsid w:val="658E1964"/>
    <w:rsid w:val="67374279"/>
    <w:rsid w:val="67CC521C"/>
    <w:rsid w:val="6910479D"/>
    <w:rsid w:val="6E681301"/>
    <w:rsid w:val="6E7A0C1F"/>
    <w:rsid w:val="70AD013E"/>
    <w:rsid w:val="71B05754"/>
    <w:rsid w:val="7221122C"/>
    <w:rsid w:val="74D92689"/>
    <w:rsid w:val="755465B8"/>
    <w:rsid w:val="78C67F04"/>
    <w:rsid w:val="7A80487B"/>
    <w:rsid w:val="7AA107B1"/>
    <w:rsid w:val="7B0D6A8D"/>
    <w:rsid w:val="7D9D0BE2"/>
    <w:rsid w:val="7E206DC5"/>
    <w:rsid w:val="7FB84EF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2"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iPriority="99"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2"/>
    <w:pPr>
      <w:keepNext/>
      <w:keepLines/>
      <w:numPr>
        <w:ilvl w:val="0"/>
        <w:numId w:val="1"/>
      </w:numPr>
      <w:ind w:firstLineChars="0"/>
      <w:outlineLvl w:val="1"/>
    </w:pPr>
    <w:rPr>
      <w:rFonts w:ascii="Times New Roman" w:hAnsi="Times New Roman" w:eastAsia="宋体" w:cs="Times New Roman"/>
      <w:b/>
      <w:bCs/>
      <w:sz w:val="28"/>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qFormat/>
    <w:uiPriority w:val="0"/>
    <w:pPr>
      <w:ind w:firstLine="555"/>
    </w:pPr>
    <w:rPr>
      <w:rFonts w:eastAsia="仿宋_GB2312"/>
      <w:sz w:val="28"/>
    </w:rPr>
  </w:style>
  <w:style w:type="paragraph" w:styleId="5">
    <w:name w:val="Normal Indent"/>
    <w:basedOn w:val="1"/>
    <w:qFormat/>
    <w:uiPriority w:val="0"/>
    <w:pPr>
      <w:adjustRightInd w:val="0"/>
      <w:spacing w:line="300" w:lineRule="auto"/>
      <w:ind w:firstLine="420"/>
      <w:textAlignment w:val="baseline"/>
    </w:pPr>
    <w:rPr>
      <w:kern w:val="0"/>
      <w:sz w:val="28"/>
      <w:szCs w:val="20"/>
    </w:rPr>
  </w:style>
  <w:style w:type="paragraph" w:styleId="6">
    <w:name w:val="caption"/>
    <w:basedOn w:val="1"/>
    <w:next w:val="1"/>
    <w:qFormat/>
    <w:uiPriority w:val="0"/>
    <w:pPr>
      <w:jc w:val="center"/>
    </w:pPr>
    <w:rPr>
      <w:szCs w:val="20"/>
    </w:rPr>
  </w:style>
  <w:style w:type="paragraph" w:styleId="7">
    <w:name w:val="toa heading"/>
    <w:basedOn w:val="1"/>
    <w:next w:val="1"/>
    <w:unhideWhenUsed/>
    <w:qFormat/>
    <w:uiPriority w:val="0"/>
    <w:pPr>
      <w:spacing w:before="120"/>
    </w:pPr>
    <w:rPr>
      <w:rFonts w:ascii="Arial" w:hAnsi="Arial" w:cs="Arial"/>
    </w:rPr>
  </w:style>
  <w:style w:type="paragraph" w:styleId="8">
    <w:name w:val="annotation text"/>
    <w:basedOn w:val="1"/>
    <w:qFormat/>
    <w:uiPriority w:val="0"/>
    <w:pPr>
      <w:jc w:val="left"/>
    </w:pPr>
  </w:style>
  <w:style w:type="paragraph" w:styleId="9">
    <w:name w:val="Body Text"/>
    <w:basedOn w:val="1"/>
    <w:next w:val="1"/>
    <w:qFormat/>
    <w:uiPriority w:val="0"/>
    <w:pPr>
      <w:widowControl/>
      <w:snapToGrid w:val="0"/>
      <w:spacing w:before="60" w:after="160" w:line="259" w:lineRule="auto"/>
      <w:ind w:right="113"/>
    </w:pPr>
    <w:rPr>
      <w:kern w:val="0"/>
      <w:sz w:val="18"/>
      <w:szCs w:val="20"/>
    </w:rPr>
  </w:style>
  <w:style w:type="paragraph" w:styleId="10">
    <w:name w:val="Block Text"/>
    <w:basedOn w:val="1"/>
    <w:qFormat/>
    <w:uiPriority w:val="0"/>
    <w:pPr>
      <w:spacing w:after="120"/>
      <w:ind w:left="1440" w:leftChars="700" w:right="1440" w:rightChars="700"/>
    </w:pPr>
  </w:style>
  <w:style w:type="paragraph" w:styleId="11">
    <w:name w:val="Plain Text"/>
    <w:basedOn w:val="1"/>
    <w:qFormat/>
    <w:uiPriority w:val="0"/>
    <w:rPr>
      <w:rFonts w:ascii="宋体" w:hAnsi="Courier New" w:cs="Courier New"/>
      <w:szCs w:val="21"/>
    </w:rPr>
  </w:style>
  <w:style w:type="paragraph" w:styleId="12">
    <w:name w:val="Balloon Text"/>
    <w:basedOn w:val="1"/>
    <w:link w:val="45"/>
    <w:qFormat/>
    <w:uiPriority w:val="0"/>
    <w:rPr>
      <w:sz w:val="18"/>
      <w:szCs w:val="18"/>
    </w:rPr>
  </w:style>
  <w:style w:type="paragraph" w:styleId="13">
    <w:name w:val="footer"/>
    <w:basedOn w:val="1"/>
    <w:qFormat/>
    <w:uiPriority w:val="99"/>
    <w:pPr>
      <w:tabs>
        <w:tab w:val="center" w:pos="4153"/>
        <w:tab w:val="right" w:pos="8306"/>
      </w:tabs>
      <w:snapToGrid w:val="0"/>
      <w:jc w:val="left"/>
    </w:pPr>
    <w:rPr>
      <w:kern w:val="0"/>
      <w:sz w:val="18"/>
      <w:szCs w:val="20"/>
    </w:rPr>
  </w:style>
  <w:style w:type="paragraph" w:styleId="14">
    <w:name w:val="header"/>
    <w:basedOn w:val="1"/>
    <w:link w:val="44"/>
    <w:qFormat/>
    <w:uiPriority w:val="0"/>
    <w:pPr>
      <w:pBdr>
        <w:bottom w:val="single" w:color="auto" w:sz="6" w:space="1"/>
      </w:pBdr>
      <w:tabs>
        <w:tab w:val="center" w:pos="4153"/>
        <w:tab w:val="right" w:pos="8306"/>
      </w:tabs>
      <w:snapToGrid w:val="0"/>
      <w:jc w:val="center"/>
    </w:pPr>
    <w:rPr>
      <w:sz w:val="18"/>
      <w:szCs w:val="18"/>
    </w:rPr>
  </w:style>
  <w:style w:type="paragraph" w:styleId="15">
    <w:name w:val="index heading"/>
    <w:basedOn w:val="1"/>
    <w:next w:val="16"/>
    <w:unhideWhenUsed/>
    <w:qFormat/>
    <w:uiPriority w:val="99"/>
    <w:rPr>
      <w:rFonts w:ascii="Arial" w:hAnsi="Arial" w:cs="Arial"/>
      <w:b/>
      <w:bCs/>
    </w:rPr>
  </w:style>
  <w:style w:type="paragraph" w:styleId="16">
    <w:name w:val="index 1"/>
    <w:basedOn w:val="1"/>
    <w:next w:val="1"/>
    <w:semiHidden/>
    <w:qFormat/>
    <w:uiPriority w:val="0"/>
  </w:style>
  <w:style w:type="paragraph" w:styleId="17">
    <w:name w:val="List"/>
    <w:basedOn w:val="1"/>
    <w:qFormat/>
    <w:uiPriority w:val="0"/>
    <w:pPr>
      <w:ind w:left="200" w:hanging="200" w:hangingChars="200"/>
    </w:pPr>
  </w:style>
  <w:style w:type="paragraph" w:styleId="18">
    <w:name w:val="Body Text Indent 3"/>
    <w:basedOn w:val="1"/>
    <w:qFormat/>
    <w:uiPriority w:val="99"/>
    <w:pPr>
      <w:spacing w:line="360" w:lineRule="auto"/>
      <w:ind w:firstLine="480"/>
    </w:pPr>
    <w:rPr>
      <w:sz w:val="24"/>
    </w:rPr>
  </w:style>
  <w:style w:type="paragraph" w:styleId="19">
    <w:name w:val="Normal (Web)"/>
    <w:basedOn w:val="1"/>
    <w:next w:val="1"/>
    <w:qFormat/>
    <w:uiPriority w:val="0"/>
    <w:pPr>
      <w:widowControl/>
      <w:spacing w:before="100" w:beforeAutospacing="1" w:after="100" w:afterAutospacing="1"/>
      <w:jc w:val="left"/>
    </w:pPr>
    <w:rPr>
      <w:rFonts w:ascii="宋体" w:hAnsi="宋体"/>
      <w:kern w:val="0"/>
      <w:sz w:val="24"/>
      <w:szCs w:val="20"/>
    </w:rPr>
  </w:style>
  <w:style w:type="paragraph" w:styleId="20">
    <w:name w:val="Body Text First Indent"/>
    <w:basedOn w:val="9"/>
    <w:qFormat/>
    <w:uiPriority w:val="0"/>
    <w:pPr>
      <w:spacing w:after="120" w:line="240" w:lineRule="auto"/>
      <w:ind w:firstLine="420" w:firstLineChars="100"/>
    </w:pPr>
    <w:rPr>
      <w:sz w:val="21"/>
    </w:rPr>
  </w:style>
  <w:style w:type="table" w:styleId="22">
    <w:name w:val="Table Grid"/>
    <w:basedOn w:val="2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qFormat/>
    <w:uiPriority w:val="0"/>
    <w:rPr>
      <w:b/>
      <w:bCs/>
    </w:rPr>
  </w:style>
  <w:style w:type="character" w:styleId="25">
    <w:name w:val="page number"/>
    <w:basedOn w:val="23"/>
    <w:qFormat/>
    <w:uiPriority w:val="0"/>
  </w:style>
  <w:style w:type="character" w:styleId="26">
    <w:name w:val="Hyperlink"/>
    <w:basedOn w:val="23"/>
    <w:qFormat/>
    <w:uiPriority w:val="0"/>
    <w:rPr>
      <w:color w:val="0000FF"/>
      <w:u w:val="single"/>
    </w:rPr>
  </w:style>
  <w:style w:type="character" w:styleId="27">
    <w:name w:val="annotation reference"/>
    <w:basedOn w:val="23"/>
    <w:qFormat/>
    <w:uiPriority w:val="0"/>
    <w:rPr>
      <w:sz w:val="21"/>
      <w:szCs w:val="21"/>
    </w:rPr>
  </w:style>
  <w:style w:type="paragraph" w:customStyle="1" w:styleId="28">
    <w:name w:val="a广元表格"/>
    <w:basedOn w:val="1"/>
    <w:qFormat/>
    <w:uiPriority w:val="0"/>
    <w:pPr>
      <w:widowControl/>
      <w:overflowPunct w:val="0"/>
      <w:topLinePunct/>
      <w:jc w:val="center"/>
    </w:pPr>
    <w:rPr>
      <w:rFonts w:eastAsia="仿宋_GB2312"/>
      <w:kern w:val="0"/>
      <w:szCs w:val="18"/>
    </w:rPr>
  </w:style>
  <w:style w:type="paragraph" w:customStyle="1" w:styleId="29">
    <w:name w:val="a广元正文"/>
    <w:basedOn w:val="1"/>
    <w:qFormat/>
    <w:uiPriority w:val="0"/>
    <w:pPr>
      <w:topLinePunct/>
      <w:spacing w:line="360" w:lineRule="auto"/>
      <w:ind w:firstLine="200" w:firstLineChars="200"/>
    </w:pPr>
    <w:rPr>
      <w:rFonts w:eastAsia="仿宋"/>
      <w:sz w:val="28"/>
      <w:szCs w:val="28"/>
    </w:rPr>
  </w:style>
  <w:style w:type="paragraph" w:customStyle="1" w:styleId="30">
    <w:name w:val="a广元表/图头"/>
    <w:basedOn w:val="6"/>
    <w:qFormat/>
    <w:uiPriority w:val="0"/>
    <w:pPr>
      <w:overflowPunct w:val="0"/>
      <w:topLinePunct/>
      <w:spacing w:line="360" w:lineRule="auto"/>
    </w:pPr>
    <w:rPr>
      <w:rFonts w:eastAsia="仿宋_GB2312"/>
      <w:b/>
      <w:sz w:val="24"/>
      <w:szCs w:val="24"/>
    </w:rPr>
  </w:style>
  <w:style w:type="paragraph" w:customStyle="1" w:styleId="31">
    <w:name w:val="Default"/>
    <w:next w:val="32"/>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2">
    <w:name w:val="样式1"/>
    <w:basedOn w:val="15"/>
    <w:next w:val="1"/>
    <w:qFormat/>
    <w:uiPriority w:val="0"/>
    <w:pPr>
      <w:spacing w:line="360" w:lineRule="auto"/>
      <w:ind w:firstLine="425"/>
    </w:pPr>
    <w:rPr>
      <w:kern w:val="44"/>
    </w:rPr>
  </w:style>
  <w:style w:type="paragraph" w:customStyle="1" w:styleId="33">
    <w:name w:val="表格"/>
    <w:basedOn w:val="1"/>
    <w:next w:val="1"/>
    <w:qFormat/>
    <w:uiPriority w:val="0"/>
    <w:pPr>
      <w:adjustRightInd w:val="0"/>
      <w:snapToGrid w:val="0"/>
      <w:spacing w:beforeLines="10" w:afterLines="10" w:line="259" w:lineRule="auto"/>
      <w:jc w:val="center"/>
    </w:pPr>
    <w:rPr>
      <w:rFonts w:ascii="宋体"/>
      <w:kern w:val="0"/>
      <w:szCs w:val="20"/>
    </w:rPr>
  </w:style>
  <w:style w:type="paragraph" w:styleId="34">
    <w:name w:val="List Paragraph"/>
    <w:basedOn w:val="1"/>
    <w:qFormat/>
    <w:uiPriority w:val="34"/>
    <w:pPr>
      <w:ind w:firstLine="420" w:firstLineChars="200"/>
    </w:pPr>
  </w:style>
  <w:style w:type="paragraph" w:customStyle="1" w:styleId="35">
    <w:name w:val="报告表格"/>
    <w:basedOn w:val="1"/>
    <w:qFormat/>
    <w:uiPriority w:val="0"/>
    <w:pPr>
      <w:autoSpaceDE w:val="0"/>
      <w:autoSpaceDN w:val="0"/>
      <w:adjustRightInd w:val="0"/>
      <w:spacing w:before="40" w:after="40"/>
      <w:jc w:val="center"/>
      <w:textAlignment w:val="bottom"/>
    </w:pPr>
    <w:rPr>
      <w:kern w:val="0"/>
      <w:szCs w:val="20"/>
    </w:rPr>
  </w:style>
  <w:style w:type="paragraph" w:customStyle="1" w:styleId="36">
    <w:name w:val="表"/>
    <w:basedOn w:val="1"/>
    <w:qFormat/>
    <w:uiPriority w:val="0"/>
    <w:pPr>
      <w:spacing w:line="320" w:lineRule="atLeast"/>
      <w:jc w:val="center"/>
    </w:pPr>
    <w:rPr>
      <w:szCs w:val="20"/>
    </w:rPr>
  </w:style>
  <w:style w:type="paragraph" w:customStyle="1" w:styleId="37">
    <w:name w:val="表格文字2"/>
    <w:basedOn w:val="38"/>
    <w:qFormat/>
    <w:uiPriority w:val="0"/>
    <w:pPr>
      <w:adjustRightInd w:val="0"/>
      <w:textAlignment w:val="baseline"/>
    </w:pPr>
    <w:rPr>
      <w:rFonts w:ascii="宋体"/>
      <w:sz w:val="24"/>
      <w:szCs w:val="20"/>
    </w:rPr>
  </w:style>
  <w:style w:type="paragraph" w:customStyle="1" w:styleId="38">
    <w:name w:val="表格文字"/>
    <w:basedOn w:val="20"/>
    <w:next w:val="1"/>
    <w:qFormat/>
    <w:uiPriority w:val="0"/>
    <w:pPr>
      <w:spacing w:line="400" w:lineRule="exact"/>
      <w:jc w:val="center"/>
    </w:pPr>
    <w:rPr>
      <w:szCs w:val="21"/>
    </w:rPr>
  </w:style>
  <w:style w:type="paragraph" w:customStyle="1" w:styleId="39">
    <w:name w:val="表头图尾"/>
    <w:basedOn w:val="1"/>
    <w:qFormat/>
    <w:uiPriority w:val="0"/>
    <w:pPr>
      <w:jc w:val="center"/>
    </w:pPr>
    <w:rPr>
      <w:b/>
    </w:rPr>
  </w:style>
  <w:style w:type="paragraph" w:customStyle="1" w:styleId="40">
    <w:name w:val="C表格"/>
    <w:basedOn w:val="1"/>
    <w:next w:val="41"/>
    <w:qFormat/>
    <w:uiPriority w:val="0"/>
    <w:pPr>
      <w:widowControl/>
      <w:spacing w:line="360" w:lineRule="auto"/>
      <w:ind w:firstLine="480" w:firstLineChars="200"/>
      <w:contextualSpacing/>
      <w:jc w:val="center"/>
    </w:pPr>
    <w:rPr>
      <w:rFonts w:eastAsia="黑体"/>
      <w:sz w:val="24"/>
      <w:szCs w:val="20"/>
    </w:rPr>
  </w:style>
  <w:style w:type="paragraph" w:customStyle="1" w:styleId="41">
    <w:name w:val="C正文"/>
    <w:basedOn w:val="1"/>
    <w:qFormat/>
    <w:uiPriority w:val="0"/>
    <w:pPr>
      <w:widowControl/>
      <w:spacing w:line="360" w:lineRule="auto"/>
      <w:ind w:firstLine="200" w:firstLineChars="200"/>
      <w:contextualSpacing/>
      <w:jc w:val="left"/>
    </w:pPr>
    <w:rPr>
      <w:sz w:val="24"/>
      <w:szCs w:val="20"/>
    </w:rPr>
  </w:style>
  <w:style w:type="character" w:customStyle="1" w:styleId="42">
    <w:name w:val="样式 样式 标题2 + Char Char"/>
    <w:basedOn w:val="23"/>
    <w:link w:val="43"/>
    <w:qFormat/>
    <w:uiPriority w:val="0"/>
    <w:rPr>
      <w:rFonts w:cs="宋体"/>
      <w:b/>
      <w:bCs/>
      <w:sz w:val="28"/>
      <w:szCs w:val="20"/>
    </w:rPr>
  </w:style>
  <w:style w:type="paragraph" w:customStyle="1" w:styleId="43">
    <w:name w:val="样式 样式 标题2 +"/>
    <w:basedOn w:val="1"/>
    <w:link w:val="42"/>
    <w:qFormat/>
    <w:uiPriority w:val="0"/>
    <w:pPr>
      <w:keepNext/>
      <w:keepLines/>
      <w:tabs>
        <w:tab w:val="left" w:pos="360"/>
      </w:tabs>
      <w:ind w:hanging="360"/>
      <w:jc w:val="left"/>
      <w:textAlignment w:val="baseline"/>
      <w:outlineLvl w:val="1"/>
    </w:pPr>
    <w:rPr>
      <w:rFonts w:cs="宋体"/>
      <w:b/>
      <w:bCs/>
      <w:sz w:val="28"/>
      <w:szCs w:val="20"/>
    </w:rPr>
  </w:style>
  <w:style w:type="character" w:customStyle="1" w:styleId="44">
    <w:name w:val="页眉 Char"/>
    <w:basedOn w:val="23"/>
    <w:link w:val="14"/>
    <w:qFormat/>
    <w:uiPriority w:val="0"/>
    <w:rPr>
      <w:kern w:val="2"/>
      <w:sz w:val="18"/>
      <w:szCs w:val="18"/>
    </w:rPr>
  </w:style>
  <w:style w:type="character" w:customStyle="1" w:styleId="45">
    <w:name w:val="批注框文本 Char"/>
    <w:basedOn w:val="23"/>
    <w:link w:val="12"/>
    <w:qFormat/>
    <w:uiPriority w:val="0"/>
    <w:rPr>
      <w:kern w:val="2"/>
      <w:sz w:val="18"/>
      <w:szCs w:val="18"/>
    </w:rPr>
  </w:style>
  <w:style w:type="paragraph" w:customStyle="1" w:styleId="46">
    <w:name w:val="Normal_0_0"/>
    <w:qFormat/>
    <w:uiPriority w:val="0"/>
    <w:pPr>
      <w:widowControl w:val="0"/>
      <w:spacing w:line="360" w:lineRule="auto"/>
      <w:ind w:firstLine="200" w:firstLineChars="200"/>
      <w:jc w:val="both"/>
    </w:pPr>
    <w:rPr>
      <w:rFonts w:ascii="Times New Roman" w:hAnsi="Times New Roman" w:eastAsia="仿宋" w:cs="Times New Roman"/>
      <w:kern w:val="2"/>
      <w:sz w:val="28"/>
      <w:szCs w:val="21"/>
    </w:rPr>
  </w:style>
  <w:style w:type="table" w:customStyle="1" w:styleId="47">
    <w:name w:val="Table Grid_0"/>
    <w:basedOn w:val="21"/>
    <w:qFormat/>
    <w:uiPriority w:val="0"/>
    <w:rPr>
      <w:rFonts w:ascii="Times New Roman" w:hAnsi="Times New Roman" w:eastAsia="仿宋"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正文-欣欣"/>
    <w:basedOn w:val="1"/>
    <w:qFormat/>
    <w:uiPriority w:val="0"/>
    <w:pPr>
      <w:spacing w:line="240" w:lineRule="auto"/>
    </w:pPr>
    <w:rPr>
      <w:rFonts w:ascii="Calibri" w:hAnsi="Calibri" w:eastAsia="宋体" w:cs="Courier New"/>
      <w:sz w:val="21"/>
      <w:szCs w:val="21"/>
    </w:rPr>
  </w:style>
  <w:style w:type="paragraph" w:customStyle="1" w:styleId="49">
    <w:name w:val="Body Text First Indent 21"/>
    <w:basedOn w:val="50"/>
    <w:next w:val="51"/>
    <w:qFormat/>
    <w:uiPriority w:val="0"/>
    <w:pPr>
      <w:jc w:val="left"/>
    </w:pPr>
    <w:rPr>
      <w:szCs w:val="24"/>
    </w:rPr>
  </w:style>
  <w:style w:type="paragraph" w:customStyle="1" w:styleId="50">
    <w:name w:val="Body Text Indent1"/>
    <w:basedOn w:val="1"/>
    <w:qFormat/>
    <w:uiPriority w:val="0"/>
    <w:pPr>
      <w:spacing w:line="360" w:lineRule="auto"/>
      <w:ind w:firstLine="480" w:firstLineChars="200"/>
    </w:pPr>
    <w:rPr>
      <w:bCs/>
      <w:sz w:val="24"/>
      <w:szCs w:val="20"/>
    </w:rPr>
  </w:style>
  <w:style w:type="paragraph" w:customStyle="1" w:styleId="51">
    <w:name w:val="+正文"/>
    <w:basedOn w:val="1"/>
    <w:qFormat/>
    <w:uiPriority w:val="0"/>
    <w:pPr>
      <w:spacing w:line="360" w:lineRule="auto"/>
      <w:ind w:firstLine="200" w:firstLineChars="200"/>
    </w:pPr>
    <w:rPr>
      <w:sz w:val="24"/>
      <w:szCs w:val="28"/>
    </w:rPr>
  </w:style>
  <w:style w:type="paragraph" w:customStyle="1" w:styleId="52">
    <w:name w:val="我的正文"/>
    <w:basedOn w:val="1"/>
    <w:qFormat/>
    <w:uiPriority w:val="0"/>
    <w:pPr>
      <w:widowControl/>
      <w:kinsoku w:val="0"/>
      <w:overflowPunct w:val="0"/>
      <w:autoSpaceDE w:val="0"/>
      <w:autoSpaceDN w:val="0"/>
      <w:spacing w:line="360" w:lineRule="auto"/>
      <w:ind w:firstLine="200" w:firstLineChars="200"/>
    </w:pPr>
    <w:rPr>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66</Pages>
  <Words>40198</Words>
  <Characters>43166</Characters>
  <Lines>281</Lines>
  <Paragraphs>79</Paragraphs>
  <TotalTime>26</TotalTime>
  <ScaleCrop>false</ScaleCrop>
  <LinksUpToDate>false</LinksUpToDate>
  <CharactersWithSpaces>44122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2021-07-30T09:00:00Z</dcterms:created>
  <dc:creator>欢</dc:creator>
  <cp:lastModifiedBy>hp</cp:lastModifiedBy>
  <dcterms:modified xsi:type="dcterms:W3CDTF">2023-07-19T03:06:01Z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21EA21574E224EC2B773791BB87DD2CD_13</vt:lpwstr>
  </property>
</Properties>
</file>