
<file path=[Content_Types].xml><?xml version="1.0" encoding="utf-8"?>
<Types xmlns="http://schemas.openxmlformats.org/package/2006/content-types">
  <Default Extension="xml" ContentType="application/xml"/>
  <Default Extension="xlsx" ContentType="application/vnd.openxmlformats-officedocument.spreadsheetml.sheet"/>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document.xml" ContentType="application/vnd.openxmlformats-officedocument.wordprocessingml.document.main+xml"/>
  <Override PartName="/word/drawings/drawing1.xml" ContentType="application/vnd.openxmlformats-officedocument.drawingml.chartshap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1920" w:lineRule="auto"/>
        <w:jc w:val="center"/>
        <w:rPr>
          <w:rFonts w:ascii="黑体" w:hAnsi="黑体" w:eastAsia="黑体" w:cs="黑体"/>
          <w:sz w:val="72"/>
          <w:szCs w:val="72"/>
        </w:rPr>
      </w:pPr>
      <w:bookmarkStart w:id="0" w:name="_Toc323"/>
      <w:bookmarkStart w:id="1" w:name="_Toc15306267"/>
      <w:bookmarkStart w:id="2" w:name="_Toc15396597"/>
      <w:bookmarkStart w:id="3" w:name="_Toc15378441"/>
      <w:bookmarkStart w:id="4" w:name="_Toc15396475"/>
      <w:bookmarkStart w:id="5" w:name="_Toc15377193"/>
      <w:bookmarkStart w:id="6" w:name="_Toc15377425"/>
    </w:p>
    <w:p>
      <w:pPr>
        <w:keepNext w:val="0"/>
        <w:keepLines w:val="0"/>
        <w:pageBreakBefore w:val="0"/>
        <w:widowControl w:val="0"/>
        <w:kinsoku/>
        <w:wordWrap/>
        <w:overflowPunct/>
        <w:topLinePunct w:val="0"/>
        <w:autoSpaceDE/>
        <w:autoSpaceDN/>
        <w:bidi w:val="0"/>
        <w:adjustRightInd/>
        <w:snapToGrid/>
        <w:spacing w:line="1000" w:lineRule="exact"/>
        <w:jc w:val="center"/>
        <w:textAlignment w:val="auto"/>
        <w:rPr>
          <w:rFonts w:hint="eastAsia" w:ascii="方正小标宋简体" w:hAnsi="方正小标宋简体" w:eastAsia="方正小标宋简体" w:cs="方正小标宋简体"/>
          <w:sz w:val="72"/>
          <w:szCs w:val="72"/>
        </w:rPr>
      </w:pPr>
      <w:r>
        <w:rPr>
          <w:rFonts w:hint="eastAsia" w:ascii="方正小标宋简体" w:hAnsi="方正小标宋简体" w:eastAsia="方正小标宋简体" w:cs="方正小标宋简体"/>
          <w:sz w:val="72"/>
          <w:szCs w:val="72"/>
        </w:rPr>
        <w:t>2021年度</w:t>
      </w:r>
      <w:bookmarkEnd w:id="0"/>
      <w:bookmarkEnd w:id="1"/>
      <w:bookmarkEnd w:id="2"/>
      <w:bookmarkEnd w:id="3"/>
      <w:bookmarkEnd w:id="4"/>
      <w:bookmarkEnd w:id="5"/>
      <w:bookmarkEnd w:id="6"/>
      <w:bookmarkStart w:id="7" w:name="_Toc3350"/>
      <w:bookmarkStart w:id="8" w:name="_Toc15378442"/>
      <w:bookmarkStart w:id="9" w:name="_Toc15306268"/>
      <w:bookmarkStart w:id="10" w:name="_Toc15396598"/>
      <w:bookmarkStart w:id="11" w:name="_Toc15396476"/>
      <w:bookmarkStart w:id="12" w:name="_Toc15377194"/>
      <w:bookmarkStart w:id="13" w:name="_Toc15377426"/>
      <w:r>
        <w:rPr>
          <w:rFonts w:hint="eastAsia" w:ascii="方正小标宋简体" w:hAnsi="方正小标宋简体" w:eastAsia="方正小标宋简体" w:cs="方正小标宋简体"/>
          <w:sz w:val="72"/>
          <w:szCs w:val="72"/>
        </w:rPr>
        <w:t>苍溪县</w:t>
      </w:r>
    </w:p>
    <w:p>
      <w:pPr>
        <w:keepNext w:val="0"/>
        <w:keepLines w:val="0"/>
        <w:pageBreakBefore w:val="0"/>
        <w:widowControl w:val="0"/>
        <w:kinsoku/>
        <w:wordWrap/>
        <w:overflowPunct/>
        <w:topLinePunct w:val="0"/>
        <w:autoSpaceDE/>
        <w:autoSpaceDN/>
        <w:bidi w:val="0"/>
        <w:adjustRightInd/>
        <w:snapToGrid/>
        <w:spacing w:line="1000" w:lineRule="exact"/>
        <w:jc w:val="center"/>
        <w:textAlignment w:val="auto"/>
        <w:rPr>
          <w:rFonts w:hint="eastAsia" w:ascii="方正小标宋简体" w:hAnsi="方正小标宋简体" w:eastAsia="方正小标宋简体" w:cs="方正小标宋简体"/>
          <w:sz w:val="72"/>
          <w:szCs w:val="72"/>
        </w:rPr>
      </w:pPr>
      <w:r>
        <w:rPr>
          <w:rFonts w:hint="eastAsia" w:ascii="方正小标宋简体" w:hAnsi="方正小标宋简体" w:eastAsia="方正小标宋简体" w:cs="方正小标宋简体"/>
          <w:sz w:val="72"/>
          <w:szCs w:val="72"/>
        </w:rPr>
        <w:t>运山镇人民政府</w:t>
      </w:r>
      <w:bookmarkEnd w:id="7"/>
      <w:bookmarkStart w:id="14" w:name="_Toc23595"/>
      <w:r>
        <w:rPr>
          <w:rFonts w:hint="eastAsia" w:ascii="方正小标宋简体" w:hAnsi="方正小标宋简体" w:eastAsia="方正小标宋简体" w:cs="方正小标宋简体"/>
          <w:sz w:val="72"/>
          <w:szCs w:val="72"/>
        </w:rPr>
        <w:t>部门决算</w:t>
      </w:r>
      <w:bookmarkEnd w:id="8"/>
      <w:bookmarkEnd w:id="9"/>
      <w:bookmarkEnd w:id="10"/>
      <w:bookmarkEnd w:id="11"/>
      <w:bookmarkEnd w:id="12"/>
      <w:bookmarkEnd w:id="13"/>
      <w:bookmarkEnd w:id="14"/>
    </w:p>
    <w:p>
      <w:pPr>
        <w:spacing w:line="576" w:lineRule="exact"/>
        <w:ind w:firstLine="640" w:firstLineChars="200"/>
        <w:rPr>
          <w:rFonts w:ascii="方正仿宋_GBK" w:hAnsi="方正仿宋_GBK" w:eastAsia="方正仿宋_GBK" w:cs="方正仿宋_GBK"/>
          <w:szCs w:val="32"/>
        </w:rPr>
      </w:pPr>
    </w:p>
    <w:p>
      <w:pPr>
        <w:pStyle w:val="2"/>
        <w:rPr>
          <w:rFonts w:ascii="方正仿宋_GBK" w:hAnsi="方正仿宋_GBK" w:eastAsia="方正仿宋_GBK" w:cs="方正仿宋_GBK"/>
          <w:sz w:val="32"/>
          <w:szCs w:val="32"/>
        </w:rPr>
      </w:pPr>
    </w:p>
    <w:p>
      <w:pPr>
        <w:pStyle w:val="2"/>
        <w:rPr>
          <w:rFonts w:ascii="方正仿宋_GBK" w:hAnsi="方正仿宋_GBK" w:eastAsia="方正仿宋_GBK" w:cs="方正仿宋_GBK"/>
          <w:sz w:val="32"/>
          <w:szCs w:val="32"/>
        </w:rPr>
      </w:pPr>
    </w:p>
    <w:p>
      <w:pPr>
        <w:pStyle w:val="2"/>
        <w:rPr>
          <w:rFonts w:ascii="方正仿宋_GBK" w:hAnsi="方正仿宋_GBK" w:eastAsia="方正仿宋_GBK" w:cs="方正仿宋_GBK"/>
          <w:sz w:val="32"/>
          <w:szCs w:val="32"/>
        </w:rPr>
      </w:pPr>
    </w:p>
    <w:p>
      <w:pPr>
        <w:pStyle w:val="2"/>
        <w:rPr>
          <w:rFonts w:ascii="方正仿宋_GBK" w:hAnsi="方正仿宋_GBK" w:eastAsia="方正仿宋_GBK" w:cs="方正仿宋_GBK"/>
          <w:sz w:val="32"/>
          <w:szCs w:val="32"/>
        </w:rPr>
      </w:pPr>
    </w:p>
    <w:p>
      <w:pPr>
        <w:pStyle w:val="2"/>
        <w:rPr>
          <w:rFonts w:ascii="方正仿宋_GBK" w:hAnsi="方正仿宋_GBK" w:eastAsia="方正仿宋_GBK" w:cs="方正仿宋_GBK"/>
          <w:sz w:val="32"/>
          <w:szCs w:val="32"/>
        </w:rPr>
      </w:pPr>
    </w:p>
    <w:sdt>
      <w:sdtPr>
        <w:rPr>
          <w:rFonts w:ascii="宋体" w:hAnsi="宋体" w:eastAsia="宋体"/>
          <w:sz w:val="21"/>
        </w:rPr>
        <w:id w:val="147471021"/>
        <w:docPartObj>
          <w:docPartGallery w:val="Table of Contents"/>
          <w:docPartUnique/>
        </w:docPartObj>
      </w:sdtPr>
      <w:sdtEndPr>
        <w:rPr>
          <w:rFonts w:hint="eastAsia" w:ascii="方正仿宋_GBK" w:hAnsi="方正仿宋_GBK" w:eastAsia="方正仿宋_GBK" w:cs="方正仿宋_GBK"/>
          <w:sz w:val="21"/>
          <w:szCs w:val="32"/>
        </w:rPr>
      </w:sdtEndPr>
      <w:sdtContent>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宋体" w:hAnsi="宋体" w:eastAsia="宋体"/>
              <w:sz w:val="21"/>
            </w:rPr>
          </w:pPr>
        </w:p>
        <w:p>
          <w:pPr>
            <w:jc w:val="center"/>
            <w:rPr>
              <w:rFonts w:ascii="黑体" w:hAnsi="黑体" w:eastAsia="黑体" w:cs="黑体"/>
              <w:b/>
              <w:bCs/>
              <w:sz w:val="36"/>
              <w:szCs w:val="44"/>
            </w:rPr>
          </w:pPr>
          <w:r>
            <w:rPr>
              <w:rFonts w:hint="eastAsia" w:ascii="黑体" w:hAnsi="黑体" w:eastAsia="黑体" w:cs="黑体"/>
              <w:b/>
              <w:bCs/>
              <w:sz w:val="36"/>
              <w:szCs w:val="44"/>
            </w:rPr>
            <w:t>目</w:t>
          </w:r>
          <w:r>
            <w:rPr>
              <w:rFonts w:hint="eastAsia" w:ascii="黑体" w:hAnsi="黑体" w:eastAsia="黑体" w:cs="黑体"/>
              <w:b/>
              <w:bCs/>
              <w:sz w:val="36"/>
              <w:szCs w:val="44"/>
              <w:lang w:val="en-US" w:eastAsia="zh-CN"/>
            </w:rPr>
            <w:t xml:space="preserve">  </w:t>
          </w:r>
          <w:r>
            <w:rPr>
              <w:rFonts w:hint="eastAsia" w:ascii="黑体" w:hAnsi="黑体" w:eastAsia="黑体" w:cs="黑体"/>
              <w:b/>
              <w:bCs/>
              <w:sz w:val="36"/>
              <w:szCs w:val="44"/>
            </w:rPr>
            <w:t>录</w:t>
          </w:r>
        </w:p>
        <w:p>
          <w:pPr>
            <w:pStyle w:val="2"/>
          </w:pPr>
        </w:p>
        <w:p>
          <w:pPr>
            <w:pStyle w:val="2"/>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公开时间：2022年9月23日</w:t>
          </w:r>
        </w:p>
        <w:p>
          <w:pPr>
            <w:pStyle w:val="11"/>
            <w:tabs>
              <w:tab w:val="right" w:leader="dot" w:pos="8306"/>
              <w:tab w:val="clear" w:pos="8296"/>
            </w:tabs>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TOC \o "1-3" \h \u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"_Toc28780"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第一部分 部门概况</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_Toc28780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"_Toc3717"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一、基本职能及主要工作</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_Toc3717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"_Toc20944"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（一）主要职能。</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_Toc20944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"_Toc25243"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（二）2021年重点工作完成情况。</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_Toc25243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"_Toc17889"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二、机构设置</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_Toc17889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7</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1"/>
            <w:tabs>
              <w:tab w:val="right" w:leader="dot" w:pos="8306"/>
              <w:tab w:val="clear" w:pos="8296"/>
            </w:tabs>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"_Toc10762"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第二部分 2021年度部门决算情况说明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_Toc10762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8</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"_Toc9936"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一、收入支出决算总体情况说明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_Toc9936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8</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"_Toc31536"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二、收入决算情况说明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_Toc31536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8</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"_Toc2725"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三、支出决算情况说明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_Toc2725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9</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"_Toc12406"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四、财政拨款收入支出决算总体情况说明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_Toc12406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10</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"_Toc5288"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五、一般公共预算财政拨款支出决算情况说明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_Toc5288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10</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"_Toc12438"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（一）一般公共预算财政拨款支出决算总体情况</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_Toc12438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10</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"_Toc26347"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（二）一般公共预算财政拨款支出决算结构情况</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_Toc26347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11</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"_Toc14972"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（三）一般公共预算财政拨款支出决算具体情况</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_Toc14972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"_Toc23884"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六、一般公共预算财政拨款基本支出决算情况说明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_Toc23884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15</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"_Toc22719"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七、“三公”经费财政拨款支出决算情况说明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_Toc22719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15</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"_Toc17773"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（一）“三公”经费财政拨款支出决算总体情况说明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_Toc17773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15</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"_Toc575"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（二）“三公”经费财政拨款支出决算具体情况说明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_Toc575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15</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"_Toc9066"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八、政府性基金预算支出决算情况说明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_Toc9066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17</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"_Toc22644"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九、国有资本经营预算支出决算情况说明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_Toc22644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17</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"_Toc20832"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十、其他重要事项的情况说明</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_Toc20832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17</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"_Toc14703"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（一）机关运行经费支出情况</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_Toc14703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17</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"_Toc30715"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（二）政府采购支出情况</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_Toc30715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17</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"_Toc19098"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（三）国有资产占有使用情况</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_Toc19098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17</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"_Toc4263"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（四）预算绩效管理情况</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_Toc4263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18</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1"/>
            <w:tabs>
              <w:tab w:val="right" w:leader="dot" w:pos="8306"/>
              <w:tab w:val="clear" w:pos="8296"/>
            </w:tabs>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"_Toc2741"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第三部分 名词解释</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_Toc2741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26</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1"/>
            <w:tabs>
              <w:tab w:val="right" w:leader="dot" w:pos="8306"/>
              <w:tab w:val="clear" w:pos="8296"/>
            </w:tabs>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"_Toc26137"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第四部分 附件</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_Toc26137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29</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"_Toc11443"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附件1</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_Toc11443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29</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2"/>
            <w:tabs>
              <w:tab w:val="right" w:leader="dot" w:pos="8306"/>
              <w:tab w:val="clear" w:pos="8296"/>
            </w:tabs>
            <w:ind w:left="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"_Toc28231"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lang w:val="zh-CN"/>
            </w:rPr>
            <w:t>附件</w:t>
          </w:r>
          <w:r>
            <w:rPr>
              <w:rFonts w:hint="eastAsia" w:ascii="仿宋_GB2312" w:hAnsi="仿宋_GB2312" w:eastAsia="仿宋_GB2312" w:cs="仿宋_GB2312"/>
              <w:sz w:val="32"/>
              <w:szCs w:val="32"/>
            </w:rPr>
            <w:t>2</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_Toc28231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35</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11"/>
            <w:tabs>
              <w:tab w:val="right" w:leader="dot" w:pos="8306"/>
              <w:tab w:val="clear" w:pos="8296"/>
            </w:tabs>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"_Toc19026"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第五部分 附表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_Toc19026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"_Toc28944"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一、收入支出决算总表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_Toc28944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"_Toc13480"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二、收入决算表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_Toc13480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"_Toc18715"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三、支出决算表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_Toc18715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"_Toc6659"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四、财政拨款收入支出决算总表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_Toc6659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"_Toc14519"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五、财政拨款支出决算明细表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_Toc14519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"_Toc13253"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六、一般公共预算财政拨款支出决算表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_Toc13253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"_Toc23241"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七、一般公共预算财政拨款支出决算明细表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_Toc23241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"_Toc1063"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八、一般公共预算财政拨款基本支出决算表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_Toc1063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"_Toc14337"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九、一般公共预算财政拨款项目支出决算表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_Toc14337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"_Toc11013"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十、一般公共预算财政拨款“三公”经费支出决算表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_Toc11013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"_Toc2804"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十一、政府性基金预算财政拨款收入支出决算表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_Toc2804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"_Toc21027"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十二、政府性基金预算财政拨款“三公”经费支出决算表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_Toc21027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"_Toc20943"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十三、国有资本经营预算财政拨款收入支出决算表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_Toc20943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pStyle w:val="7"/>
            <w:tabs>
              <w:tab w:val="right" w:leader="dot" w:pos="8306"/>
              <w:tab w:val="clear" w:pos="8296"/>
            </w:tabs>
            <w:ind w:left="128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HYPERLINK \l "_Toc29840"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十四、国有资本经营预算财政拨款支出决算表</w:t>
          </w:r>
          <w:r>
            <w:rPr>
              <w:rFonts w:hint="eastAsia" w:ascii="仿宋_GB2312" w:hAnsi="仿宋_GB2312" w:eastAsia="仿宋_GB2312" w:cs="仿宋_GB2312"/>
              <w:sz w:val="32"/>
              <w:szCs w:val="32"/>
            </w:rPr>
            <w:tab/>
          </w:r>
          <w:r>
            <w:rPr>
              <w:rFonts w:hint="eastAsia" w:ascii="仿宋_GB2312" w:hAnsi="仿宋_GB2312" w:eastAsia="仿宋_GB2312" w:cs="仿宋_GB2312"/>
              <w:sz w:val="32"/>
              <w:szCs w:val="32"/>
            </w:rPr>
            <w:fldChar w:fldCharType="begin"/>
          </w:r>
          <w:r>
            <w:rPr>
              <w:rFonts w:hint="eastAsia" w:ascii="仿宋_GB2312" w:hAnsi="仿宋_GB2312" w:eastAsia="仿宋_GB2312" w:cs="仿宋_GB2312"/>
              <w:sz w:val="32"/>
              <w:szCs w:val="32"/>
            </w:rPr>
            <w:instrText xml:space="preserve"> PAGEREF _Toc29840 \h </w:instrText>
          </w:r>
          <w:r>
            <w:rPr>
              <w:rFonts w:hint="eastAsia" w:ascii="仿宋_GB2312" w:hAnsi="仿宋_GB2312" w:eastAsia="仿宋_GB2312" w:cs="仿宋_GB2312"/>
              <w:sz w:val="32"/>
              <w:szCs w:val="32"/>
            </w:rPr>
            <w:fldChar w:fldCharType="separate"/>
          </w:r>
          <w:r>
            <w:rPr>
              <w:rFonts w:hint="eastAsia" w:ascii="仿宋_GB2312" w:hAnsi="仿宋_GB2312" w:eastAsia="仿宋_GB2312" w:cs="仿宋_GB2312"/>
              <w:sz w:val="32"/>
              <w:szCs w:val="32"/>
            </w:rPr>
            <w:t>52</w:t>
          </w:r>
          <w:r>
            <w:rPr>
              <w:rFonts w:hint="eastAsia" w:ascii="仿宋_GB2312" w:hAnsi="仿宋_GB2312" w:eastAsia="仿宋_GB2312" w:cs="仿宋_GB2312"/>
              <w:sz w:val="32"/>
              <w:szCs w:val="32"/>
            </w:rPr>
            <w:fldChar w:fldCharType="end"/>
          </w:r>
          <w:r>
            <w:rPr>
              <w:rFonts w:hint="eastAsia" w:ascii="仿宋_GB2312" w:hAnsi="仿宋_GB2312" w:eastAsia="仿宋_GB2312" w:cs="仿宋_GB2312"/>
              <w:sz w:val="32"/>
              <w:szCs w:val="32"/>
            </w:rPr>
            <w:fldChar w:fldCharType="end"/>
          </w:r>
        </w:p>
        <w:p>
          <w:pPr>
            <w:spacing w:line="576" w:lineRule="exact"/>
            <w:rPr>
              <w:rFonts w:ascii="方正仿宋_GBK" w:hAnsi="方正仿宋_GBK" w:eastAsia="方正仿宋_GBK" w:cs="方正仿宋_GBK"/>
              <w:szCs w:val="32"/>
            </w:rPr>
          </w:pPr>
          <w:r>
            <w:rPr>
              <w:rFonts w:hint="eastAsia" w:ascii="仿宋_GB2312" w:hAnsi="仿宋_GB2312" w:eastAsia="仿宋_GB2312" w:cs="仿宋_GB2312"/>
              <w:sz w:val="32"/>
              <w:szCs w:val="32"/>
            </w:rPr>
            <w:fldChar w:fldCharType="end"/>
          </w:r>
        </w:p>
      </w:sdtContent>
    </w:sdt>
    <w:p>
      <w:pPr>
        <w:spacing w:line="576" w:lineRule="exact"/>
        <w:ind w:firstLine="640" w:firstLineChars="200"/>
        <w:rPr>
          <w:rFonts w:ascii="方正仿宋_GBK" w:hAnsi="方正仿宋_GBK" w:eastAsia="方正仿宋_GBK" w:cs="方正仿宋_GBK"/>
          <w:szCs w:val="32"/>
        </w:rPr>
      </w:pPr>
    </w:p>
    <w:p>
      <w:pPr>
        <w:pStyle w:val="2"/>
        <w:rPr>
          <w:rFonts w:ascii="方正仿宋_GBK" w:hAnsi="方正仿宋_GBK" w:eastAsia="方正仿宋_GBK" w:cs="方正仿宋_GBK"/>
          <w:sz w:val="32"/>
          <w:szCs w:val="32"/>
        </w:rPr>
      </w:pPr>
    </w:p>
    <w:p>
      <w:pPr>
        <w:pStyle w:val="2"/>
        <w:rPr>
          <w:rFonts w:ascii="方正仿宋_GBK" w:hAnsi="方正仿宋_GBK" w:eastAsia="方正仿宋_GBK" w:cs="方正仿宋_GBK"/>
          <w:sz w:val="32"/>
          <w:szCs w:val="32"/>
        </w:rPr>
      </w:pPr>
    </w:p>
    <w:p>
      <w:pPr>
        <w:pStyle w:val="2"/>
        <w:rPr>
          <w:rFonts w:ascii="方正仿宋_GBK" w:hAnsi="方正仿宋_GBK" w:eastAsia="方正仿宋_GBK" w:cs="方正仿宋_GBK"/>
          <w:sz w:val="32"/>
          <w:szCs w:val="32"/>
        </w:rPr>
      </w:pPr>
    </w:p>
    <w:p>
      <w:pPr>
        <w:pStyle w:val="2"/>
        <w:rPr>
          <w:rFonts w:ascii="方正仿宋_GBK" w:hAnsi="方正仿宋_GBK" w:eastAsia="方正仿宋_GBK" w:cs="方正仿宋_GBK"/>
          <w:sz w:val="32"/>
          <w:szCs w:val="32"/>
        </w:rPr>
      </w:pPr>
    </w:p>
    <w:p>
      <w:pPr>
        <w:pStyle w:val="2"/>
        <w:rPr>
          <w:rFonts w:ascii="方正仿宋_GBK" w:hAnsi="方正仿宋_GBK" w:eastAsia="方正仿宋_GBK" w:cs="方正仿宋_GBK"/>
          <w:sz w:val="32"/>
          <w:szCs w:val="32"/>
        </w:rPr>
      </w:pPr>
    </w:p>
    <w:p>
      <w:pPr>
        <w:pStyle w:val="2"/>
        <w:rPr>
          <w:rFonts w:ascii="方正仿宋_GBK" w:hAnsi="方正仿宋_GBK" w:eastAsia="方正仿宋_GBK" w:cs="方正仿宋_GBK"/>
          <w:sz w:val="32"/>
          <w:szCs w:val="32"/>
        </w:rPr>
      </w:pPr>
    </w:p>
    <w:p>
      <w:pPr>
        <w:pStyle w:val="2"/>
        <w:rPr>
          <w:rFonts w:ascii="方正仿宋_GBK" w:hAnsi="方正仿宋_GBK" w:eastAsia="方正仿宋_GBK" w:cs="方正仿宋_GBK"/>
          <w:sz w:val="32"/>
          <w:szCs w:val="32"/>
        </w:rPr>
      </w:pPr>
    </w:p>
    <w:p>
      <w:pPr>
        <w:pStyle w:val="2"/>
        <w:rPr>
          <w:rFonts w:ascii="方正仿宋_GBK" w:hAnsi="方正仿宋_GBK" w:eastAsia="方正仿宋_GBK" w:cs="方正仿宋_GBK"/>
          <w:sz w:val="32"/>
          <w:szCs w:val="32"/>
        </w:rPr>
      </w:pPr>
    </w:p>
    <w:p>
      <w:pPr>
        <w:pStyle w:val="2"/>
        <w:rPr>
          <w:rFonts w:ascii="方正仿宋_GBK" w:hAnsi="方正仿宋_GBK" w:eastAsia="方正仿宋_GBK" w:cs="方正仿宋_GBK"/>
          <w:sz w:val="32"/>
          <w:szCs w:val="32"/>
        </w:rPr>
      </w:pPr>
    </w:p>
    <w:p>
      <w:pPr>
        <w:pStyle w:val="3"/>
        <w:pageBreakBefore w:val="0"/>
        <w:widowControl w:val="0"/>
        <w:kinsoku/>
        <w:wordWrap/>
        <w:topLinePunct w:val="0"/>
        <w:autoSpaceDE/>
        <w:autoSpaceDN/>
        <w:bidi w:val="0"/>
        <w:adjustRightInd/>
        <w:snapToGrid/>
        <w:spacing w:before="0" w:after="0" w:line="576" w:lineRule="exact"/>
        <w:textAlignment w:val="auto"/>
      </w:pPr>
      <w:bookmarkStart w:id="15" w:name="_Toc15396599"/>
      <w:bookmarkStart w:id="16" w:name="_Toc28780"/>
      <w:bookmarkStart w:id="17" w:name="_Toc15377196"/>
      <w:bookmarkStart w:id="18" w:name="_Toc18620"/>
      <w:bookmarkStart w:id="19" w:name="_Toc9586"/>
      <w:r>
        <w:rPr>
          <w:rFonts w:hint="eastAsia"/>
        </w:rPr>
        <w:t>第一部分 部门概况</w:t>
      </w:r>
      <w:bookmarkEnd w:id="15"/>
      <w:bookmarkEnd w:id="16"/>
      <w:bookmarkEnd w:id="17"/>
      <w:bookmarkEnd w:id="18"/>
      <w:bookmarkEnd w:id="19"/>
    </w:p>
    <w:p>
      <w:pPr>
        <w:pStyle w:val="4"/>
        <w:pageBreakBefore w:val="0"/>
        <w:widowControl w:val="0"/>
        <w:kinsoku/>
        <w:wordWrap/>
        <w:topLinePunct w:val="0"/>
        <w:autoSpaceDE/>
        <w:autoSpaceDN/>
        <w:bidi w:val="0"/>
        <w:adjustRightInd/>
        <w:snapToGrid/>
        <w:spacing w:before="0" w:after="0" w:line="576" w:lineRule="exact"/>
        <w:ind w:firstLine="640" w:firstLineChars="200"/>
        <w:textAlignment w:val="auto"/>
      </w:pPr>
      <w:bookmarkStart w:id="20" w:name="_Toc15396600"/>
      <w:bookmarkStart w:id="21" w:name="_Toc26233"/>
      <w:bookmarkStart w:id="22" w:name="_Toc15377197"/>
      <w:bookmarkStart w:id="23" w:name="_Toc3717"/>
      <w:bookmarkStart w:id="24" w:name="_Toc15226"/>
      <w:r>
        <w:rPr>
          <w:rFonts w:hint="eastAsia"/>
        </w:rPr>
        <w:t>一、基本职能及主要工作</w:t>
      </w:r>
      <w:bookmarkEnd w:id="20"/>
      <w:bookmarkEnd w:id="21"/>
      <w:bookmarkEnd w:id="22"/>
      <w:bookmarkEnd w:id="23"/>
      <w:bookmarkEnd w:id="24"/>
    </w:p>
    <w:p>
      <w:pPr>
        <w:pStyle w:val="5"/>
        <w:pageBreakBefore w:val="0"/>
        <w:widowControl w:val="0"/>
        <w:kinsoku/>
        <w:wordWrap/>
        <w:topLinePunct w:val="0"/>
        <w:autoSpaceDE/>
        <w:autoSpaceDN/>
        <w:bidi w:val="0"/>
        <w:adjustRightInd/>
        <w:snapToGrid/>
        <w:spacing w:before="0" w:after="0" w:line="576" w:lineRule="exact"/>
        <w:ind w:firstLine="640" w:firstLineChars="200"/>
        <w:textAlignment w:val="auto"/>
        <w:rPr>
          <w:rFonts w:hint="eastAsia" w:ascii="楷体_GB2312" w:hAnsi="楷体_GB2312" w:eastAsia="楷体_GB2312" w:cs="楷体_GB2312"/>
        </w:rPr>
      </w:pPr>
      <w:bookmarkStart w:id="25" w:name="_Toc20944"/>
      <w:bookmarkStart w:id="26" w:name="_Toc15378445"/>
      <w:bookmarkStart w:id="27" w:name="_Toc15377198"/>
      <w:r>
        <w:rPr>
          <w:rFonts w:hint="eastAsia" w:ascii="楷体_GB2312" w:hAnsi="楷体_GB2312" w:eastAsia="楷体_GB2312" w:cs="楷体_GB2312"/>
        </w:rPr>
        <w:t>（一）主要职能</w:t>
      </w:r>
      <w:bookmarkEnd w:id="25"/>
    </w:p>
    <w:bookmarkEnd w:id="26"/>
    <w:bookmarkEnd w:id="27"/>
    <w:p>
      <w:pPr>
        <w:pageBreakBefore w:val="0"/>
        <w:widowControl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szCs w:val="32"/>
        </w:rPr>
      </w:pPr>
      <w:bookmarkStart w:id="28" w:name="_Toc15378446"/>
      <w:bookmarkStart w:id="29" w:name="_Toc15377199"/>
      <w:r>
        <w:rPr>
          <w:rFonts w:hint="eastAsia" w:ascii="仿宋_GB2312" w:hAnsi="仿宋_GB2312" w:eastAsia="仿宋_GB2312" w:cs="仿宋_GB2312"/>
          <w:szCs w:val="32"/>
        </w:rPr>
        <w:t>执行党的路线、方针、政策和国家法律、法规，服务“三农”工作。制定并落实本行政区域的经济计划和措施，促进产业结构调整及其他经济保持平衡协调发展，全面提高人民群众的生活水平和生活质量；加强农村基层组织建设，转变机关作风，增强服务意识，促进农村经济快速发展；制定社会各项事业发展计划，发展教育、卫生、科学、民政、广播电视、文化、体育事业，推进社会保障、社会福利事业和养老保险工资，做好劳动管理、科普、老龄及宗教、侨务等工作；开展社会主义民主和法</w:t>
      </w:r>
      <w:r>
        <w:rPr>
          <w:rFonts w:hint="eastAsia" w:ascii="仿宋_GB2312" w:hAnsi="仿宋_GB2312" w:eastAsia="仿宋_GB2312" w:cs="仿宋_GB2312"/>
          <w:szCs w:val="32"/>
          <w:lang w:val="en-US" w:eastAsia="zh-CN"/>
        </w:rPr>
        <w:t>治</w:t>
      </w:r>
      <w:r>
        <w:rPr>
          <w:rFonts w:hint="eastAsia" w:ascii="仿宋_GB2312" w:hAnsi="仿宋_GB2312" w:eastAsia="仿宋_GB2312" w:cs="仿宋_GB2312"/>
          <w:szCs w:val="32"/>
        </w:rPr>
        <w:t>的宣传教育，保障公民的权利，打击违法犯罪，维护社会稳定；制定本辖区精神文明和物质文明工作规划，抓好两个文明建设；指导村（居）民委员会工作，充分发挥群众自治组织的作用。</w:t>
      </w:r>
    </w:p>
    <w:p>
      <w:pPr>
        <w:pStyle w:val="5"/>
        <w:pageBreakBefore w:val="0"/>
        <w:widowControl w:val="0"/>
        <w:kinsoku/>
        <w:wordWrap/>
        <w:topLinePunct w:val="0"/>
        <w:autoSpaceDE/>
        <w:autoSpaceDN/>
        <w:bidi w:val="0"/>
        <w:adjustRightInd/>
        <w:snapToGrid/>
        <w:spacing w:before="0" w:after="0" w:line="576" w:lineRule="exact"/>
        <w:ind w:firstLine="640" w:firstLineChars="200"/>
        <w:textAlignment w:val="auto"/>
        <w:rPr>
          <w:rFonts w:hint="eastAsia" w:ascii="楷体_GB2312" w:hAnsi="楷体_GB2312" w:eastAsia="楷体_GB2312" w:cs="楷体_GB2312"/>
        </w:rPr>
      </w:pPr>
      <w:bookmarkStart w:id="30" w:name="_Toc25243"/>
      <w:r>
        <w:rPr>
          <w:rFonts w:hint="eastAsia" w:ascii="楷体_GB2312" w:hAnsi="楷体_GB2312" w:eastAsia="楷体_GB2312" w:cs="楷体_GB2312"/>
        </w:rPr>
        <w:t>（二）2021年重点工作完成情况</w:t>
      </w:r>
      <w:bookmarkEnd w:id="28"/>
      <w:bookmarkEnd w:id="29"/>
      <w:bookmarkEnd w:id="30"/>
    </w:p>
    <w:p>
      <w:pPr>
        <w:pageBreakBefore w:val="0"/>
        <w:widowControl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szCs w:val="32"/>
        </w:rPr>
      </w:pPr>
      <w:bookmarkStart w:id="31" w:name="_Toc9084"/>
      <w:r>
        <w:rPr>
          <w:rFonts w:hint="eastAsia" w:ascii="仿宋_GB2312" w:hAnsi="仿宋_GB2312" w:eastAsia="仿宋_GB2312" w:cs="仿宋_GB2312"/>
          <w:b/>
          <w:bCs/>
          <w:szCs w:val="32"/>
        </w:rPr>
        <w:t>1．从严压实脱贫后扶主体责任，全面推进乡村振兴蹄疾步稳。</w:t>
      </w:r>
      <w:bookmarkEnd w:id="31"/>
    </w:p>
    <w:p>
      <w:pPr>
        <w:pageBreakBefore w:val="0"/>
        <w:widowControl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rPr>
      </w:pPr>
      <w:r>
        <w:rPr>
          <w:rFonts w:hint="eastAsia" w:ascii="仿宋_GB2312" w:hAnsi="仿宋_GB2312" w:eastAsia="仿宋_GB2312" w:cs="仿宋_GB2312"/>
        </w:rPr>
        <w:t>一是健全落实乡村振兴工作机制。建立了月调度、季评比工作制度，印发了实施方案，充实优化工作专班及督导组，严格落实“四个不摘”要求。二是扎实开展动态返贫致贫监测预警。每月召开防返贫动态监测工作推进会、驻村帮扶推进会，</w:t>
      </w:r>
      <w:r>
        <w:rPr>
          <w:rFonts w:hint="eastAsia" w:ascii="仿宋_GB2312" w:hAnsi="仿宋_GB2312" w:eastAsia="仿宋_GB2312" w:cs="仿宋_GB2312"/>
          <w:szCs w:val="32"/>
        </w:rPr>
        <w:t>我镇现有返贫预警监测户9户35人，通过因户施策，精准制定帮扶措施，落实公益性岗位4个，实现低保A类兜底8户，确保群众收入稳中有升，全力遏制因病因灾致贫返贫现象。全年新增就业118人，举办就业扶贫招聘会1次，提供岗位300余个，累计报名50余人</w:t>
      </w:r>
      <w:r>
        <w:rPr>
          <w:rFonts w:hint="eastAsia" w:ascii="仿宋_GB2312" w:hAnsi="仿宋_GB2312" w:eastAsia="仿宋_GB2312" w:cs="仿宋_GB2312"/>
        </w:rPr>
        <w:t>。三是压紧压实驻村工作帮扶责任。每村选派3名镇干部驻村，配合指导村“两委”开展乡村振兴工作。严格落实第一书记帮扶制度，定期调阅驻村工作日志，严格压实帮扶责任。</w:t>
      </w:r>
    </w:p>
    <w:p>
      <w:pPr>
        <w:pageBreakBefore w:val="0"/>
        <w:widowControl w:val="0"/>
        <w:kinsoku/>
        <w:wordWrap/>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Cs w:val="32"/>
          <w:lang w:eastAsia="zh-CN"/>
        </w:rPr>
      </w:pPr>
      <w:bookmarkStart w:id="32" w:name="_Toc11795"/>
      <w:r>
        <w:rPr>
          <w:rFonts w:hint="eastAsia" w:ascii="仿宋_GB2312" w:hAnsi="仿宋_GB2312" w:eastAsia="仿宋_GB2312" w:cs="仿宋_GB2312"/>
          <w:b/>
          <w:bCs/>
          <w:szCs w:val="32"/>
        </w:rPr>
        <w:t>２．持续凸显中心场镇核心优势，镇域综合发展实力不断增强</w:t>
      </w:r>
      <w:bookmarkEnd w:id="32"/>
      <w:r>
        <w:rPr>
          <w:rFonts w:hint="eastAsia" w:ascii="仿宋_GB2312" w:hAnsi="仿宋_GB2312" w:eastAsia="仿宋_GB2312" w:cs="仿宋_GB2312"/>
          <w:b/>
          <w:bCs/>
          <w:szCs w:val="32"/>
          <w:lang w:eastAsia="zh-CN"/>
        </w:rPr>
        <w:t>。</w:t>
      </w:r>
    </w:p>
    <w:p>
      <w:pPr>
        <w:pageBreakBefore w:val="0"/>
        <w:widowControl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color w:val="000000"/>
          <w:szCs w:val="32"/>
        </w:rPr>
      </w:pPr>
      <w:r>
        <w:rPr>
          <w:rFonts w:hint="eastAsia" w:ascii="仿宋_GB2312" w:hAnsi="仿宋_GB2312" w:eastAsia="仿宋_GB2312" w:cs="仿宋_GB2312"/>
          <w:szCs w:val="32"/>
        </w:rPr>
        <w:t>一是项目投资稳健有力。</w:t>
      </w:r>
      <w:r>
        <w:rPr>
          <w:rFonts w:hint="eastAsia" w:ascii="仿宋_GB2312" w:hAnsi="宋体" w:eastAsia="仿宋_GB2312"/>
          <w:szCs w:val="32"/>
        </w:rPr>
        <w:t>一年来全镇到位项目15个，到位资金380多万元。</w:t>
      </w:r>
      <w:r>
        <w:rPr>
          <w:rFonts w:hint="eastAsia" w:ascii="仿宋_GB2312" w:hAnsi="仿宋_GB2312" w:eastAsia="仿宋_GB2312" w:cs="仿宋_GB2312"/>
          <w:szCs w:val="32"/>
        </w:rPr>
        <w:t>全年入库新项目30个，项目实施完成率100%。全年固投项目申报成功3个，入库金额4266万元，出库金额3964万元，完成率66%。成功引进市内外项目资金9384万元，目标任务8000万元，完成率117%，新签万元项目6个，500万元万以上项目8个。策划并组织招商引资一次，洽谈运山籍在外成功人士8名，共商运山发展蓝图。二是农业产业亮点纷呈。围绕“1+3”的产业发展思路，做到了“无人不产业、无时不产业、无地不产业”，巩固提升苍溪梨面积3500亩，猕猴桃面积600亩，脆红李面积100亩。现发展有苍溪梨6500余亩，猕猴桃4500余亩，脆红李2000余亩、麻苹果等小水果1000余亩。强力引进新品种“苏翠一号”梨、推广油菜免耕直播覆盖技术。培育县级家庭农场5个，市级家庭农场1个，专业合作社1个，新型职业农民培训人数达2000余人/次。荣获获得国家现代农业产业园创建先进集体。三是镇容村貌日新月异。完成全镇20户农村</w:t>
      </w:r>
      <w:r>
        <w:rPr>
          <w:rFonts w:hint="eastAsia" w:ascii="仿宋_GB2312" w:hAnsi="仿宋_GB2312" w:eastAsia="仿宋_GB2312" w:cs="仿宋_GB2312"/>
          <w:color w:val="000000"/>
          <w:szCs w:val="32"/>
        </w:rPr>
        <w:t>危房改造申报，全面完成原3个村的体育健身器材安装和现7个村的网络广播规划，高标准建设</w:t>
      </w:r>
      <w:r>
        <w:rPr>
          <w:rFonts w:hint="eastAsia" w:ascii="仿宋_GB2312" w:hAnsi="仿宋_GB2312" w:eastAsia="仿宋_GB2312" w:cs="仿宋_GB2312"/>
          <w:szCs w:val="32"/>
        </w:rPr>
        <w:t>镇文化分馆和图书分馆，</w:t>
      </w:r>
      <w:r>
        <w:rPr>
          <w:rFonts w:hint="eastAsia" w:ascii="仿宋_GB2312" w:hAnsi="仿宋_GB2312" w:eastAsia="仿宋_GB2312" w:cs="仿宋_GB2312"/>
          <w:color w:val="000000"/>
          <w:szCs w:val="32"/>
        </w:rPr>
        <w:t>创建全县首个文化站影剧院。</w:t>
      </w:r>
    </w:p>
    <w:p>
      <w:pPr>
        <w:pageBreakBefore w:val="0"/>
        <w:widowControl w:val="0"/>
        <w:kinsoku/>
        <w:wordWrap/>
        <w:topLinePunct w:val="0"/>
        <w:autoSpaceDE/>
        <w:autoSpaceDN/>
        <w:bidi w:val="0"/>
        <w:adjustRightInd/>
        <w:snapToGrid/>
        <w:spacing w:line="576" w:lineRule="exact"/>
        <w:ind w:firstLine="643" w:firstLineChars="200"/>
        <w:textAlignment w:val="auto"/>
        <w:rPr>
          <w:rFonts w:hint="eastAsia" w:ascii="仿宋_GB2312" w:hAnsi="仿宋_GB2312" w:eastAsia="仿宋_GB2312" w:cs="仿宋_GB2312"/>
          <w:b/>
          <w:bCs/>
          <w:szCs w:val="32"/>
          <w:lang w:eastAsia="zh-CN"/>
        </w:rPr>
      </w:pPr>
      <w:r>
        <w:rPr>
          <w:rFonts w:hint="eastAsia" w:ascii="仿宋_GB2312" w:hAnsi="仿宋_GB2312" w:eastAsia="仿宋_GB2312" w:cs="仿宋_GB2312"/>
          <w:b/>
          <w:bCs/>
          <w:szCs w:val="32"/>
        </w:rPr>
        <w:t>３．牢固树立以人民为中心理念，幸福美丽运山建设推进有力</w:t>
      </w:r>
      <w:r>
        <w:rPr>
          <w:rFonts w:hint="eastAsia" w:ascii="仿宋_GB2312" w:hAnsi="仿宋_GB2312" w:eastAsia="仿宋_GB2312" w:cs="仿宋_GB2312"/>
          <w:b/>
          <w:bCs/>
          <w:szCs w:val="32"/>
          <w:lang w:eastAsia="zh-CN"/>
        </w:rPr>
        <w:t>。</w:t>
      </w:r>
    </w:p>
    <w:p>
      <w:pPr>
        <w:pageBreakBefore w:val="0"/>
        <w:widowControl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一是持续改善社会民生。全年落实城乡低保救助、临时救助补助，老人和孤儿补助资金发放。认真开展退役军人等优抚对象大走访。开展“春风送岗”招聘会、技能培训等活动。二是持续优化人居环境。高标准开展公路冬季岁修工作，建立废弃农膜农药包装物回收体系，设置回收站、监测点。继续实施农村“三大革命”项目。</w:t>
      </w:r>
    </w:p>
    <w:p>
      <w:pPr>
        <w:pStyle w:val="4"/>
        <w:pageBreakBefore w:val="0"/>
        <w:widowControl w:val="0"/>
        <w:kinsoku/>
        <w:wordWrap/>
        <w:topLinePunct w:val="0"/>
        <w:autoSpaceDE/>
        <w:autoSpaceDN/>
        <w:bidi w:val="0"/>
        <w:adjustRightInd/>
        <w:snapToGrid/>
        <w:spacing w:before="0" w:after="0" w:line="576" w:lineRule="exact"/>
        <w:ind w:firstLine="640" w:firstLineChars="200"/>
        <w:textAlignment w:val="auto"/>
      </w:pPr>
      <w:bookmarkStart w:id="33" w:name="_Toc5450"/>
      <w:bookmarkStart w:id="34" w:name="_Toc17889"/>
      <w:bookmarkStart w:id="35" w:name="_Toc17317"/>
      <w:bookmarkStart w:id="36" w:name="_Toc15396601"/>
      <w:bookmarkStart w:id="37" w:name="_Toc15377200"/>
      <w:r>
        <w:rPr>
          <w:rFonts w:hint="eastAsia"/>
        </w:rPr>
        <w:t>二、机构设置</w:t>
      </w:r>
      <w:bookmarkEnd w:id="33"/>
      <w:bookmarkEnd w:id="34"/>
      <w:bookmarkEnd w:id="35"/>
      <w:bookmarkEnd w:id="36"/>
      <w:bookmarkEnd w:id="37"/>
    </w:p>
    <w:p>
      <w:pPr>
        <w:pageBreakBefore w:val="0"/>
        <w:widowControl w:val="0"/>
        <w:kinsoku/>
        <w:wordWrap/>
        <w:topLinePunct w:val="0"/>
        <w:autoSpaceDE/>
        <w:autoSpaceDN/>
        <w:bidi w:val="0"/>
        <w:adjustRightInd/>
        <w:snapToGrid/>
        <w:spacing w:line="576" w:lineRule="exact"/>
        <w:ind w:firstLine="640" w:firstLineChars="200"/>
        <w:textAlignment w:val="auto"/>
        <w:rPr>
          <w:rFonts w:ascii="方正仿宋_GBK" w:hAnsi="方正仿宋_GBK" w:eastAsia="方正仿宋_GBK" w:cs="方正仿宋_GBK"/>
          <w:szCs w:val="32"/>
        </w:rPr>
      </w:pPr>
      <w:r>
        <w:rPr>
          <w:rFonts w:hint="eastAsia" w:ascii="仿宋_GB2312" w:hAnsi="仿宋_GB2312" w:eastAsia="仿宋_GB2312" w:cs="仿宋_GB2312"/>
          <w:szCs w:val="32"/>
        </w:rPr>
        <w:t>苍溪县运山镇人民政府下属二级单位</w:t>
      </w:r>
      <w:r>
        <w:rPr>
          <w:rFonts w:hint="eastAsia" w:ascii="仿宋_GB2312" w:hAnsi="仿宋_GB2312" w:eastAsia="仿宋_GB2312" w:cs="仿宋_GB2312"/>
        </w:rPr>
        <w:t>1</w:t>
      </w:r>
      <w:r>
        <w:rPr>
          <w:rFonts w:hint="eastAsia" w:ascii="仿宋_GB2312" w:hAnsi="仿宋_GB2312" w:eastAsia="仿宋_GB2312" w:cs="仿宋_GB2312"/>
          <w:szCs w:val="32"/>
        </w:rPr>
        <w:t>个，其中行政单位</w:t>
      </w:r>
      <w:r>
        <w:rPr>
          <w:rFonts w:hint="eastAsia" w:ascii="仿宋_GB2312" w:hAnsi="仿宋_GB2312" w:eastAsia="仿宋_GB2312" w:cs="仿宋_GB2312"/>
        </w:rPr>
        <w:t>1个</w:t>
      </w:r>
      <w:r>
        <w:rPr>
          <w:rFonts w:hint="eastAsia" w:ascii="仿宋_GB2312" w:hAnsi="仿宋_GB2312" w:eastAsia="仿宋_GB2312" w:cs="仿宋_GB2312"/>
          <w:szCs w:val="32"/>
        </w:rPr>
        <w:t>。</w:t>
      </w:r>
      <w:r>
        <w:rPr>
          <w:rFonts w:hint="eastAsia" w:ascii="方正仿宋_GBK" w:hAnsi="方正仿宋_GBK" w:eastAsia="方正仿宋_GBK" w:cs="方正仿宋_GBK"/>
          <w:szCs w:val="32"/>
        </w:rPr>
        <w:br w:type="page"/>
      </w:r>
    </w:p>
    <w:p>
      <w:pPr>
        <w:pStyle w:val="3"/>
        <w:pageBreakBefore w:val="0"/>
        <w:widowControl w:val="0"/>
        <w:kinsoku/>
        <w:wordWrap/>
        <w:topLinePunct w:val="0"/>
        <w:autoSpaceDE/>
        <w:autoSpaceDN/>
        <w:bidi w:val="0"/>
        <w:adjustRightInd/>
        <w:snapToGrid/>
        <w:spacing w:before="0" w:after="0" w:line="576" w:lineRule="exact"/>
        <w:textAlignment w:val="auto"/>
        <w:rPr>
          <w:rFonts w:ascii="方正仿宋_GBK" w:hAnsi="方正仿宋_GBK" w:eastAsia="方正仿宋_GBK" w:cs="方正仿宋_GBK"/>
          <w:szCs w:val="32"/>
        </w:rPr>
      </w:pPr>
      <w:bookmarkStart w:id="38" w:name="_Toc15377204"/>
      <w:bookmarkStart w:id="39" w:name="_Toc27693"/>
      <w:bookmarkStart w:id="40" w:name="_Toc10762"/>
      <w:bookmarkStart w:id="41" w:name="_Toc15396602"/>
      <w:bookmarkStart w:id="42" w:name="_Toc11099"/>
      <w:r>
        <w:rPr>
          <w:rFonts w:hint="eastAsia"/>
        </w:rPr>
        <w:t>第二部分 2021年度部门决算情况说明</w:t>
      </w:r>
      <w:bookmarkEnd w:id="38"/>
      <w:bookmarkEnd w:id="39"/>
      <w:bookmarkEnd w:id="40"/>
      <w:bookmarkEnd w:id="41"/>
      <w:bookmarkEnd w:id="42"/>
    </w:p>
    <w:p>
      <w:pPr>
        <w:pStyle w:val="4"/>
        <w:pageBreakBefore w:val="0"/>
        <w:widowControl w:val="0"/>
        <w:kinsoku/>
        <w:wordWrap/>
        <w:topLinePunct w:val="0"/>
        <w:autoSpaceDE/>
        <w:autoSpaceDN/>
        <w:bidi w:val="0"/>
        <w:adjustRightInd/>
        <w:snapToGrid/>
        <w:spacing w:before="0" w:after="0" w:line="576" w:lineRule="exact"/>
        <w:ind w:firstLine="640" w:firstLineChars="200"/>
        <w:textAlignment w:val="auto"/>
      </w:pPr>
      <w:bookmarkStart w:id="43" w:name="_Toc9936"/>
      <w:bookmarkStart w:id="44" w:name="_Toc15377205"/>
      <w:bookmarkStart w:id="45" w:name="_Toc15396603"/>
      <w:bookmarkStart w:id="46" w:name="_Toc25003"/>
      <w:bookmarkStart w:id="47" w:name="_Toc2862"/>
      <w:r>
        <w:rPr>
          <w:rFonts w:hint="eastAsia"/>
        </w:rPr>
        <w:t>一、收入支出决算总体情况说明</w:t>
      </w:r>
      <w:bookmarkEnd w:id="43"/>
      <w:bookmarkEnd w:id="44"/>
      <w:bookmarkEnd w:id="45"/>
      <w:bookmarkEnd w:id="46"/>
      <w:bookmarkEnd w:id="47"/>
    </w:p>
    <w:p>
      <w:pPr>
        <w:pageBreakBefore w:val="0"/>
        <w:widowControl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rPr>
      </w:pPr>
      <w:r>
        <w:rPr>
          <w:rFonts w:hint="eastAsia" w:ascii="仿宋_GB2312" w:hAnsi="仿宋_GB2312" w:eastAsia="仿宋_GB2312" w:cs="仿宋_GB2312"/>
        </w:rPr>
        <w:t>2021年度收、支总计1064.54万元。与2020年相比，收、支总计各减少137.22万元，减少12.9%。主要变动原因是项目减少。</w:t>
      </w:r>
    </w:p>
    <w:p>
      <w:pPr>
        <w:spacing w:line="576" w:lineRule="exact"/>
        <w:rPr>
          <w:rFonts w:ascii="仿宋_GB2312" w:hAnsi="仿宋_GB2312" w:eastAsia="仿宋_GB2312" w:cs="仿宋_GB2312"/>
          <w:szCs w:val="32"/>
        </w:rPr>
      </w:pPr>
      <w:r>
        <w:drawing>
          <wp:anchor distT="0" distB="0" distL="114300" distR="114300" simplePos="0" relativeHeight="251660288" behindDoc="1" locked="0" layoutInCell="1" allowOverlap="1">
            <wp:simplePos x="0" y="0"/>
            <wp:positionH relativeFrom="column">
              <wp:posOffset>273685</wp:posOffset>
            </wp:positionH>
            <wp:positionV relativeFrom="paragraph">
              <wp:posOffset>663575</wp:posOffset>
            </wp:positionV>
            <wp:extent cx="4335780" cy="2910840"/>
            <wp:effectExtent l="19050" t="0" r="26670" b="3810"/>
            <wp:wrapTight wrapText="bothSides">
              <wp:wrapPolygon>
                <wp:start x="-95" y="0"/>
                <wp:lineTo x="-95" y="21628"/>
                <wp:lineTo x="21733" y="21628"/>
                <wp:lineTo x="21733" y="0"/>
                <wp:lineTo x="-95" y="0"/>
              </wp:wrapPolygon>
            </wp:wrapTight>
            <wp:docPr id="2"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anchor>
        </w:drawing>
      </w:r>
    </w:p>
    <w:p>
      <w:pPr>
        <w:spacing w:line="576" w:lineRule="exact"/>
        <w:rPr>
          <w:rFonts w:ascii="方正仿宋_GBK" w:hAnsi="方正仿宋_GBK" w:eastAsia="方正仿宋_GBK" w:cs="方正仿宋_GBK"/>
          <w:szCs w:val="32"/>
        </w:rPr>
      </w:pPr>
    </w:p>
    <w:p>
      <w:pPr>
        <w:spacing w:line="576" w:lineRule="exact"/>
        <w:rPr>
          <w:rFonts w:ascii="方正仿宋_GBK" w:hAnsi="方正仿宋_GBK" w:eastAsia="方正仿宋_GBK" w:cs="方正仿宋_GBK"/>
          <w:szCs w:val="32"/>
        </w:rPr>
      </w:pPr>
    </w:p>
    <w:p>
      <w:pPr>
        <w:spacing w:line="576" w:lineRule="exact"/>
        <w:ind w:firstLine="640" w:firstLineChars="200"/>
      </w:pPr>
    </w:p>
    <w:p>
      <w:pPr>
        <w:spacing w:line="576" w:lineRule="exact"/>
        <w:ind w:firstLine="640" w:firstLineChars="200"/>
      </w:pPr>
    </w:p>
    <w:p>
      <w:pPr>
        <w:pStyle w:val="2"/>
      </w:pPr>
    </w:p>
    <w:p>
      <w:pPr>
        <w:pStyle w:val="2"/>
      </w:pPr>
    </w:p>
    <w:p>
      <w:pPr>
        <w:pStyle w:val="2"/>
      </w:pPr>
    </w:p>
    <w:p>
      <w:pPr>
        <w:spacing w:line="576" w:lineRule="exact"/>
        <w:ind w:firstLine="640" w:firstLineChars="200"/>
        <w:rPr>
          <w:rFonts w:ascii="方正仿宋_GBK" w:hAnsi="方正仿宋_GBK" w:eastAsia="方正仿宋_GBK" w:cs="方正仿宋_GBK"/>
          <w:szCs w:val="32"/>
        </w:rPr>
      </w:pPr>
    </w:p>
    <w:p>
      <w:pPr>
        <w:spacing w:line="576" w:lineRule="exact"/>
        <w:rPr>
          <w:rFonts w:ascii="方正仿宋_GBK" w:hAnsi="方正仿宋_GBK" w:eastAsia="方正仿宋_GBK" w:cs="方正仿宋_GBK"/>
          <w:szCs w:val="32"/>
        </w:rPr>
      </w:pPr>
    </w:p>
    <w:p>
      <w:pPr>
        <w:spacing w:line="576" w:lineRule="exact"/>
        <w:ind w:firstLine="640" w:firstLineChars="200"/>
        <w:rPr>
          <w:rFonts w:ascii="方正仿宋_GBK" w:hAnsi="方正仿宋_GBK" w:eastAsia="方正仿宋_GBK" w:cs="方正仿宋_GBK"/>
          <w:szCs w:val="32"/>
        </w:rPr>
      </w:pPr>
    </w:p>
    <w:p>
      <w:pPr>
        <w:spacing w:line="576" w:lineRule="exact"/>
        <w:ind w:firstLine="640" w:firstLineChars="200"/>
        <w:jc w:val="center"/>
        <w:rPr>
          <w:rFonts w:hint="eastAsia"/>
        </w:rPr>
      </w:pPr>
      <w:bookmarkStart w:id="48" w:name="_Toc595"/>
      <w:bookmarkStart w:id="49" w:name="_Toc15377206"/>
      <w:bookmarkStart w:id="50" w:name="_Toc31536"/>
      <w:bookmarkStart w:id="51" w:name="_Toc6687"/>
      <w:bookmarkStart w:id="52" w:name="_Toc15396604"/>
      <w:r>
        <w:rPr>
          <w:rFonts w:hint="eastAsia" w:ascii="仿宋_GB2312" w:hAnsi="仿宋_GB2312" w:eastAsia="仿宋_GB2312" w:cs="仿宋_GB2312"/>
          <w:szCs w:val="32"/>
        </w:rPr>
        <w:t>图1：收、支决算总计变动情况图</w:t>
      </w:r>
    </w:p>
    <w:p>
      <w:pPr>
        <w:pStyle w:val="4"/>
        <w:keepLines w:val="0"/>
        <w:pageBreakBefore w:val="0"/>
        <w:widowControl w:val="0"/>
        <w:kinsoku/>
        <w:wordWrap/>
        <w:topLinePunct w:val="0"/>
        <w:autoSpaceDE/>
        <w:autoSpaceDN/>
        <w:bidi w:val="0"/>
        <w:adjustRightInd/>
        <w:snapToGrid/>
        <w:spacing w:before="0" w:after="0" w:line="576" w:lineRule="exact"/>
        <w:ind w:firstLine="640" w:firstLineChars="200"/>
        <w:textAlignment w:val="auto"/>
      </w:pPr>
      <w:r>
        <w:rPr>
          <w:rFonts w:hint="eastAsia"/>
        </w:rPr>
        <w:t>二、收入决算情况说明</w:t>
      </w:r>
      <w:bookmarkEnd w:id="48"/>
      <w:bookmarkEnd w:id="49"/>
      <w:bookmarkEnd w:id="50"/>
      <w:bookmarkEnd w:id="51"/>
      <w:bookmarkEnd w:id="52"/>
    </w:p>
    <w:p>
      <w:pPr>
        <w:keepLines w:val="0"/>
        <w:pageBreakBefore w:val="0"/>
        <w:widowControl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szCs w:val="32"/>
        </w:rPr>
      </w:pPr>
      <w:bookmarkStart w:id="53" w:name="_Toc29121"/>
      <w:r>
        <w:rPr>
          <w:rFonts w:hint="eastAsia" w:ascii="仿宋_GB2312" w:hAnsi="仿宋_GB2312" w:eastAsia="仿宋_GB2312" w:cs="仿宋_GB2312"/>
        </w:rPr>
        <w:t>2021</w:t>
      </w:r>
      <w:r>
        <w:rPr>
          <w:rFonts w:hint="eastAsia" w:ascii="仿宋_GB2312" w:hAnsi="仿宋_GB2312" w:eastAsia="仿宋_GB2312" w:cs="仿宋_GB2312"/>
          <w:szCs w:val="32"/>
        </w:rPr>
        <w:t>年本年收入合计</w:t>
      </w:r>
      <w:r>
        <w:rPr>
          <w:rFonts w:hint="eastAsia" w:ascii="仿宋_GB2312" w:hAnsi="仿宋_GB2312" w:eastAsia="仿宋_GB2312" w:cs="仿宋_GB2312"/>
        </w:rPr>
        <w:t>998.31</w:t>
      </w:r>
      <w:r>
        <w:rPr>
          <w:rFonts w:hint="eastAsia" w:ascii="仿宋_GB2312" w:hAnsi="仿宋_GB2312" w:eastAsia="仿宋_GB2312" w:cs="仿宋_GB2312"/>
          <w:szCs w:val="32"/>
        </w:rPr>
        <w:t>万元，其中：一般公共预算财政拨款收入</w:t>
      </w:r>
      <w:r>
        <w:rPr>
          <w:rFonts w:hint="eastAsia" w:ascii="仿宋_GB2312" w:hAnsi="仿宋_GB2312" w:eastAsia="仿宋_GB2312" w:cs="仿宋_GB2312"/>
        </w:rPr>
        <w:t>988.31</w:t>
      </w:r>
      <w:r>
        <w:rPr>
          <w:rFonts w:hint="eastAsia" w:ascii="仿宋_GB2312" w:hAnsi="仿宋_GB2312" w:eastAsia="仿宋_GB2312" w:cs="仿宋_GB2312"/>
          <w:szCs w:val="32"/>
        </w:rPr>
        <w:t>万元，占</w:t>
      </w:r>
      <w:r>
        <w:rPr>
          <w:rFonts w:hint="eastAsia" w:ascii="仿宋_GB2312" w:hAnsi="仿宋_GB2312" w:eastAsia="仿宋_GB2312" w:cs="仿宋_GB2312"/>
        </w:rPr>
        <w:t>99%</w:t>
      </w:r>
      <w:r>
        <w:rPr>
          <w:rFonts w:hint="eastAsia" w:ascii="仿宋_GB2312" w:hAnsi="仿宋_GB2312" w:eastAsia="仿宋_GB2312" w:cs="仿宋_GB2312"/>
          <w:szCs w:val="32"/>
        </w:rPr>
        <w:t>；政府性基金预算财政拨款收入</w:t>
      </w:r>
      <w:r>
        <w:rPr>
          <w:rFonts w:hint="eastAsia" w:ascii="仿宋_GB2312" w:hAnsi="仿宋_GB2312" w:eastAsia="仿宋_GB2312" w:cs="仿宋_GB2312"/>
        </w:rPr>
        <w:t>10</w:t>
      </w:r>
      <w:r>
        <w:rPr>
          <w:rFonts w:hint="eastAsia" w:ascii="仿宋_GB2312" w:hAnsi="仿宋_GB2312" w:eastAsia="仿宋_GB2312" w:cs="仿宋_GB2312"/>
          <w:szCs w:val="32"/>
        </w:rPr>
        <w:t>万元，占</w:t>
      </w:r>
      <w:r>
        <w:rPr>
          <w:rFonts w:hint="eastAsia" w:ascii="仿宋_GB2312" w:hAnsi="仿宋_GB2312" w:eastAsia="仿宋_GB2312" w:cs="仿宋_GB2312"/>
        </w:rPr>
        <w:t>1%</w:t>
      </w:r>
      <w:r>
        <w:rPr>
          <w:rFonts w:hint="eastAsia" w:ascii="仿宋_GB2312" w:hAnsi="仿宋_GB2312" w:eastAsia="仿宋_GB2312" w:cs="仿宋_GB2312"/>
          <w:szCs w:val="32"/>
        </w:rPr>
        <w:t>。</w:t>
      </w:r>
      <w:bookmarkEnd w:id="53"/>
    </w:p>
    <w:p>
      <w:pPr>
        <w:pStyle w:val="2"/>
      </w:pPr>
    </w:p>
    <w:p>
      <w:pPr>
        <w:pStyle w:val="2"/>
      </w:pPr>
    </w:p>
    <w:p>
      <w:pPr>
        <w:pStyle w:val="2"/>
      </w:pPr>
    </w:p>
    <w:p>
      <w:pPr>
        <w:pStyle w:val="2"/>
        <w:jc w:val="center"/>
      </w:pPr>
      <w:r>
        <w:drawing>
          <wp:inline distT="0" distB="0" distL="114300" distR="114300">
            <wp:extent cx="4160520" cy="2926080"/>
            <wp:effectExtent l="19050" t="0" r="11430" b="7620"/>
            <wp:docPr id="3"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pPr>
        <w:pStyle w:val="2"/>
        <w:jc w:val="center"/>
        <w:rPr>
          <w:rFonts w:hint="eastAsia"/>
        </w:rPr>
      </w:pPr>
      <w:bookmarkStart w:id="54" w:name="_Toc25758"/>
      <w:bookmarkStart w:id="55" w:name="_Toc2725"/>
      <w:bookmarkStart w:id="56" w:name="_Toc15396605"/>
      <w:bookmarkStart w:id="57" w:name="_Toc6843"/>
      <w:bookmarkStart w:id="58" w:name="_Toc15377207"/>
      <w:r>
        <w:rPr>
          <w:rFonts w:hint="eastAsia" w:ascii="仿宋_GB2312" w:hAnsi="仿宋_GB2312" w:eastAsia="仿宋_GB2312" w:cs="仿宋_GB2312"/>
          <w:sz w:val="32"/>
          <w:szCs w:val="32"/>
        </w:rPr>
        <w:t>图2：收入决算结构图</w:t>
      </w:r>
    </w:p>
    <w:p>
      <w:pPr>
        <w:pStyle w:val="4"/>
        <w:keepLines w:val="0"/>
        <w:pageBreakBefore w:val="0"/>
        <w:widowControl w:val="0"/>
        <w:kinsoku/>
        <w:wordWrap/>
        <w:topLinePunct w:val="0"/>
        <w:autoSpaceDE/>
        <w:autoSpaceDN/>
        <w:bidi w:val="0"/>
        <w:adjustRightInd/>
        <w:snapToGrid/>
        <w:spacing w:before="0" w:after="0" w:line="576" w:lineRule="exact"/>
        <w:ind w:firstLine="640" w:firstLineChars="200"/>
        <w:textAlignment w:val="auto"/>
      </w:pPr>
      <w:r>
        <w:rPr>
          <w:rFonts w:hint="eastAsia"/>
        </w:rPr>
        <w:t>三、支出决算情况说明</w:t>
      </w:r>
      <w:bookmarkEnd w:id="54"/>
      <w:bookmarkEnd w:id="55"/>
      <w:bookmarkEnd w:id="56"/>
      <w:bookmarkEnd w:id="57"/>
      <w:bookmarkEnd w:id="58"/>
    </w:p>
    <w:p>
      <w:pPr>
        <w:keepLines w:val="0"/>
        <w:pageBreakBefore w:val="0"/>
        <w:widowControl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szCs w:val="32"/>
        </w:rPr>
      </w:pPr>
      <w:bookmarkStart w:id="59" w:name="_Toc14257"/>
      <w:r>
        <w:rPr>
          <w:rFonts w:hint="eastAsia" w:ascii="仿宋_GB2312" w:hAnsi="仿宋_GB2312" w:eastAsia="仿宋_GB2312" w:cs="仿宋_GB2312"/>
        </w:rPr>
        <w:t>2021</w:t>
      </w:r>
      <w:r>
        <w:rPr>
          <w:rFonts w:hint="eastAsia" w:ascii="仿宋_GB2312" w:hAnsi="仿宋_GB2312" w:eastAsia="仿宋_GB2312" w:cs="仿宋_GB2312"/>
          <w:szCs w:val="32"/>
        </w:rPr>
        <w:t>年本年支出合计</w:t>
      </w:r>
      <w:r>
        <w:rPr>
          <w:rFonts w:hint="eastAsia" w:ascii="仿宋_GB2312" w:hAnsi="仿宋_GB2312" w:eastAsia="仿宋_GB2312" w:cs="仿宋_GB2312"/>
        </w:rPr>
        <w:t>1064.54</w:t>
      </w:r>
      <w:r>
        <w:rPr>
          <w:rFonts w:hint="eastAsia" w:ascii="仿宋_GB2312" w:hAnsi="仿宋_GB2312" w:eastAsia="仿宋_GB2312" w:cs="仿宋_GB2312"/>
          <w:szCs w:val="32"/>
        </w:rPr>
        <w:t>万元，其中：基本支出</w:t>
      </w:r>
      <w:r>
        <w:rPr>
          <w:rFonts w:hint="eastAsia" w:ascii="仿宋_GB2312" w:hAnsi="仿宋_GB2312" w:eastAsia="仿宋_GB2312" w:cs="仿宋_GB2312"/>
        </w:rPr>
        <w:t>632.81万</w:t>
      </w:r>
      <w:r>
        <w:rPr>
          <w:rFonts w:hint="eastAsia" w:ascii="仿宋_GB2312" w:hAnsi="仿宋_GB2312" w:eastAsia="仿宋_GB2312" w:cs="仿宋_GB2312"/>
          <w:szCs w:val="32"/>
        </w:rPr>
        <w:t>元，占52.2%；项目支出</w:t>
      </w:r>
      <w:r>
        <w:rPr>
          <w:rFonts w:hint="eastAsia" w:ascii="仿宋_GB2312" w:hAnsi="仿宋_GB2312" w:eastAsia="仿宋_GB2312" w:cs="仿宋_GB2312"/>
        </w:rPr>
        <w:t>431.73</w:t>
      </w:r>
      <w:r>
        <w:rPr>
          <w:rFonts w:hint="eastAsia" w:ascii="仿宋_GB2312" w:hAnsi="仿宋_GB2312" w:eastAsia="仿宋_GB2312" w:cs="仿宋_GB2312"/>
          <w:szCs w:val="32"/>
        </w:rPr>
        <w:t>万元，占</w:t>
      </w:r>
      <w:r>
        <w:rPr>
          <w:rFonts w:hint="eastAsia" w:ascii="仿宋_GB2312" w:hAnsi="仿宋_GB2312" w:eastAsia="仿宋_GB2312" w:cs="仿宋_GB2312"/>
        </w:rPr>
        <w:t>47.8%</w:t>
      </w:r>
      <w:r>
        <w:rPr>
          <w:rFonts w:hint="eastAsia" w:ascii="仿宋_GB2312" w:hAnsi="仿宋_GB2312" w:eastAsia="仿宋_GB2312" w:cs="仿宋_GB2312"/>
          <w:szCs w:val="32"/>
        </w:rPr>
        <w:t>。</w:t>
      </w:r>
      <w:bookmarkEnd w:id="59"/>
    </w:p>
    <w:p>
      <w:pPr>
        <w:pStyle w:val="2"/>
        <w:jc w:val="center"/>
        <w:rPr>
          <w:rFonts w:ascii="方正仿宋_GBK" w:hAnsi="方正仿宋_GBK" w:eastAsia="方正仿宋_GBK" w:cs="方正仿宋_GBK"/>
          <w:sz w:val="32"/>
          <w:szCs w:val="32"/>
        </w:rPr>
      </w:pPr>
      <w:r>
        <w:drawing>
          <wp:inline distT="0" distB="0" distL="114300" distR="114300">
            <wp:extent cx="4191000" cy="3177540"/>
            <wp:effectExtent l="4445" t="4445" r="10795" b="18415"/>
            <wp:docPr id="10"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pPr>
        <w:spacing w:line="576" w:lineRule="exact"/>
        <w:ind w:firstLine="640" w:firstLineChars="200"/>
        <w:jc w:val="center"/>
        <w:rPr>
          <w:rFonts w:ascii="方正仿宋_GBK" w:hAnsi="方正仿宋_GBK" w:eastAsia="方正仿宋_GBK" w:cs="方正仿宋_GBK"/>
          <w:szCs w:val="32"/>
        </w:rPr>
      </w:pPr>
      <w:r>
        <w:rPr>
          <w:rFonts w:hint="eastAsia" w:ascii="仿宋_GB2312" w:hAnsi="仿宋_GB2312" w:eastAsia="仿宋_GB2312" w:cs="仿宋_GB2312"/>
          <w:szCs w:val="32"/>
        </w:rPr>
        <w:t>图3：支出决算结构图</w:t>
      </w:r>
    </w:p>
    <w:p>
      <w:pPr>
        <w:pStyle w:val="4"/>
        <w:keepLines w:val="0"/>
        <w:pageBreakBefore w:val="0"/>
        <w:widowControl w:val="0"/>
        <w:kinsoku/>
        <w:wordWrap/>
        <w:topLinePunct w:val="0"/>
        <w:autoSpaceDE/>
        <w:autoSpaceDN/>
        <w:bidi w:val="0"/>
        <w:adjustRightInd/>
        <w:snapToGrid/>
        <w:spacing w:before="0" w:after="0" w:line="576" w:lineRule="exact"/>
        <w:ind w:firstLine="640" w:firstLineChars="200"/>
        <w:textAlignment w:val="auto"/>
      </w:pPr>
      <w:bookmarkStart w:id="60" w:name="_Toc15396606"/>
      <w:bookmarkStart w:id="61" w:name="_Toc15377208"/>
      <w:bookmarkStart w:id="62" w:name="_Toc12406"/>
      <w:bookmarkStart w:id="63" w:name="_Toc11678"/>
      <w:bookmarkStart w:id="64" w:name="_Toc24592"/>
      <w:r>
        <w:rPr>
          <w:rFonts w:hint="eastAsia"/>
        </w:rPr>
        <w:t>四、财政拨款收入支出决算总体情况说明</w:t>
      </w:r>
      <w:bookmarkEnd w:id="60"/>
      <w:bookmarkEnd w:id="61"/>
      <w:bookmarkEnd w:id="62"/>
      <w:bookmarkEnd w:id="63"/>
      <w:bookmarkEnd w:id="64"/>
    </w:p>
    <w:p>
      <w:pPr>
        <w:keepLines w:val="0"/>
        <w:pageBreakBefore w:val="0"/>
        <w:widowControl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rPr>
        <w:t>2021年财政拨款收、支总计1064.54万元。与2020年相比，财政拨款收、支总计各减少137.22万元，下降12.9%</w:t>
      </w:r>
      <w:r>
        <w:rPr>
          <w:rFonts w:hint="eastAsia" w:ascii="仿宋_GB2312" w:hAnsi="仿宋_GB2312" w:eastAsia="仿宋_GB2312" w:cs="仿宋_GB2312"/>
          <w:szCs w:val="32"/>
        </w:rPr>
        <w:t>。主要变动原因是政府项目减少。</w:t>
      </w:r>
    </w:p>
    <w:p>
      <w:pPr>
        <w:pStyle w:val="2"/>
        <w:jc w:val="center"/>
        <w:rPr>
          <w:rFonts w:ascii="方正仿宋_GBK" w:hAnsi="方正仿宋_GBK" w:eastAsia="方正仿宋_GBK" w:cs="方正仿宋_GBK"/>
          <w:sz w:val="32"/>
          <w:szCs w:val="32"/>
        </w:rPr>
      </w:pPr>
      <w:r>
        <w:drawing>
          <wp:inline distT="0" distB="0" distL="114300" distR="114300">
            <wp:extent cx="4670425" cy="2933700"/>
            <wp:effectExtent l="19050" t="0" r="15875" b="0"/>
            <wp:docPr id="5"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pPr>
        <w:spacing w:line="576" w:lineRule="exact"/>
        <w:ind w:firstLine="640" w:firstLineChars="200"/>
        <w:jc w:val="center"/>
        <w:rPr>
          <w:rFonts w:hint="eastAsia"/>
        </w:rPr>
      </w:pPr>
      <w:bookmarkStart w:id="65" w:name="_Toc5288"/>
      <w:bookmarkStart w:id="66" w:name="_Toc15377209"/>
      <w:bookmarkStart w:id="67" w:name="_Toc21599"/>
      <w:bookmarkStart w:id="68" w:name="_Toc28119"/>
      <w:bookmarkStart w:id="69" w:name="_Toc15396607"/>
      <w:r>
        <w:rPr>
          <w:rFonts w:hint="eastAsia" w:ascii="仿宋_GB2312" w:hAnsi="仿宋_GB2312" w:eastAsia="仿宋_GB2312" w:cs="仿宋_GB2312"/>
        </w:rPr>
        <w:t>图4：</w:t>
      </w:r>
      <w:r>
        <w:rPr>
          <w:rFonts w:hint="eastAsia" w:ascii="仿宋_GB2312" w:hAnsi="仿宋_GB2312" w:eastAsia="仿宋_GB2312" w:cs="仿宋_GB2312"/>
          <w:szCs w:val="32"/>
        </w:rPr>
        <w:t>财政拨款收、支决算总计变动情况</w:t>
      </w:r>
    </w:p>
    <w:p>
      <w:pPr>
        <w:pStyle w:val="4"/>
        <w:pageBreakBefore w:val="0"/>
        <w:widowControl w:val="0"/>
        <w:kinsoku/>
        <w:wordWrap/>
        <w:topLinePunct w:val="0"/>
        <w:autoSpaceDE/>
        <w:autoSpaceDN/>
        <w:bidi w:val="0"/>
        <w:adjustRightInd/>
        <w:snapToGrid/>
        <w:spacing w:before="0" w:after="0" w:line="576" w:lineRule="exact"/>
        <w:ind w:firstLine="640" w:firstLineChars="200"/>
        <w:textAlignment w:val="auto"/>
      </w:pPr>
      <w:r>
        <w:rPr>
          <w:rFonts w:hint="eastAsia"/>
        </w:rPr>
        <w:t>五、一般公共预算财政拨款支出决算情况说明</w:t>
      </w:r>
      <w:bookmarkEnd w:id="65"/>
      <w:bookmarkEnd w:id="66"/>
      <w:bookmarkEnd w:id="67"/>
      <w:bookmarkEnd w:id="68"/>
      <w:bookmarkEnd w:id="69"/>
    </w:p>
    <w:p>
      <w:pPr>
        <w:pStyle w:val="5"/>
        <w:pageBreakBefore w:val="0"/>
        <w:widowControl w:val="0"/>
        <w:kinsoku/>
        <w:wordWrap/>
        <w:topLinePunct w:val="0"/>
        <w:autoSpaceDE/>
        <w:autoSpaceDN/>
        <w:bidi w:val="0"/>
        <w:adjustRightInd/>
        <w:snapToGrid/>
        <w:spacing w:before="0" w:after="0" w:line="576" w:lineRule="exact"/>
        <w:ind w:firstLine="640" w:firstLineChars="200"/>
        <w:textAlignment w:val="auto"/>
        <w:rPr>
          <w:rFonts w:ascii="仿宋_GB2312" w:hAnsi="仿宋_GB2312" w:eastAsia="仿宋_GB2312" w:cs="仿宋_GB2312"/>
        </w:rPr>
      </w:pPr>
      <w:bookmarkStart w:id="70" w:name="_Toc12438"/>
      <w:bookmarkStart w:id="71" w:name="_Toc15377210"/>
      <w:r>
        <w:rPr>
          <w:rFonts w:hint="eastAsia" w:ascii="楷体_GB2312" w:hAnsi="楷体_GB2312" w:eastAsia="楷体_GB2312" w:cs="楷体_GB2312"/>
        </w:rPr>
        <w:t>（一）一般公共预算财政拨款支出决算总体情况</w:t>
      </w:r>
      <w:bookmarkEnd w:id="70"/>
      <w:bookmarkEnd w:id="71"/>
    </w:p>
    <w:p>
      <w:pPr>
        <w:pageBreakBefore w:val="0"/>
        <w:widowControl w:val="0"/>
        <w:kinsoku/>
        <w:wordWrap/>
        <w:topLinePunct w:val="0"/>
        <w:autoSpaceDE/>
        <w:autoSpaceDN/>
        <w:bidi w:val="0"/>
        <w:adjustRightInd/>
        <w:snapToGrid/>
        <w:spacing w:line="576" w:lineRule="exact"/>
        <w:textAlignment w:val="auto"/>
        <w:rPr>
          <w:rFonts w:ascii="仿宋_GB2312" w:hAnsi="仿宋_GB2312" w:eastAsia="仿宋_GB2312" w:cs="仿宋_GB2312"/>
        </w:rPr>
      </w:pPr>
      <w:r>
        <w:rPr>
          <w:rFonts w:hint="eastAsia" w:ascii="仿宋_GB2312" w:hAnsi="仿宋_GB2312" w:eastAsia="仿宋_GB2312" w:cs="仿宋_GB2312"/>
        </w:rPr>
        <w:t>　　2021年一般公共预算财政拨款支出1019.54万元，占本年支出合计的95.8%。与2020年相比，一般公共预算财政拨款支出减少36.39万元，减少0.3%。主要变动原因是项目减少。</w:t>
      </w:r>
    </w:p>
    <w:p>
      <w:pPr>
        <w:pStyle w:val="2"/>
        <w:jc w:val="center"/>
        <w:rPr>
          <w:rFonts w:ascii="方正仿宋_GBK" w:hAnsi="方正仿宋_GBK" w:eastAsia="方正仿宋_GBK" w:cs="方正仿宋_GBK"/>
          <w:sz w:val="32"/>
          <w:szCs w:val="32"/>
        </w:rPr>
      </w:pPr>
      <w:r>
        <w:rPr>
          <w:sz w:val="24"/>
        </w:rPr>
        <mc:AlternateContent>
          <mc:Choice Requires="wps">
            <w:drawing>
              <wp:anchor distT="0" distB="0" distL="114300" distR="114300" simplePos="0" relativeHeight="251662336" behindDoc="0" locked="0" layoutInCell="1" allowOverlap="1">
                <wp:simplePos x="0" y="0"/>
                <wp:positionH relativeFrom="column">
                  <wp:posOffset>3692525</wp:posOffset>
                </wp:positionH>
                <wp:positionV relativeFrom="paragraph">
                  <wp:posOffset>230505</wp:posOffset>
                </wp:positionV>
                <wp:extent cx="1206500" cy="372745"/>
                <wp:effectExtent l="4445" t="4445" r="8255" b="16510"/>
                <wp:wrapNone/>
                <wp:docPr id="12" name="文本框 12"/>
                <wp:cNvGraphicFramePr/>
                <a:graphic xmlns:a="http://schemas.openxmlformats.org/drawingml/2006/main">
                  <a:graphicData uri="http://schemas.microsoft.com/office/word/2010/wordprocessingShape">
                    <wps:wsp>
                      <wps:cNvSpPr txBox="1"/>
                      <wps:spPr>
                        <a:xfrm>
                          <a:off x="4962525" y="1144905"/>
                          <a:ext cx="1206500" cy="372745"/>
                        </a:xfrm>
                        <a:prstGeom prst="rect">
                          <a:avLst/>
                        </a:prstGeom>
                        <a:solidFill>
                          <a:schemeClr val="lt1"/>
                        </a:solidFill>
                        <a:ln w="6350">
                          <a:solidFill>
                            <a:schemeClr val="bg1"/>
                          </a:solidFill>
                        </a:ln>
                      </wps:spPr>
                      <wps:style>
                        <a:lnRef idx="0">
                          <a:schemeClr val="accent1"/>
                        </a:lnRef>
                        <a:fillRef idx="0">
                          <a:schemeClr val="accent1"/>
                        </a:fillRef>
                        <a:effectRef idx="0">
                          <a:schemeClr val="accent1"/>
                        </a:effectRef>
                        <a:fontRef idx="minor">
                          <a:schemeClr val="dk1"/>
                        </a:fontRef>
                      </wps:style>
                      <wps:txbx>
                        <w:txbxContent>
                          <w:p>
                            <w:pPr>
                              <w:rPr>
                                <w:rFonts w:hint="default" w:eastAsia="仿宋"/>
                                <w:sz w:val="28"/>
                                <w:szCs w:val="28"/>
                                <w:lang w:val="en-US" w:eastAsia="zh-CN"/>
                              </w:rPr>
                            </w:pPr>
                            <w:r>
                              <w:rPr>
                                <w:rFonts w:hint="eastAsia"/>
                                <w:sz w:val="28"/>
                                <w:szCs w:val="28"/>
                                <w:lang w:val="en-US" w:eastAsia="zh-CN"/>
                              </w:rPr>
                              <w:t>单位：万元</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290.75pt;margin-top:18.15pt;height:29.35pt;width:95pt;z-index:251662336;mso-width-relative:page;mso-height-relative:page;" fillcolor="#FFFFFF [3201]" filled="t" stroked="t" coordsize="21600,21600" o:gfxdata="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">
                <v:fill on="t" focussize="0,0"/>
                <v:stroke weight="0.5pt" color="#FFFFFF [3212]" joinstyle="round"/>
                <v:imagedata o:title=""/>
                <o:lock v:ext="edit" aspectratio="f"/>
                <v:textbox>
                  <w:txbxContent>
                    <w:p>
                      <w:pPr>
                        <w:rPr>
                          <w:rFonts w:hint="default" w:eastAsia="仿宋"/>
                          <w:sz w:val="28"/>
                          <w:szCs w:val="28"/>
                          <w:lang w:val="en-US" w:eastAsia="zh-CN"/>
                        </w:rPr>
                      </w:pPr>
                      <w:r>
                        <w:rPr>
                          <w:rFonts w:hint="eastAsia"/>
                          <w:sz w:val="28"/>
                          <w:szCs w:val="28"/>
                          <w:lang w:val="en-US" w:eastAsia="zh-CN"/>
                        </w:rPr>
                        <w:t>单位：万元</w:t>
                      </w:r>
                    </w:p>
                  </w:txbxContent>
                </v:textbox>
              </v:shape>
            </w:pict>
          </mc:Fallback>
        </mc:AlternateContent>
      </w:r>
      <w:r>
        <w:rPr>
          <w:color w:val="000000" w:themeColor="text1"/>
          <w14:textFill>
            <w14:solidFill>
              <w14:schemeClr w14:val="tx1"/>
            </w14:solidFill>
          </w14:textFill>
        </w:rPr>
        <mc:AlternateContent>
          <mc:Choice Requires="wps">
            <w:drawing>
              <wp:anchor distT="0" distB="0" distL="114300" distR="114300" simplePos="0" relativeHeight="251661312" behindDoc="0" locked="0" layoutInCell="1" allowOverlap="1">
                <wp:simplePos x="0" y="0"/>
                <wp:positionH relativeFrom="column">
                  <wp:posOffset>323850</wp:posOffset>
                </wp:positionH>
                <wp:positionV relativeFrom="paragraph">
                  <wp:posOffset>2705100</wp:posOffset>
                </wp:positionV>
                <wp:extent cx="4648200" cy="19050"/>
                <wp:effectExtent l="0" t="4445" r="0" b="14605"/>
                <wp:wrapNone/>
                <wp:docPr id="1" name="自选图形 2"/>
                <wp:cNvGraphicFramePr/>
                <a:graphic xmlns:a="http://schemas.openxmlformats.org/drawingml/2006/main">
                  <a:graphicData uri="http://schemas.microsoft.com/office/word/2010/wordprocessingShape">
                    <wps:wsp>
                      <wps:cNvCnPr/>
                      <wps:spPr>
                        <a:xfrm flipV="1">
                          <a:off x="0" y="0"/>
                          <a:ext cx="4648200" cy="1905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自选图形 2" o:spid="_x0000_s1026" o:spt="32" type="#_x0000_t32" style="position:absolute;left:0pt;flip:y;margin-left:25.5pt;margin-top:213pt;height:1.5pt;width:366pt;z-index:251661312;mso-width-relative:page;mso-height-relative:page;" filled="f" stroked="t" coordsize="21600,21600" o:gfxdata="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AzGPe/XAAAACgEAAA8AAAAAAAAAAQAgAAAAIgAAAGRycy9kb3du&#10;cmV2LnhtbFBLAQIUABQAAAAIAIdO4kBC07C0AAIAAPEDAAAOAAAAAAAAAAEAIAAAACYBAABkcnMv&#10;ZTJvRG9jLnhtbFBLBQYAAAAABgAGAFkBAACYBQAAAAA=&#10;">
                <v:fill on="f" focussize="0,0"/>
                <v:stroke color="#000000" joinstyle="round"/>
                <v:imagedata o:title=""/>
                <o:lock v:ext="edit" aspectratio="f"/>
              </v:shape>
            </w:pict>
          </mc:Fallback>
        </mc:AlternateContent>
      </w:r>
      <w:r>
        <w:drawing>
          <wp:inline distT="0" distB="0" distL="0" distR="0">
            <wp:extent cx="4648200" cy="2762250"/>
            <wp:effectExtent l="19050" t="0" r="19050" b="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pPr>
        <w:jc w:val="center"/>
        <w:rPr>
          <w:rFonts w:hint="eastAsia" w:ascii="仿宋_GB2312" w:hAnsi="仿宋_GB2312" w:eastAsia="仿宋_GB2312" w:cs="仿宋_GB2312"/>
        </w:rPr>
      </w:pPr>
      <w:bookmarkStart w:id="72" w:name="_Toc15377211"/>
      <w:bookmarkStart w:id="73" w:name="_Toc26347"/>
      <w:r>
        <w:rPr>
          <w:rFonts w:hint="eastAsia" w:ascii="仿宋_GB2312" w:hAnsi="仿宋_GB2312" w:eastAsia="仿宋_GB2312" w:cs="仿宋_GB2312"/>
        </w:rPr>
        <w:t>图5：一般公共预算财政拨款支出决算变动情况</w:t>
      </w:r>
    </w:p>
    <w:p>
      <w:pPr>
        <w:pStyle w:val="5"/>
        <w:ind w:firstLine="640" w:firstLineChars="200"/>
        <w:rPr>
          <w:rFonts w:ascii="仿宋_GB2312" w:hAnsi="仿宋_GB2312" w:eastAsia="仿宋_GB2312" w:cs="仿宋_GB2312"/>
        </w:rPr>
      </w:pPr>
      <w:r>
        <w:rPr>
          <w:rFonts w:hint="eastAsia" w:ascii="楷体_GB2312" w:hAnsi="楷体_GB2312" w:eastAsia="楷体_GB2312" w:cs="楷体_GB2312"/>
        </w:rPr>
        <w:t>（二）一般公共预算财政拨款支出决算结构情况</w:t>
      </w:r>
      <w:bookmarkEnd w:id="72"/>
      <w:bookmarkEnd w:id="73"/>
    </w:p>
    <w:p>
      <w:pPr>
        <w:spacing w:line="576" w:lineRule="exact"/>
        <w:ind w:firstLine="640" w:firstLineChars="200"/>
        <w:rPr>
          <w:rFonts w:ascii="仿宋_GB2312" w:hAnsi="仿宋_GB2312" w:eastAsia="仿宋_GB2312" w:cs="仿宋_GB2312"/>
        </w:rPr>
      </w:pPr>
      <w:r>
        <w:rPr>
          <w:rFonts w:hint="eastAsia" w:ascii="仿宋_GB2312" w:hAnsi="仿宋_GB2312" w:eastAsia="仿宋_GB2312" w:cs="仿宋_GB2312"/>
        </w:rPr>
        <w:t>2021年一般公共预算财政拨款支出1019.54万元，主要用于以下方面：一般公共服务（类）支出349.61万元，占34.6%；文化旅游体育与传媒（类）支出18.07万元，占1.8%；社会保障和就业（类）支出136.22万元，占13.5%；卫生健康（类）支出20.79万元，占2.1%；农林水（类）支出444.32万元，占43.7%；住房保障（类）支出40.53万元，占3.9%；灾害防治及应急管理（类）支出10万元，占0.4%。</w:t>
      </w:r>
    </w:p>
    <w:p/>
    <w:p>
      <w:pPr>
        <w:pStyle w:val="2"/>
      </w:pPr>
    </w:p>
    <w:p>
      <w:pPr>
        <w:pStyle w:val="2"/>
      </w:pPr>
    </w:p>
    <w:p>
      <w:pPr>
        <w:pStyle w:val="2"/>
      </w:pPr>
      <w:r>
        <w:drawing>
          <wp:inline distT="0" distB="0" distL="114300" distR="114300">
            <wp:extent cx="5021580" cy="3474720"/>
            <wp:effectExtent l="19050" t="0" r="26670" b="0"/>
            <wp:docPr id="7"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pPr>
        <w:spacing w:line="576" w:lineRule="exact"/>
        <w:ind w:firstLine="640" w:firstLineChars="200"/>
        <w:rPr>
          <w:rFonts w:hint="eastAsia" w:ascii="仿宋_GB2312" w:hAnsi="仿宋_GB2312" w:eastAsia="仿宋_GB2312" w:cs="仿宋_GB2312"/>
        </w:rPr>
      </w:pPr>
      <w:bookmarkStart w:id="74" w:name="_Toc15377212"/>
      <w:bookmarkStart w:id="75" w:name="_Toc14972"/>
      <w:r>
        <w:rPr>
          <w:rFonts w:hint="eastAsia" w:ascii="仿宋_GB2312" w:hAnsi="仿宋_GB2312" w:eastAsia="仿宋_GB2312" w:cs="仿宋_GB2312"/>
        </w:rPr>
        <w:t>图6：一般公共预算财政拨款支出决</w:t>
      </w:r>
      <w:r>
        <w:rPr>
          <w:rFonts w:hint="eastAsia" w:ascii="仿宋_GB2312" w:hAnsi="仿宋_GB2312" w:eastAsia="仿宋_GB2312" w:cs="仿宋_GB2312"/>
          <w:szCs w:val="32"/>
        </w:rPr>
        <w:t>算结构</w:t>
      </w:r>
    </w:p>
    <w:p>
      <w:pPr>
        <w:pStyle w:val="5"/>
        <w:pageBreakBefore w:val="0"/>
        <w:widowControl w:val="0"/>
        <w:kinsoku/>
        <w:wordWrap/>
        <w:topLinePunct w:val="0"/>
        <w:autoSpaceDE/>
        <w:autoSpaceDN/>
        <w:bidi w:val="0"/>
        <w:adjustRightInd/>
        <w:snapToGrid/>
        <w:spacing w:before="0" w:after="0" w:line="576" w:lineRule="exact"/>
        <w:ind w:firstLine="640" w:firstLineChars="200"/>
        <w:textAlignment w:val="auto"/>
        <w:rPr>
          <w:rFonts w:hint="eastAsia" w:ascii="楷体_GB2312" w:hAnsi="楷体_GB2312" w:eastAsia="楷体_GB2312" w:cs="楷体_GB2312"/>
        </w:rPr>
      </w:pPr>
      <w:r>
        <w:rPr>
          <w:rFonts w:hint="eastAsia" w:ascii="楷体_GB2312" w:hAnsi="楷体_GB2312" w:eastAsia="楷体_GB2312" w:cs="楷体_GB2312"/>
        </w:rPr>
        <w:t>（三）一般公共预算财政拨款支出决算具体情况</w:t>
      </w:r>
      <w:bookmarkEnd w:id="74"/>
      <w:bookmarkEnd w:id="75"/>
    </w:p>
    <w:p>
      <w:pPr>
        <w:pageBreakBefore w:val="0"/>
        <w:widowControl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rPr>
      </w:pPr>
      <w:bookmarkStart w:id="76" w:name="_Toc15377444"/>
      <w:bookmarkStart w:id="77" w:name="_Toc15377213"/>
      <w:bookmarkStart w:id="78" w:name="_Toc11676"/>
      <w:bookmarkStart w:id="79" w:name="_Toc15378460"/>
      <w:r>
        <w:rPr>
          <w:rFonts w:hint="eastAsia" w:ascii="仿宋_GB2312" w:hAnsi="仿宋_GB2312" w:eastAsia="仿宋_GB2312" w:cs="仿宋_GB2312"/>
        </w:rPr>
        <w:t>2021年一般公共预算支出决算数为1019.54万元，完成预算100%。其中：</w:t>
      </w:r>
      <w:bookmarkEnd w:id="76"/>
      <w:bookmarkEnd w:id="77"/>
      <w:bookmarkEnd w:id="78"/>
      <w:bookmarkEnd w:id="79"/>
    </w:p>
    <w:p>
      <w:pPr>
        <w:pageBreakBefore w:val="0"/>
        <w:widowControl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1．</w:t>
      </w:r>
      <w:r>
        <w:rPr>
          <w:rFonts w:hint="eastAsia" w:ascii="仿宋_GB2312" w:hAnsi="仿宋_GB2312" w:eastAsia="仿宋_GB2312" w:cs="仿宋_GB2312"/>
          <w:b/>
          <w:bCs/>
        </w:rPr>
        <w:t>一般公共服务（类）政府办公厅(室)及相关机构事务（款）行政运行（项）:</w:t>
      </w:r>
      <w:r>
        <w:rPr>
          <w:rFonts w:hint="eastAsia" w:ascii="仿宋_GB2312" w:hAnsi="仿宋_GB2312" w:eastAsia="仿宋_GB2312" w:cs="仿宋_GB2312"/>
        </w:rPr>
        <w:t>支出决算为270.84万元，完成预算100%，决算数等于预算数。一般公共服务（类）政府办公厅(室)及相关机构事务（款）其他政府办公厅（室）及相关机构事务支出（项）:支出决算为22.50万元，完成预算100%，决算数等于预算数。一般公共服务支出（类）党委办公厅（室）及相关机构事务（款）行政运行（项）：支出决算为56.27万元，完成预算100%，决算数等于预算数。</w:t>
      </w:r>
    </w:p>
    <w:p>
      <w:pPr>
        <w:pageBreakBefore w:val="0"/>
        <w:widowControl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２．文化旅游体育与传媒（类）文化和旅游（款）文化和旅游管理事务（项）:</w:t>
      </w:r>
      <w:r>
        <w:rPr>
          <w:rFonts w:hint="eastAsia" w:ascii="仿宋_GB2312" w:hAnsi="仿宋_GB2312" w:eastAsia="仿宋_GB2312" w:cs="仿宋_GB2312"/>
        </w:rPr>
        <w:t>支出决算为18.07万元，完成预算100%，决算数等于预算数。</w:t>
      </w:r>
    </w:p>
    <w:p>
      <w:pPr>
        <w:pageBreakBefore w:val="0"/>
        <w:widowControl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３．社会保障和就业（类）行政事业单位养老支出（款）机关事业单位基本养老保险缴费支出（项）:</w:t>
      </w:r>
      <w:r>
        <w:rPr>
          <w:rFonts w:hint="eastAsia" w:ascii="仿宋_GB2312" w:hAnsi="仿宋_GB2312" w:eastAsia="仿宋_GB2312" w:cs="仿宋_GB2312"/>
        </w:rPr>
        <w:t>支出决算为39.77万元，完成预算100%，决算数等于预算数。社会保障和就业（类）行政事业单位养老支出（款）其他行政事业单位养老保险缴费支出（项）:支出决算为0.68万元，完成预算100%，决算数等于预算数。社会保障和就业（类）就业补助（款）其他就业补助支出（项）:支出决算为33.71万元，完成预算100%，决算数等于预算数。社会保障和就业（类）就业补助（款）公益性岗位补助支出（项）:支出决算为1.98万元，完成预算100%，决算数等于预算数。社会保障和就业（类）退役安置（款）其他退役安置支出（项）:支出决算为3万元，完成预算100%，决算数等于预算数。社会保障和就业（类）残疾人事业（款）其他残疾人事业支出（项）:支出决算为1.92万元，完成预算100%，决算数等于预算数。社会保障和就业（类）其他社会保障和就业（款）其他社会保障和就业支出（项）:支出决算为55.16万元，完成预算100%，决算数等于预算数。</w:t>
      </w:r>
    </w:p>
    <w:p>
      <w:pPr>
        <w:pageBreakBefore w:val="0"/>
        <w:widowControl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4．卫生健康（类）行政事业单位医疗（款）行政单位医疗支出（项）:</w:t>
      </w:r>
      <w:r>
        <w:rPr>
          <w:rFonts w:hint="eastAsia" w:ascii="仿宋_GB2312" w:hAnsi="仿宋_GB2312" w:eastAsia="仿宋_GB2312" w:cs="仿宋_GB2312"/>
        </w:rPr>
        <w:t>支出决算为10.60万元，完成预算100%，决算数等于预算数。卫生健康（类）行政事业单位医疗（款）事业单位医疗支出（项）:支出决算为10.19万元，完成预算100%，决算数等于预算数。</w:t>
      </w:r>
    </w:p>
    <w:p>
      <w:pPr>
        <w:pageBreakBefore w:val="0"/>
        <w:widowControl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5．</w:t>
      </w:r>
      <w:r>
        <w:rPr>
          <w:rFonts w:hint="eastAsia" w:ascii="仿宋_GB2312" w:hAnsi="仿宋_GB2312" w:eastAsia="仿宋_GB2312" w:cs="仿宋_GB2312"/>
          <w:b/>
          <w:bCs/>
          <w:szCs w:val="32"/>
          <w:lang w:val="zh-CN"/>
        </w:rPr>
        <w:t>农林水（类）农业农村（款）事业运行支出（项）：</w:t>
      </w:r>
      <w:r>
        <w:rPr>
          <w:rFonts w:hint="eastAsia" w:ascii="仿宋_GB2312" w:hAnsi="仿宋_GB2312" w:eastAsia="仿宋_GB2312" w:cs="仿宋_GB2312"/>
        </w:rPr>
        <w:t>支出决算为130.70万元，完成预算100%，决算数等于预算数。</w:t>
      </w:r>
      <w:r>
        <w:rPr>
          <w:rFonts w:hint="eastAsia" w:ascii="仿宋_GB2312" w:hAnsi="仿宋_GB2312" w:eastAsia="仿宋_GB2312" w:cs="仿宋_GB2312"/>
          <w:lang w:val="zh-CN"/>
        </w:rPr>
        <w:t>农林水（类）农业农村（款）农村道路建设支出（项）：</w:t>
      </w:r>
      <w:r>
        <w:rPr>
          <w:rFonts w:hint="eastAsia" w:ascii="仿宋_GB2312" w:hAnsi="仿宋_GB2312" w:eastAsia="仿宋_GB2312" w:cs="仿宋_GB2312"/>
        </w:rPr>
        <w:t>支出决算为50.00万元，完成预算100%，决算数等于预算数。</w:t>
      </w:r>
      <w:r>
        <w:rPr>
          <w:rFonts w:hint="eastAsia" w:ascii="仿宋_GB2312" w:hAnsi="仿宋_GB2312" w:eastAsia="仿宋_GB2312" w:cs="仿宋_GB2312"/>
          <w:lang w:val="zh-CN"/>
        </w:rPr>
        <w:t>农林水（类）农业农村（款）农村水利支出（项）：</w:t>
      </w:r>
      <w:r>
        <w:rPr>
          <w:rFonts w:hint="eastAsia" w:ascii="仿宋_GB2312" w:hAnsi="仿宋_GB2312" w:eastAsia="仿宋_GB2312" w:cs="仿宋_GB2312"/>
        </w:rPr>
        <w:t>支出决算为40.00万元，完成预算100%，决算数等于预算数。</w:t>
      </w:r>
      <w:r>
        <w:rPr>
          <w:rFonts w:hint="eastAsia" w:ascii="仿宋_GB2312" w:hAnsi="仿宋_GB2312" w:eastAsia="仿宋_GB2312" w:cs="仿宋_GB2312"/>
          <w:lang w:val="zh-CN"/>
        </w:rPr>
        <w:t>农林水（类）农村综合改革（款）对村民委员会和村党支部的补助支出（项）：</w:t>
      </w:r>
      <w:r>
        <w:rPr>
          <w:rFonts w:hint="eastAsia" w:ascii="仿宋_GB2312" w:hAnsi="仿宋_GB2312" w:eastAsia="仿宋_GB2312" w:cs="仿宋_GB2312"/>
        </w:rPr>
        <w:t>支出决算为223.62万元，完成预算100%，决算数等于预算数。</w:t>
      </w:r>
    </w:p>
    <w:p>
      <w:pPr>
        <w:pageBreakBefore w:val="0"/>
        <w:widowControl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6．</w:t>
      </w:r>
      <w:r>
        <w:rPr>
          <w:rFonts w:hint="eastAsia" w:ascii="仿宋_GB2312" w:hAnsi="仿宋_GB2312" w:eastAsia="仿宋_GB2312" w:cs="仿宋_GB2312"/>
          <w:b/>
          <w:bCs/>
          <w:szCs w:val="32"/>
          <w:lang w:val="zh-CN"/>
        </w:rPr>
        <w:t>住房保障（类）住房改革（款）住房公积金支出（项）：</w:t>
      </w:r>
      <w:r>
        <w:rPr>
          <w:rFonts w:hint="eastAsia" w:ascii="仿宋_GB2312" w:hAnsi="仿宋_GB2312" w:eastAsia="仿宋_GB2312" w:cs="仿宋_GB2312"/>
        </w:rPr>
        <w:t>支出决算为40.53万元，完成预算100%，决算数等于预算数。</w:t>
      </w:r>
    </w:p>
    <w:p>
      <w:pPr>
        <w:pageBreakBefore w:val="0"/>
        <w:widowControl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7．灾害防治及应急管理（类）自然灾害救灾及恢复重建（款）其他自然灾害救灾及恢复重建支出（项）：</w:t>
      </w:r>
      <w:r>
        <w:rPr>
          <w:rFonts w:hint="eastAsia" w:ascii="仿宋_GB2312" w:hAnsi="仿宋_GB2312" w:eastAsia="仿宋_GB2312" w:cs="仿宋_GB2312"/>
        </w:rPr>
        <w:t>支出决算为10万元，完成预算100%，决算数等于预算数。</w:t>
      </w:r>
    </w:p>
    <w:p>
      <w:pPr>
        <w:pStyle w:val="4"/>
        <w:pageBreakBefore w:val="0"/>
        <w:widowControl w:val="0"/>
        <w:kinsoku/>
        <w:wordWrap/>
        <w:topLinePunct w:val="0"/>
        <w:autoSpaceDE/>
        <w:autoSpaceDN/>
        <w:bidi w:val="0"/>
        <w:adjustRightInd/>
        <w:snapToGrid/>
        <w:spacing w:before="0" w:after="0" w:line="576" w:lineRule="exact"/>
        <w:textAlignment w:val="auto"/>
      </w:pPr>
      <w:bookmarkStart w:id="80" w:name="_Toc15377214"/>
      <w:bookmarkStart w:id="81" w:name="_Toc17432"/>
      <w:bookmarkStart w:id="82" w:name="_Toc23924"/>
      <w:bookmarkStart w:id="83" w:name="_Toc23884"/>
      <w:bookmarkStart w:id="84" w:name="_Toc15396608"/>
      <w:r>
        <w:rPr>
          <w:rFonts w:hint="eastAsia"/>
        </w:rPr>
        <w:t>六、一般公共预算财政拨款基本支出决算情况说明</w:t>
      </w:r>
      <w:bookmarkEnd w:id="80"/>
      <w:bookmarkEnd w:id="81"/>
      <w:bookmarkEnd w:id="82"/>
      <w:bookmarkEnd w:id="83"/>
      <w:bookmarkEnd w:id="84"/>
      <w:r>
        <w:rPr>
          <w:rFonts w:hint="eastAsia"/>
        </w:rPr>
        <w:tab/>
      </w:r>
    </w:p>
    <w:p>
      <w:pPr>
        <w:pageBreakBefore w:val="0"/>
        <w:widowControl w:val="0"/>
        <w:kinsoku/>
        <w:wordWrap/>
        <w:topLinePunct w:val="0"/>
        <w:autoSpaceDE/>
        <w:autoSpaceDN/>
        <w:bidi w:val="0"/>
        <w:adjustRightInd/>
        <w:snapToGrid/>
        <w:spacing w:line="576" w:lineRule="exact"/>
        <w:ind w:firstLine="596" w:firstLineChars="200"/>
        <w:textAlignment w:val="auto"/>
        <w:rPr>
          <w:rFonts w:hint="eastAsia" w:ascii="仿宋_GB2312" w:hAnsi="仿宋_GB2312" w:eastAsia="仿宋_GB2312" w:cs="仿宋_GB2312"/>
          <w:spacing w:val="-11"/>
          <w:sz w:val="32"/>
          <w:szCs w:val="32"/>
        </w:rPr>
      </w:pPr>
      <w:r>
        <w:rPr>
          <w:rFonts w:hint="eastAsia" w:ascii="仿宋_GB2312" w:hAnsi="仿宋_GB2312" w:eastAsia="仿宋_GB2312" w:cs="仿宋_GB2312"/>
          <w:spacing w:val="-11"/>
          <w:sz w:val="32"/>
          <w:szCs w:val="32"/>
        </w:rPr>
        <w:t>2021年一般公共预算财政拨款基本支出632.81万元，其中：</w:t>
      </w:r>
    </w:p>
    <w:p>
      <w:pPr>
        <w:pageBreakBefore w:val="0"/>
        <w:widowControl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rPr>
        <w:t>人员经费556.83万元，主要包括：基本工资、</w:t>
      </w:r>
      <w:r>
        <w:rPr>
          <w:rFonts w:hint="eastAsia" w:ascii="仿宋_GB2312" w:hAnsi="仿宋_GB2312" w:eastAsia="仿宋_GB2312" w:cs="仿宋_GB2312"/>
          <w:szCs w:val="32"/>
        </w:rPr>
        <w:t>津贴补贴、奖金、绩效工资、机关事业单位基本养老保险缴费、基本医疗保险缴费、其他社会保障缴费、住房公积金、其他工</w:t>
      </w:r>
      <w:r>
        <w:rPr>
          <w:rFonts w:hint="eastAsia" w:ascii="仿宋_GB2312" w:hAnsi="仿宋_GB2312" w:eastAsia="仿宋_GB2312" w:cs="仿宋_GB2312"/>
          <w:spacing w:val="-6"/>
          <w:sz w:val="32"/>
          <w:szCs w:val="32"/>
        </w:rPr>
        <w:t>资福利支出、遗属生活补助、其他对个人和家庭的补助支出等。</w:t>
      </w:r>
    </w:p>
    <w:p>
      <w:pPr>
        <w:pageBreakBefore w:val="0"/>
        <w:widowControl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公用经</w:t>
      </w:r>
      <w:r>
        <w:rPr>
          <w:rFonts w:hint="eastAsia" w:ascii="仿宋_GB2312" w:hAnsi="仿宋_GB2312" w:eastAsia="仿宋_GB2312" w:cs="仿宋_GB2312"/>
        </w:rPr>
        <w:t>费75.98万元，主要包括：办公费、印刷费、手续费、水费、电费、邮电费</w:t>
      </w:r>
      <w:r>
        <w:rPr>
          <w:rFonts w:hint="eastAsia" w:ascii="仿宋_GB2312" w:hAnsi="仿宋_GB2312" w:eastAsia="仿宋_GB2312" w:cs="仿宋_GB2312"/>
          <w:szCs w:val="32"/>
        </w:rPr>
        <w:t>、差旅费、维修（护）费、会议费、培训费、公务接待费、劳务费、工会经费、福利费、公务用车运行维护费、其他交通费、其他商品和服务支出等。</w:t>
      </w:r>
    </w:p>
    <w:p>
      <w:pPr>
        <w:pStyle w:val="4"/>
        <w:pageBreakBefore w:val="0"/>
        <w:widowControl w:val="0"/>
        <w:kinsoku/>
        <w:wordWrap/>
        <w:topLinePunct w:val="0"/>
        <w:autoSpaceDE/>
        <w:autoSpaceDN/>
        <w:bidi w:val="0"/>
        <w:adjustRightInd/>
        <w:snapToGrid/>
        <w:spacing w:before="0" w:after="0" w:line="576" w:lineRule="exact"/>
        <w:ind w:firstLine="640" w:firstLineChars="200"/>
        <w:textAlignment w:val="auto"/>
      </w:pPr>
      <w:bookmarkStart w:id="85" w:name="_Toc3064"/>
      <w:bookmarkStart w:id="86" w:name="_Toc22719"/>
      <w:bookmarkStart w:id="87" w:name="_Toc15396609"/>
      <w:bookmarkStart w:id="88" w:name="_Toc14321"/>
      <w:bookmarkStart w:id="89" w:name="_Toc15377215"/>
      <w:r>
        <w:rPr>
          <w:rFonts w:hint="eastAsia"/>
        </w:rPr>
        <w:t>七、“三公”经费财政拨款支出决算情况说明</w:t>
      </w:r>
      <w:bookmarkEnd w:id="85"/>
      <w:bookmarkEnd w:id="86"/>
      <w:bookmarkEnd w:id="87"/>
      <w:bookmarkEnd w:id="88"/>
      <w:bookmarkEnd w:id="89"/>
    </w:p>
    <w:p>
      <w:pPr>
        <w:pStyle w:val="5"/>
        <w:pageBreakBefore w:val="0"/>
        <w:widowControl w:val="0"/>
        <w:kinsoku/>
        <w:wordWrap/>
        <w:topLinePunct w:val="0"/>
        <w:autoSpaceDE/>
        <w:autoSpaceDN/>
        <w:bidi w:val="0"/>
        <w:adjustRightInd/>
        <w:snapToGrid/>
        <w:spacing w:before="0" w:after="0" w:line="576" w:lineRule="exact"/>
        <w:ind w:firstLine="640" w:firstLineChars="200"/>
        <w:textAlignment w:val="auto"/>
        <w:rPr>
          <w:rFonts w:ascii="仿宋_GB2312" w:hAnsi="仿宋_GB2312" w:eastAsia="仿宋_GB2312" w:cs="仿宋_GB2312"/>
        </w:rPr>
      </w:pPr>
      <w:bookmarkStart w:id="90" w:name="_Toc17773"/>
      <w:bookmarkStart w:id="91" w:name="_Toc15377216"/>
      <w:r>
        <w:rPr>
          <w:rFonts w:hint="eastAsia" w:ascii="楷体_GB2312" w:hAnsi="楷体_GB2312" w:eastAsia="楷体_GB2312" w:cs="楷体_GB2312"/>
        </w:rPr>
        <w:t>（一）“三公”经费财政拨款支出决算总体情况说</w:t>
      </w:r>
      <w:r>
        <w:rPr>
          <w:rFonts w:hint="eastAsia" w:ascii="仿宋_GB2312" w:hAnsi="仿宋_GB2312" w:eastAsia="仿宋_GB2312" w:cs="仿宋_GB2312"/>
        </w:rPr>
        <w:t>明</w:t>
      </w:r>
      <w:bookmarkEnd w:id="90"/>
      <w:bookmarkEnd w:id="91"/>
    </w:p>
    <w:p>
      <w:pPr>
        <w:pageBreakBefore w:val="0"/>
        <w:widowControl w:val="0"/>
        <w:kinsoku/>
        <w:wordWrap/>
        <w:topLinePunct w:val="0"/>
        <w:autoSpaceDE/>
        <w:autoSpaceDN/>
        <w:bidi w:val="0"/>
        <w:adjustRightInd/>
        <w:snapToGrid/>
        <w:spacing w:line="576" w:lineRule="exact"/>
        <w:ind w:firstLine="640"/>
        <w:textAlignment w:val="auto"/>
        <w:rPr>
          <w:rFonts w:ascii="仿宋" w:hAnsi="仿宋"/>
          <w:color w:val="000000"/>
          <w:szCs w:val="32"/>
        </w:rPr>
      </w:pPr>
      <w:r>
        <w:rPr>
          <w:rFonts w:hint="eastAsia" w:ascii="仿宋_GB2312" w:hAnsi="仿宋_GB2312" w:eastAsia="仿宋_GB2312" w:cs="仿宋_GB2312"/>
        </w:rPr>
        <w:t>2021年“三公”经费财政拨款支出决算为2.49万元，完成预算62.2%，决算数小于预算数的主要原因是单位厉行节约，结转资金结转下年支出等。</w:t>
      </w:r>
    </w:p>
    <w:p>
      <w:pPr>
        <w:pStyle w:val="5"/>
        <w:pageBreakBefore w:val="0"/>
        <w:widowControl w:val="0"/>
        <w:kinsoku/>
        <w:wordWrap/>
        <w:topLinePunct w:val="0"/>
        <w:autoSpaceDE/>
        <w:autoSpaceDN/>
        <w:bidi w:val="0"/>
        <w:adjustRightInd/>
        <w:snapToGrid/>
        <w:spacing w:before="0" w:after="0" w:line="576" w:lineRule="exact"/>
        <w:ind w:firstLine="640" w:firstLineChars="200"/>
        <w:textAlignment w:val="auto"/>
        <w:rPr>
          <w:rFonts w:hint="eastAsia" w:ascii="楷体_GB2312" w:hAnsi="楷体_GB2312" w:eastAsia="楷体_GB2312" w:cs="楷体_GB2312"/>
        </w:rPr>
      </w:pPr>
      <w:bookmarkStart w:id="92" w:name="_Toc575"/>
      <w:bookmarkStart w:id="93" w:name="_Toc15377217"/>
      <w:r>
        <w:rPr>
          <w:rFonts w:hint="eastAsia" w:ascii="楷体_GB2312" w:hAnsi="楷体_GB2312" w:eastAsia="楷体_GB2312" w:cs="楷体_GB2312"/>
        </w:rPr>
        <w:t>（二）“三公”经费财政拨款支出决算具体情况说明</w:t>
      </w:r>
      <w:bookmarkEnd w:id="92"/>
      <w:bookmarkEnd w:id="93"/>
    </w:p>
    <w:p>
      <w:pPr>
        <w:pageBreakBefore w:val="0"/>
        <w:widowControl w:val="0"/>
        <w:kinsoku/>
        <w:wordWrap/>
        <w:topLinePunct w:val="0"/>
        <w:autoSpaceDE/>
        <w:autoSpaceDN/>
        <w:bidi w:val="0"/>
        <w:adjustRightInd/>
        <w:snapToGrid/>
        <w:spacing w:line="576" w:lineRule="exact"/>
        <w:ind w:firstLine="640" w:firstLineChars="200"/>
        <w:textAlignment w:val="auto"/>
        <w:rPr>
          <w:rFonts w:hint="eastAsia" w:ascii="仿宋_GB2312" w:hAnsi="仿宋_GB2312" w:eastAsia="仿宋_GB2312" w:cs="仿宋_GB2312"/>
        </w:rPr>
      </w:pPr>
      <w:r>
        <w:rPr>
          <w:rFonts w:hint="eastAsia" w:ascii="仿宋_GB2312" w:hAnsi="仿宋_GB2312" w:eastAsia="仿宋_GB2312" w:cs="仿宋_GB2312"/>
        </w:rPr>
        <w:t>2021年“三公”经费财政拨款支出决算中，因公出国（境）费支出决算0万元，占0%；公务用车购置及运行维护费支出决算0万元，占0%；公务接待费支出决算2.49万元，占62.2%。具体情况如下：</w:t>
      </w:r>
    </w:p>
    <w:p>
      <w:pPr>
        <w:pStyle w:val="2"/>
      </w:pPr>
      <w:r>
        <w:rPr>
          <w:rFonts w:hint="eastAsia" w:eastAsiaTheme="minorEastAsia"/>
          <w:lang w:eastAsia="zh-CN"/>
        </w:rPr>
        <w:drawing>
          <wp:inline distT="0" distB="0" distL="114300" distR="114300">
            <wp:extent cx="5127625" cy="2834640"/>
            <wp:effectExtent l="4445" t="4445" r="11430" b="5715"/>
            <wp:docPr id="13" name="图表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pPr>
        <w:spacing w:line="576" w:lineRule="exact"/>
        <w:ind w:firstLine="640" w:firstLineChars="200"/>
        <w:jc w:val="center"/>
        <w:rPr>
          <w:rFonts w:hint="eastAsia" w:ascii="仿宋_GB2312" w:hAnsi="仿宋_GB2312" w:eastAsia="仿宋_GB2312" w:cs="仿宋_GB2312"/>
          <w:b/>
          <w:bCs/>
          <w:szCs w:val="32"/>
        </w:rPr>
      </w:pPr>
      <w:r>
        <w:rPr>
          <w:rFonts w:hint="eastAsia" w:ascii="仿宋_GB2312" w:hAnsi="仿宋_GB2312" w:eastAsia="仿宋_GB2312" w:cs="仿宋_GB2312"/>
          <w:szCs w:val="32"/>
        </w:rPr>
        <w:t>图7：“三公”经费财政拨款支出结构</w:t>
      </w:r>
    </w:p>
    <w:p>
      <w:pPr>
        <w:spacing w:line="576" w:lineRule="exact"/>
        <w:ind w:firstLine="643" w:firstLineChars="200"/>
        <w:rPr>
          <w:rFonts w:ascii="仿宋_GB2312" w:hAnsi="仿宋_GB2312" w:eastAsia="仿宋_GB2312" w:cs="仿宋_GB2312"/>
          <w:szCs w:val="32"/>
        </w:rPr>
      </w:pPr>
      <w:r>
        <w:rPr>
          <w:rFonts w:hint="eastAsia" w:ascii="仿宋_GB2312" w:hAnsi="仿宋_GB2312" w:eastAsia="仿宋_GB2312" w:cs="仿宋_GB2312"/>
          <w:b/>
          <w:bCs/>
          <w:szCs w:val="32"/>
        </w:rPr>
        <w:t>1．因公出国（境）经费支出</w:t>
      </w:r>
      <w:r>
        <w:rPr>
          <w:rFonts w:hint="eastAsia" w:ascii="仿宋_GB2312" w:hAnsi="仿宋_GB2312" w:eastAsia="仿宋_GB2312" w:cs="仿宋_GB2312"/>
        </w:rPr>
        <w:t>0万元</w:t>
      </w:r>
      <w:r>
        <w:rPr>
          <w:rFonts w:hint="eastAsia" w:ascii="仿宋_GB2312" w:hAnsi="仿宋_GB2312" w:eastAsia="仿宋_GB2312" w:cs="仿宋_GB2312"/>
          <w:szCs w:val="32"/>
        </w:rPr>
        <w:t>。</w:t>
      </w:r>
    </w:p>
    <w:p>
      <w:pPr>
        <w:spacing w:line="576" w:lineRule="exact"/>
        <w:rPr>
          <w:rFonts w:ascii="仿宋_GB2312" w:hAnsi="仿宋_GB2312" w:eastAsia="仿宋_GB2312" w:cs="仿宋_GB2312"/>
        </w:rPr>
      </w:pPr>
      <w:r>
        <w:rPr>
          <w:rFonts w:hint="eastAsia" w:ascii="仿宋_GB2312" w:hAnsi="仿宋_GB2312" w:eastAsia="仿宋_GB2312" w:cs="仿宋_GB2312"/>
          <w:b/>
          <w:bCs/>
          <w:szCs w:val="32"/>
        </w:rPr>
        <w:t>　　</w:t>
      </w:r>
      <w:r>
        <w:rPr>
          <w:rFonts w:hint="eastAsia" w:ascii="仿宋_GB2312" w:hAnsi="仿宋_GB2312" w:eastAsia="仿宋_GB2312" w:cs="仿宋_GB2312"/>
          <w:b/>
          <w:bCs/>
          <w:spacing w:val="-6"/>
          <w:sz w:val="32"/>
          <w:szCs w:val="32"/>
        </w:rPr>
        <w:t>２．公务用车购置及运行维护费支出</w:t>
      </w:r>
      <w:r>
        <w:rPr>
          <w:rFonts w:hint="eastAsia" w:ascii="仿宋_GB2312" w:hAnsi="仿宋_GB2312" w:eastAsia="仿宋_GB2312" w:cs="仿宋_GB2312"/>
          <w:spacing w:val="-6"/>
          <w:sz w:val="32"/>
          <w:szCs w:val="32"/>
        </w:rPr>
        <w:t>0万元,完成预算0%。</w:t>
      </w:r>
    </w:p>
    <w:p>
      <w:pPr>
        <w:pageBreakBefore w:val="0"/>
        <w:widowControl w:val="0"/>
        <w:kinsoku/>
        <w:wordWrap/>
        <w:topLinePunct w:val="0"/>
        <w:autoSpaceDE/>
        <w:autoSpaceDN/>
        <w:bidi w:val="0"/>
        <w:spacing w:line="576" w:lineRule="exact"/>
        <w:ind w:left="0" w:firstLine="640" w:firstLineChars="200"/>
        <w:textAlignment w:val="auto"/>
        <w:rPr>
          <w:rFonts w:ascii="仿宋_GB2312" w:hAnsi="仿宋_GB2312" w:eastAsia="仿宋_GB2312" w:cs="仿宋_GB2312"/>
        </w:rPr>
      </w:pPr>
      <w:r>
        <w:rPr>
          <w:rFonts w:hint="eastAsia" w:ascii="仿宋_GB2312" w:hAnsi="仿宋_GB2312" w:eastAsia="仿宋_GB2312" w:cs="仿宋_GB2312"/>
          <w:szCs w:val="32"/>
        </w:rPr>
        <w:t>其中：</w:t>
      </w:r>
      <w:r>
        <w:rPr>
          <w:rFonts w:hint="eastAsia" w:ascii="仿宋_GB2312" w:hAnsi="仿宋_GB2312" w:eastAsia="仿宋_GB2312" w:cs="仿宋_GB2312"/>
          <w:b/>
          <w:bCs/>
          <w:szCs w:val="32"/>
        </w:rPr>
        <w:t>公务用车购置支出</w:t>
      </w:r>
      <w:r>
        <w:rPr>
          <w:rFonts w:hint="eastAsia" w:ascii="仿宋_GB2312" w:hAnsi="仿宋_GB2312" w:eastAsia="仿宋_GB2312" w:cs="仿宋_GB2312"/>
        </w:rPr>
        <w:t>0万元。截至2021年12月底，单位共有公务用车0辆。</w:t>
      </w:r>
    </w:p>
    <w:p>
      <w:pPr>
        <w:pageBreakBefore w:val="0"/>
        <w:widowControl w:val="0"/>
        <w:kinsoku/>
        <w:wordWrap/>
        <w:topLinePunct w:val="0"/>
        <w:autoSpaceDE/>
        <w:autoSpaceDN/>
        <w:bidi w:val="0"/>
        <w:spacing w:line="576" w:lineRule="exact"/>
        <w:ind w:left="0"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公务用车运行维护费支出</w:t>
      </w:r>
      <w:r>
        <w:rPr>
          <w:rFonts w:hint="eastAsia" w:ascii="仿宋_GB2312" w:hAnsi="仿宋_GB2312" w:eastAsia="仿宋_GB2312" w:cs="仿宋_GB2312"/>
        </w:rPr>
        <w:t>0万元。</w:t>
      </w:r>
    </w:p>
    <w:p>
      <w:pPr>
        <w:pageBreakBefore w:val="0"/>
        <w:widowControl w:val="0"/>
        <w:kinsoku/>
        <w:wordWrap/>
        <w:topLinePunct w:val="0"/>
        <w:autoSpaceDE/>
        <w:autoSpaceDN/>
        <w:bidi w:val="0"/>
        <w:spacing w:line="576" w:lineRule="exact"/>
        <w:ind w:left="0" w:firstLine="643" w:firstLineChars="200"/>
        <w:textAlignment w:val="auto"/>
        <w:rPr>
          <w:rFonts w:ascii="仿宋_GB2312" w:hAnsi="仿宋_GB2312" w:eastAsia="仿宋_GB2312" w:cs="仿宋_GB2312"/>
          <w:szCs w:val="32"/>
        </w:rPr>
      </w:pPr>
      <w:r>
        <w:rPr>
          <w:rFonts w:hint="eastAsia" w:ascii="仿宋_GB2312" w:hAnsi="仿宋_GB2312" w:eastAsia="仿宋_GB2312" w:cs="仿宋_GB2312"/>
          <w:b/>
          <w:bCs/>
          <w:szCs w:val="32"/>
        </w:rPr>
        <w:t>3</w:t>
      </w:r>
      <w:r>
        <w:rPr>
          <w:rFonts w:hint="eastAsia" w:ascii="仿宋_GB2312" w:hAnsi="仿宋_GB2312" w:eastAsia="仿宋_GB2312" w:cs="仿宋_GB2312"/>
          <w:b/>
          <w:bCs/>
          <w:szCs w:val="32"/>
          <w:lang w:val="zh-CN"/>
        </w:rPr>
        <w:t>．</w:t>
      </w:r>
      <w:r>
        <w:rPr>
          <w:rFonts w:hint="eastAsia" w:ascii="仿宋_GB2312" w:hAnsi="仿宋_GB2312" w:eastAsia="仿宋_GB2312" w:cs="仿宋_GB2312"/>
          <w:b/>
          <w:bCs/>
          <w:szCs w:val="32"/>
        </w:rPr>
        <w:t>公务接待费支出</w:t>
      </w:r>
      <w:r>
        <w:rPr>
          <w:rFonts w:hint="eastAsia" w:ascii="仿宋_GB2312" w:hAnsi="仿宋_GB2312" w:eastAsia="仿宋_GB2312" w:cs="仿宋_GB2312"/>
        </w:rPr>
        <w:t>2.49万元，完成预算62.2%。公务接待费支出决算比2020年持平。</w:t>
      </w:r>
      <w:r>
        <w:rPr>
          <w:rFonts w:hint="eastAsia" w:ascii="仿宋_GB2312" w:hAnsi="仿宋_GB2312" w:eastAsia="仿宋_GB2312" w:cs="仿宋_GB2312"/>
          <w:szCs w:val="32"/>
        </w:rPr>
        <w:t>其中：</w:t>
      </w:r>
    </w:p>
    <w:p>
      <w:pPr>
        <w:pageBreakBefore w:val="0"/>
        <w:widowControl w:val="0"/>
        <w:kinsoku/>
        <w:wordWrap/>
        <w:topLinePunct w:val="0"/>
        <w:autoSpaceDE/>
        <w:autoSpaceDN/>
        <w:bidi w:val="0"/>
        <w:spacing w:line="576" w:lineRule="exact"/>
        <w:ind w:left="0"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国内公务接待支出</w:t>
      </w:r>
      <w:r>
        <w:rPr>
          <w:rFonts w:hint="eastAsia" w:ascii="仿宋_GB2312" w:hAnsi="仿宋_GB2312" w:eastAsia="仿宋_GB2312" w:cs="仿宋_GB2312"/>
        </w:rPr>
        <w:t>2.49万元，主要用于执行公务、开展业务活动开支的交通费、住宿费、用餐费等。国内公务接待86批次，432人次，共计支出2.49万元。</w:t>
      </w:r>
    </w:p>
    <w:p>
      <w:pPr>
        <w:pStyle w:val="4"/>
        <w:pageBreakBefore w:val="0"/>
        <w:widowControl w:val="0"/>
        <w:kinsoku/>
        <w:wordWrap/>
        <w:topLinePunct w:val="0"/>
        <w:autoSpaceDE/>
        <w:autoSpaceDN/>
        <w:bidi w:val="0"/>
        <w:spacing w:before="0" w:after="0" w:line="576" w:lineRule="exact"/>
        <w:ind w:left="0" w:firstLine="640" w:firstLineChars="200"/>
        <w:textAlignment w:val="auto"/>
      </w:pPr>
      <w:bookmarkStart w:id="94" w:name="_Toc31882"/>
      <w:bookmarkStart w:id="95" w:name="_Toc15396610"/>
      <w:bookmarkStart w:id="96" w:name="_Toc15377218"/>
      <w:bookmarkStart w:id="97" w:name="_Toc9066"/>
      <w:bookmarkStart w:id="98" w:name="_Toc15851"/>
      <w:r>
        <w:rPr>
          <w:rFonts w:hint="eastAsia"/>
        </w:rPr>
        <w:t>八、政府性基金预算支出决算情况说明</w:t>
      </w:r>
      <w:bookmarkEnd w:id="94"/>
      <w:bookmarkEnd w:id="95"/>
      <w:bookmarkEnd w:id="96"/>
      <w:bookmarkEnd w:id="97"/>
      <w:bookmarkEnd w:id="98"/>
    </w:p>
    <w:p>
      <w:pPr>
        <w:pageBreakBefore w:val="0"/>
        <w:widowControl w:val="0"/>
        <w:kinsoku/>
        <w:wordWrap/>
        <w:topLinePunct w:val="0"/>
        <w:autoSpaceDE/>
        <w:autoSpaceDN/>
        <w:bidi w:val="0"/>
        <w:spacing w:line="576" w:lineRule="exact"/>
        <w:ind w:left="0" w:firstLine="640" w:firstLineChars="200"/>
        <w:textAlignment w:val="auto"/>
        <w:rPr>
          <w:rFonts w:ascii="仿宋_GB2312" w:hAnsi="仿宋_GB2312" w:eastAsia="仿宋_GB2312"/>
          <w:szCs w:val="32"/>
        </w:rPr>
      </w:pPr>
      <w:r>
        <w:rPr>
          <w:rFonts w:hint="eastAsia" w:ascii="仿宋_GB2312" w:hAnsi="仿宋_GB2312" w:eastAsia="仿宋_GB2312" w:cs="仿宋_GB2312"/>
        </w:rPr>
        <w:t>2021年政府性基金预算财政拨款支出45万元。</w:t>
      </w:r>
    </w:p>
    <w:p>
      <w:pPr>
        <w:pStyle w:val="4"/>
        <w:pageBreakBefore w:val="0"/>
        <w:widowControl w:val="0"/>
        <w:kinsoku/>
        <w:wordWrap/>
        <w:topLinePunct w:val="0"/>
        <w:autoSpaceDE/>
        <w:autoSpaceDN/>
        <w:bidi w:val="0"/>
        <w:spacing w:before="0" w:after="0" w:line="576" w:lineRule="exact"/>
        <w:ind w:left="0" w:firstLine="640" w:firstLineChars="200"/>
        <w:textAlignment w:val="auto"/>
      </w:pPr>
      <w:bookmarkStart w:id="99" w:name="_Toc15396611"/>
      <w:bookmarkStart w:id="100" w:name="_Toc22644"/>
      <w:bookmarkStart w:id="101" w:name="_Toc30559"/>
      <w:bookmarkStart w:id="102" w:name="_Toc21423"/>
      <w:bookmarkStart w:id="103" w:name="_Toc15377219"/>
      <w:r>
        <w:rPr>
          <w:rFonts w:hint="eastAsia"/>
        </w:rPr>
        <w:t>九、国有资本经营预算支出决算情况说明</w:t>
      </w:r>
      <w:bookmarkEnd w:id="99"/>
      <w:bookmarkEnd w:id="100"/>
      <w:bookmarkEnd w:id="101"/>
      <w:bookmarkEnd w:id="102"/>
      <w:bookmarkEnd w:id="103"/>
    </w:p>
    <w:p>
      <w:pPr>
        <w:pageBreakBefore w:val="0"/>
        <w:widowControl w:val="0"/>
        <w:kinsoku/>
        <w:wordWrap/>
        <w:topLinePunct w:val="0"/>
        <w:autoSpaceDE/>
        <w:autoSpaceDN/>
        <w:bidi w:val="0"/>
        <w:spacing w:line="576" w:lineRule="exact"/>
        <w:ind w:left="0" w:firstLine="640" w:firstLineChars="200"/>
        <w:textAlignment w:val="auto"/>
        <w:rPr>
          <w:rFonts w:ascii="仿宋_GB2312" w:hAnsi="仿宋_GB2312" w:eastAsia="仿宋_GB2312" w:cs="仿宋_GB2312"/>
        </w:rPr>
      </w:pPr>
      <w:r>
        <w:rPr>
          <w:rFonts w:hint="eastAsia" w:ascii="仿宋_GB2312" w:hAnsi="仿宋_GB2312" w:eastAsia="仿宋_GB2312" w:cs="仿宋_GB2312"/>
        </w:rPr>
        <w:t>2021年国有资本经营预算财政拨款支出0万元。</w:t>
      </w:r>
    </w:p>
    <w:p>
      <w:pPr>
        <w:pStyle w:val="4"/>
        <w:pageBreakBefore w:val="0"/>
        <w:widowControl w:val="0"/>
        <w:kinsoku/>
        <w:wordWrap/>
        <w:topLinePunct w:val="0"/>
        <w:autoSpaceDE/>
        <w:autoSpaceDN/>
        <w:bidi w:val="0"/>
        <w:spacing w:before="0" w:after="0" w:line="576" w:lineRule="exact"/>
        <w:ind w:left="0" w:firstLine="640" w:firstLineChars="200"/>
        <w:textAlignment w:val="auto"/>
      </w:pPr>
      <w:bookmarkStart w:id="104" w:name="_Toc15377221"/>
      <w:bookmarkStart w:id="105" w:name="_Toc15396612"/>
      <w:bookmarkStart w:id="106" w:name="_Toc1483"/>
      <w:bookmarkStart w:id="107" w:name="_Toc20832"/>
      <w:bookmarkStart w:id="108" w:name="_Toc3936"/>
      <w:r>
        <w:rPr>
          <w:rFonts w:hint="eastAsia"/>
        </w:rPr>
        <w:t>十、其他重要事项的情况说明</w:t>
      </w:r>
      <w:bookmarkEnd w:id="104"/>
      <w:bookmarkEnd w:id="105"/>
      <w:bookmarkEnd w:id="106"/>
      <w:bookmarkEnd w:id="107"/>
      <w:bookmarkEnd w:id="108"/>
    </w:p>
    <w:p>
      <w:pPr>
        <w:pStyle w:val="5"/>
        <w:pageBreakBefore w:val="0"/>
        <w:widowControl w:val="0"/>
        <w:kinsoku/>
        <w:wordWrap/>
        <w:topLinePunct w:val="0"/>
        <w:autoSpaceDE/>
        <w:autoSpaceDN/>
        <w:bidi w:val="0"/>
        <w:spacing w:before="0" w:after="0" w:line="576" w:lineRule="exact"/>
        <w:ind w:left="0" w:firstLine="640" w:firstLineChars="200"/>
        <w:textAlignment w:val="auto"/>
        <w:rPr>
          <w:rFonts w:hint="eastAsia" w:ascii="楷体_GB2312" w:hAnsi="楷体_GB2312" w:eastAsia="楷体_GB2312" w:cs="楷体_GB2312"/>
        </w:rPr>
      </w:pPr>
      <w:bookmarkStart w:id="109" w:name="_Toc15377222"/>
      <w:bookmarkStart w:id="110" w:name="_Toc14703"/>
      <w:r>
        <w:rPr>
          <w:rFonts w:hint="eastAsia" w:ascii="楷体_GB2312" w:hAnsi="楷体_GB2312" w:eastAsia="楷体_GB2312" w:cs="楷体_GB2312"/>
        </w:rPr>
        <w:t>（一）机关运行经费支出情况</w:t>
      </w:r>
      <w:bookmarkEnd w:id="109"/>
      <w:bookmarkEnd w:id="110"/>
    </w:p>
    <w:p>
      <w:pPr>
        <w:pageBreakBefore w:val="0"/>
        <w:widowControl w:val="0"/>
        <w:kinsoku/>
        <w:wordWrap/>
        <w:topLinePunct w:val="0"/>
        <w:autoSpaceDE/>
        <w:autoSpaceDN/>
        <w:bidi w:val="0"/>
        <w:spacing w:line="576" w:lineRule="exact"/>
        <w:ind w:left="0" w:firstLine="640" w:firstLineChars="200"/>
        <w:textAlignment w:val="auto"/>
        <w:rPr>
          <w:rFonts w:ascii="仿宋_GB2312" w:hAnsi="仿宋_GB2312" w:eastAsia="仿宋_GB2312" w:cs="仿宋_GB2312"/>
        </w:rPr>
      </w:pPr>
      <w:r>
        <w:rPr>
          <w:rFonts w:hint="eastAsia" w:ascii="仿宋_GB2312" w:hAnsi="仿宋_GB2312" w:eastAsia="仿宋_GB2312" w:cs="仿宋_GB2312"/>
        </w:rPr>
        <w:t>2021年，本部门机关运行经费支出75.98万元，比2020年减少12.41万元，减少16.3.%。主要原因是单位机关例行节约，压缩公务开支。</w:t>
      </w:r>
    </w:p>
    <w:p>
      <w:pPr>
        <w:pStyle w:val="5"/>
        <w:pageBreakBefore w:val="0"/>
        <w:widowControl w:val="0"/>
        <w:kinsoku/>
        <w:wordWrap/>
        <w:topLinePunct w:val="0"/>
        <w:autoSpaceDE/>
        <w:autoSpaceDN/>
        <w:bidi w:val="0"/>
        <w:spacing w:before="0" w:after="0" w:line="576" w:lineRule="exact"/>
        <w:ind w:left="0" w:firstLine="640" w:firstLineChars="200"/>
        <w:textAlignment w:val="auto"/>
        <w:rPr>
          <w:rFonts w:hint="eastAsia" w:ascii="楷体_GB2312" w:hAnsi="楷体_GB2312" w:eastAsia="楷体_GB2312" w:cs="楷体_GB2312"/>
        </w:rPr>
      </w:pPr>
      <w:bookmarkStart w:id="111" w:name="_Toc15377223"/>
      <w:bookmarkStart w:id="112" w:name="_Toc30715"/>
      <w:r>
        <w:rPr>
          <w:rFonts w:hint="eastAsia" w:ascii="楷体_GB2312" w:hAnsi="楷体_GB2312" w:eastAsia="楷体_GB2312" w:cs="楷体_GB2312"/>
        </w:rPr>
        <w:t>（二）政府采购支出情况</w:t>
      </w:r>
      <w:bookmarkEnd w:id="111"/>
      <w:bookmarkEnd w:id="112"/>
    </w:p>
    <w:p>
      <w:pPr>
        <w:pageBreakBefore w:val="0"/>
        <w:widowControl w:val="0"/>
        <w:kinsoku/>
        <w:wordWrap/>
        <w:topLinePunct w:val="0"/>
        <w:autoSpaceDE/>
        <w:autoSpaceDN/>
        <w:bidi w:val="0"/>
        <w:spacing w:line="576" w:lineRule="exact"/>
        <w:ind w:left="0" w:firstLine="640" w:firstLineChars="200"/>
        <w:textAlignment w:val="auto"/>
        <w:rPr>
          <w:rFonts w:ascii="仿宋" w:hAnsi="仿宋"/>
          <w:b/>
          <w:color w:val="FF0000"/>
          <w:szCs w:val="32"/>
        </w:rPr>
      </w:pPr>
      <w:r>
        <w:rPr>
          <w:rFonts w:hint="eastAsia" w:ascii="仿宋_GB2312" w:hAnsi="仿宋_GB2312" w:eastAsia="仿宋_GB2312" w:cs="仿宋_GB2312"/>
        </w:rPr>
        <w:t>2021年，</w:t>
      </w:r>
      <w:r>
        <w:rPr>
          <w:rFonts w:hint="eastAsia" w:ascii="仿宋_GB2312" w:eastAsia="仿宋_GB2312"/>
          <w:color w:val="000000"/>
          <w:szCs w:val="32"/>
        </w:rPr>
        <w:t>本部门政府采购支出总额0万元，其中：政府采购货物支出0万元、政府采购工程支出0万元、政府采购服务支出0万元</w:t>
      </w:r>
      <w:r>
        <w:rPr>
          <w:rFonts w:hint="eastAsia" w:ascii="仿宋_GB2312" w:hAnsi="仿宋_GB2312" w:eastAsia="仿宋_GB2312" w:cs="仿宋_GB2312"/>
        </w:rPr>
        <w:t>。</w:t>
      </w:r>
    </w:p>
    <w:p>
      <w:pPr>
        <w:pStyle w:val="5"/>
        <w:pageBreakBefore w:val="0"/>
        <w:widowControl w:val="0"/>
        <w:kinsoku/>
        <w:wordWrap/>
        <w:topLinePunct w:val="0"/>
        <w:autoSpaceDE/>
        <w:autoSpaceDN/>
        <w:bidi w:val="0"/>
        <w:spacing w:before="0" w:after="0" w:line="576" w:lineRule="exact"/>
        <w:ind w:left="0" w:firstLine="640" w:firstLineChars="200"/>
        <w:textAlignment w:val="auto"/>
        <w:rPr>
          <w:rFonts w:hint="eastAsia" w:ascii="楷体_GB2312" w:hAnsi="楷体_GB2312" w:eastAsia="楷体_GB2312" w:cs="楷体_GB2312"/>
        </w:rPr>
      </w:pPr>
      <w:bookmarkStart w:id="113" w:name="_Toc19098"/>
      <w:bookmarkStart w:id="114" w:name="_Toc15377224"/>
      <w:r>
        <w:rPr>
          <w:rFonts w:hint="eastAsia" w:ascii="楷体_GB2312" w:hAnsi="楷体_GB2312" w:eastAsia="楷体_GB2312" w:cs="楷体_GB2312"/>
        </w:rPr>
        <w:t>（三）国有资产占有使用情况</w:t>
      </w:r>
      <w:bookmarkEnd w:id="113"/>
      <w:bookmarkEnd w:id="114"/>
    </w:p>
    <w:p>
      <w:pPr>
        <w:pageBreakBefore w:val="0"/>
        <w:widowControl w:val="0"/>
        <w:kinsoku/>
        <w:wordWrap/>
        <w:topLinePunct w:val="0"/>
        <w:autoSpaceDE/>
        <w:autoSpaceDN/>
        <w:bidi w:val="0"/>
        <w:spacing w:line="576" w:lineRule="exact"/>
        <w:ind w:left="0" w:firstLine="640" w:firstLineChars="200"/>
        <w:textAlignment w:val="auto"/>
        <w:rPr>
          <w:rFonts w:ascii="仿宋_GB2312" w:hAnsi="仿宋_GB2312" w:eastAsia="仿宋_GB2312" w:cs="仿宋_GB2312"/>
        </w:rPr>
      </w:pPr>
      <w:r>
        <w:rPr>
          <w:rFonts w:hint="eastAsia" w:ascii="仿宋_GB2312" w:hAnsi="仿宋_GB2312" w:eastAsia="仿宋_GB2312" w:cs="仿宋_GB2312"/>
        </w:rPr>
        <w:t>截至2021年12月31日，本部门共有车辆0辆，其中：主要领导干部用车0辆、机要通信用车0辆、应急保障用车0辆、其他用车0辆。单价50万元以上通用设备0台（套），单价100万元以上专用设备0台（套）。</w:t>
      </w:r>
    </w:p>
    <w:p>
      <w:pPr>
        <w:pStyle w:val="5"/>
        <w:pageBreakBefore w:val="0"/>
        <w:widowControl w:val="0"/>
        <w:kinsoku/>
        <w:wordWrap/>
        <w:topLinePunct w:val="0"/>
        <w:autoSpaceDE/>
        <w:autoSpaceDN/>
        <w:bidi w:val="0"/>
        <w:spacing w:before="0" w:after="0" w:line="576" w:lineRule="exact"/>
        <w:ind w:left="0" w:firstLine="640" w:firstLineChars="200"/>
        <w:textAlignment w:val="auto"/>
        <w:rPr>
          <w:rFonts w:hint="eastAsia" w:ascii="楷体_GB2312" w:hAnsi="楷体_GB2312" w:eastAsia="楷体_GB2312" w:cs="楷体_GB2312"/>
        </w:rPr>
      </w:pPr>
      <w:bookmarkStart w:id="115" w:name="_Toc4263"/>
      <w:r>
        <w:rPr>
          <w:rFonts w:hint="eastAsia" w:ascii="楷体_GB2312" w:hAnsi="楷体_GB2312" w:eastAsia="楷体_GB2312" w:cs="楷体_GB2312"/>
        </w:rPr>
        <w:t>（四）预算绩效管理情况</w:t>
      </w:r>
      <w:bookmarkEnd w:id="115"/>
    </w:p>
    <w:p>
      <w:pPr>
        <w:pageBreakBefore w:val="0"/>
        <w:widowControl w:val="0"/>
        <w:kinsoku/>
        <w:wordWrap/>
        <w:topLinePunct w:val="0"/>
        <w:autoSpaceDE/>
        <w:autoSpaceDN/>
        <w:bidi w:val="0"/>
        <w:spacing w:line="576" w:lineRule="exact"/>
        <w:ind w:left="0" w:firstLine="640" w:firstLineChars="200"/>
        <w:textAlignment w:val="auto"/>
        <w:rPr>
          <w:rFonts w:ascii="仿宋_GB2312" w:hAnsi="仿宋_GB2312" w:eastAsia="仿宋_GB2312" w:cs="仿宋_GB2312"/>
        </w:rPr>
      </w:pPr>
      <w:r>
        <w:rPr>
          <w:rFonts w:hint="eastAsia" w:ascii="仿宋_GB2312" w:hAnsi="仿宋_GB2312" w:eastAsia="仿宋_GB2312" w:cs="仿宋_GB2312"/>
        </w:rPr>
        <w:t>根据预算绩效管理要求，本部门在年初预算编制阶段，组织对本部门项目开展了预算事前绩效评估，对5个项目编制了绩效目标，预算执行过程中，选取5个项目开展绩效监控，年终执行完毕后，对5个项目开展了绩效目标完成情况梳理填报。</w:t>
      </w:r>
    </w:p>
    <w:p>
      <w:pPr>
        <w:pageBreakBefore w:val="0"/>
        <w:widowControl w:val="0"/>
        <w:kinsoku/>
        <w:wordWrap/>
        <w:topLinePunct w:val="0"/>
        <w:autoSpaceDE/>
        <w:autoSpaceDN/>
        <w:bidi w:val="0"/>
        <w:spacing w:line="576" w:lineRule="exact"/>
        <w:ind w:left="0" w:firstLine="640" w:firstLineChars="200"/>
        <w:textAlignment w:val="auto"/>
        <w:rPr>
          <w:rFonts w:ascii="仿宋_GB2312" w:hAnsi="仿宋_GB2312" w:eastAsia="仿宋_GB2312" w:cs="仿宋_GB2312"/>
        </w:rPr>
      </w:pPr>
      <w:r>
        <w:rPr>
          <w:rFonts w:hint="eastAsia" w:ascii="仿宋_GB2312" w:hAnsi="仿宋_GB2312" w:eastAsia="仿宋_GB2312" w:cs="仿宋_GB2312"/>
        </w:rPr>
        <w:t>本部门按要求对2021年部门整体支出开展绩效自评，从评价情况来看，单位积极履职，强化管理，较好地完成了年度工作目标。通过加强预算收支管理，不断健全内部管理制度，梳理内部管理流程，部门整体支出管理水平得到提升。根据部门整体支出绩效评价指标体系，从预算编制、预算执行、综合管理、整体效益等方面开展自评，我单位2021年度评价得分为95分，但在预算执行进度方面还存在不及时的问题。本部门还自行组织了5个项目绩效评价，从评价情况来看，达到了预先绩效目标的要求。</w:t>
      </w:r>
    </w:p>
    <w:p>
      <w:pPr>
        <w:pageBreakBefore w:val="0"/>
        <w:widowControl w:val="0"/>
        <w:kinsoku/>
        <w:wordWrap/>
        <w:topLinePunct w:val="0"/>
        <w:autoSpaceDE/>
        <w:autoSpaceDN/>
        <w:bidi w:val="0"/>
        <w:spacing w:line="576" w:lineRule="exact"/>
        <w:ind w:left="0" w:firstLine="643" w:firstLineChars="200"/>
        <w:jc w:val="left"/>
        <w:textAlignment w:val="auto"/>
        <w:rPr>
          <w:rFonts w:ascii="仿宋_GB2312" w:hAnsi="仿宋_GB2312" w:eastAsia="仿宋_GB2312" w:cs="仿宋_GB2312"/>
          <w:b/>
          <w:bCs/>
          <w:szCs w:val="32"/>
        </w:rPr>
      </w:pPr>
      <w:r>
        <w:rPr>
          <w:rFonts w:hint="eastAsia" w:ascii="仿宋_GB2312" w:hAnsi="仿宋_GB2312" w:eastAsia="仿宋_GB2312" w:cs="仿宋_GB2312"/>
          <w:b/>
          <w:bCs/>
          <w:szCs w:val="32"/>
        </w:rPr>
        <w:t>1．项目绩效目标完成情况</w:t>
      </w:r>
    </w:p>
    <w:p>
      <w:pPr>
        <w:pStyle w:val="6"/>
        <w:pageBreakBefore w:val="0"/>
        <w:widowControl w:val="0"/>
        <w:tabs>
          <w:tab w:val="left" w:pos="1677"/>
        </w:tabs>
        <w:kinsoku/>
        <w:wordWrap/>
        <w:topLinePunct w:val="0"/>
        <w:autoSpaceDE/>
        <w:autoSpaceDN/>
        <w:bidi w:val="0"/>
        <w:adjustRightInd w:val="0"/>
        <w:snapToGrid w:val="0"/>
        <w:spacing w:beforeLines="0" w:line="576" w:lineRule="exact"/>
        <w:ind w:left="0" w:firstLine="643" w:firstLineChars="200"/>
        <w:textAlignment w:val="auto"/>
        <w:rPr>
          <w:rFonts w:hAnsi="仿宋_GB2312" w:cs="仿宋_GB2312"/>
          <w:kern w:val="2"/>
          <w:sz w:val="32"/>
        </w:rPr>
      </w:pPr>
      <w:r>
        <w:rPr>
          <w:rFonts w:hint="eastAsia" w:ascii="仿宋_GB2312" w:hAnsi="仿宋_GB2312" w:eastAsia="仿宋_GB2312" w:cs="仿宋_GB2312"/>
          <w:b/>
          <w:bCs/>
          <w:kern w:val="2"/>
          <w:sz w:val="32"/>
          <w:szCs w:val="32"/>
          <w:lang w:val="en-US" w:eastAsia="zh-CN" w:bidi="ar-SA"/>
        </w:rPr>
        <w:t>（1）对村民委员会和村党支部的补助项目绩效目标完成情况综述。</w:t>
      </w:r>
      <w:r>
        <w:rPr>
          <w:rFonts w:hint="eastAsia" w:hAnsi="仿宋_GB2312" w:cs="仿宋_GB2312"/>
          <w:kern w:val="2"/>
          <w:sz w:val="32"/>
        </w:rPr>
        <w:t>项目全年预算数223.62万元，执行数为223.62万元，完成预算的100%。通过项目实施，保障了全镇6个行政村，农村社区1个的村（社区）正常运行及干部报酬的发放，支持了农村基础设施建设，提高了农村基层干部的素质和战斗力，维护了社会稳定，解决了村内最急需、群众最急盼、受益最直接的突出问题，促进了农业生产、方便村民生活，建立村民民主参与、民主议事、民主决策、民主监督的农村公共服务运行维护管理体系。确保环境类、服务类、社会管理类项目正常运行。通过项目实施，发现的主要问题：资金方面，经费的资金投入结构目前较为单一，主要是政府投资，基层干部报酬低的问题难以解决。下一步改进措施：要通过发展壮大集体经济，创收节支解决资金不足的问题。</w:t>
      </w:r>
    </w:p>
    <w:p>
      <w:pPr>
        <w:pageBreakBefore w:val="0"/>
        <w:widowControl w:val="0"/>
        <w:kinsoku/>
        <w:wordWrap/>
        <w:topLinePunct w:val="0"/>
        <w:autoSpaceDE/>
        <w:autoSpaceDN/>
        <w:bidi w:val="0"/>
        <w:spacing w:line="576" w:lineRule="exact"/>
        <w:ind w:left="0"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（2）对农村基础设施建设项目绩效目标完成情况综述。</w:t>
      </w:r>
      <w:r>
        <w:rPr>
          <w:rFonts w:hint="eastAsia" w:ascii="仿宋_GB2312" w:hAnsi="仿宋_GB2312" w:eastAsia="仿宋_GB2312" w:cs="仿宋_GB2312"/>
        </w:rPr>
        <w:t>项目全年预算数70.00万元，执行数为70.00万元，完成预算的100%。通过项目实施，保障了全镇6个行政村的道路建设、塘堰建设等基础设施设备建设，改善农村生活条件。通过项目实施，发现的主要问题：资金方面，项目实施后缺少后续管护运行经费。下一步改进措施，在村级办公经费及公共运行经费中安排管护资金，确保基础设施建设运行顺畅，改善居民生活条件。</w:t>
      </w:r>
    </w:p>
    <w:p>
      <w:pPr>
        <w:pageBreakBefore w:val="0"/>
        <w:widowControl w:val="0"/>
        <w:kinsoku/>
        <w:wordWrap/>
        <w:topLinePunct w:val="0"/>
        <w:autoSpaceDE/>
        <w:autoSpaceDN/>
        <w:bidi w:val="0"/>
        <w:spacing w:line="576" w:lineRule="exact"/>
        <w:ind w:left="0"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（3）对就业补助项目绩效目标完成情况综述。</w:t>
      </w:r>
      <w:r>
        <w:rPr>
          <w:rFonts w:hint="eastAsia" w:ascii="仿宋_GB2312" w:hAnsi="仿宋_GB2312" w:eastAsia="仿宋_GB2312" w:cs="仿宋_GB2312"/>
        </w:rPr>
        <w:t>项目全年预算数33.71万元，执行数为33.71万元，完成预算的100%。通过项目实施，保障农村创业就业补助、普通公益性岗位及贫困公益性岗位的补贴以及普通公益性岗位的社会保险补贴，推动农村工作发展。通过项目实施，发现的主要问题：资金使用，项目实施后公岗人员未定期到岗履职尽责。。下一步改进措施：按季度考核，督促公岗人员尽职履职，发挥就业补助实际效益。</w:t>
      </w:r>
    </w:p>
    <w:p>
      <w:pPr>
        <w:pageBreakBefore w:val="0"/>
        <w:widowControl w:val="0"/>
        <w:kinsoku/>
        <w:wordWrap/>
        <w:topLinePunct w:val="0"/>
        <w:autoSpaceDE/>
        <w:autoSpaceDN/>
        <w:bidi w:val="0"/>
        <w:spacing w:line="576" w:lineRule="exact"/>
        <w:ind w:left="0"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（4）对污水处理站运行维护项目绩效目标完成情况综述。</w:t>
      </w:r>
      <w:r>
        <w:rPr>
          <w:rFonts w:hint="eastAsia" w:ascii="仿宋_GB2312" w:hAnsi="仿宋_GB2312" w:eastAsia="仿宋_GB2312" w:cs="仿宋_GB2312"/>
        </w:rPr>
        <w:t>项目全年预算数10.00万元，执行数为10.00万元，完成预算的100%。通过项目实施，保障污水处理站设备及维护运转的正常运行，改善水环境质量，达到远程实时掌握污水处理站的运行情况，确保出口水水质稳定达标。通过项目实施，发现的主要问题：资金使用，项目实施后后期运行费用成本叫高，资金较少。下一步改进措施：在年度预算内安排资金，确保污水处理站的正常运转。</w:t>
      </w:r>
    </w:p>
    <w:p>
      <w:pPr>
        <w:pageBreakBefore w:val="0"/>
        <w:widowControl w:val="0"/>
        <w:kinsoku/>
        <w:wordWrap/>
        <w:topLinePunct w:val="0"/>
        <w:autoSpaceDE/>
        <w:autoSpaceDN/>
        <w:bidi w:val="0"/>
        <w:spacing w:line="576" w:lineRule="exact"/>
        <w:ind w:left="0"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（5）对</w:t>
      </w:r>
      <w:r>
        <w:rPr>
          <w:rFonts w:hint="eastAsia" w:ascii="仿宋_GB2312" w:hAnsi="仿宋_GB2312" w:eastAsia="仿宋_GB2312" w:cs="仿宋_GB2312"/>
          <w:b/>
          <w:bCs/>
          <w:szCs w:val="32"/>
          <w:lang w:eastAsia="zh-CN"/>
        </w:rPr>
        <w:t>龙井</w:t>
      </w:r>
      <w:bookmarkStart w:id="199" w:name="_GoBack"/>
      <w:bookmarkEnd w:id="199"/>
      <w:r>
        <w:rPr>
          <w:rFonts w:hint="eastAsia" w:ascii="仿宋_GB2312" w:hAnsi="仿宋_GB2312" w:eastAsia="仿宋_GB2312" w:cs="仿宋_GB2312"/>
          <w:b/>
          <w:bCs/>
          <w:szCs w:val="32"/>
        </w:rPr>
        <w:t>村洪灾恢复重建项目绩效目标完成情况综述。</w:t>
      </w:r>
      <w:r>
        <w:rPr>
          <w:rFonts w:hint="eastAsia" w:ascii="仿宋_GB2312" w:hAnsi="仿宋_GB2312" w:eastAsia="仿宋_GB2312" w:cs="仿宋_GB2312"/>
        </w:rPr>
        <w:t>项目全年预算数10万元，执行数为10万元，完成预算的100%。通过项目实施，修复道路50米、堡坎1处、排水沟200米。通过项目实施，发现的主要问题：资金方面，项目实施后缺少后续管护运行经费。下一步改进措施，在村级办公经费及公共运行经费中安排管护资金，确保基础设施建设运行顺畅，改善居民生活条件。</w:t>
      </w:r>
    </w:p>
    <w:p>
      <w:pPr>
        <w:spacing w:line="576" w:lineRule="exact"/>
        <w:rPr>
          <w:rFonts w:ascii="仿宋_GB2312" w:hAnsi="仿宋_GB2312" w:eastAsia="仿宋_GB2312" w:cs="仿宋_GB2312"/>
          <w:szCs w:val="32"/>
        </w:rPr>
      </w:pPr>
    </w:p>
    <w:p>
      <w:pPr>
        <w:snapToGrid w:val="0"/>
        <w:spacing w:line="600" w:lineRule="exact"/>
        <w:rPr>
          <w:rFonts w:ascii="仿宋_GB2312" w:hAnsi="仿宋_GB2312" w:eastAsia="仿宋_GB2312"/>
          <w:szCs w:val="32"/>
        </w:rPr>
      </w:pPr>
    </w:p>
    <w:p>
      <w:pPr>
        <w:pStyle w:val="2"/>
      </w:pPr>
    </w:p>
    <w:p>
      <w:pPr>
        <w:pStyle w:val="2"/>
        <w:rPr>
          <w:rFonts w:ascii="楷体_GB2312" w:hAnsi="楷体_GB2312" w:eastAsia="楷体_GB2312" w:cs="楷体_GB2312"/>
          <w:kern w:val="2"/>
          <w:sz w:val="32"/>
          <w:szCs w:val="32"/>
        </w:rPr>
      </w:pPr>
    </w:p>
    <w:tbl>
      <w:tblPr>
        <w:tblStyle w:val="13"/>
        <w:tblpPr w:leftFromText="180" w:rightFromText="180" w:vertAnchor="text" w:horzAnchor="page" w:tblpXSpec="center" w:tblpY="624"/>
        <w:tblOverlap w:val="never"/>
        <w:tblW w:w="5101" w:type="pct"/>
        <w:jc w:val="center"/>
        <w:tblLayout w:type="autofit"/>
        <w:tblCellMar>
          <w:top w:w="0" w:type="dxa"/>
          <w:left w:w="0" w:type="dxa"/>
          <w:bottom w:w="0" w:type="dxa"/>
          <w:right w:w="0" w:type="dxa"/>
        </w:tblCellMar>
      </w:tblPr>
      <w:tblGrid>
        <w:gridCol w:w="620"/>
        <w:gridCol w:w="1259"/>
        <w:gridCol w:w="946"/>
        <w:gridCol w:w="2199"/>
        <w:gridCol w:w="1852"/>
        <w:gridCol w:w="1628"/>
      </w:tblGrid>
      <w:tr>
        <w:tblPrEx>
          <w:tblCellMar>
            <w:top w:w="0" w:type="dxa"/>
            <w:left w:w="0" w:type="dxa"/>
            <w:bottom w:w="0" w:type="dxa"/>
            <w:right w:w="0" w:type="dxa"/>
          </w:tblCellMar>
        </w:tblPrEx>
        <w:trPr>
          <w:trHeight w:val="1034" w:hRule="atLeast"/>
          <w:jc w:val="center"/>
        </w:trPr>
        <w:tc>
          <w:tcPr>
            <w:tcW w:w="5000" w:type="pct"/>
            <w:gridSpan w:val="6"/>
            <w:tcMar>
              <w:top w:w="15" w:type="dxa"/>
              <w:left w:w="15" w:type="dxa"/>
              <w:bottom w:w="0" w:type="dxa"/>
              <w:right w:w="15" w:type="dxa"/>
            </w:tcMar>
            <w:vAlign w:val="center"/>
          </w:tcPr>
          <w:p>
            <w:pPr>
              <w:pStyle w:val="24"/>
              <w:widowControl/>
              <w:ind w:firstLine="0" w:firstLineChars="0"/>
              <w:jc w:val="center"/>
              <w:textAlignment w:val="center"/>
              <w:rPr>
                <w:rFonts w:hint="eastAsia" w:ascii="黑体" w:hAnsi="黑体" w:eastAsia="黑体" w:cs="宋体"/>
                <w:bCs/>
                <w:kern w:val="0"/>
                <w:sz w:val="36"/>
                <w:szCs w:val="36"/>
              </w:rPr>
            </w:pPr>
          </w:p>
          <w:p>
            <w:pPr>
              <w:pStyle w:val="24"/>
              <w:widowControl/>
              <w:ind w:firstLine="0" w:firstLineChars="0"/>
              <w:jc w:val="center"/>
              <w:textAlignment w:val="center"/>
              <w:rPr>
                <w:rFonts w:hint="eastAsia" w:ascii="黑体" w:hAnsi="黑体" w:eastAsia="黑体" w:cs="宋体"/>
                <w:bCs/>
                <w:kern w:val="0"/>
                <w:sz w:val="36"/>
                <w:szCs w:val="36"/>
              </w:rPr>
            </w:pPr>
          </w:p>
          <w:p>
            <w:pPr>
              <w:pStyle w:val="24"/>
              <w:widowControl/>
              <w:ind w:firstLine="0" w:firstLineChars="0"/>
              <w:jc w:val="center"/>
              <w:textAlignment w:val="center"/>
              <w:rPr>
                <w:rFonts w:hint="eastAsia" w:ascii="黑体" w:hAnsi="黑体" w:eastAsia="黑体" w:cs="宋体"/>
                <w:bCs/>
                <w:kern w:val="0"/>
                <w:sz w:val="36"/>
                <w:szCs w:val="36"/>
              </w:rPr>
            </w:pPr>
          </w:p>
          <w:p>
            <w:pPr>
              <w:pStyle w:val="24"/>
              <w:widowControl/>
              <w:ind w:firstLine="0" w:firstLineChars="0"/>
              <w:jc w:val="center"/>
              <w:textAlignment w:val="center"/>
              <w:rPr>
                <w:rFonts w:hint="eastAsia" w:ascii="黑体" w:hAnsi="黑体" w:eastAsia="黑体" w:cs="宋体"/>
                <w:bCs/>
                <w:kern w:val="0"/>
                <w:sz w:val="36"/>
                <w:szCs w:val="36"/>
              </w:rPr>
            </w:pPr>
          </w:p>
          <w:p>
            <w:pPr>
              <w:pStyle w:val="24"/>
              <w:widowControl/>
              <w:ind w:firstLine="0" w:firstLineChars="0"/>
              <w:jc w:val="center"/>
              <w:textAlignment w:val="center"/>
              <w:rPr>
                <w:rFonts w:hint="eastAsia" w:ascii="黑体" w:hAnsi="黑体" w:eastAsia="黑体" w:cs="宋体"/>
                <w:bCs/>
                <w:kern w:val="0"/>
                <w:sz w:val="36"/>
                <w:szCs w:val="36"/>
              </w:rPr>
            </w:pPr>
          </w:p>
          <w:p>
            <w:pPr>
              <w:pStyle w:val="24"/>
              <w:widowControl/>
              <w:ind w:firstLine="0" w:firstLineChars="0"/>
              <w:jc w:val="center"/>
              <w:textAlignment w:val="center"/>
              <w:rPr>
                <w:rFonts w:hint="eastAsia" w:ascii="黑体" w:hAnsi="黑体" w:eastAsia="黑体" w:cs="宋体"/>
                <w:bCs/>
                <w:kern w:val="0"/>
                <w:sz w:val="36"/>
                <w:szCs w:val="36"/>
              </w:rPr>
            </w:pPr>
          </w:p>
          <w:p>
            <w:pPr>
              <w:pStyle w:val="24"/>
              <w:widowControl/>
              <w:ind w:firstLine="0" w:firstLineChars="0"/>
              <w:jc w:val="center"/>
              <w:textAlignment w:val="center"/>
              <w:rPr>
                <w:rFonts w:ascii="黑体" w:hAnsi="黑体" w:eastAsia="黑体" w:cs="宋体"/>
                <w:bCs/>
                <w:kern w:val="0"/>
                <w:sz w:val="36"/>
                <w:szCs w:val="36"/>
              </w:rPr>
            </w:pPr>
            <w:r>
              <w:rPr>
                <w:rFonts w:hint="eastAsia" w:ascii="黑体" w:hAnsi="黑体" w:eastAsia="黑体" w:cs="宋体"/>
                <w:bCs/>
                <w:kern w:val="0"/>
                <w:sz w:val="36"/>
                <w:szCs w:val="36"/>
              </w:rPr>
              <w:t>项目支出绩效目标完成情况表</w:t>
            </w:r>
          </w:p>
          <w:p>
            <w:pPr>
              <w:pStyle w:val="24"/>
              <w:widowControl/>
              <w:ind w:firstLine="0" w:firstLineChars="0"/>
              <w:jc w:val="center"/>
              <w:textAlignment w:val="center"/>
              <w:rPr>
                <w:rFonts w:ascii="宋体" w:cs="宋体"/>
                <w:sz w:val="36"/>
                <w:szCs w:val="36"/>
              </w:rPr>
            </w:pPr>
            <w:r>
              <w:rPr>
                <w:rFonts w:ascii="宋体" w:hAnsi="宋体" w:cs="宋体"/>
                <w:kern w:val="0"/>
                <w:sz w:val="36"/>
                <w:szCs w:val="36"/>
              </w:rPr>
              <w:t>(</w:t>
            </w:r>
            <w:r>
              <w:rPr>
                <w:rFonts w:hint="eastAsia" w:ascii="宋体" w:hAnsi="宋体" w:cs="宋体"/>
                <w:kern w:val="0"/>
                <w:sz w:val="36"/>
                <w:szCs w:val="36"/>
              </w:rPr>
              <w:t>2021年度</w:t>
            </w:r>
            <w:r>
              <w:rPr>
                <w:rFonts w:ascii="宋体" w:hAnsi="宋体" w:cs="宋体"/>
                <w:kern w:val="0"/>
                <w:sz w:val="36"/>
                <w:szCs w:val="36"/>
              </w:rPr>
              <w:t>)</w:t>
            </w:r>
          </w:p>
        </w:tc>
      </w:tr>
      <w:tr>
        <w:tblPrEx>
          <w:tblCellMar>
            <w:top w:w="0" w:type="dxa"/>
            <w:left w:w="0" w:type="dxa"/>
            <w:bottom w:w="0" w:type="dxa"/>
            <w:right w:w="0" w:type="dxa"/>
          </w:tblCellMar>
        </w:tblPrEx>
        <w:trPr>
          <w:trHeight w:val="276" w:hRule="atLeast"/>
          <w:jc w:val="center"/>
        </w:trPr>
        <w:tc>
          <w:tcPr>
            <w:tcW w:w="1661"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项目名称</w:t>
            </w:r>
          </w:p>
        </w:tc>
        <w:tc>
          <w:tcPr>
            <w:tcW w:w="3338"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对村民委员会和村党支部的补助</w:t>
            </w:r>
          </w:p>
        </w:tc>
      </w:tr>
      <w:tr>
        <w:tblPrEx>
          <w:tblCellMar>
            <w:top w:w="0" w:type="dxa"/>
            <w:left w:w="0" w:type="dxa"/>
            <w:bottom w:w="0" w:type="dxa"/>
            <w:right w:w="0" w:type="dxa"/>
          </w:tblCellMar>
        </w:tblPrEx>
        <w:trPr>
          <w:trHeight w:val="276" w:hRule="atLeast"/>
          <w:jc w:val="center"/>
        </w:trPr>
        <w:tc>
          <w:tcPr>
            <w:tcW w:w="1661"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预算单位</w:t>
            </w:r>
          </w:p>
        </w:tc>
        <w:tc>
          <w:tcPr>
            <w:tcW w:w="3338"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苍溪县运山镇人民政府</w:t>
            </w:r>
          </w:p>
        </w:tc>
      </w:tr>
      <w:tr>
        <w:tblPrEx>
          <w:tblCellMar>
            <w:top w:w="0" w:type="dxa"/>
            <w:left w:w="0" w:type="dxa"/>
            <w:bottom w:w="0" w:type="dxa"/>
            <w:right w:w="0" w:type="dxa"/>
          </w:tblCellMar>
        </w:tblPrEx>
        <w:trPr>
          <w:trHeight w:val="271" w:hRule="atLeast"/>
          <w:jc w:val="center"/>
        </w:trPr>
        <w:tc>
          <w:tcPr>
            <w:tcW w:w="365"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预算执行情况</w:t>
            </w:r>
            <w:r>
              <w:rPr>
                <w:rFonts w:ascii="宋体" w:hAnsi="宋体" w:cs="宋体"/>
                <w:kern w:val="0"/>
                <w:sz w:val="22"/>
              </w:rPr>
              <w:t>(</w:t>
            </w:r>
            <w:r>
              <w:rPr>
                <w:rFonts w:hint="eastAsia" w:ascii="宋体" w:hAnsi="宋体" w:cs="宋体"/>
                <w:kern w:val="0"/>
                <w:sz w:val="22"/>
              </w:rPr>
              <w:t>万元</w:t>
            </w:r>
            <w:r>
              <w:rPr>
                <w:rFonts w:ascii="宋体" w:hAnsi="宋体" w:cs="宋体"/>
                <w:kern w:val="0"/>
                <w:sz w:val="22"/>
              </w:rPr>
              <w:t>)</w:t>
            </w:r>
          </w:p>
        </w:tc>
        <w:tc>
          <w:tcPr>
            <w:tcW w:w="1295"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预算数</w:t>
            </w:r>
          </w:p>
        </w:tc>
        <w:tc>
          <w:tcPr>
            <w:tcW w:w="12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223.62</w:t>
            </w:r>
          </w:p>
        </w:tc>
        <w:tc>
          <w:tcPr>
            <w:tcW w:w="108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执行数</w:t>
            </w:r>
          </w:p>
        </w:tc>
        <w:tc>
          <w:tcPr>
            <w:tcW w:w="95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223.62</w:t>
            </w:r>
          </w:p>
        </w:tc>
      </w:tr>
      <w:tr>
        <w:tblPrEx>
          <w:tblCellMar>
            <w:top w:w="0" w:type="dxa"/>
            <w:left w:w="0" w:type="dxa"/>
            <w:bottom w:w="0" w:type="dxa"/>
            <w:right w:w="0" w:type="dxa"/>
          </w:tblCellMar>
        </w:tblPrEx>
        <w:trPr>
          <w:trHeight w:val="416" w:hRule="atLeast"/>
          <w:jc w:val="center"/>
        </w:trPr>
        <w:tc>
          <w:tcPr>
            <w:tcW w:w="365"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1295"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其中</w:t>
            </w:r>
            <w:r>
              <w:rPr>
                <w:rFonts w:ascii="宋体" w:cs="宋体"/>
                <w:kern w:val="0"/>
                <w:sz w:val="22"/>
              </w:rPr>
              <w:t>-</w:t>
            </w:r>
            <w:r>
              <w:rPr>
                <w:rFonts w:hint="eastAsia" w:ascii="宋体" w:hAnsi="宋体" w:cs="宋体"/>
                <w:kern w:val="0"/>
                <w:sz w:val="22"/>
              </w:rPr>
              <w:t>财政拨款</w:t>
            </w:r>
          </w:p>
        </w:tc>
        <w:tc>
          <w:tcPr>
            <w:tcW w:w="12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223.62</w:t>
            </w:r>
          </w:p>
        </w:tc>
        <w:tc>
          <w:tcPr>
            <w:tcW w:w="108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其中</w:t>
            </w:r>
            <w:r>
              <w:rPr>
                <w:rFonts w:ascii="宋体" w:cs="宋体"/>
                <w:kern w:val="0"/>
                <w:sz w:val="22"/>
              </w:rPr>
              <w:t>-</w:t>
            </w:r>
            <w:r>
              <w:rPr>
                <w:rFonts w:hint="eastAsia" w:ascii="宋体" w:hAnsi="宋体" w:cs="宋体"/>
                <w:kern w:val="0"/>
                <w:sz w:val="22"/>
              </w:rPr>
              <w:t>财政拨款</w:t>
            </w:r>
          </w:p>
        </w:tc>
        <w:tc>
          <w:tcPr>
            <w:tcW w:w="95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223.62</w:t>
            </w:r>
          </w:p>
        </w:tc>
      </w:tr>
      <w:tr>
        <w:tblPrEx>
          <w:tblCellMar>
            <w:top w:w="0" w:type="dxa"/>
            <w:left w:w="0" w:type="dxa"/>
            <w:bottom w:w="0" w:type="dxa"/>
            <w:right w:w="0" w:type="dxa"/>
          </w:tblCellMar>
        </w:tblPrEx>
        <w:trPr>
          <w:trHeight w:val="90" w:hRule="atLeast"/>
          <w:jc w:val="center"/>
        </w:trPr>
        <w:tc>
          <w:tcPr>
            <w:tcW w:w="365"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1295"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其它资金</w:t>
            </w:r>
          </w:p>
        </w:tc>
        <w:tc>
          <w:tcPr>
            <w:tcW w:w="12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0</w:t>
            </w:r>
          </w:p>
        </w:tc>
        <w:tc>
          <w:tcPr>
            <w:tcW w:w="108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其它资金</w:t>
            </w:r>
          </w:p>
        </w:tc>
        <w:tc>
          <w:tcPr>
            <w:tcW w:w="95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ascii="宋体" w:cs="宋体"/>
                <w:sz w:val="22"/>
              </w:rPr>
              <w:t>0</w:t>
            </w:r>
          </w:p>
        </w:tc>
      </w:tr>
      <w:tr>
        <w:tblPrEx>
          <w:tblCellMar>
            <w:top w:w="0" w:type="dxa"/>
            <w:left w:w="0" w:type="dxa"/>
            <w:bottom w:w="0" w:type="dxa"/>
            <w:right w:w="0" w:type="dxa"/>
          </w:tblCellMar>
        </w:tblPrEx>
        <w:trPr>
          <w:trHeight w:val="276" w:hRule="atLeast"/>
          <w:jc w:val="center"/>
        </w:trPr>
        <w:tc>
          <w:tcPr>
            <w:tcW w:w="365"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年度目标完成情况</w:t>
            </w:r>
          </w:p>
        </w:tc>
        <w:tc>
          <w:tcPr>
            <w:tcW w:w="2589"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预期目标</w:t>
            </w:r>
          </w:p>
        </w:tc>
        <w:tc>
          <w:tcPr>
            <w:tcW w:w="2044"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实际完成目标</w:t>
            </w:r>
          </w:p>
        </w:tc>
      </w:tr>
      <w:tr>
        <w:tblPrEx>
          <w:tblCellMar>
            <w:top w:w="0" w:type="dxa"/>
            <w:left w:w="0" w:type="dxa"/>
            <w:bottom w:w="0" w:type="dxa"/>
            <w:right w:w="0" w:type="dxa"/>
          </w:tblCellMar>
        </w:tblPrEx>
        <w:trPr>
          <w:trHeight w:val="984" w:hRule="atLeast"/>
          <w:jc w:val="center"/>
        </w:trPr>
        <w:tc>
          <w:tcPr>
            <w:tcW w:w="365"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2589"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textAlignment w:val="center"/>
              <w:rPr>
                <w:rFonts w:ascii="宋体" w:eastAsia="宋体" w:cs="宋体"/>
                <w:sz w:val="22"/>
              </w:rPr>
            </w:pPr>
            <w:r>
              <w:rPr>
                <w:rFonts w:hint="eastAsia" w:ascii="宋体" w:cs="宋体"/>
                <w:sz w:val="22"/>
              </w:rPr>
              <w:t>切实保障基层组织人员报酬和基层工作正常开展活动；农村公共运行服务和村（社区）办公运转。</w:t>
            </w:r>
          </w:p>
        </w:tc>
        <w:tc>
          <w:tcPr>
            <w:tcW w:w="2044"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textAlignment w:val="center"/>
              <w:rPr>
                <w:rFonts w:ascii="宋体" w:eastAsia="宋体" w:cs="宋体"/>
                <w:sz w:val="22"/>
              </w:rPr>
            </w:pPr>
            <w:r>
              <w:rPr>
                <w:rFonts w:hint="eastAsia" w:ascii="宋体" w:cs="宋体"/>
                <w:sz w:val="22"/>
              </w:rPr>
              <w:t>切实保障基层组织人员报酬和基层工作正常开展活动；农村公共运行服务和村（社区）办公运转。</w:t>
            </w:r>
          </w:p>
        </w:tc>
      </w:tr>
      <w:tr>
        <w:tblPrEx>
          <w:tblCellMar>
            <w:top w:w="0" w:type="dxa"/>
            <w:left w:w="0" w:type="dxa"/>
            <w:bottom w:w="0" w:type="dxa"/>
            <w:right w:w="0" w:type="dxa"/>
          </w:tblCellMar>
        </w:tblPrEx>
        <w:trPr>
          <w:trHeight w:val="478" w:hRule="atLeast"/>
          <w:jc w:val="center"/>
        </w:trPr>
        <w:tc>
          <w:tcPr>
            <w:tcW w:w="365"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sz w:val="22"/>
              </w:rPr>
              <w:t>绩效指标完成情况</w:t>
            </w:r>
          </w:p>
        </w:tc>
        <w:tc>
          <w:tcPr>
            <w:tcW w:w="740"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一级指标</w:t>
            </w:r>
          </w:p>
        </w:tc>
        <w:tc>
          <w:tcPr>
            <w:tcW w:w="555"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二级指标</w:t>
            </w:r>
          </w:p>
        </w:tc>
        <w:tc>
          <w:tcPr>
            <w:tcW w:w="12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三级指标</w:t>
            </w:r>
          </w:p>
        </w:tc>
        <w:tc>
          <w:tcPr>
            <w:tcW w:w="108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预期指标值</w:t>
            </w:r>
            <w:r>
              <w:rPr>
                <w:rFonts w:ascii="宋体" w:hAnsi="宋体" w:cs="宋体"/>
                <w:kern w:val="0"/>
                <w:sz w:val="22"/>
              </w:rPr>
              <w:t>(</w:t>
            </w:r>
            <w:r>
              <w:rPr>
                <w:rFonts w:hint="eastAsia" w:ascii="宋体" w:hAnsi="宋体" w:cs="宋体"/>
                <w:kern w:val="0"/>
                <w:sz w:val="22"/>
              </w:rPr>
              <w:t>包含数字及文字描述</w:t>
            </w:r>
            <w:r>
              <w:rPr>
                <w:rFonts w:ascii="宋体" w:hAnsi="宋体" w:cs="宋体"/>
                <w:kern w:val="0"/>
                <w:sz w:val="22"/>
              </w:rPr>
              <w:t>)</w:t>
            </w:r>
          </w:p>
        </w:tc>
        <w:tc>
          <w:tcPr>
            <w:tcW w:w="95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实际完成指标值</w:t>
            </w:r>
            <w:r>
              <w:rPr>
                <w:rFonts w:ascii="宋体" w:hAnsi="宋体" w:cs="宋体"/>
                <w:kern w:val="0"/>
                <w:sz w:val="22"/>
              </w:rPr>
              <w:t>(</w:t>
            </w:r>
            <w:r>
              <w:rPr>
                <w:rFonts w:hint="eastAsia" w:ascii="宋体" w:hAnsi="宋体" w:cs="宋体"/>
                <w:kern w:val="0"/>
                <w:sz w:val="22"/>
              </w:rPr>
              <w:t>包含数字及文字描述</w:t>
            </w:r>
            <w:r>
              <w:rPr>
                <w:rFonts w:ascii="宋体" w:hAnsi="宋体" w:cs="宋体"/>
                <w:kern w:val="0"/>
                <w:sz w:val="22"/>
              </w:rPr>
              <w:t>)</w:t>
            </w:r>
          </w:p>
        </w:tc>
      </w:tr>
      <w:tr>
        <w:tblPrEx>
          <w:tblCellMar>
            <w:top w:w="0" w:type="dxa"/>
            <w:left w:w="0" w:type="dxa"/>
            <w:bottom w:w="0" w:type="dxa"/>
            <w:right w:w="0" w:type="dxa"/>
          </w:tblCellMar>
        </w:tblPrEx>
        <w:trPr>
          <w:trHeight w:val="953" w:hRule="atLeast"/>
          <w:jc w:val="center"/>
        </w:trPr>
        <w:tc>
          <w:tcPr>
            <w:tcW w:w="365"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0" w:type="pct"/>
            <w:vMerge w:val="restart"/>
            <w:tcBorders>
              <w:top w:val="single" w:color="000000" w:sz="4" w:space="0"/>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产出指标</w:t>
            </w:r>
          </w:p>
          <w:p>
            <w:pPr>
              <w:widowControl/>
              <w:spacing w:line="240" w:lineRule="exact"/>
              <w:jc w:val="center"/>
              <w:textAlignment w:val="center"/>
              <w:rPr>
                <w:rFonts w:ascii="宋体" w:cs="宋体"/>
                <w:kern w:val="0"/>
                <w:sz w:val="22"/>
              </w:rPr>
            </w:pPr>
          </w:p>
        </w:tc>
        <w:tc>
          <w:tcPr>
            <w:tcW w:w="555"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数量指标</w:t>
            </w:r>
          </w:p>
        </w:tc>
        <w:tc>
          <w:tcPr>
            <w:tcW w:w="12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left"/>
              <w:textAlignment w:val="center"/>
              <w:rPr>
                <w:rFonts w:ascii="宋体" w:eastAsia="宋体" w:cs="宋体"/>
                <w:sz w:val="22"/>
              </w:rPr>
            </w:pPr>
            <w:r>
              <w:rPr>
                <w:rFonts w:hint="eastAsia" w:ascii="宋体" w:cs="宋体"/>
                <w:sz w:val="22"/>
              </w:rPr>
              <w:t>行政村6个，农村社区</w:t>
            </w:r>
            <w:r>
              <w:rPr>
                <w:rFonts w:hint="eastAsia" w:ascii="宋体" w:hAnsi="宋体" w:eastAsia="宋体" w:cs="宋体"/>
                <w:sz w:val="22"/>
              </w:rPr>
              <w:t>1</w:t>
            </w:r>
            <w:r>
              <w:rPr>
                <w:rFonts w:hint="eastAsia" w:ascii="宋体" w:cs="宋体"/>
                <w:sz w:val="22"/>
              </w:rPr>
              <w:t>个，村组干部人员报酬保障，基础设施、环境类、服务类、社会管理类项目的运行维护。</w:t>
            </w:r>
          </w:p>
        </w:tc>
        <w:tc>
          <w:tcPr>
            <w:tcW w:w="108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sz w:val="22"/>
                <w:szCs w:val="18"/>
              </w:rPr>
            </w:pPr>
            <w:r>
              <w:rPr>
                <w:rFonts w:hint="eastAsia" w:ascii="宋体" w:hAnsi="宋体" w:cs="宋体"/>
                <w:kern w:val="0"/>
                <w:sz w:val="22"/>
              </w:rPr>
              <w:t>按政策规定标准用途予以保障</w:t>
            </w:r>
          </w:p>
        </w:tc>
        <w:tc>
          <w:tcPr>
            <w:tcW w:w="95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szCs w:val="18"/>
              </w:rPr>
            </w:pPr>
            <w:r>
              <w:rPr>
                <w:rFonts w:hint="eastAsia" w:ascii="宋体" w:hAnsi="宋体" w:cs="宋体"/>
                <w:kern w:val="0"/>
                <w:sz w:val="22"/>
              </w:rPr>
              <w:t>保障基层组织活动正常开展，运行率100%。</w:t>
            </w:r>
          </w:p>
        </w:tc>
      </w:tr>
      <w:tr>
        <w:tblPrEx>
          <w:tblCellMar>
            <w:top w:w="0" w:type="dxa"/>
            <w:left w:w="0" w:type="dxa"/>
            <w:bottom w:w="0" w:type="dxa"/>
            <w:right w:w="0" w:type="dxa"/>
          </w:tblCellMar>
        </w:tblPrEx>
        <w:trPr>
          <w:trHeight w:val="624" w:hRule="atLeast"/>
          <w:jc w:val="center"/>
        </w:trPr>
        <w:tc>
          <w:tcPr>
            <w:tcW w:w="365"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0" w:type="pct"/>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555"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质量指标</w:t>
            </w:r>
          </w:p>
        </w:tc>
        <w:tc>
          <w:tcPr>
            <w:tcW w:w="12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left"/>
              <w:textAlignment w:val="center"/>
              <w:rPr>
                <w:rFonts w:ascii="宋体" w:cs="宋体"/>
                <w:sz w:val="22"/>
              </w:rPr>
            </w:pPr>
            <w:r>
              <w:rPr>
                <w:rFonts w:hint="eastAsia" w:ascii="宋体" w:cs="宋体"/>
                <w:sz w:val="22"/>
              </w:rPr>
              <w:t>按县委、县政府下达的目标任务，按质按量完成。</w:t>
            </w:r>
          </w:p>
        </w:tc>
        <w:tc>
          <w:tcPr>
            <w:tcW w:w="108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100%</w:t>
            </w:r>
          </w:p>
        </w:tc>
        <w:tc>
          <w:tcPr>
            <w:tcW w:w="95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100%</w:t>
            </w:r>
          </w:p>
        </w:tc>
      </w:tr>
      <w:tr>
        <w:tblPrEx>
          <w:tblCellMar>
            <w:top w:w="0" w:type="dxa"/>
            <w:left w:w="0" w:type="dxa"/>
            <w:bottom w:w="0" w:type="dxa"/>
            <w:right w:w="0" w:type="dxa"/>
          </w:tblCellMar>
        </w:tblPrEx>
        <w:trPr>
          <w:trHeight w:val="425" w:hRule="atLeast"/>
          <w:jc w:val="center"/>
        </w:trPr>
        <w:tc>
          <w:tcPr>
            <w:tcW w:w="365"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0" w:type="pct"/>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555"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时效指标</w:t>
            </w:r>
          </w:p>
        </w:tc>
        <w:tc>
          <w:tcPr>
            <w:tcW w:w="12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完成时间</w:t>
            </w:r>
          </w:p>
        </w:tc>
        <w:tc>
          <w:tcPr>
            <w:tcW w:w="108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2021年12月底</w:t>
            </w:r>
          </w:p>
        </w:tc>
        <w:tc>
          <w:tcPr>
            <w:tcW w:w="95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2021年12月底</w:t>
            </w:r>
          </w:p>
        </w:tc>
      </w:tr>
      <w:tr>
        <w:tblPrEx>
          <w:tblCellMar>
            <w:top w:w="0" w:type="dxa"/>
            <w:left w:w="0" w:type="dxa"/>
            <w:bottom w:w="0" w:type="dxa"/>
            <w:right w:w="0" w:type="dxa"/>
          </w:tblCellMar>
        </w:tblPrEx>
        <w:trPr>
          <w:trHeight w:val="394" w:hRule="atLeast"/>
          <w:jc w:val="center"/>
        </w:trPr>
        <w:tc>
          <w:tcPr>
            <w:tcW w:w="365"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0" w:type="pct"/>
            <w:vMerge w:val="continue"/>
            <w:tcBorders>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kern w:val="0"/>
                <w:sz w:val="22"/>
              </w:rPr>
            </w:pPr>
          </w:p>
        </w:tc>
        <w:tc>
          <w:tcPr>
            <w:tcW w:w="555"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成本指标</w:t>
            </w:r>
          </w:p>
        </w:tc>
        <w:tc>
          <w:tcPr>
            <w:tcW w:w="12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sz w:val="22"/>
              </w:rPr>
              <w:t>完成成本（万元）</w:t>
            </w:r>
          </w:p>
        </w:tc>
        <w:tc>
          <w:tcPr>
            <w:tcW w:w="108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≤223.62</w:t>
            </w:r>
          </w:p>
        </w:tc>
        <w:tc>
          <w:tcPr>
            <w:tcW w:w="95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223.62</w:t>
            </w:r>
          </w:p>
        </w:tc>
      </w:tr>
      <w:tr>
        <w:tblPrEx>
          <w:tblCellMar>
            <w:top w:w="0" w:type="dxa"/>
            <w:left w:w="0" w:type="dxa"/>
            <w:bottom w:w="0" w:type="dxa"/>
            <w:right w:w="0" w:type="dxa"/>
          </w:tblCellMar>
        </w:tblPrEx>
        <w:trPr>
          <w:trHeight w:val="309" w:hRule="atLeast"/>
          <w:jc w:val="center"/>
        </w:trPr>
        <w:tc>
          <w:tcPr>
            <w:tcW w:w="365"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0" w:type="pct"/>
            <w:vMerge w:val="restart"/>
            <w:tcBorders>
              <w:top w:val="single" w:color="000000" w:sz="4" w:space="0"/>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效益指标</w:t>
            </w:r>
          </w:p>
        </w:tc>
        <w:tc>
          <w:tcPr>
            <w:tcW w:w="555"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社会效益</w:t>
            </w:r>
          </w:p>
        </w:tc>
        <w:tc>
          <w:tcPr>
            <w:tcW w:w="12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解决村内最急需、群众最急盼、受益最直接的突出问题，促进农业生产、方便村民生活，建立村民民主参与、民主议事、民主决策、民主监督的农村公共服务运行维护管理体系。</w:t>
            </w:r>
          </w:p>
        </w:tc>
        <w:tc>
          <w:tcPr>
            <w:tcW w:w="108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确保基层组织的正常运转，提升了为民服务的能力，维护了社会稳定。</w:t>
            </w:r>
          </w:p>
        </w:tc>
        <w:tc>
          <w:tcPr>
            <w:tcW w:w="95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100%</w:t>
            </w:r>
          </w:p>
        </w:tc>
      </w:tr>
      <w:tr>
        <w:tblPrEx>
          <w:tblCellMar>
            <w:top w:w="0" w:type="dxa"/>
            <w:left w:w="0" w:type="dxa"/>
            <w:bottom w:w="0" w:type="dxa"/>
            <w:right w:w="0" w:type="dxa"/>
          </w:tblCellMar>
        </w:tblPrEx>
        <w:trPr>
          <w:trHeight w:val="737" w:hRule="atLeast"/>
          <w:jc w:val="center"/>
        </w:trPr>
        <w:tc>
          <w:tcPr>
            <w:tcW w:w="365"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0" w:type="pct"/>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555"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生态效益</w:t>
            </w:r>
          </w:p>
        </w:tc>
        <w:tc>
          <w:tcPr>
            <w:tcW w:w="12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left"/>
              <w:textAlignment w:val="center"/>
              <w:rPr>
                <w:rFonts w:ascii="宋体" w:eastAsia="宋体" w:cs="宋体"/>
                <w:sz w:val="22"/>
              </w:rPr>
            </w:pPr>
            <w:r>
              <w:rPr>
                <w:rFonts w:hint="eastAsia" w:ascii="宋体" w:cs="宋体"/>
                <w:sz w:val="22"/>
              </w:rPr>
              <w:t>节约资源有效推进，森林覆盖率持续提高，环境状况得到改善。</w:t>
            </w:r>
          </w:p>
        </w:tc>
        <w:tc>
          <w:tcPr>
            <w:tcW w:w="108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100%</w:t>
            </w:r>
          </w:p>
        </w:tc>
        <w:tc>
          <w:tcPr>
            <w:tcW w:w="95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100%</w:t>
            </w:r>
          </w:p>
        </w:tc>
      </w:tr>
      <w:tr>
        <w:tblPrEx>
          <w:tblCellMar>
            <w:top w:w="0" w:type="dxa"/>
            <w:left w:w="0" w:type="dxa"/>
            <w:bottom w:w="0" w:type="dxa"/>
            <w:right w:w="0" w:type="dxa"/>
          </w:tblCellMar>
        </w:tblPrEx>
        <w:trPr>
          <w:trHeight w:val="596" w:hRule="atLeast"/>
          <w:jc w:val="center"/>
        </w:trPr>
        <w:tc>
          <w:tcPr>
            <w:tcW w:w="365"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0" w:type="pct"/>
            <w:vMerge w:val="continue"/>
            <w:tcBorders>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555"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可持续效益</w:t>
            </w:r>
          </w:p>
        </w:tc>
        <w:tc>
          <w:tcPr>
            <w:tcW w:w="12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rPr>
                <w:rFonts w:ascii="宋体" w:cs="宋体"/>
                <w:sz w:val="22"/>
              </w:rPr>
            </w:pPr>
            <w:r>
              <w:rPr>
                <w:rFonts w:hint="eastAsia"/>
                <w:sz w:val="22"/>
              </w:rPr>
              <w:t>提升农村基层干部的素质和战斗力，为乡村振兴提供坚实的人才保障。</w:t>
            </w:r>
          </w:p>
        </w:tc>
        <w:tc>
          <w:tcPr>
            <w:tcW w:w="108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sz w:val="22"/>
              </w:rPr>
              <w:t>培养造就一支懂农业、爱农村、爱农民的农村基层干部队伍，覆盖率100%。</w:t>
            </w:r>
          </w:p>
        </w:tc>
        <w:tc>
          <w:tcPr>
            <w:tcW w:w="95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sz w:val="22"/>
              </w:rPr>
              <w:t>培养造就一支懂农业、爱农村、爱农民的农村基层干部队伍，覆盖率100%。</w:t>
            </w:r>
          </w:p>
        </w:tc>
      </w:tr>
      <w:tr>
        <w:tblPrEx>
          <w:tblCellMar>
            <w:top w:w="0" w:type="dxa"/>
            <w:left w:w="0" w:type="dxa"/>
            <w:bottom w:w="0" w:type="dxa"/>
            <w:right w:w="0" w:type="dxa"/>
          </w:tblCellMar>
        </w:tblPrEx>
        <w:trPr>
          <w:trHeight w:val="102" w:hRule="atLeast"/>
          <w:jc w:val="center"/>
        </w:trPr>
        <w:tc>
          <w:tcPr>
            <w:tcW w:w="365"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0"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满意度指标</w:t>
            </w:r>
          </w:p>
        </w:tc>
        <w:tc>
          <w:tcPr>
            <w:tcW w:w="555"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受益对象满意度</w:t>
            </w:r>
          </w:p>
        </w:tc>
        <w:tc>
          <w:tcPr>
            <w:tcW w:w="12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rPr>
            </w:pPr>
            <w:r>
              <w:rPr>
                <w:rFonts w:hint="eastAsia" w:ascii="宋体" w:cs="宋体"/>
                <w:sz w:val="22"/>
              </w:rPr>
              <w:t>群众满意度</w:t>
            </w:r>
          </w:p>
        </w:tc>
        <w:tc>
          <w:tcPr>
            <w:tcW w:w="108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rPr>
            </w:pPr>
            <w:r>
              <w:rPr>
                <w:rFonts w:hint="eastAsia" w:ascii="宋体" w:cs="宋体"/>
                <w:sz w:val="22"/>
              </w:rPr>
              <w:t>≥90%</w:t>
            </w:r>
          </w:p>
        </w:tc>
        <w:tc>
          <w:tcPr>
            <w:tcW w:w="95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≥90%</w:t>
            </w:r>
          </w:p>
        </w:tc>
      </w:tr>
    </w:tbl>
    <w:p>
      <w:pPr>
        <w:pStyle w:val="2"/>
        <w:rPr>
          <w:rFonts w:ascii="楷体_GB2312" w:hAnsi="楷体_GB2312" w:eastAsia="楷体_GB2312" w:cs="楷体_GB2312"/>
          <w:kern w:val="2"/>
          <w:sz w:val="32"/>
          <w:szCs w:val="32"/>
        </w:rPr>
      </w:pPr>
    </w:p>
    <w:tbl>
      <w:tblPr>
        <w:tblStyle w:val="13"/>
        <w:tblpPr w:leftFromText="180" w:rightFromText="180" w:vertAnchor="text" w:horzAnchor="page" w:tblpX="1807" w:tblpY="624"/>
        <w:tblOverlap w:val="never"/>
        <w:tblW w:w="5073" w:type="pct"/>
        <w:tblInd w:w="0" w:type="dxa"/>
        <w:tblLayout w:type="autofit"/>
        <w:tblCellMar>
          <w:top w:w="0" w:type="dxa"/>
          <w:left w:w="0" w:type="dxa"/>
          <w:bottom w:w="0" w:type="dxa"/>
          <w:right w:w="0" w:type="dxa"/>
        </w:tblCellMar>
      </w:tblPr>
      <w:tblGrid>
        <w:gridCol w:w="620"/>
        <w:gridCol w:w="1259"/>
        <w:gridCol w:w="946"/>
        <w:gridCol w:w="2018"/>
        <w:gridCol w:w="2033"/>
        <w:gridCol w:w="1582"/>
      </w:tblGrid>
      <w:tr>
        <w:tblPrEx>
          <w:tblCellMar>
            <w:top w:w="0" w:type="dxa"/>
            <w:left w:w="0" w:type="dxa"/>
            <w:bottom w:w="0" w:type="dxa"/>
            <w:right w:w="0" w:type="dxa"/>
          </w:tblCellMar>
        </w:tblPrEx>
        <w:trPr>
          <w:trHeight w:val="1034" w:hRule="atLeast"/>
        </w:trPr>
        <w:tc>
          <w:tcPr>
            <w:tcW w:w="5000" w:type="pct"/>
            <w:gridSpan w:val="6"/>
            <w:tcMar>
              <w:top w:w="15" w:type="dxa"/>
              <w:left w:w="15" w:type="dxa"/>
              <w:bottom w:w="0" w:type="dxa"/>
              <w:right w:w="15" w:type="dxa"/>
            </w:tcMar>
            <w:vAlign w:val="center"/>
          </w:tcPr>
          <w:p>
            <w:pPr>
              <w:pStyle w:val="24"/>
              <w:widowControl/>
              <w:ind w:firstLine="0" w:firstLineChars="0"/>
              <w:jc w:val="center"/>
              <w:textAlignment w:val="center"/>
              <w:rPr>
                <w:rFonts w:ascii="黑体" w:hAnsi="黑体" w:eastAsia="黑体" w:cs="宋体"/>
                <w:bCs/>
                <w:kern w:val="0"/>
                <w:sz w:val="36"/>
                <w:szCs w:val="36"/>
              </w:rPr>
            </w:pPr>
            <w:r>
              <w:rPr>
                <w:rFonts w:hint="eastAsia" w:ascii="黑体" w:hAnsi="黑体" w:eastAsia="黑体" w:cs="宋体"/>
                <w:bCs/>
                <w:kern w:val="0"/>
                <w:sz w:val="36"/>
                <w:szCs w:val="36"/>
              </w:rPr>
              <w:t>项目支出绩效目标完成情况表</w:t>
            </w:r>
          </w:p>
          <w:p>
            <w:pPr>
              <w:pStyle w:val="24"/>
              <w:widowControl/>
              <w:ind w:firstLine="0" w:firstLineChars="0"/>
              <w:jc w:val="center"/>
              <w:textAlignment w:val="center"/>
              <w:rPr>
                <w:rFonts w:ascii="宋体" w:cs="宋体"/>
                <w:sz w:val="36"/>
                <w:szCs w:val="36"/>
              </w:rPr>
            </w:pPr>
            <w:r>
              <w:rPr>
                <w:rFonts w:ascii="宋体" w:hAnsi="宋体" w:cs="宋体"/>
                <w:kern w:val="0"/>
                <w:sz w:val="36"/>
                <w:szCs w:val="36"/>
              </w:rPr>
              <w:t>(</w:t>
            </w:r>
            <w:r>
              <w:rPr>
                <w:rFonts w:hint="eastAsia" w:ascii="宋体" w:hAnsi="宋体" w:cs="宋体"/>
                <w:kern w:val="0"/>
                <w:sz w:val="36"/>
                <w:szCs w:val="36"/>
              </w:rPr>
              <w:t>2021年度</w:t>
            </w:r>
            <w:r>
              <w:rPr>
                <w:rFonts w:ascii="宋体" w:hAnsi="宋体" w:cs="宋体"/>
                <w:kern w:val="0"/>
                <w:sz w:val="36"/>
                <w:szCs w:val="36"/>
              </w:rPr>
              <w:t>)</w:t>
            </w:r>
          </w:p>
        </w:tc>
      </w:tr>
      <w:tr>
        <w:tblPrEx>
          <w:tblCellMar>
            <w:top w:w="0" w:type="dxa"/>
            <w:left w:w="0" w:type="dxa"/>
            <w:bottom w:w="0" w:type="dxa"/>
            <w:right w:w="0" w:type="dxa"/>
          </w:tblCellMar>
        </w:tblPrEx>
        <w:trPr>
          <w:trHeight w:val="276" w:hRule="atLeast"/>
        </w:trPr>
        <w:tc>
          <w:tcPr>
            <w:tcW w:w="1670"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项目名称</w:t>
            </w:r>
          </w:p>
        </w:tc>
        <w:tc>
          <w:tcPr>
            <w:tcW w:w="3329"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就业补助</w:t>
            </w:r>
          </w:p>
        </w:tc>
      </w:tr>
      <w:tr>
        <w:tblPrEx>
          <w:tblCellMar>
            <w:top w:w="0" w:type="dxa"/>
            <w:left w:w="0" w:type="dxa"/>
            <w:bottom w:w="0" w:type="dxa"/>
            <w:right w:w="0" w:type="dxa"/>
          </w:tblCellMar>
        </w:tblPrEx>
        <w:trPr>
          <w:trHeight w:val="276" w:hRule="atLeast"/>
        </w:trPr>
        <w:tc>
          <w:tcPr>
            <w:tcW w:w="1670"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预算单位</w:t>
            </w:r>
          </w:p>
        </w:tc>
        <w:tc>
          <w:tcPr>
            <w:tcW w:w="3329"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苍溪县运山镇人民政府</w:t>
            </w:r>
          </w:p>
        </w:tc>
      </w:tr>
      <w:tr>
        <w:tblPrEx>
          <w:tblCellMar>
            <w:top w:w="0" w:type="dxa"/>
            <w:left w:w="0" w:type="dxa"/>
            <w:bottom w:w="0" w:type="dxa"/>
            <w:right w:w="0" w:type="dxa"/>
          </w:tblCellMar>
        </w:tblPrEx>
        <w:trPr>
          <w:trHeight w:val="271" w:hRule="atLeast"/>
        </w:trPr>
        <w:tc>
          <w:tcPr>
            <w:tcW w:w="367"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预算执行情况</w:t>
            </w:r>
            <w:r>
              <w:rPr>
                <w:rFonts w:ascii="宋体" w:hAnsi="宋体" w:cs="宋体"/>
                <w:kern w:val="0"/>
                <w:sz w:val="22"/>
              </w:rPr>
              <w:t>(</w:t>
            </w:r>
            <w:r>
              <w:rPr>
                <w:rFonts w:hint="eastAsia" w:ascii="宋体" w:hAnsi="宋体" w:cs="宋体"/>
                <w:kern w:val="0"/>
                <w:sz w:val="22"/>
              </w:rPr>
              <w:t>万元</w:t>
            </w:r>
            <w:r>
              <w:rPr>
                <w:rFonts w:ascii="宋体" w:hAnsi="宋体" w:cs="宋体"/>
                <w:kern w:val="0"/>
                <w:sz w:val="22"/>
              </w:rPr>
              <w:t>)</w:t>
            </w:r>
          </w:p>
        </w:tc>
        <w:tc>
          <w:tcPr>
            <w:tcW w:w="1303"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预算数</w:t>
            </w:r>
          </w:p>
        </w:tc>
        <w:tc>
          <w:tcPr>
            <w:tcW w:w="119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33.71</w:t>
            </w:r>
          </w:p>
        </w:tc>
        <w:tc>
          <w:tcPr>
            <w:tcW w:w="120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执行数</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33.71</w:t>
            </w:r>
          </w:p>
        </w:tc>
      </w:tr>
      <w:tr>
        <w:tblPrEx>
          <w:tblCellMar>
            <w:top w:w="0" w:type="dxa"/>
            <w:left w:w="0" w:type="dxa"/>
            <w:bottom w:w="0" w:type="dxa"/>
            <w:right w:w="0" w:type="dxa"/>
          </w:tblCellMar>
        </w:tblPrEx>
        <w:trPr>
          <w:trHeight w:val="416" w:hRule="atLeast"/>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1303"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其中</w:t>
            </w:r>
            <w:r>
              <w:rPr>
                <w:rFonts w:ascii="宋体" w:cs="宋体"/>
                <w:kern w:val="0"/>
                <w:sz w:val="22"/>
              </w:rPr>
              <w:t>-</w:t>
            </w:r>
            <w:r>
              <w:rPr>
                <w:rFonts w:hint="eastAsia" w:ascii="宋体" w:hAnsi="宋体" w:cs="宋体"/>
                <w:kern w:val="0"/>
                <w:sz w:val="22"/>
              </w:rPr>
              <w:t>财政拨款</w:t>
            </w:r>
          </w:p>
        </w:tc>
        <w:tc>
          <w:tcPr>
            <w:tcW w:w="119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33.71</w:t>
            </w:r>
          </w:p>
        </w:tc>
        <w:tc>
          <w:tcPr>
            <w:tcW w:w="120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其中</w:t>
            </w:r>
            <w:r>
              <w:rPr>
                <w:rFonts w:ascii="宋体" w:cs="宋体"/>
                <w:kern w:val="0"/>
                <w:sz w:val="22"/>
              </w:rPr>
              <w:t>-</w:t>
            </w:r>
            <w:r>
              <w:rPr>
                <w:rFonts w:hint="eastAsia" w:ascii="宋体" w:hAnsi="宋体" w:cs="宋体"/>
                <w:kern w:val="0"/>
                <w:sz w:val="22"/>
              </w:rPr>
              <w:t>财政拨款</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33.71</w:t>
            </w:r>
          </w:p>
        </w:tc>
      </w:tr>
      <w:tr>
        <w:tblPrEx>
          <w:tblCellMar>
            <w:top w:w="0" w:type="dxa"/>
            <w:left w:w="0" w:type="dxa"/>
            <w:bottom w:w="0" w:type="dxa"/>
            <w:right w:w="0" w:type="dxa"/>
          </w:tblCellMar>
        </w:tblPrEx>
        <w:trPr>
          <w:trHeight w:val="90" w:hRule="atLeast"/>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1303"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其它资金</w:t>
            </w:r>
          </w:p>
        </w:tc>
        <w:tc>
          <w:tcPr>
            <w:tcW w:w="119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0</w:t>
            </w:r>
          </w:p>
        </w:tc>
        <w:tc>
          <w:tcPr>
            <w:tcW w:w="120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其它资金</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ascii="宋体" w:cs="宋体"/>
                <w:sz w:val="22"/>
              </w:rPr>
              <w:t>0</w:t>
            </w:r>
          </w:p>
        </w:tc>
      </w:tr>
      <w:tr>
        <w:tblPrEx>
          <w:tblCellMar>
            <w:top w:w="0" w:type="dxa"/>
            <w:left w:w="0" w:type="dxa"/>
            <w:bottom w:w="0" w:type="dxa"/>
            <w:right w:w="0" w:type="dxa"/>
          </w:tblCellMar>
        </w:tblPrEx>
        <w:trPr>
          <w:trHeight w:val="431" w:hRule="atLeast"/>
        </w:trPr>
        <w:tc>
          <w:tcPr>
            <w:tcW w:w="367"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年度目标完成情况</w:t>
            </w:r>
          </w:p>
        </w:tc>
        <w:tc>
          <w:tcPr>
            <w:tcW w:w="2496"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预期目标</w:t>
            </w:r>
          </w:p>
        </w:tc>
        <w:tc>
          <w:tcPr>
            <w:tcW w:w="2136"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实际完成目标</w:t>
            </w:r>
          </w:p>
        </w:tc>
      </w:tr>
      <w:tr>
        <w:tblPrEx>
          <w:tblCellMar>
            <w:top w:w="0" w:type="dxa"/>
            <w:left w:w="0" w:type="dxa"/>
            <w:bottom w:w="0" w:type="dxa"/>
            <w:right w:w="0" w:type="dxa"/>
          </w:tblCellMar>
        </w:tblPrEx>
        <w:trPr>
          <w:trHeight w:val="1205" w:hRule="atLeast"/>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2496"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textAlignment w:val="center"/>
              <w:rPr>
                <w:rFonts w:ascii="宋体" w:eastAsia="宋体" w:cs="宋体"/>
                <w:sz w:val="22"/>
              </w:rPr>
            </w:pPr>
            <w:r>
              <w:rPr>
                <w:rFonts w:hint="eastAsia" w:ascii="宋体" w:hAnsi="宋体" w:cs="宋体"/>
                <w:kern w:val="0"/>
                <w:sz w:val="22"/>
              </w:rPr>
              <w:t>保障农村创业就业补助、普通公益性岗位及贫困公益性岗位的补贴以及普通公益性岗位的社会保险补贴，推动农村工作发展。</w:t>
            </w:r>
          </w:p>
        </w:tc>
        <w:tc>
          <w:tcPr>
            <w:tcW w:w="2136"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textAlignment w:val="center"/>
              <w:rPr>
                <w:rFonts w:ascii="宋体" w:eastAsia="宋体" w:cs="宋体"/>
                <w:sz w:val="22"/>
              </w:rPr>
            </w:pPr>
            <w:r>
              <w:rPr>
                <w:rFonts w:hint="eastAsia" w:ascii="宋体" w:hAnsi="宋体" w:cs="宋体"/>
                <w:kern w:val="0"/>
                <w:sz w:val="22"/>
              </w:rPr>
              <w:t>保障农村创业就业补助、普通公益性岗位及贫困公益性岗位的补贴以及普通公益性岗位的社会保险补贴，推动农村工作发展。</w:t>
            </w:r>
          </w:p>
        </w:tc>
      </w:tr>
      <w:tr>
        <w:tblPrEx>
          <w:tblCellMar>
            <w:top w:w="0" w:type="dxa"/>
            <w:left w:w="0" w:type="dxa"/>
            <w:bottom w:w="0" w:type="dxa"/>
            <w:right w:w="0" w:type="dxa"/>
          </w:tblCellMar>
        </w:tblPrEx>
        <w:trPr>
          <w:trHeight w:val="478" w:hRule="atLeast"/>
        </w:trPr>
        <w:tc>
          <w:tcPr>
            <w:tcW w:w="367"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sz w:val="22"/>
              </w:rPr>
              <w:t>绩效指标完成情况</w:t>
            </w:r>
          </w:p>
        </w:tc>
        <w:tc>
          <w:tcPr>
            <w:tcW w:w="74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一级指标</w:t>
            </w:r>
          </w:p>
        </w:tc>
        <w:tc>
          <w:tcPr>
            <w:tcW w:w="55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二级指标</w:t>
            </w:r>
          </w:p>
        </w:tc>
        <w:tc>
          <w:tcPr>
            <w:tcW w:w="119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三级指标</w:t>
            </w:r>
          </w:p>
        </w:tc>
        <w:tc>
          <w:tcPr>
            <w:tcW w:w="120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预期指标值</w:t>
            </w:r>
            <w:r>
              <w:rPr>
                <w:rFonts w:ascii="宋体" w:hAnsi="宋体" w:cs="宋体"/>
                <w:kern w:val="0"/>
                <w:sz w:val="22"/>
              </w:rPr>
              <w:t>(</w:t>
            </w:r>
            <w:r>
              <w:rPr>
                <w:rFonts w:hint="eastAsia" w:ascii="宋体" w:hAnsi="宋体" w:cs="宋体"/>
                <w:kern w:val="0"/>
                <w:sz w:val="22"/>
              </w:rPr>
              <w:t>包含数字及文字描述</w:t>
            </w:r>
            <w:r>
              <w:rPr>
                <w:rFonts w:ascii="宋体" w:hAnsi="宋体" w:cs="宋体"/>
                <w:kern w:val="0"/>
                <w:sz w:val="22"/>
              </w:rPr>
              <w:t>)</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实际完成指标值</w:t>
            </w:r>
            <w:r>
              <w:rPr>
                <w:rFonts w:ascii="宋体" w:hAnsi="宋体" w:cs="宋体"/>
                <w:kern w:val="0"/>
                <w:sz w:val="22"/>
              </w:rPr>
              <w:t>(</w:t>
            </w:r>
            <w:r>
              <w:rPr>
                <w:rFonts w:hint="eastAsia" w:ascii="宋体" w:hAnsi="宋体" w:cs="宋体"/>
                <w:kern w:val="0"/>
                <w:sz w:val="22"/>
              </w:rPr>
              <w:t>包含数字及文字描述</w:t>
            </w:r>
            <w:r>
              <w:rPr>
                <w:rFonts w:ascii="宋体" w:hAnsi="宋体" w:cs="宋体"/>
                <w:kern w:val="0"/>
                <w:sz w:val="22"/>
              </w:rPr>
              <w:t>)</w:t>
            </w:r>
          </w:p>
        </w:tc>
      </w:tr>
      <w:tr>
        <w:tblPrEx>
          <w:tblCellMar>
            <w:top w:w="0" w:type="dxa"/>
            <w:left w:w="0" w:type="dxa"/>
            <w:bottom w:w="0" w:type="dxa"/>
            <w:right w:w="0" w:type="dxa"/>
          </w:tblCellMar>
        </w:tblPrEx>
        <w:trPr>
          <w:trHeight w:val="953" w:hRule="atLeast"/>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restart"/>
            <w:tcBorders>
              <w:top w:val="single" w:color="000000" w:sz="4" w:space="0"/>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产出指标</w:t>
            </w:r>
          </w:p>
          <w:p>
            <w:pPr>
              <w:widowControl/>
              <w:spacing w:line="240" w:lineRule="exact"/>
              <w:jc w:val="center"/>
              <w:textAlignment w:val="center"/>
              <w:rPr>
                <w:rFonts w:ascii="宋体" w:cs="宋体"/>
                <w:kern w:val="0"/>
                <w:sz w:val="22"/>
              </w:rPr>
            </w:pPr>
          </w:p>
        </w:tc>
        <w:tc>
          <w:tcPr>
            <w:tcW w:w="55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数量指标</w:t>
            </w:r>
          </w:p>
        </w:tc>
        <w:tc>
          <w:tcPr>
            <w:tcW w:w="119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涉及村（社区）个数</w:t>
            </w:r>
          </w:p>
        </w:tc>
        <w:tc>
          <w:tcPr>
            <w:tcW w:w="120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szCs w:val="18"/>
              </w:rPr>
            </w:pPr>
            <w:r>
              <w:rPr>
                <w:rFonts w:hint="eastAsia" w:ascii="宋体" w:hAnsi="宋体" w:cs="宋体"/>
                <w:kern w:val="0"/>
                <w:sz w:val="22"/>
              </w:rPr>
              <w:t>7个</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szCs w:val="18"/>
              </w:rPr>
            </w:pPr>
            <w:r>
              <w:rPr>
                <w:rFonts w:hint="eastAsia" w:ascii="宋体" w:hAnsi="宋体" w:cs="宋体"/>
                <w:sz w:val="22"/>
                <w:szCs w:val="18"/>
              </w:rPr>
              <w:t>7个</w:t>
            </w:r>
          </w:p>
        </w:tc>
      </w:tr>
      <w:tr>
        <w:tblPrEx>
          <w:tblCellMar>
            <w:top w:w="0" w:type="dxa"/>
            <w:left w:w="0" w:type="dxa"/>
            <w:bottom w:w="0" w:type="dxa"/>
            <w:right w:w="0" w:type="dxa"/>
          </w:tblCellMar>
        </w:tblPrEx>
        <w:trPr>
          <w:trHeight w:val="814" w:hRule="atLeast"/>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55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质量指标</w:t>
            </w:r>
          </w:p>
        </w:tc>
        <w:tc>
          <w:tcPr>
            <w:tcW w:w="119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szCs w:val="22"/>
              </w:rPr>
              <w:t>资金到位率</w:t>
            </w:r>
          </w:p>
        </w:tc>
        <w:tc>
          <w:tcPr>
            <w:tcW w:w="120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100%</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100%</w:t>
            </w:r>
          </w:p>
        </w:tc>
      </w:tr>
      <w:tr>
        <w:tblPrEx>
          <w:tblCellMar>
            <w:top w:w="0" w:type="dxa"/>
            <w:left w:w="0" w:type="dxa"/>
            <w:bottom w:w="0" w:type="dxa"/>
            <w:right w:w="0" w:type="dxa"/>
          </w:tblCellMar>
        </w:tblPrEx>
        <w:trPr>
          <w:trHeight w:val="645" w:hRule="atLeast"/>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55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时效指标</w:t>
            </w:r>
          </w:p>
        </w:tc>
        <w:tc>
          <w:tcPr>
            <w:tcW w:w="119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完成时间</w:t>
            </w:r>
          </w:p>
        </w:tc>
        <w:tc>
          <w:tcPr>
            <w:tcW w:w="120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2021年12月底</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2021年12月底</w:t>
            </w:r>
          </w:p>
        </w:tc>
      </w:tr>
      <w:tr>
        <w:tblPrEx>
          <w:tblCellMar>
            <w:top w:w="0" w:type="dxa"/>
            <w:left w:w="0" w:type="dxa"/>
            <w:bottom w:w="0" w:type="dxa"/>
            <w:right w:w="0" w:type="dxa"/>
          </w:tblCellMar>
        </w:tblPrEx>
        <w:trPr>
          <w:trHeight w:val="874" w:hRule="atLeast"/>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kern w:val="0"/>
                <w:sz w:val="22"/>
              </w:rPr>
            </w:pPr>
          </w:p>
        </w:tc>
        <w:tc>
          <w:tcPr>
            <w:tcW w:w="55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成本指标</w:t>
            </w:r>
          </w:p>
        </w:tc>
        <w:tc>
          <w:tcPr>
            <w:tcW w:w="119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sz w:val="22"/>
              </w:rPr>
              <w:t>完成成本（万元）</w:t>
            </w:r>
          </w:p>
        </w:tc>
        <w:tc>
          <w:tcPr>
            <w:tcW w:w="120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≤33.71</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33.71</w:t>
            </w:r>
          </w:p>
        </w:tc>
      </w:tr>
      <w:tr>
        <w:tblPrEx>
          <w:tblCellMar>
            <w:top w:w="0" w:type="dxa"/>
            <w:left w:w="0" w:type="dxa"/>
            <w:bottom w:w="0" w:type="dxa"/>
            <w:right w:w="0" w:type="dxa"/>
          </w:tblCellMar>
        </w:tblPrEx>
        <w:trPr>
          <w:trHeight w:val="624" w:hRule="atLeast"/>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restart"/>
            <w:tcBorders>
              <w:top w:val="single" w:color="000000" w:sz="4" w:space="0"/>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效益指标</w:t>
            </w:r>
          </w:p>
        </w:tc>
        <w:tc>
          <w:tcPr>
            <w:tcW w:w="55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社会效益</w:t>
            </w:r>
          </w:p>
        </w:tc>
        <w:tc>
          <w:tcPr>
            <w:tcW w:w="119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color w:val="000000"/>
                <w:kern w:val="0"/>
                <w:sz w:val="22"/>
                <w:szCs w:val="22"/>
              </w:rPr>
              <w:t>提高农村就业率。</w:t>
            </w:r>
          </w:p>
        </w:tc>
        <w:tc>
          <w:tcPr>
            <w:tcW w:w="120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90%</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90%</w:t>
            </w:r>
          </w:p>
        </w:tc>
      </w:tr>
      <w:tr>
        <w:tblPrEx>
          <w:tblCellMar>
            <w:top w:w="0" w:type="dxa"/>
            <w:left w:w="0" w:type="dxa"/>
            <w:bottom w:w="0" w:type="dxa"/>
            <w:right w:w="0" w:type="dxa"/>
          </w:tblCellMar>
        </w:tblPrEx>
        <w:trPr>
          <w:trHeight w:val="1042" w:hRule="atLeast"/>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55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经济效益指标</w:t>
            </w:r>
          </w:p>
        </w:tc>
        <w:tc>
          <w:tcPr>
            <w:tcW w:w="119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hAnsi="宋体" w:cs="宋体"/>
                <w:color w:val="000000"/>
                <w:kern w:val="0"/>
                <w:sz w:val="22"/>
                <w:szCs w:val="22"/>
              </w:rPr>
              <w:t>提高农村就业队伍收入。</w:t>
            </w:r>
          </w:p>
        </w:tc>
        <w:tc>
          <w:tcPr>
            <w:tcW w:w="120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是</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是</w:t>
            </w:r>
          </w:p>
        </w:tc>
      </w:tr>
      <w:tr>
        <w:tblPrEx>
          <w:tblCellMar>
            <w:top w:w="0" w:type="dxa"/>
            <w:left w:w="0" w:type="dxa"/>
            <w:bottom w:w="0" w:type="dxa"/>
            <w:right w:w="0" w:type="dxa"/>
          </w:tblCellMar>
        </w:tblPrEx>
        <w:trPr>
          <w:trHeight w:val="836" w:hRule="atLeast"/>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55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可持续效益</w:t>
            </w:r>
          </w:p>
        </w:tc>
        <w:tc>
          <w:tcPr>
            <w:tcW w:w="119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ascii="宋体" w:hAnsi="宋体" w:cs="宋体"/>
                <w:color w:val="000000"/>
                <w:kern w:val="0"/>
                <w:sz w:val="22"/>
                <w:szCs w:val="22"/>
              </w:rPr>
              <w:t>确保公岗队伍稳定。</w:t>
            </w:r>
          </w:p>
        </w:tc>
        <w:tc>
          <w:tcPr>
            <w:tcW w:w="120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ascii="宋体" w:hAnsi="宋体" w:cs="宋体"/>
                <w:kern w:val="0"/>
                <w:sz w:val="22"/>
                <w:szCs w:val="22"/>
              </w:rPr>
              <w:t>长期</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szCs w:val="22"/>
              </w:rPr>
              <w:t>长期</w:t>
            </w:r>
          </w:p>
        </w:tc>
      </w:tr>
      <w:tr>
        <w:tblPrEx>
          <w:tblCellMar>
            <w:top w:w="0" w:type="dxa"/>
            <w:left w:w="0" w:type="dxa"/>
            <w:bottom w:w="0" w:type="dxa"/>
            <w:right w:w="0" w:type="dxa"/>
          </w:tblCellMar>
        </w:tblPrEx>
        <w:trPr>
          <w:trHeight w:val="975" w:hRule="atLeast"/>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满意度指标</w:t>
            </w:r>
          </w:p>
        </w:tc>
        <w:tc>
          <w:tcPr>
            <w:tcW w:w="559"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受益对象满意度</w:t>
            </w:r>
          </w:p>
        </w:tc>
        <w:tc>
          <w:tcPr>
            <w:tcW w:w="119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rPr>
            </w:pPr>
            <w:r>
              <w:rPr>
                <w:rFonts w:hint="eastAsia" w:ascii="宋体" w:cs="宋体"/>
                <w:sz w:val="22"/>
              </w:rPr>
              <w:t>群众满意度</w:t>
            </w:r>
          </w:p>
        </w:tc>
        <w:tc>
          <w:tcPr>
            <w:tcW w:w="1202"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rPr>
            </w:pPr>
            <w:r>
              <w:rPr>
                <w:rFonts w:hint="eastAsia" w:ascii="宋体" w:cs="宋体"/>
                <w:sz w:val="22"/>
              </w:rPr>
              <w:t>≥90%</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≥90%</w:t>
            </w:r>
          </w:p>
        </w:tc>
      </w:tr>
    </w:tbl>
    <w:p/>
    <w:p>
      <w:pPr>
        <w:pStyle w:val="6"/>
        <w:spacing w:before="93"/>
      </w:pPr>
    </w:p>
    <w:tbl>
      <w:tblPr>
        <w:tblStyle w:val="13"/>
        <w:tblpPr w:leftFromText="180" w:rightFromText="180" w:vertAnchor="text" w:horzAnchor="page" w:tblpX="1807" w:tblpY="624"/>
        <w:tblOverlap w:val="never"/>
        <w:tblW w:w="5073" w:type="pct"/>
        <w:tblInd w:w="0" w:type="dxa"/>
        <w:tblLayout w:type="autofit"/>
        <w:tblCellMar>
          <w:top w:w="0" w:type="dxa"/>
          <w:left w:w="0" w:type="dxa"/>
          <w:bottom w:w="0" w:type="dxa"/>
          <w:right w:w="0" w:type="dxa"/>
        </w:tblCellMar>
      </w:tblPr>
      <w:tblGrid>
        <w:gridCol w:w="843"/>
        <w:gridCol w:w="866"/>
        <w:gridCol w:w="1115"/>
        <w:gridCol w:w="2037"/>
        <w:gridCol w:w="1707"/>
        <w:gridCol w:w="1890"/>
      </w:tblGrid>
      <w:tr>
        <w:tblPrEx>
          <w:tblCellMar>
            <w:top w:w="0" w:type="dxa"/>
            <w:left w:w="0" w:type="dxa"/>
            <w:bottom w:w="0" w:type="dxa"/>
            <w:right w:w="0" w:type="dxa"/>
          </w:tblCellMar>
        </w:tblPrEx>
        <w:trPr>
          <w:trHeight w:val="1034" w:hRule="atLeast"/>
        </w:trPr>
        <w:tc>
          <w:tcPr>
            <w:tcW w:w="5000" w:type="pct"/>
            <w:gridSpan w:val="6"/>
            <w:tcMar>
              <w:top w:w="15" w:type="dxa"/>
              <w:left w:w="15" w:type="dxa"/>
              <w:bottom w:w="0" w:type="dxa"/>
              <w:right w:w="15" w:type="dxa"/>
            </w:tcMar>
            <w:vAlign w:val="center"/>
          </w:tcPr>
          <w:p>
            <w:pPr>
              <w:pStyle w:val="24"/>
              <w:widowControl/>
              <w:ind w:firstLine="0" w:firstLineChars="0"/>
              <w:jc w:val="center"/>
              <w:textAlignment w:val="center"/>
              <w:rPr>
                <w:rFonts w:ascii="黑体" w:hAnsi="黑体" w:eastAsia="黑体" w:cs="宋体"/>
                <w:bCs/>
                <w:kern w:val="0"/>
                <w:sz w:val="36"/>
                <w:szCs w:val="36"/>
              </w:rPr>
            </w:pPr>
            <w:r>
              <w:rPr>
                <w:rFonts w:hint="eastAsia" w:ascii="黑体" w:hAnsi="黑体" w:eastAsia="黑体" w:cs="宋体"/>
                <w:bCs/>
                <w:kern w:val="0"/>
                <w:sz w:val="36"/>
                <w:szCs w:val="36"/>
              </w:rPr>
              <w:t>项目支出绩效目标完成情况表</w:t>
            </w:r>
          </w:p>
          <w:p>
            <w:pPr>
              <w:pStyle w:val="24"/>
              <w:widowControl/>
              <w:ind w:firstLine="0" w:firstLineChars="0"/>
              <w:jc w:val="center"/>
              <w:textAlignment w:val="center"/>
              <w:rPr>
                <w:rFonts w:ascii="宋体" w:cs="宋体"/>
                <w:sz w:val="36"/>
                <w:szCs w:val="36"/>
              </w:rPr>
            </w:pPr>
            <w:r>
              <w:rPr>
                <w:rFonts w:ascii="宋体" w:hAnsi="宋体" w:cs="宋体"/>
                <w:kern w:val="0"/>
                <w:sz w:val="36"/>
                <w:szCs w:val="36"/>
              </w:rPr>
              <w:t>(</w:t>
            </w:r>
            <w:r>
              <w:rPr>
                <w:rFonts w:hint="eastAsia" w:ascii="宋体" w:hAnsi="宋体" w:cs="宋体"/>
                <w:kern w:val="0"/>
                <w:sz w:val="36"/>
                <w:szCs w:val="36"/>
              </w:rPr>
              <w:t>2021年度</w:t>
            </w:r>
            <w:r>
              <w:rPr>
                <w:rFonts w:ascii="宋体" w:hAnsi="宋体" w:cs="宋体"/>
                <w:kern w:val="0"/>
                <w:sz w:val="36"/>
                <w:szCs w:val="36"/>
              </w:rPr>
              <w:t>)</w:t>
            </w:r>
          </w:p>
        </w:tc>
      </w:tr>
      <w:tr>
        <w:tblPrEx>
          <w:tblCellMar>
            <w:top w:w="0" w:type="dxa"/>
            <w:left w:w="0" w:type="dxa"/>
            <w:bottom w:w="0" w:type="dxa"/>
            <w:right w:w="0" w:type="dxa"/>
          </w:tblCellMar>
        </w:tblPrEx>
        <w:trPr>
          <w:trHeight w:val="276" w:hRule="atLeast"/>
        </w:trPr>
        <w:tc>
          <w:tcPr>
            <w:tcW w:w="2825"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项目名称</w:t>
            </w:r>
          </w:p>
        </w:tc>
        <w:tc>
          <w:tcPr>
            <w:tcW w:w="5633"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rPr>
            </w:pPr>
            <w:r>
              <w:rPr>
                <w:rFonts w:hint="eastAsia" w:ascii="宋体" w:cs="宋体"/>
                <w:sz w:val="22"/>
              </w:rPr>
              <w:t>污水处理站维护运行经费</w:t>
            </w:r>
          </w:p>
        </w:tc>
      </w:tr>
      <w:tr>
        <w:tblPrEx>
          <w:tblCellMar>
            <w:top w:w="0" w:type="dxa"/>
            <w:left w:w="0" w:type="dxa"/>
            <w:bottom w:w="0" w:type="dxa"/>
            <w:right w:w="0" w:type="dxa"/>
          </w:tblCellMar>
        </w:tblPrEx>
        <w:trPr>
          <w:trHeight w:val="276" w:hRule="atLeast"/>
        </w:trPr>
        <w:tc>
          <w:tcPr>
            <w:tcW w:w="2825"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预算单位</w:t>
            </w:r>
          </w:p>
        </w:tc>
        <w:tc>
          <w:tcPr>
            <w:tcW w:w="5633"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苍溪县运山镇人民政府</w:t>
            </w:r>
          </w:p>
        </w:tc>
      </w:tr>
      <w:tr>
        <w:tblPrEx>
          <w:tblCellMar>
            <w:top w:w="0" w:type="dxa"/>
            <w:left w:w="0" w:type="dxa"/>
            <w:bottom w:w="0" w:type="dxa"/>
            <w:right w:w="0" w:type="dxa"/>
          </w:tblCellMar>
        </w:tblPrEx>
        <w:trPr>
          <w:trHeight w:val="271" w:hRule="atLeast"/>
        </w:trPr>
        <w:tc>
          <w:tcPr>
            <w:tcW w:w="844"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预算执行情况</w:t>
            </w:r>
            <w:r>
              <w:rPr>
                <w:rFonts w:ascii="宋体" w:hAnsi="宋体" w:cs="宋体"/>
                <w:kern w:val="0"/>
                <w:sz w:val="22"/>
              </w:rPr>
              <w:t>(</w:t>
            </w:r>
            <w:r>
              <w:rPr>
                <w:rFonts w:hint="eastAsia" w:ascii="宋体" w:hAnsi="宋体" w:cs="宋体"/>
                <w:kern w:val="0"/>
                <w:sz w:val="22"/>
              </w:rPr>
              <w:t>万元</w:t>
            </w:r>
            <w:r>
              <w:rPr>
                <w:rFonts w:ascii="宋体" w:hAnsi="宋体" w:cs="宋体"/>
                <w:kern w:val="0"/>
                <w:sz w:val="22"/>
              </w:rPr>
              <w:t>)</w:t>
            </w:r>
          </w:p>
        </w:tc>
        <w:tc>
          <w:tcPr>
            <w:tcW w:w="1981"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预算数</w:t>
            </w:r>
          </w:p>
        </w:tc>
        <w:tc>
          <w:tcPr>
            <w:tcW w:w="203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10</w:t>
            </w:r>
          </w:p>
        </w:tc>
        <w:tc>
          <w:tcPr>
            <w:tcW w:w="1708"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执行数</w:t>
            </w:r>
          </w:p>
        </w:tc>
        <w:tc>
          <w:tcPr>
            <w:tcW w:w="188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10</w:t>
            </w:r>
          </w:p>
        </w:tc>
      </w:tr>
      <w:tr>
        <w:tblPrEx>
          <w:tblCellMar>
            <w:top w:w="0" w:type="dxa"/>
            <w:left w:w="0" w:type="dxa"/>
            <w:bottom w:w="0" w:type="dxa"/>
            <w:right w:w="0" w:type="dxa"/>
          </w:tblCellMar>
        </w:tblPrEx>
        <w:trPr>
          <w:trHeight w:val="416" w:hRule="atLeast"/>
        </w:trPr>
        <w:tc>
          <w:tcPr>
            <w:tcW w:w="844"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1981"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其中</w:t>
            </w:r>
            <w:r>
              <w:rPr>
                <w:rFonts w:ascii="宋体" w:cs="宋体"/>
                <w:kern w:val="0"/>
                <w:sz w:val="22"/>
              </w:rPr>
              <w:t>-</w:t>
            </w:r>
            <w:r>
              <w:rPr>
                <w:rFonts w:hint="eastAsia" w:ascii="宋体" w:hAnsi="宋体" w:cs="宋体"/>
                <w:kern w:val="0"/>
                <w:sz w:val="22"/>
              </w:rPr>
              <w:t>财政拨款</w:t>
            </w:r>
          </w:p>
        </w:tc>
        <w:tc>
          <w:tcPr>
            <w:tcW w:w="203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10</w:t>
            </w:r>
          </w:p>
        </w:tc>
        <w:tc>
          <w:tcPr>
            <w:tcW w:w="1708"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其中</w:t>
            </w:r>
            <w:r>
              <w:rPr>
                <w:rFonts w:ascii="宋体" w:cs="宋体"/>
                <w:kern w:val="0"/>
                <w:sz w:val="22"/>
              </w:rPr>
              <w:t>-</w:t>
            </w:r>
            <w:r>
              <w:rPr>
                <w:rFonts w:hint="eastAsia" w:ascii="宋体" w:hAnsi="宋体" w:cs="宋体"/>
                <w:kern w:val="0"/>
                <w:sz w:val="22"/>
              </w:rPr>
              <w:t>财政拨款</w:t>
            </w:r>
          </w:p>
        </w:tc>
        <w:tc>
          <w:tcPr>
            <w:tcW w:w="188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10</w:t>
            </w:r>
          </w:p>
        </w:tc>
      </w:tr>
      <w:tr>
        <w:tblPrEx>
          <w:tblCellMar>
            <w:top w:w="0" w:type="dxa"/>
            <w:left w:w="0" w:type="dxa"/>
            <w:bottom w:w="0" w:type="dxa"/>
            <w:right w:w="0" w:type="dxa"/>
          </w:tblCellMar>
        </w:tblPrEx>
        <w:trPr>
          <w:trHeight w:val="90" w:hRule="atLeast"/>
        </w:trPr>
        <w:tc>
          <w:tcPr>
            <w:tcW w:w="844"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1981"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其它资金</w:t>
            </w:r>
          </w:p>
        </w:tc>
        <w:tc>
          <w:tcPr>
            <w:tcW w:w="203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0</w:t>
            </w:r>
          </w:p>
        </w:tc>
        <w:tc>
          <w:tcPr>
            <w:tcW w:w="1708"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其它资金</w:t>
            </w:r>
          </w:p>
        </w:tc>
        <w:tc>
          <w:tcPr>
            <w:tcW w:w="188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ascii="宋体" w:cs="宋体"/>
                <w:sz w:val="22"/>
              </w:rPr>
              <w:t>0</w:t>
            </w:r>
          </w:p>
        </w:tc>
      </w:tr>
      <w:tr>
        <w:tblPrEx>
          <w:tblCellMar>
            <w:top w:w="0" w:type="dxa"/>
            <w:left w:w="0" w:type="dxa"/>
            <w:bottom w:w="0" w:type="dxa"/>
            <w:right w:w="0" w:type="dxa"/>
          </w:tblCellMar>
        </w:tblPrEx>
        <w:trPr>
          <w:trHeight w:val="431" w:hRule="atLeast"/>
        </w:trPr>
        <w:tc>
          <w:tcPr>
            <w:tcW w:w="844"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年度目标完成情况</w:t>
            </w:r>
          </w:p>
        </w:tc>
        <w:tc>
          <w:tcPr>
            <w:tcW w:w="4017"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预期目标</w:t>
            </w:r>
          </w:p>
        </w:tc>
        <w:tc>
          <w:tcPr>
            <w:tcW w:w="3597"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实际完成目标</w:t>
            </w:r>
          </w:p>
        </w:tc>
      </w:tr>
      <w:tr>
        <w:tblPrEx>
          <w:tblCellMar>
            <w:top w:w="0" w:type="dxa"/>
            <w:left w:w="0" w:type="dxa"/>
            <w:bottom w:w="0" w:type="dxa"/>
            <w:right w:w="0" w:type="dxa"/>
          </w:tblCellMar>
        </w:tblPrEx>
        <w:trPr>
          <w:trHeight w:val="1205" w:hRule="atLeast"/>
        </w:trPr>
        <w:tc>
          <w:tcPr>
            <w:tcW w:w="844"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4017" w:type="dxa"/>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textAlignment w:val="center"/>
              <w:rPr>
                <w:rFonts w:ascii="宋体" w:eastAsia="宋体" w:cs="宋体"/>
                <w:sz w:val="22"/>
              </w:rPr>
            </w:pPr>
            <w:r>
              <w:rPr>
                <w:rFonts w:hint="eastAsia" w:ascii="宋体" w:hAnsi="宋体" w:cs="宋体"/>
                <w:kern w:val="0"/>
                <w:sz w:val="22"/>
              </w:rPr>
              <w:t>保障污水处理站日常维护和运转，改善水环境质量，达到远程实时掌握污水处理站的运行情况，确保出口水水质稳定达标。</w:t>
            </w:r>
          </w:p>
        </w:tc>
        <w:tc>
          <w:tcPr>
            <w:tcW w:w="3597" w:type="dxa"/>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textAlignment w:val="center"/>
              <w:rPr>
                <w:rFonts w:ascii="宋体" w:eastAsia="宋体" w:cs="宋体"/>
                <w:sz w:val="22"/>
              </w:rPr>
            </w:pPr>
            <w:r>
              <w:rPr>
                <w:rFonts w:hint="eastAsia" w:ascii="宋体" w:hAnsi="宋体" w:cs="宋体"/>
                <w:kern w:val="0"/>
                <w:sz w:val="22"/>
              </w:rPr>
              <w:t>保障污水处理站日常维护和运转在，改善水环境质量，达到远程实时掌握污水处理站的运行情况，确保出口水水质稳定达标。</w:t>
            </w:r>
          </w:p>
        </w:tc>
      </w:tr>
      <w:tr>
        <w:tblPrEx>
          <w:tblCellMar>
            <w:top w:w="0" w:type="dxa"/>
            <w:left w:w="0" w:type="dxa"/>
            <w:bottom w:w="0" w:type="dxa"/>
            <w:right w:w="0" w:type="dxa"/>
          </w:tblCellMar>
        </w:tblPrEx>
        <w:trPr>
          <w:trHeight w:val="478" w:hRule="atLeast"/>
        </w:trPr>
        <w:tc>
          <w:tcPr>
            <w:tcW w:w="844" w:type="dxa"/>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sz w:val="22"/>
              </w:rPr>
              <w:t>绩效指标完成情况</w:t>
            </w:r>
          </w:p>
        </w:tc>
        <w:tc>
          <w:tcPr>
            <w:tcW w:w="8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一级指标</w:t>
            </w:r>
          </w:p>
        </w:tc>
        <w:tc>
          <w:tcPr>
            <w:tcW w:w="111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二级指标</w:t>
            </w:r>
          </w:p>
        </w:tc>
        <w:tc>
          <w:tcPr>
            <w:tcW w:w="203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三级指标</w:t>
            </w:r>
          </w:p>
        </w:tc>
        <w:tc>
          <w:tcPr>
            <w:tcW w:w="1708"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预期指标值</w:t>
            </w:r>
            <w:r>
              <w:rPr>
                <w:rFonts w:ascii="宋体" w:hAnsi="宋体" w:cs="宋体"/>
                <w:kern w:val="0"/>
                <w:sz w:val="22"/>
              </w:rPr>
              <w:t>(</w:t>
            </w:r>
            <w:r>
              <w:rPr>
                <w:rFonts w:hint="eastAsia" w:ascii="宋体" w:hAnsi="宋体" w:cs="宋体"/>
                <w:kern w:val="0"/>
                <w:sz w:val="22"/>
              </w:rPr>
              <w:t>包含数字及文字描述</w:t>
            </w:r>
            <w:r>
              <w:rPr>
                <w:rFonts w:ascii="宋体" w:hAnsi="宋体" w:cs="宋体"/>
                <w:kern w:val="0"/>
                <w:sz w:val="22"/>
              </w:rPr>
              <w:t>)</w:t>
            </w:r>
          </w:p>
        </w:tc>
        <w:tc>
          <w:tcPr>
            <w:tcW w:w="188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实际完成指标值</w:t>
            </w:r>
            <w:r>
              <w:rPr>
                <w:rFonts w:ascii="宋体" w:hAnsi="宋体" w:cs="宋体"/>
                <w:kern w:val="0"/>
                <w:sz w:val="22"/>
              </w:rPr>
              <w:t>(</w:t>
            </w:r>
            <w:r>
              <w:rPr>
                <w:rFonts w:hint="eastAsia" w:ascii="宋体" w:hAnsi="宋体" w:cs="宋体"/>
                <w:kern w:val="0"/>
                <w:sz w:val="22"/>
              </w:rPr>
              <w:t>包含数字及文字描述</w:t>
            </w:r>
            <w:r>
              <w:rPr>
                <w:rFonts w:ascii="宋体" w:hAnsi="宋体" w:cs="宋体"/>
                <w:kern w:val="0"/>
                <w:sz w:val="22"/>
              </w:rPr>
              <w:t>)</w:t>
            </w:r>
          </w:p>
        </w:tc>
      </w:tr>
      <w:tr>
        <w:tblPrEx>
          <w:tblCellMar>
            <w:top w:w="0" w:type="dxa"/>
            <w:left w:w="0" w:type="dxa"/>
            <w:bottom w:w="0" w:type="dxa"/>
            <w:right w:w="0" w:type="dxa"/>
          </w:tblCellMar>
        </w:tblPrEx>
        <w:trPr>
          <w:trHeight w:val="953" w:hRule="atLeast"/>
        </w:trPr>
        <w:tc>
          <w:tcPr>
            <w:tcW w:w="844"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867" w:type="dxa"/>
            <w:vMerge w:val="restart"/>
            <w:tcBorders>
              <w:top w:val="single" w:color="000000" w:sz="4" w:space="0"/>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产出指标</w:t>
            </w:r>
          </w:p>
          <w:p>
            <w:pPr>
              <w:widowControl/>
              <w:spacing w:line="240" w:lineRule="exact"/>
              <w:jc w:val="center"/>
              <w:textAlignment w:val="center"/>
              <w:rPr>
                <w:rFonts w:ascii="宋体" w:cs="宋体"/>
                <w:kern w:val="0"/>
                <w:sz w:val="22"/>
              </w:rPr>
            </w:pPr>
          </w:p>
        </w:tc>
        <w:tc>
          <w:tcPr>
            <w:tcW w:w="111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数量指标</w:t>
            </w:r>
          </w:p>
        </w:tc>
        <w:tc>
          <w:tcPr>
            <w:tcW w:w="203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hAnsi="宋体" w:cs="宋体"/>
                <w:kern w:val="0"/>
                <w:sz w:val="22"/>
                <w:szCs w:val="22"/>
              </w:rPr>
              <w:t>安</w:t>
            </w:r>
            <w:r>
              <w:rPr>
                <w:rFonts w:hint="eastAsia" w:ascii="宋体" w:hAnsi="宋体" w:cs="宋体"/>
                <w:kern w:val="0"/>
                <w:sz w:val="22"/>
              </w:rPr>
              <w:t>装修建彩钢大棚</w:t>
            </w:r>
          </w:p>
        </w:tc>
        <w:tc>
          <w:tcPr>
            <w:tcW w:w="1708"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szCs w:val="18"/>
              </w:rPr>
            </w:pPr>
            <w:r>
              <w:rPr>
                <w:rFonts w:hint="eastAsia" w:ascii="宋体" w:hAnsi="宋体" w:cs="宋体"/>
                <w:kern w:val="0"/>
                <w:sz w:val="22"/>
              </w:rPr>
              <w:t>1个</w:t>
            </w:r>
          </w:p>
        </w:tc>
        <w:tc>
          <w:tcPr>
            <w:tcW w:w="188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szCs w:val="18"/>
              </w:rPr>
            </w:pPr>
            <w:r>
              <w:rPr>
                <w:rFonts w:hint="eastAsia" w:ascii="宋体" w:hAnsi="宋体" w:cs="宋体"/>
                <w:sz w:val="22"/>
                <w:szCs w:val="18"/>
              </w:rPr>
              <w:t>1个</w:t>
            </w:r>
          </w:p>
        </w:tc>
      </w:tr>
      <w:tr>
        <w:tblPrEx>
          <w:tblCellMar>
            <w:top w:w="0" w:type="dxa"/>
            <w:left w:w="0" w:type="dxa"/>
            <w:bottom w:w="0" w:type="dxa"/>
            <w:right w:w="0" w:type="dxa"/>
          </w:tblCellMar>
        </w:tblPrEx>
        <w:trPr>
          <w:trHeight w:val="814" w:hRule="atLeast"/>
        </w:trPr>
        <w:tc>
          <w:tcPr>
            <w:tcW w:w="844"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867" w:type="dxa"/>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111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质量指标</w:t>
            </w:r>
          </w:p>
        </w:tc>
        <w:tc>
          <w:tcPr>
            <w:tcW w:w="203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szCs w:val="22"/>
              </w:rPr>
              <w:t>完成</w:t>
            </w:r>
            <w:r>
              <w:rPr>
                <w:rFonts w:hint="eastAsia" w:ascii="宋体" w:hAnsi="宋体" w:cs="宋体"/>
                <w:kern w:val="0"/>
                <w:sz w:val="22"/>
              </w:rPr>
              <w:t>监测设备及视频监控系统运行</w:t>
            </w:r>
          </w:p>
        </w:tc>
        <w:tc>
          <w:tcPr>
            <w:tcW w:w="1708"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95%</w:t>
            </w:r>
          </w:p>
        </w:tc>
        <w:tc>
          <w:tcPr>
            <w:tcW w:w="188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95%</w:t>
            </w:r>
          </w:p>
        </w:tc>
      </w:tr>
      <w:tr>
        <w:tblPrEx>
          <w:tblCellMar>
            <w:top w:w="0" w:type="dxa"/>
            <w:left w:w="0" w:type="dxa"/>
            <w:bottom w:w="0" w:type="dxa"/>
            <w:right w:w="0" w:type="dxa"/>
          </w:tblCellMar>
        </w:tblPrEx>
        <w:trPr>
          <w:trHeight w:val="645" w:hRule="atLeast"/>
        </w:trPr>
        <w:tc>
          <w:tcPr>
            <w:tcW w:w="844"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867" w:type="dxa"/>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111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时效指标</w:t>
            </w:r>
          </w:p>
        </w:tc>
        <w:tc>
          <w:tcPr>
            <w:tcW w:w="203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完成时间</w:t>
            </w:r>
          </w:p>
        </w:tc>
        <w:tc>
          <w:tcPr>
            <w:tcW w:w="1708"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2021年12月底</w:t>
            </w:r>
          </w:p>
        </w:tc>
        <w:tc>
          <w:tcPr>
            <w:tcW w:w="188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2021年12月底</w:t>
            </w:r>
          </w:p>
        </w:tc>
      </w:tr>
      <w:tr>
        <w:tblPrEx>
          <w:tblCellMar>
            <w:top w:w="0" w:type="dxa"/>
            <w:left w:w="0" w:type="dxa"/>
            <w:bottom w:w="0" w:type="dxa"/>
            <w:right w:w="0" w:type="dxa"/>
          </w:tblCellMar>
        </w:tblPrEx>
        <w:trPr>
          <w:trHeight w:val="874" w:hRule="atLeast"/>
        </w:trPr>
        <w:tc>
          <w:tcPr>
            <w:tcW w:w="844"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867" w:type="dxa"/>
            <w:vMerge w:val="continue"/>
            <w:tcBorders>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kern w:val="0"/>
                <w:sz w:val="22"/>
              </w:rPr>
            </w:pPr>
          </w:p>
        </w:tc>
        <w:tc>
          <w:tcPr>
            <w:tcW w:w="111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成本指标</w:t>
            </w:r>
          </w:p>
        </w:tc>
        <w:tc>
          <w:tcPr>
            <w:tcW w:w="203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sz w:val="22"/>
              </w:rPr>
              <w:t>完成成本（万元）</w:t>
            </w:r>
          </w:p>
        </w:tc>
        <w:tc>
          <w:tcPr>
            <w:tcW w:w="1708"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≤10</w:t>
            </w:r>
          </w:p>
        </w:tc>
        <w:tc>
          <w:tcPr>
            <w:tcW w:w="188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10</w:t>
            </w:r>
          </w:p>
        </w:tc>
      </w:tr>
      <w:tr>
        <w:tblPrEx>
          <w:tblCellMar>
            <w:top w:w="0" w:type="dxa"/>
            <w:left w:w="0" w:type="dxa"/>
            <w:bottom w:w="0" w:type="dxa"/>
            <w:right w:w="0" w:type="dxa"/>
          </w:tblCellMar>
        </w:tblPrEx>
        <w:trPr>
          <w:trHeight w:val="624" w:hRule="atLeast"/>
        </w:trPr>
        <w:tc>
          <w:tcPr>
            <w:tcW w:w="844"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867" w:type="dxa"/>
            <w:vMerge w:val="restart"/>
            <w:tcBorders>
              <w:top w:val="single" w:color="000000" w:sz="4" w:space="0"/>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效益指标</w:t>
            </w:r>
          </w:p>
        </w:tc>
        <w:tc>
          <w:tcPr>
            <w:tcW w:w="111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社会效益</w:t>
            </w:r>
          </w:p>
        </w:tc>
        <w:tc>
          <w:tcPr>
            <w:tcW w:w="203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color w:val="000000"/>
                <w:kern w:val="0"/>
                <w:sz w:val="22"/>
                <w:szCs w:val="22"/>
              </w:rPr>
              <w:t>提升公众认识</w:t>
            </w:r>
          </w:p>
        </w:tc>
        <w:tc>
          <w:tcPr>
            <w:tcW w:w="1708"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90%</w:t>
            </w:r>
          </w:p>
        </w:tc>
        <w:tc>
          <w:tcPr>
            <w:tcW w:w="188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90%</w:t>
            </w:r>
          </w:p>
        </w:tc>
      </w:tr>
      <w:tr>
        <w:tblPrEx>
          <w:tblCellMar>
            <w:top w:w="0" w:type="dxa"/>
            <w:left w:w="0" w:type="dxa"/>
            <w:bottom w:w="0" w:type="dxa"/>
            <w:right w:w="0" w:type="dxa"/>
          </w:tblCellMar>
        </w:tblPrEx>
        <w:trPr>
          <w:trHeight w:val="1042" w:hRule="atLeast"/>
        </w:trPr>
        <w:tc>
          <w:tcPr>
            <w:tcW w:w="844"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867" w:type="dxa"/>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111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生态效益</w:t>
            </w:r>
          </w:p>
        </w:tc>
        <w:tc>
          <w:tcPr>
            <w:tcW w:w="203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hAnsi="宋体" w:eastAsia="宋体" w:cs="宋体"/>
                <w:kern w:val="0"/>
                <w:sz w:val="22"/>
                <w:szCs w:val="22"/>
              </w:rPr>
              <w:t>对环境的贡献</w:t>
            </w:r>
          </w:p>
        </w:tc>
        <w:tc>
          <w:tcPr>
            <w:tcW w:w="1708"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hAnsi="宋体" w:eastAsia="宋体" w:cs="宋体"/>
                <w:kern w:val="0"/>
                <w:sz w:val="22"/>
                <w:szCs w:val="22"/>
              </w:rPr>
              <w:t>减小污染物排放</w:t>
            </w:r>
          </w:p>
        </w:tc>
        <w:tc>
          <w:tcPr>
            <w:tcW w:w="188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hAnsi="宋体" w:eastAsia="宋体" w:cs="宋体"/>
                <w:kern w:val="0"/>
                <w:sz w:val="22"/>
                <w:szCs w:val="22"/>
              </w:rPr>
              <w:t>减小污染物排放</w:t>
            </w:r>
          </w:p>
        </w:tc>
      </w:tr>
      <w:tr>
        <w:tblPrEx>
          <w:tblCellMar>
            <w:top w:w="0" w:type="dxa"/>
            <w:left w:w="0" w:type="dxa"/>
            <w:bottom w:w="0" w:type="dxa"/>
            <w:right w:w="0" w:type="dxa"/>
          </w:tblCellMar>
        </w:tblPrEx>
        <w:trPr>
          <w:trHeight w:val="836" w:hRule="atLeast"/>
        </w:trPr>
        <w:tc>
          <w:tcPr>
            <w:tcW w:w="844"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867" w:type="dxa"/>
            <w:vMerge w:val="continue"/>
            <w:tcBorders>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111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可持续效益</w:t>
            </w:r>
          </w:p>
        </w:tc>
        <w:tc>
          <w:tcPr>
            <w:tcW w:w="203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ascii="宋体" w:hAnsi="宋体" w:eastAsia="宋体" w:cs="宋体"/>
                <w:kern w:val="0"/>
                <w:sz w:val="22"/>
                <w:szCs w:val="22"/>
              </w:rPr>
              <w:t>环境质量稳中向好</w:t>
            </w:r>
          </w:p>
        </w:tc>
        <w:tc>
          <w:tcPr>
            <w:tcW w:w="1708"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ascii="宋体" w:hAnsi="宋体" w:cs="宋体"/>
                <w:kern w:val="0"/>
                <w:sz w:val="22"/>
                <w:szCs w:val="22"/>
              </w:rPr>
              <w:t>长期</w:t>
            </w:r>
          </w:p>
        </w:tc>
        <w:tc>
          <w:tcPr>
            <w:tcW w:w="188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szCs w:val="22"/>
              </w:rPr>
              <w:t>长期</w:t>
            </w:r>
          </w:p>
        </w:tc>
      </w:tr>
      <w:tr>
        <w:tblPrEx>
          <w:tblCellMar>
            <w:top w:w="0" w:type="dxa"/>
            <w:left w:w="0" w:type="dxa"/>
            <w:bottom w:w="0" w:type="dxa"/>
            <w:right w:w="0" w:type="dxa"/>
          </w:tblCellMar>
        </w:tblPrEx>
        <w:trPr>
          <w:trHeight w:val="975" w:hRule="atLeast"/>
        </w:trPr>
        <w:tc>
          <w:tcPr>
            <w:tcW w:w="844" w:type="dxa"/>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867"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满意度指标</w:t>
            </w:r>
          </w:p>
        </w:tc>
        <w:tc>
          <w:tcPr>
            <w:tcW w:w="1114"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受益对象满意度</w:t>
            </w:r>
          </w:p>
        </w:tc>
        <w:tc>
          <w:tcPr>
            <w:tcW w:w="2036"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rPr>
            </w:pPr>
            <w:r>
              <w:rPr>
                <w:rFonts w:hint="eastAsia" w:ascii="宋体" w:cs="宋体"/>
                <w:sz w:val="22"/>
              </w:rPr>
              <w:t>群众满意度</w:t>
            </w:r>
          </w:p>
        </w:tc>
        <w:tc>
          <w:tcPr>
            <w:tcW w:w="1708"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rPr>
            </w:pPr>
            <w:r>
              <w:rPr>
                <w:rFonts w:hint="eastAsia" w:ascii="宋体" w:cs="宋体"/>
                <w:sz w:val="22"/>
              </w:rPr>
              <w:t>≥90%</w:t>
            </w:r>
          </w:p>
        </w:tc>
        <w:tc>
          <w:tcPr>
            <w:tcW w:w="1889" w:type="dxa"/>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≥90%</w:t>
            </w:r>
          </w:p>
        </w:tc>
      </w:tr>
    </w:tbl>
    <w:p>
      <w:pPr>
        <w:spacing w:line="576" w:lineRule="exact"/>
      </w:pPr>
    </w:p>
    <w:p>
      <w:pPr>
        <w:pStyle w:val="6"/>
        <w:spacing w:before="93"/>
      </w:pPr>
    </w:p>
    <w:tbl>
      <w:tblPr>
        <w:tblStyle w:val="13"/>
        <w:tblpPr w:leftFromText="180" w:rightFromText="180" w:vertAnchor="text" w:horzAnchor="page" w:tblpXSpec="center" w:tblpY="624"/>
        <w:tblOverlap w:val="never"/>
        <w:tblW w:w="5074" w:type="pct"/>
        <w:jc w:val="center"/>
        <w:tblLayout w:type="autofit"/>
        <w:tblCellMar>
          <w:top w:w="0" w:type="dxa"/>
          <w:left w:w="0" w:type="dxa"/>
          <w:bottom w:w="0" w:type="dxa"/>
          <w:right w:w="0" w:type="dxa"/>
        </w:tblCellMar>
      </w:tblPr>
      <w:tblGrid>
        <w:gridCol w:w="621"/>
        <w:gridCol w:w="1259"/>
        <w:gridCol w:w="946"/>
        <w:gridCol w:w="2018"/>
        <w:gridCol w:w="2035"/>
        <w:gridCol w:w="1580"/>
      </w:tblGrid>
      <w:tr>
        <w:tblPrEx>
          <w:tblCellMar>
            <w:top w:w="0" w:type="dxa"/>
            <w:left w:w="0" w:type="dxa"/>
            <w:bottom w:w="0" w:type="dxa"/>
            <w:right w:w="0" w:type="dxa"/>
          </w:tblCellMar>
        </w:tblPrEx>
        <w:trPr>
          <w:trHeight w:val="1034" w:hRule="atLeast"/>
          <w:jc w:val="center"/>
        </w:trPr>
        <w:tc>
          <w:tcPr>
            <w:tcW w:w="5000" w:type="pct"/>
            <w:gridSpan w:val="6"/>
            <w:tcMar>
              <w:top w:w="15" w:type="dxa"/>
              <w:left w:w="15" w:type="dxa"/>
              <w:bottom w:w="0" w:type="dxa"/>
              <w:right w:w="15" w:type="dxa"/>
            </w:tcMar>
            <w:vAlign w:val="center"/>
          </w:tcPr>
          <w:p>
            <w:pPr>
              <w:pStyle w:val="24"/>
              <w:widowControl/>
              <w:ind w:firstLine="0" w:firstLineChars="0"/>
              <w:jc w:val="center"/>
              <w:textAlignment w:val="center"/>
              <w:rPr>
                <w:rFonts w:ascii="黑体" w:hAnsi="黑体" w:eastAsia="黑体" w:cs="宋体"/>
                <w:bCs/>
                <w:kern w:val="0"/>
                <w:sz w:val="36"/>
                <w:szCs w:val="36"/>
              </w:rPr>
            </w:pPr>
            <w:r>
              <w:rPr>
                <w:rFonts w:hint="eastAsia" w:ascii="黑体" w:hAnsi="黑体" w:eastAsia="黑体" w:cs="宋体"/>
                <w:bCs/>
                <w:kern w:val="0"/>
                <w:sz w:val="36"/>
                <w:szCs w:val="36"/>
              </w:rPr>
              <w:t>项目支出绩效目标完成情况表</w:t>
            </w:r>
          </w:p>
          <w:p>
            <w:pPr>
              <w:pStyle w:val="24"/>
              <w:widowControl/>
              <w:ind w:firstLine="0" w:firstLineChars="0"/>
              <w:jc w:val="center"/>
              <w:textAlignment w:val="center"/>
              <w:rPr>
                <w:rFonts w:ascii="宋体" w:cs="宋体"/>
                <w:sz w:val="36"/>
                <w:szCs w:val="36"/>
              </w:rPr>
            </w:pPr>
            <w:r>
              <w:rPr>
                <w:rFonts w:ascii="宋体" w:hAnsi="宋体" w:cs="宋体"/>
                <w:kern w:val="0"/>
                <w:sz w:val="36"/>
                <w:szCs w:val="36"/>
              </w:rPr>
              <w:t>(</w:t>
            </w:r>
            <w:r>
              <w:rPr>
                <w:rFonts w:hint="eastAsia" w:ascii="宋体" w:hAnsi="宋体" w:cs="宋体"/>
                <w:kern w:val="0"/>
                <w:sz w:val="36"/>
                <w:szCs w:val="36"/>
              </w:rPr>
              <w:t>2021年度</w:t>
            </w:r>
            <w:r>
              <w:rPr>
                <w:rFonts w:ascii="宋体" w:hAnsi="宋体" w:cs="宋体"/>
                <w:kern w:val="0"/>
                <w:sz w:val="36"/>
                <w:szCs w:val="36"/>
              </w:rPr>
              <w:t>)</w:t>
            </w:r>
          </w:p>
        </w:tc>
      </w:tr>
      <w:tr>
        <w:tblPrEx>
          <w:tblCellMar>
            <w:top w:w="0" w:type="dxa"/>
            <w:left w:w="0" w:type="dxa"/>
            <w:bottom w:w="0" w:type="dxa"/>
            <w:right w:w="0" w:type="dxa"/>
          </w:tblCellMar>
        </w:tblPrEx>
        <w:trPr>
          <w:trHeight w:val="276" w:hRule="atLeast"/>
          <w:jc w:val="center"/>
        </w:trPr>
        <w:tc>
          <w:tcPr>
            <w:tcW w:w="1670"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项目名称</w:t>
            </w:r>
          </w:p>
        </w:tc>
        <w:tc>
          <w:tcPr>
            <w:tcW w:w="3329"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农村基础设施建设项目</w:t>
            </w:r>
          </w:p>
        </w:tc>
      </w:tr>
      <w:tr>
        <w:tblPrEx>
          <w:tblCellMar>
            <w:top w:w="0" w:type="dxa"/>
            <w:left w:w="0" w:type="dxa"/>
            <w:bottom w:w="0" w:type="dxa"/>
            <w:right w:w="0" w:type="dxa"/>
          </w:tblCellMar>
        </w:tblPrEx>
        <w:trPr>
          <w:trHeight w:val="276" w:hRule="atLeast"/>
          <w:jc w:val="center"/>
        </w:trPr>
        <w:tc>
          <w:tcPr>
            <w:tcW w:w="1670"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预算单位</w:t>
            </w:r>
          </w:p>
        </w:tc>
        <w:tc>
          <w:tcPr>
            <w:tcW w:w="3329"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苍溪县运山镇人民政府</w:t>
            </w:r>
          </w:p>
        </w:tc>
      </w:tr>
      <w:tr>
        <w:tblPrEx>
          <w:tblCellMar>
            <w:top w:w="0" w:type="dxa"/>
            <w:left w:w="0" w:type="dxa"/>
            <w:bottom w:w="0" w:type="dxa"/>
            <w:right w:w="0" w:type="dxa"/>
          </w:tblCellMar>
        </w:tblPrEx>
        <w:trPr>
          <w:trHeight w:val="271" w:hRule="atLeast"/>
          <w:jc w:val="center"/>
        </w:trPr>
        <w:tc>
          <w:tcPr>
            <w:tcW w:w="367"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预算执行情况</w:t>
            </w:r>
            <w:r>
              <w:rPr>
                <w:rFonts w:ascii="宋体" w:hAnsi="宋体" w:cs="宋体"/>
                <w:kern w:val="0"/>
                <w:sz w:val="22"/>
              </w:rPr>
              <w:t>(</w:t>
            </w:r>
            <w:r>
              <w:rPr>
                <w:rFonts w:hint="eastAsia" w:ascii="宋体" w:hAnsi="宋体" w:cs="宋体"/>
                <w:kern w:val="0"/>
                <w:sz w:val="22"/>
              </w:rPr>
              <w:t>万元</w:t>
            </w:r>
            <w:r>
              <w:rPr>
                <w:rFonts w:ascii="宋体" w:hAnsi="宋体" w:cs="宋体"/>
                <w:kern w:val="0"/>
                <w:sz w:val="22"/>
              </w:rPr>
              <w:t>)</w:t>
            </w:r>
          </w:p>
        </w:tc>
        <w:tc>
          <w:tcPr>
            <w:tcW w:w="1302"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预算数</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70.00</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执行数</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70.00</w:t>
            </w:r>
          </w:p>
        </w:tc>
      </w:tr>
      <w:tr>
        <w:tblPrEx>
          <w:tblCellMar>
            <w:top w:w="0" w:type="dxa"/>
            <w:left w:w="0" w:type="dxa"/>
            <w:bottom w:w="0" w:type="dxa"/>
            <w:right w:w="0" w:type="dxa"/>
          </w:tblCellMar>
        </w:tblPrEx>
        <w:trPr>
          <w:trHeight w:val="416"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1302"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其中</w:t>
            </w:r>
            <w:r>
              <w:rPr>
                <w:rFonts w:ascii="宋体" w:cs="宋体"/>
                <w:kern w:val="0"/>
                <w:sz w:val="22"/>
              </w:rPr>
              <w:t>-</w:t>
            </w:r>
            <w:r>
              <w:rPr>
                <w:rFonts w:hint="eastAsia" w:ascii="宋体" w:hAnsi="宋体" w:cs="宋体"/>
                <w:kern w:val="0"/>
                <w:sz w:val="22"/>
              </w:rPr>
              <w:t>财政拨款</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70.00</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其中-财政拨款</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70.00</w:t>
            </w:r>
          </w:p>
        </w:tc>
      </w:tr>
      <w:tr>
        <w:tblPrEx>
          <w:tblCellMar>
            <w:top w:w="0" w:type="dxa"/>
            <w:left w:w="0" w:type="dxa"/>
            <w:bottom w:w="0" w:type="dxa"/>
            <w:right w:w="0" w:type="dxa"/>
          </w:tblCellMar>
        </w:tblPrEx>
        <w:trPr>
          <w:trHeight w:val="90"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1302"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其它资金</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0</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其它资金</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0</w:t>
            </w:r>
          </w:p>
        </w:tc>
      </w:tr>
      <w:tr>
        <w:tblPrEx>
          <w:tblCellMar>
            <w:top w:w="0" w:type="dxa"/>
            <w:left w:w="0" w:type="dxa"/>
            <w:bottom w:w="0" w:type="dxa"/>
            <w:right w:w="0" w:type="dxa"/>
          </w:tblCellMar>
        </w:tblPrEx>
        <w:trPr>
          <w:trHeight w:val="431" w:hRule="atLeast"/>
          <w:jc w:val="center"/>
        </w:trPr>
        <w:tc>
          <w:tcPr>
            <w:tcW w:w="367"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年度目标完成情况</w:t>
            </w:r>
          </w:p>
        </w:tc>
        <w:tc>
          <w:tcPr>
            <w:tcW w:w="2495"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预期目标</w:t>
            </w:r>
          </w:p>
        </w:tc>
        <w:tc>
          <w:tcPr>
            <w:tcW w:w="2136"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实际完成目标</w:t>
            </w:r>
          </w:p>
        </w:tc>
      </w:tr>
      <w:tr>
        <w:tblPrEx>
          <w:tblCellMar>
            <w:top w:w="0" w:type="dxa"/>
            <w:left w:w="0" w:type="dxa"/>
            <w:bottom w:w="0" w:type="dxa"/>
            <w:right w:w="0" w:type="dxa"/>
          </w:tblCellMar>
        </w:tblPrEx>
        <w:trPr>
          <w:trHeight w:val="1205"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2495"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保障了全镇6个行政村的道路建设、塘堰建设等基础设施设备建设，改善农村生活条件。</w:t>
            </w:r>
          </w:p>
        </w:tc>
        <w:tc>
          <w:tcPr>
            <w:tcW w:w="2136"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left"/>
              <w:textAlignment w:val="center"/>
              <w:rPr>
                <w:rFonts w:ascii="宋体" w:hAnsi="宋体" w:cs="宋体"/>
                <w:kern w:val="0"/>
                <w:sz w:val="22"/>
              </w:rPr>
            </w:pPr>
            <w:r>
              <w:rPr>
                <w:rFonts w:hint="eastAsia" w:ascii="宋体" w:hAnsi="宋体" w:cs="宋体"/>
                <w:kern w:val="0"/>
                <w:sz w:val="22"/>
              </w:rPr>
              <w:t>保障了全镇6个行政村的道路建设、塘堰建设等基础设施设备建设，改善农村生活条件。</w:t>
            </w:r>
          </w:p>
        </w:tc>
      </w:tr>
      <w:tr>
        <w:tblPrEx>
          <w:tblCellMar>
            <w:top w:w="0" w:type="dxa"/>
            <w:left w:w="0" w:type="dxa"/>
            <w:bottom w:w="0" w:type="dxa"/>
            <w:right w:w="0" w:type="dxa"/>
          </w:tblCellMar>
        </w:tblPrEx>
        <w:trPr>
          <w:trHeight w:val="478" w:hRule="atLeast"/>
          <w:jc w:val="center"/>
        </w:trPr>
        <w:tc>
          <w:tcPr>
            <w:tcW w:w="367"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sz w:val="22"/>
              </w:rPr>
              <w:t>绩效指标完成情况</w:t>
            </w:r>
          </w:p>
        </w:tc>
        <w:tc>
          <w:tcPr>
            <w:tcW w:w="74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一级指标</w:t>
            </w: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二级指标</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三级指标</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预期指标值</w:t>
            </w:r>
            <w:r>
              <w:rPr>
                <w:rFonts w:ascii="宋体" w:hAnsi="宋体" w:cs="宋体"/>
                <w:kern w:val="0"/>
                <w:sz w:val="22"/>
              </w:rPr>
              <w:t>(</w:t>
            </w:r>
            <w:r>
              <w:rPr>
                <w:rFonts w:hint="eastAsia" w:ascii="宋体" w:hAnsi="宋体" w:cs="宋体"/>
                <w:kern w:val="0"/>
                <w:sz w:val="22"/>
              </w:rPr>
              <w:t>包含数字及文字描述</w:t>
            </w:r>
            <w:r>
              <w:rPr>
                <w:rFonts w:ascii="宋体" w:hAnsi="宋体" w:cs="宋体"/>
                <w:kern w:val="0"/>
                <w:sz w:val="22"/>
              </w:rPr>
              <w:t>)</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实际完成指标值</w:t>
            </w:r>
            <w:r>
              <w:rPr>
                <w:rFonts w:ascii="宋体" w:hAnsi="宋体" w:cs="宋体"/>
                <w:kern w:val="0"/>
                <w:sz w:val="22"/>
              </w:rPr>
              <w:t>(</w:t>
            </w:r>
            <w:r>
              <w:rPr>
                <w:rFonts w:hint="eastAsia" w:ascii="宋体" w:hAnsi="宋体" w:cs="宋体"/>
                <w:kern w:val="0"/>
                <w:sz w:val="22"/>
              </w:rPr>
              <w:t>包含数字及文字描述</w:t>
            </w:r>
            <w:r>
              <w:rPr>
                <w:rFonts w:ascii="宋体" w:hAnsi="宋体" w:cs="宋体"/>
                <w:kern w:val="0"/>
                <w:sz w:val="22"/>
              </w:rPr>
              <w:t>)</w:t>
            </w:r>
          </w:p>
        </w:tc>
      </w:tr>
      <w:tr>
        <w:tblPrEx>
          <w:tblCellMar>
            <w:top w:w="0" w:type="dxa"/>
            <w:left w:w="0" w:type="dxa"/>
            <w:bottom w:w="0" w:type="dxa"/>
            <w:right w:w="0" w:type="dxa"/>
          </w:tblCellMar>
        </w:tblPrEx>
        <w:trPr>
          <w:trHeight w:val="953"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restart"/>
            <w:tcBorders>
              <w:top w:val="single" w:color="000000" w:sz="4" w:space="0"/>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产出指标</w:t>
            </w:r>
          </w:p>
          <w:p>
            <w:pPr>
              <w:widowControl/>
              <w:spacing w:line="240" w:lineRule="exact"/>
              <w:jc w:val="center"/>
              <w:textAlignment w:val="center"/>
              <w:rPr>
                <w:rFonts w:ascii="宋体" w:hAnsi="宋体" w:cs="宋体"/>
                <w:kern w:val="0"/>
                <w:sz w:val="22"/>
              </w:rPr>
            </w:pP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数量指标</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涉及村个数</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6个</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6个</w:t>
            </w:r>
          </w:p>
        </w:tc>
      </w:tr>
      <w:tr>
        <w:tblPrEx>
          <w:tblCellMar>
            <w:top w:w="0" w:type="dxa"/>
            <w:left w:w="0" w:type="dxa"/>
            <w:bottom w:w="0" w:type="dxa"/>
            <w:right w:w="0" w:type="dxa"/>
          </w:tblCellMar>
        </w:tblPrEx>
        <w:trPr>
          <w:trHeight w:val="814"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质量指标</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资金到位率</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100%</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100%</w:t>
            </w:r>
          </w:p>
        </w:tc>
      </w:tr>
      <w:tr>
        <w:tblPrEx>
          <w:tblCellMar>
            <w:top w:w="0" w:type="dxa"/>
            <w:left w:w="0" w:type="dxa"/>
            <w:bottom w:w="0" w:type="dxa"/>
            <w:right w:w="0" w:type="dxa"/>
          </w:tblCellMar>
        </w:tblPrEx>
        <w:trPr>
          <w:trHeight w:val="645"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时效指标</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完成时间</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2021年12月底</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2021年12月底</w:t>
            </w:r>
          </w:p>
        </w:tc>
      </w:tr>
      <w:tr>
        <w:tblPrEx>
          <w:tblCellMar>
            <w:top w:w="0" w:type="dxa"/>
            <w:left w:w="0" w:type="dxa"/>
            <w:bottom w:w="0" w:type="dxa"/>
            <w:right w:w="0" w:type="dxa"/>
          </w:tblCellMar>
        </w:tblPrEx>
        <w:trPr>
          <w:trHeight w:val="874"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成本指标</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完成成本（万元）</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≤70.00</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70.00</w:t>
            </w:r>
          </w:p>
        </w:tc>
      </w:tr>
      <w:tr>
        <w:tblPrEx>
          <w:tblCellMar>
            <w:top w:w="0" w:type="dxa"/>
            <w:left w:w="0" w:type="dxa"/>
            <w:bottom w:w="0" w:type="dxa"/>
            <w:right w:w="0" w:type="dxa"/>
          </w:tblCellMar>
        </w:tblPrEx>
        <w:trPr>
          <w:trHeight w:val="624"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restart"/>
            <w:tcBorders>
              <w:top w:val="single" w:color="000000" w:sz="4" w:space="0"/>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效益指标</w:t>
            </w: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社会效益</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受益群众户数（户）</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ascii="宋体" w:hAnsi="宋体" w:cs="宋体"/>
                <w:kern w:val="0"/>
                <w:sz w:val="22"/>
              </w:rPr>
              <w:t>≥</w:t>
            </w:r>
            <w:r>
              <w:rPr>
                <w:rFonts w:hint="eastAsia" w:ascii="宋体" w:hAnsi="宋体" w:cs="宋体"/>
                <w:kern w:val="0"/>
                <w:sz w:val="22"/>
              </w:rPr>
              <w:t>120户</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ascii="宋体" w:hAnsi="宋体" w:cs="宋体"/>
                <w:kern w:val="0"/>
                <w:sz w:val="22"/>
              </w:rPr>
              <w:t>≥</w:t>
            </w:r>
            <w:r>
              <w:rPr>
                <w:rFonts w:hint="eastAsia" w:ascii="宋体" w:hAnsi="宋体" w:cs="宋体"/>
                <w:kern w:val="0"/>
                <w:sz w:val="22"/>
              </w:rPr>
              <w:t>120户</w:t>
            </w:r>
          </w:p>
        </w:tc>
      </w:tr>
      <w:tr>
        <w:tblPrEx>
          <w:tblCellMar>
            <w:top w:w="0" w:type="dxa"/>
            <w:left w:w="0" w:type="dxa"/>
            <w:bottom w:w="0" w:type="dxa"/>
            <w:right w:w="0" w:type="dxa"/>
          </w:tblCellMar>
        </w:tblPrEx>
        <w:trPr>
          <w:trHeight w:val="1042"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经济效益指标</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生产条件改善带动农业亩均产量增加</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明显增加</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明显增加</w:t>
            </w:r>
          </w:p>
        </w:tc>
      </w:tr>
      <w:tr>
        <w:tblPrEx>
          <w:tblCellMar>
            <w:top w:w="0" w:type="dxa"/>
            <w:left w:w="0" w:type="dxa"/>
            <w:bottom w:w="0" w:type="dxa"/>
            <w:right w:w="0" w:type="dxa"/>
          </w:tblCellMar>
        </w:tblPrEx>
        <w:trPr>
          <w:trHeight w:val="836"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可持续效益</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改善基础设施</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明显提升</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明显提升</w:t>
            </w:r>
          </w:p>
        </w:tc>
      </w:tr>
      <w:tr>
        <w:tblPrEx>
          <w:tblCellMar>
            <w:top w:w="0" w:type="dxa"/>
            <w:left w:w="0" w:type="dxa"/>
            <w:bottom w:w="0" w:type="dxa"/>
            <w:right w:w="0" w:type="dxa"/>
          </w:tblCellMar>
        </w:tblPrEx>
        <w:trPr>
          <w:trHeight w:val="975"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满意度指标</w:t>
            </w: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受益对象满意度</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群众满意度</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≥90%</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≥90%</w:t>
            </w:r>
          </w:p>
        </w:tc>
      </w:tr>
      <w:tr>
        <w:tblPrEx>
          <w:tblCellMar>
            <w:top w:w="0" w:type="dxa"/>
            <w:left w:w="0" w:type="dxa"/>
            <w:bottom w:w="0" w:type="dxa"/>
            <w:right w:w="0" w:type="dxa"/>
          </w:tblCellMar>
        </w:tblPrEx>
        <w:trPr>
          <w:trHeight w:val="1034" w:hRule="atLeast"/>
          <w:jc w:val="center"/>
        </w:trPr>
        <w:tc>
          <w:tcPr>
            <w:tcW w:w="5000" w:type="pct"/>
            <w:gridSpan w:val="6"/>
            <w:tcMar>
              <w:top w:w="15" w:type="dxa"/>
              <w:left w:w="15" w:type="dxa"/>
              <w:bottom w:w="0" w:type="dxa"/>
              <w:right w:w="15" w:type="dxa"/>
            </w:tcMar>
            <w:vAlign w:val="center"/>
          </w:tcPr>
          <w:p>
            <w:pPr>
              <w:pStyle w:val="24"/>
              <w:widowControl/>
              <w:ind w:firstLine="0" w:firstLineChars="0"/>
              <w:jc w:val="center"/>
              <w:textAlignment w:val="center"/>
              <w:rPr>
                <w:rFonts w:ascii="黑体" w:hAnsi="黑体" w:eastAsia="黑体" w:cs="宋体"/>
                <w:bCs/>
                <w:kern w:val="0"/>
                <w:sz w:val="36"/>
                <w:szCs w:val="36"/>
              </w:rPr>
            </w:pPr>
            <w:r>
              <w:rPr>
                <w:rFonts w:hint="eastAsia" w:ascii="黑体" w:hAnsi="黑体" w:eastAsia="黑体" w:cs="宋体"/>
                <w:bCs/>
                <w:kern w:val="0"/>
                <w:sz w:val="36"/>
                <w:szCs w:val="36"/>
              </w:rPr>
              <w:t>项目支出绩效目标完成情况表</w:t>
            </w:r>
          </w:p>
          <w:p>
            <w:pPr>
              <w:pStyle w:val="24"/>
              <w:widowControl/>
              <w:ind w:firstLine="0" w:firstLineChars="0"/>
              <w:jc w:val="center"/>
              <w:textAlignment w:val="center"/>
              <w:rPr>
                <w:rFonts w:ascii="宋体" w:cs="宋体"/>
                <w:sz w:val="36"/>
                <w:szCs w:val="36"/>
              </w:rPr>
            </w:pPr>
            <w:r>
              <w:rPr>
                <w:rFonts w:ascii="宋体" w:hAnsi="宋体" w:cs="宋体"/>
                <w:kern w:val="0"/>
                <w:sz w:val="36"/>
                <w:szCs w:val="36"/>
              </w:rPr>
              <w:t>(</w:t>
            </w:r>
            <w:r>
              <w:rPr>
                <w:rFonts w:hint="eastAsia" w:ascii="宋体" w:hAnsi="宋体" w:cs="宋体"/>
                <w:kern w:val="0"/>
                <w:sz w:val="36"/>
                <w:szCs w:val="36"/>
              </w:rPr>
              <w:t>2021年度</w:t>
            </w:r>
            <w:r>
              <w:rPr>
                <w:rFonts w:ascii="宋体" w:hAnsi="宋体" w:cs="宋体"/>
                <w:kern w:val="0"/>
                <w:sz w:val="36"/>
                <w:szCs w:val="36"/>
              </w:rPr>
              <w:t>)</w:t>
            </w:r>
          </w:p>
        </w:tc>
      </w:tr>
      <w:tr>
        <w:tblPrEx>
          <w:tblCellMar>
            <w:top w:w="0" w:type="dxa"/>
            <w:left w:w="0" w:type="dxa"/>
            <w:bottom w:w="0" w:type="dxa"/>
            <w:right w:w="0" w:type="dxa"/>
          </w:tblCellMar>
        </w:tblPrEx>
        <w:trPr>
          <w:trHeight w:val="276" w:hRule="atLeast"/>
          <w:jc w:val="center"/>
        </w:trPr>
        <w:tc>
          <w:tcPr>
            <w:tcW w:w="1670"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项目名称</w:t>
            </w:r>
          </w:p>
        </w:tc>
        <w:tc>
          <w:tcPr>
            <w:tcW w:w="3329"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龙井村洪灾恢复重建项目</w:t>
            </w:r>
          </w:p>
        </w:tc>
      </w:tr>
      <w:tr>
        <w:tblPrEx>
          <w:tblCellMar>
            <w:top w:w="0" w:type="dxa"/>
            <w:left w:w="0" w:type="dxa"/>
            <w:bottom w:w="0" w:type="dxa"/>
            <w:right w:w="0" w:type="dxa"/>
          </w:tblCellMar>
        </w:tblPrEx>
        <w:trPr>
          <w:trHeight w:val="276" w:hRule="atLeast"/>
          <w:jc w:val="center"/>
        </w:trPr>
        <w:tc>
          <w:tcPr>
            <w:tcW w:w="1670"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预算单位</w:t>
            </w:r>
          </w:p>
        </w:tc>
        <w:tc>
          <w:tcPr>
            <w:tcW w:w="3329"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苍溪县运山镇人民政府</w:t>
            </w:r>
          </w:p>
        </w:tc>
      </w:tr>
      <w:tr>
        <w:tblPrEx>
          <w:tblCellMar>
            <w:top w:w="0" w:type="dxa"/>
            <w:left w:w="0" w:type="dxa"/>
            <w:bottom w:w="0" w:type="dxa"/>
            <w:right w:w="0" w:type="dxa"/>
          </w:tblCellMar>
        </w:tblPrEx>
        <w:trPr>
          <w:trHeight w:val="271" w:hRule="atLeast"/>
          <w:jc w:val="center"/>
        </w:trPr>
        <w:tc>
          <w:tcPr>
            <w:tcW w:w="367"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预算执行情况</w:t>
            </w:r>
            <w:r>
              <w:rPr>
                <w:rFonts w:ascii="宋体" w:hAnsi="宋体" w:cs="宋体"/>
                <w:kern w:val="0"/>
                <w:sz w:val="22"/>
              </w:rPr>
              <w:t>(</w:t>
            </w:r>
            <w:r>
              <w:rPr>
                <w:rFonts w:hint="eastAsia" w:ascii="宋体" w:hAnsi="宋体" w:cs="宋体"/>
                <w:kern w:val="0"/>
                <w:sz w:val="22"/>
              </w:rPr>
              <w:t>万元</w:t>
            </w:r>
            <w:r>
              <w:rPr>
                <w:rFonts w:ascii="宋体" w:hAnsi="宋体" w:cs="宋体"/>
                <w:kern w:val="0"/>
                <w:sz w:val="22"/>
              </w:rPr>
              <w:t>)</w:t>
            </w:r>
          </w:p>
        </w:tc>
        <w:tc>
          <w:tcPr>
            <w:tcW w:w="1302"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预算数</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10</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执行数</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10</w:t>
            </w:r>
          </w:p>
        </w:tc>
      </w:tr>
      <w:tr>
        <w:tblPrEx>
          <w:tblCellMar>
            <w:top w:w="0" w:type="dxa"/>
            <w:left w:w="0" w:type="dxa"/>
            <w:bottom w:w="0" w:type="dxa"/>
            <w:right w:w="0" w:type="dxa"/>
          </w:tblCellMar>
        </w:tblPrEx>
        <w:trPr>
          <w:trHeight w:val="416"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1302"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其中</w:t>
            </w:r>
            <w:r>
              <w:rPr>
                <w:rFonts w:ascii="宋体" w:cs="宋体"/>
                <w:kern w:val="0"/>
                <w:sz w:val="22"/>
              </w:rPr>
              <w:t>-</w:t>
            </w:r>
            <w:r>
              <w:rPr>
                <w:rFonts w:hint="eastAsia" w:ascii="宋体" w:hAnsi="宋体" w:cs="宋体"/>
                <w:kern w:val="0"/>
                <w:sz w:val="22"/>
              </w:rPr>
              <w:t>财政拨款</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10</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其中</w:t>
            </w:r>
            <w:r>
              <w:rPr>
                <w:rFonts w:ascii="宋体" w:cs="宋体"/>
                <w:kern w:val="0"/>
                <w:sz w:val="22"/>
              </w:rPr>
              <w:t>-</w:t>
            </w:r>
            <w:r>
              <w:rPr>
                <w:rFonts w:hint="eastAsia" w:ascii="宋体" w:hAnsi="宋体" w:cs="宋体"/>
                <w:kern w:val="0"/>
                <w:sz w:val="22"/>
              </w:rPr>
              <w:t>财政拨款</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10</w:t>
            </w:r>
          </w:p>
        </w:tc>
      </w:tr>
      <w:tr>
        <w:tblPrEx>
          <w:tblCellMar>
            <w:top w:w="0" w:type="dxa"/>
            <w:left w:w="0" w:type="dxa"/>
            <w:bottom w:w="0" w:type="dxa"/>
            <w:right w:w="0" w:type="dxa"/>
          </w:tblCellMar>
        </w:tblPrEx>
        <w:trPr>
          <w:trHeight w:val="90"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1302"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其它资金</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0</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其它资金</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ascii="宋体" w:cs="宋体"/>
                <w:sz w:val="22"/>
              </w:rPr>
              <w:t>0</w:t>
            </w:r>
          </w:p>
        </w:tc>
      </w:tr>
      <w:tr>
        <w:tblPrEx>
          <w:tblCellMar>
            <w:top w:w="0" w:type="dxa"/>
            <w:left w:w="0" w:type="dxa"/>
            <w:bottom w:w="0" w:type="dxa"/>
            <w:right w:w="0" w:type="dxa"/>
          </w:tblCellMar>
        </w:tblPrEx>
        <w:trPr>
          <w:trHeight w:val="431" w:hRule="atLeast"/>
          <w:jc w:val="center"/>
        </w:trPr>
        <w:tc>
          <w:tcPr>
            <w:tcW w:w="367"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年度目标完成情况</w:t>
            </w:r>
          </w:p>
        </w:tc>
        <w:tc>
          <w:tcPr>
            <w:tcW w:w="2495"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预期目标</w:t>
            </w:r>
          </w:p>
        </w:tc>
        <w:tc>
          <w:tcPr>
            <w:tcW w:w="2136"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实际完成目标</w:t>
            </w:r>
          </w:p>
        </w:tc>
      </w:tr>
      <w:tr>
        <w:tblPrEx>
          <w:tblCellMar>
            <w:top w:w="0" w:type="dxa"/>
            <w:left w:w="0" w:type="dxa"/>
            <w:bottom w:w="0" w:type="dxa"/>
            <w:right w:w="0" w:type="dxa"/>
          </w:tblCellMar>
        </w:tblPrEx>
        <w:trPr>
          <w:trHeight w:val="1795"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2495" w:type="pct"/>
            <w:gridSpan w:val="3"/>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textAlignment w:val="center"/>
              <w:rPr>
                <w:rFonts w:ascii="宋体" w:eastAsia="仿宋_GB2312" w:cs="宋体"/>
                <w:sz w:val="22"/>
              </w:rPr>
            </w:pPr>
            <w:r>
              <w:rPr>
                <w:rFonts w:hint="eastAsia" w:ascii="宋体" w:cs="宋体"/>
                <w:sz w:val="22"/>
              </w:rPr>
              <w:t>修复道路50米、堡坎1处、排水沟200米。改善生产条件，带动增加农业亩均产量。</w:t>
            </w:r>
          </w:p>
        </w:tc>
        <w:tc>
          <w:tcPr>
            <w:tcW w:w="2136" w:type="pct"/>
            <w:gridSpan w:val="2"/>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textAlignment w:val="center"/>
              <w:rPr>
                <w:rFonts w:ascii="宋体" w:eastAsia="宋体" w:cs="宋体"/>
                <w:sz w:val="22"/>
              </w:rPr>
            </w:pPr>
            <w:r>
              <w:rPr>
                <w:rFonts w:hint="eastAsia" w:ascii="宋体" w:cs="宋体"/>
                <w:sz w:val="22"/>
              </w:rPr>
              <w:t>修复道路50米、堡坎1处、排水沟200米。改善生产条件，带动增加农业亩</w:t>
            </w:r>
            <w:r>
              <w:rPr>
                <w:rFonts w:hint="eastAsia" w:ascii="仿宋_GB2312" w:hAnsi="宋体" w:eastAsia="仿宋_GB2312" w:cs="宋体"/>
                <w:sz w:val="24"/>
              </w:rPr>
              <w:t>均</w:t>
            </w:r>
            <w:r>
              <w:rPr>
                <w:rFonts w:hint="eastAsia" w:ascii="宋体" w:cs="宋体"/>
                <w:sz w:val="22"/>
              </w:rPr>
              <w:t>产量。</w:t>
            </w:r>
          </w:p>
        </w:tc>
      </w:tr>
      <w:tr>
        <w:tblPrEx>
          <w:tblCellMar>
            <w:top w:w="0" w:type="dxa"/>
            <w:left w:w="0" w:type="dxa"/>
            <w:bottom w:w="0" w:type="dxa"/>
            <w:right w:w="0" w:type="dxa"/>
          </w:tblCellMar>
        </w:tblPrEx>
        <w:trPr>
          <w:trHeight w:val="478" w:hRule="atLeast"/>
          <w:jc w:val="center"/>
        </w:trPr>
        <w:tc>
          <w:tcPr>
            <w:tcW w:w="367"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sz w:val="22"/>
              </w:rPr>
              <w:t>绩效指标完成情况</w:t>
            </w:r>
          </w:p>
        </w:tc>
        <w:tc>
          <w:tcPr>
            <w:tcW w:w="74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一级指标</w:t>
            </w: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二级指标</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三级指标</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预期指标值</w:t>
            </w:r>
            <w:r>
              <w:rPr>
                <w:rFonts w:ascii="宋体" w:hAnsi="宋体" w:cs="宋体"/>
                <w:kern w:val="0"/>
                <w:sz w:val="22"/>
              </w:rPr>
              <w:t>(</w:t>
            </w:r>
            <w:r>
              <w:rPr>
                <w:rFonts w:hint="eastAsia" w:ascii="宋体" w:hAnsi="宋体" w:cs="宋体"/>
                <w:kern w:val="0"/>
                <w:sz w:val="22"/>
              </w:rPr>
              <w:t>包含数字及文字描述</w:t>
            </w:r>
            <w:r>
              <w:rPr>
                <w:rFonts w:ascii="宋体" w:hAnsi="宋体" w:cs="宋体"/>
                <w:kern w:val="0"/>
                <w:sz w:val="22"/>
              </w:rPr>
              <w:t>)</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实际完成指标值</w:t>
            </w:r>
            <w:r>
              <w:rPr>
                <w:rFonts w:ascii="宋体" w:hAnsi="宋体" w:cs="宋体"/>
                <w:kern w:val="0"/>
                <w:sz w:val="22"/>
              </w:rPr>
              <w:t>(</w:t>
            </w:r>
            <w:r>
              <w:rPr>
                <w:rFonts w:hint="eastAsia" w:ascii="宋体" w:hAnsi="宋体" w:cs="宋体"/>
                <w:kern w:val="0"/>
                <w:sz w:val="22"/>
              </w:rPr>
              <w:t>包含数字及文字描述</w:t>
            </w:r>
            <w:r>
              <w:rPr>
                <w:rFonts w:ascii="宋体" w:hAnsi="宋体" w:cs="宋体"/>
                <w:kern w:val="0"/>
                <w:sz w:val="22"/>
              </w:rPr>
              <w:t>)</w:t>
            </w:r>
          </w:p>
        </w:tc>
      </w:tr>
      <w:tr>
        <w:tblPrEx>
          <w:tblCellMar>
            <w:top w:w="0" w:type="dxa"/>
            <w:left w:w="0" w:type="dxa"/>
            <w:bottom w:w="0" w:type="dxa"/>
            <w:right w:w="0" w:type="dxa"/>
          </w:tblCellMar>
        </w:tblPrEx>
        <w:trPr>
          <w:trHeight w:val="953"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restart"/>
            <w:tcBorders>
              <w:top w:val="single" w:color="000000" w:sz="4" w:space="0"/>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cs="宋体"/>
                <w:kern w:val="0"/>
                <w:sz w:val="22"/>
              </w:rPr>
            </w:pPr>
            <w:r>
              <w:rPr>
                <w:rFonts w:hint="eastAsia" w:ascii="宋体" w:hAnsi="宋体" w:cs="宋体"/>
                <w:kern w:val="0"/>
                <w:sz w:val="22"/>
              </w:rPr>
              <w:t>产出指标</w:t>
            </w:r>
          </w:p>
          <w:p>
            <w:pPr>
              <w:widowControl/>
              <w:spacing w:line="240" w:lineRule="exact"/>
              <w:jc w:val="center"/>
              <w:textAlignment w:val="center"/>
              <w:rPr>
                <w:rFonts w:ascii="宋体" w:cs="宋体"/>
                <w:kern w:val="0"/>
                <w:sz w:val="22"/>
              </w:rPr>
            </w:pP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数量指标</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eastAsia="宋体" w:cs="宋体"/>
                <w:sz w:val="22"/>
              </w:rPr>
            </w:pPr>
            <w:r>
              <w:rPr>
                <w:rFonts w:hint="eastAsia" w:ascii="宋体" w:cs="宋体"/>
                <w:sz w:val="22"/>
              </w:rPr>
              <w:t>修复道路、堡坎、排水沟。</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hAnsi="宋体" w:eastAsia="宋体" w:cs="宋体"/>
                <w:sz w:val="22"/>
                <w:szCs w:val="18"/>
              </w:rPr>
            </w:pPr>
            <w:r>
              <w:rPr>
                <w:rFonts w:hint="eastAsia" w:ascii="宋体" w:cs="宋体"/>
                <w:sz w:val="22"/>
              </w:rPr>
              <w:t>修复道路50米、堡坎1处、排水沟200米。</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修复道路50米、堡坎1处、排水沟200米。</w:t>
            </w:r>
          </w:p>
        </w:tc>
      </w:tr>
      <w:tr>
        <w:tblPrEx>
          <w:tblCellMar>
            <w:top w:w="0" w:type="dxa"/>
            <w:left w:w="0" w:type="dxa"/>
            <w:bottom w:w="0" w:type="dxa"/>
            <w:right w:w="0" w:type="dxa"/>
          </w:tblCellMar>
        </w:tblPrEx>
        <w:trPr>
          <w:trHeight w:val="814"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质量指标</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项目（工程）验收合格率</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100%</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100%</w:t>
            </w:r>
          </w:p>
        </w:tc>
      </w:tr>
      <w:tr>
        <w:tblPrEx>
          <w:tblCellMar>
            <w:top w:w="0" w:type="dxa"/>
            <w:left w:w="0" w:type="dxa"/>
            <w:bottom w:w="0" w:type="dxa"/>
            <w:right w:w="0" w:type="dxa"/>
          </w:tblCellMar>
        </w:tblPrEx>
        <w:trPr>
          <w:trHeight w:val="645"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时效指标</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完成时间</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2021年12月底</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2021年12月底</w:t>
            </w:r>
          </w:p>
        </w:tc>
      </w:tr>
      <w:tr>
        <w:tblPrEx>
          <w:tblCellMar>
            <w:top w:w="0" w:type="dxa"/>
            <w:left w:w="0" w:type="dxa"/>
            <w:bottom w:w="0" w:type="dxa"/>
            <w:right w:w="0" w:type="dxa"/>
          </w:tblCellMar>
        </w:tblPrEx>
        <w:trPr>
          <w:trHeight w:val="874"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kern w:val="0"/>
                <w:sz w:val="22"/>
              </w:rPr>
            </w:pP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成本指标</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spacing w:line="240" w:lineRule="exact"/>
              <w:jc w:val="center"/>
              <w:rPr>
                <w:rFonts w:ascii="宋体" w:cs="宋体"/>
                <w:sz w:val="22"/>
              </w:rPr>
            </w:pPr>
            <w:r>
              <w:rPr>
                <w:rFonts w:hint="eastAsia"/>
                <w:sz w:val="22"/>
              </w:rPr>
              <w:t>完成成本（万元）</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w:t>
            </w:r>
          </w:p>
        </w:tc>
      </w:tr>
      <w:tr>
        <w:tblPrEx>
          <w:tblCellMar>
            <w:top w:w="0" w:type="dxa"/>
            <w:left w:w="0" w:type="dxa"/>
            <w:bottom w:w="0" w:type="dxa"/>
            <w:right w:w="0" w:type="dxa"/>
          </w:tblCellMar>
        </w:tblPrEx>
        <w:trPr>
          <w:trHeight w:val="909"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restart"/>
            <w:tcBorders>
              <w:top w:val="single" w:color="000000" w:sz="4" w:space="0"/>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效益指标</w:t>
            </w: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经济效益</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生产条件改善带动农业亩均产量增加</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w:t>
            </w:r>
          </w:p>
        </w:tc>
      </w:tr>
      <w:tr>
        <w:tblPrEx>
          <w:tblCellMar>
            <w:top w:w="0" w:type="dxa"/>
            <w:left w:w="0" w:type="dxa"/>
            <w:bottom w:w="0" w:type="dxa"/>
            <w:right w:w="0" w:type="dxa"/>
          </w:tblCellMar>
        </w:tblPrEx>
        <w:trPr>
          <w:trHeight w:val="1042"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社会效益</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具备条件的建档立卡贫困村通硬化路率</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≥100%</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≥100%</w:t>
            </w:r>
          </w:p>
        </w:tc>
      </w:tr>
      <w:tr>
        <w:tblPrEx>
          <w:tblCellMar>
            <w:top w:w="0" w:type="dxa"/>
            <w:left w:w="0" w:type="dxa"/>
            <w:bottom w:w="0" w:type="dxa"/>
            <w:right w:w="0" w:type="dxa"/>
          </w:tblCellMar>
        </w:tblPrEx>
        <w:trPr>
          <w:trHeight w:val="836"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vMerge w:val="continue"/>
            <w:tcBorders>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可持续效益</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工程设计使用年限</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≥10年</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≥10年</w:t>
            </w:r>
          </w:p>
        </w:tc>
      </w:tr>
      <w:tr>
        <w:tblPrEx>
          <w:tblCellMar>
            <w:top w:w="0" w:type="dxa"/>
            <w:left w:w="0" w:type="dxa"/>
            <w:bottom w:w="0" w:type="dxa"/>
            <w:right w:w="0" w:type="dxa"/>
          </w:tblCellMar>
        </w:tblPrEx>
        <w:trPr>
          <w:trHeight w:val="975" w:hRule="atLeast"/>
          <w:jc w:val="center"/>
        </w:trPr>
        <w:tc>
          <w:tcPr>
            <w:tcW w:w="367" w:type="pct"/>
            <w:vMerge w:val="continue"/>
            <w:tcBorders>
              <w:top w:val="single" w:color="000000" w:sz="4" w:space="0"/>
              <w:left w:val="single" w:color="000000" w:sz="4" w:space="0"/>
              <w:bottom w:val="single" w:color="000000" w:sz="4" w:space="0"/>
              <w:right w:val="single" w:color="000000" w:sz="4" w:space="0"/>
            </w:tcBorders>
            <w:vAlign w:val="center"/>
          </w:tcPr>
          <w:p>
            <w:pPr>
              <w:widowControl/>
              <w:spacing w:line="240" w:lineRule="exact"/>
              <w:jc w:val="left"/>
              <w:rPr>
                <w:rFonts w:ascii="宋体" w:cs="宋体"/>
                <w:sz w:val="22"/>
              </w:rPr>
            </w:pPr>
          </w:p>
        </w:tc>
        <w:tc>
          <w:tcPr>
            <w:tcW w:w="744"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hAnsi="宋体" w:cs="宋体"/>
                <w:kern w:val="0"/>
                <w:sz w:val="22"/>
              </w:rPr>
              <w:t>满意度指标</w:t>
            </w:r>
          </w:p>
        </w:tc>
        <w:tc>
          <w:tcPr>
            <w:tcW w:w="558"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受益对象满意度</w:t>
            </w:r>
          </w:p>
        </w:tc>
        <w:tc>
          <w:tcPr>
            <w:tcW w:w="119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群众满意度</w:t>
            </w:r>
          </w:p>
        </w:tc>
        <w:tc>
          <w:tcPr>
            <w:tcW w:w="120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≥90%</w:t>
            </w:r>
          </w:p>
        </w:tc>
        <w:tc>
          <w:tcPr>
            <w:tcW w:w="933" w:type="pct"/>
            <w:tcBorders>
              <w:top w:val="single" w:color="000000" w:sz="4" w:space="0"/>
              <w:left w:val="single" w:color="000000" w:sz="4" w:space="0"/>
              <w:bottom w:val="single" w:color="000000" w:sz="4" w:space="0"/>
              <w:right w:val="single" w:color="000000" w:sz="4" w:space="0"/>
            </w:tcBorders>
            <w:tcMar>
              <w:top w:w="15" w:type="dxa"/>
              <w:left w:w="15" w:type="dxa"/>
              <w:bottom w:w="0" w:type="dxa"/>
              <w:right w:w="15" w:type="dxa"/>
            </w:tcMar>
            <w:vAlign w:val="center"/>
          </w:tcPr>
          <w:p>
            <w:pPr>
              <w:widowControl/>
              <w:spacing w:line="240" w:lineRule="exact"/>
              <w:jc w:val="center"/>
              <w:textAlignment w:val="center"/>
              <w:rPr>
                <w:rFonts w:ascii="宋体" w:cs="宋体"/>
                <w:sz w:val="22"/>
              </w:rPr>
            </w:pPr>
            <w:r>
              <w:rPr>
                <w:rFonts w:hint="eastAsia" w:ascii="宋体" w:cs="宋体"/>
                <w:sz w:val="22"/>
              </w:rPr>
              <w:t>≥90%</w:t>
            </w:r>
          </w:p>
        </w:tc>
      </w:tr>
    </w:tbl>
    <w:p>
      <w:pPr>
        <w:pStyle w:val="2"/>
      </w:pPr>
    </w:p>
    <w:p>
      <w:pPr>
        <w:pStyle w:val="3"/>
        <w:pageBreakBefore w:val="0"/>
        <w:widowControl w:val="0"/>
        <w:kinsoku/>
        <w:wordWrap/>
        <w:overflowPunct/>
        <w:topLinePunct w:val="0"/>
        <w:bidi w:val="0"/>
        <w:snapToGrid/>
        <w:spacing w:before="0" w:after="0" w:line="576" w:lineRule="exact"/>
        <w:textAlignment w:val="auto"/>
      </w:pPr>
      <w:bookmarkStart w:id="116" w:name="_Toc15377225"/>
      <w:bookmarkStart w:id="117" w:name="_Toc2741"/>
      <w:bookmarkStart w:id="118" w:name="_Toc4957"/>
      <w:bookmarkStart w:id="119" w:name="_Toc9697"/>
      <w:bookmarkStart w:id="120" w:name="_Toc15396613"/>
      <w:r>
        <w:rPr>
          <w:rFonts w:hint="eastAsia"/>
        </w:rPr>
        <w:t>第三部分 名词解释</w:t>
      </w:r>
      <w:bookmarkEnd w:id="116"/>
      <w:bookmarkEnd w:id="117"/>
      <w:bookmarkEnd w:id="118"/>
      <w:bookmarkEnd w:id="119"/>
      <w:bookmarkEnd w:id="120"/>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bookmarkStart w:id="121" w:name="_Toc7890"/>
      <w:bookmarkStart w:id="122" w:name="_Toc17556"/>
      <w:r>
        <w:rPr>
          <w:rFonts w:hint="eastAsia" w:ascii="仿宋_GB2312" w:hAnsi="仿宋_GB2312" w:eastAsia="仿宋_GB2312" w:cs="仿宋_GB2312"/>
          <w:szCs w:val="32"/>
        </w:rPr>
        <w:t>1</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财政拨款收入：指单位从同级财政部门取得的财政预算资金。</w:t>
      </w:r>
      <w:bookmarkEnd w:id="121"/>
      <w:bookmarkEnd w:id="122"/>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2</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事业收入：指事业单位开展专业业务活动及辅助活动取得的收入。</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3</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经营收入：指事业单位在专业业务活动及其辅助活动之外开展非独立核算经营活动取得的收入。</w:t>
      </w:r>
    </w:p>
    <w:p>
      <w:pPr>
        <w:pStyle w:val="2"/>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 w:val="32"/>
          <w:szCs w:val="32"/>
        </w:rPr>
      </w:pP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lang w:val="zh-CN"/>
        </w:rPr>
        <w:t>．</w:t>
      </w:r>
      <w:r>
        <w:rPr>
          <w:rFonts w:hint="eastAsia" w:ascii="仿宋_GB2312" w:hAnsi="仿宋_GB2312" w:eastAsia="仿宋_GB2312" w:cs="仿宋_GB2312"/>
          <w:sz w:val="32"/>
          <w:szCs w:val="32"/>
        </w:rPr>
        <w:t>其他收入：指单位取得的除上述收入以外的各项收入。主要是非同级财政拨款收入，包括从同级财政以外的同级政府部门取得的横向转拨财政款及从上级或下级政府（包括政府财政和政府部门）取得的各类财政款。</w:t>
      </w:r>
      <w:r>
        <w:rPr>
          <w:rFonts w:hint="eastAsia" w:ascii="仿宋_GB2312" w:hAnsi="仿宋_GB2312" w:eastAsia="仿宋_GB2312" w:cs="仿宋_GB2312"/>
          <w:sz w:val="32"/>
          <w:szCs w:val="32"/>
        </w:rPr>
        <w:tab/>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5</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 xml:space="preserve">使用非财政拨款结余：指事业单位使用以前年度积累的非财政拨款结余弥补当年收支差额的金额。 </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6</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 xml:space="preserve">年初结转和结余：指以前年度尚未完成、结转到本年按有关规定继续使用的资金。 </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7</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结余分配：指事业单位按照会计制度规定缴纳的所得税、提取的专用结余以及转入非财政拨款结余的金额等。</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8</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年末结转和结余：指单位按有关规定结转到下年或以后年度继续使用的资金。</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9</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一般公共服务支出（类）人大事务（款）一般行政管理事务（项）：指政府机关用于“人民代表之家”规范化建设项目支出。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一般公共服务支出（类）政府办公厅（室）及相关机构事务（款）行政运行（项）：指政府机关用于保障机构正常运行、开展日常工作的基本支出。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一般公共服务支出（类）政府办公厅（室）及相关机构事务（款）一般行政管理事务（项）：指行政单位用于其他项目支出。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一般公共服务支出（类）党委办公厅（室）及相关机构事务（款）行政运行（项）：指共产党机关用于保障机构正常运行、开展日常工作的基本支出。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10．文化体育与传媒支出（类）文化（款）群众文化（项）:指文化站用于保障机构正常运行、开展日常工作的基本支出。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文化体育与传媒支出（类）文化（款）其他文化和旅游支出（项）:指用于文化站免费开放的项目支出。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文化体育与传媒支出（类）新闻出版广播影视（款）广播（项）:指政府用于广播部门保障机构正常运行、开展日常工作的基本支出。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11．社会保障和就业支出（类）行政事业单位离退休（款）机关事业单位基本养老保险缴费支出（项）:指单位实施养老保险制度由单位缴纳的基本养老保险费支出。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12．卫生健康支出（类）计划生育事务（款）计划生育机构（项）:指政府用于计生部门保障机构正常运行、开展日常工作的基本支出。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卫生健康支出（类）行政事业单位医疗（款）行政单位医疗（项）:指镇机关单位用于缴纳行政单位基本医疗保险支出。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卫生健康支出（类）行政事业单位医疗（款）事业单位医疗（项）:指事业单位用于缴纳单位基本医疗保险支出。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13</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城乡社区支出（类）城乡社区管理事务（款）其他城乡社区管理事务（项）：政府用于村建部门保障机构</w:t>
      </w:r>
      <w:r>
        <w:rPr>
          <w:rFonts w:hint="eastAsia" w:ascii="仿宋_GB2312" w:hAnsi="仿宋_GB2312" w:eastAsia="仿宋_GB2312" w:cs="仿宋_GB2312"/>
        </w:rPr>
        <w:t>正常</w:t>
      </w:r>
      <w:r>
        <w:rPr>
          <w:rFonts w:hint="eastAsia" w:ascii="仿宋_GB2312" w:hAnsi="仿宋_GB2312" w:eastAsia="仿宋_GB2312" w:cs="仿宋_GB2312"/>
          <w:szCs w:val="32"/>
        </w:rPr>
        <w:t>运行、开展日常工作的基本支出。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14</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农林水支出（类）农业（款）事业运行（项）:指政府用于农业服务中心保障机构正常运行、开展日常工作的基本支出。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农林水支出（类）农业（款）防灾减灾（项）:指政府用于农业生产因遭受自然灾害损失给予的补助。</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农林水支出（类）农村综合改革（款）对村民委员会和村党支部的补助（项）:指政府用于农村基层组织村组干部报酬、村办公经费和运行经费支出。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15</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住房保障支出（类）住房改革支出（款）住房公积金（项）:指单位按人力资源和社会保障部、财政部规定的基本工资和津贴补贴以及规定比例为职工缴纳的住房公积金。</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16</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基本支出：指为保障机构正常运转、完成日常工作任务而发生的人员支出和公用支出。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17</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项目支出：指在基本支出之外为完成特定行政任务和事业发展目标所发生的支出。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18</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经营支出：指事业单位在专业业务活动及其辅助活动之外开展非独立核算经营活动发生的支出。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19</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pageBreakBefore w:val="0"/>
        <w:widowControl w:val="0"/>
        <w:kinsoku/>
        <w:wordWrap/>
        <w:overflowPunct/>
        <w:topLinePunct w:val="0"/>
        <w:bidi w:val="0"/>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20</w:t>
      </w:r>
      <w:r>
        <w:rPr>
          <w:rFonts w:hint="eastAsia" w:ascii="仿宋_GB2312" w:hAnsi="仿宋_GB2312" w:eastAsia="仿宋_GB2312" w:cs="仿宋_GB2312"/>
          <w:szCs w:val="32"/>
          <w:lang w:val="zh-CN"/>
        </w:rPr>
        <w:t>．</w:t>
      </w:r>
      <w:r>
        <w:rPr>
          <w:rFonts w:hint="eastAsia" w:ascii="仿宋_GB2312" w:hAnsi="仿宋_GB2312" w:eastAsia="仿宋_GB2312" w:cs="仿宋_GB231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rPr>
          <w:rFonts w:hint="eastAsia"/>
        </w:rPr>
      </w:pPr>
      <w:bookmarkStart w:id="123" w:name="_Toc15396614"/>
      <w:bookmarkStart w:id="124" w:name="_Toc29463"/>
      <w:bookmarkStart w:id="125" w:name="_Toc21976"/>
      <w:bookmarkStart w:id="126" w:name="_Toc26137"/>
      <w:bookmarkStart w:id="127" w:name="_Toc15377226"/>
      <w:r>
        <w:rPr>
          <w:rFonts w:hint="eastAsia"/>
        </w:rPr>
        <w:br w:type="page"/>
      </w:r>
    </w:p>
    <w:p>
      <w:pPr>
        <w:pStyle w:val="3"/>
        <w:pageBreakBefore w:val="0"/>
        <w:kinsoku/>
        <w:wordWrap/>
        <w:topLinePunct w:val="0"/>
        <w:autoSpaceDE/>
        <w:autoSpaceDN/>
        <w:bidi w:val="0"/>
        <w:adjustRightInd/>
        <w:snapToGrid/>
        <w:spacing w:before="0" w:after="0" w:line="576" w:lineRule="exact"/>
        <w:textAlignment w:val="auto"/>
      </w:pPr>
      <w:r>
        <w:rPr>
          <w:rFonts w:hint="eastAsia"/>
        </w:rPr>
        <w:t>第四部分 附件</w:t>
      </w:r>
      <w:bookmarkEnd w:id="123"/>
      <w:bookmarkEnd w:id="124"/>
      <w:bookmarkEnd w:id="125"/>
      <w:bookmarkEnd w:id="126"/>
    </w:p>
    <w:p>
      <w:pPr>
        <w:pStyle w:val="4"/>
        <w:pageBreakBefore w:val="0"/>
        <w:kinsoku/>
        <w:wordWrap/>
        <w:topLinePunct w:val="0"/>
        <w:autoSpaceDE/>
        <w:autoSpaceDN/>
        <w:bidi w:val="0"/>
        <w:adjustRightInd/>
        <w:snapToGrid/>
        <w:spacing w:before="0" w:after="0" w:line="576" w:lineRule="exact"/>
        <w:textAlignment w:val="auto"/>
        <w:rPr>
          <w:rFonts w:hint="eastAsia" w:ascii="黑体" w:hAnsi="黑体" w:eastAsia="黑体" w:cs="黑体"/>
        </w:rPr>
      </w:pPr>
      <w:bookmarkStart w:id="128" w:name="_Toc7085"/>
      <w:bookmarkStart w:id="129" w:name="_Toc23362"/>
      <w:bookmarkStart w:id="130" w:name="_Toc11443"/>
      <w:r>
        <w:rPr>
          <w:rFonts w:hint="eastAsia" w:ascii="黑体" w:hAnsi="黑体" w:eastAsia="黑体" w:cs="黑体"/>
        </w:rPr>
        <w:t>附件</w:t>
      </w:r>
      <w:bookmarkEnd w:id="128"/>
      <w:bookmarkEnd w:id="129"/>
      <w:r>
        <w:rPr>
          <w:rFonts w:hint="eastAsia" w:ascii="黑体" w:hAnsi="黑体" w:eastAsia="黑体" w:cs="黑体"/>
        </w:rPr>
        <w:t>1</w:t>
      </w:r>
      <w:bookmarkEnd w:id="130"/>
    </w:p>
    <w:p>
      <w:pPr>
        <w:pageBreakBefore w:val="0"/>
        <w:kinsoku/>
        <w:wordWrap/>
        <w:topLinePunct w:val="0"/>
        <w:autoSpaceDE/>
        <w:autoSpaceDN/>
        <w:bidi w:val="0"/>
        <w:adjustRightInd/>
        <w:snapToGrid/>
        <w:spacing w:line="576" w:lineRule="exact"/>
        <w:ind w:firstLine="880" w:firstLineChars="200"/>
        <w:jc w:val="center"/>
        <w:textAlignment w:val="auto"/>
        <w:rPr>
          <w:rFonts w:hint="eastAsia" w:ascii="方正小标宋简体" w:hAnsi="方正小标宋简体" w:eastAsia="方正小标宋简体" w:cs="方正小标宋简体"/>
          <w:b w:val="0"/>
          <w:bCs w:val="0"/>
          <w:sz w:val="44"/>
          <w:szCs w:val="44"/>
          <w:lang w:val="zh-CN"/>
        </w:rPr>
      </w:pPr>
      <w:r>
        <w:rPr>
          <w:rFonts w:hint="eastAsia" w:ascii="方正小标宋简体" w:hAnsi="方正小标宋简体" w:eastAsia="方正小标宋简体" w:cs="方正小标宋简体"/>
          <w:b w:val="0"/>
          <w:bCs w:val="0"/>
          <w:sz w:val="44"/>
          <w:szCs w:val="44"/>
        </w:rPr>
        <w:t>2021年运山镇部门整体绩效评价报告</w:t>
      </w:r>
    </w:p>
    <w:p>
      <w:pPr>
        <w:pageBreakBefore w:val="0"/>
        <w:kinsoku/>
        <w:wordWrap/>
        <w:topLinePunct w:val="0"/>
        <w:autoSpaceDE/>
        <w:autoSpaceDN/>
        <w:bidi w:val="0"/>
        <w:adjustRightInd/>
        <w:snapToGrid/>
        <w:spacing w:line="576" w:lineRule="exact"/>
        <w:ind w:firstLine="640" w:firstLineChars="200"/>
        <w:textAlignment w:val="auto"/>
        <w:rPr>
          <w:rFonts w:ascii="方正仿宋_GBK" w:hAnsi="方正仿宋_GBK" w:eastAsia="方正仿宋_GBK" w:cs="方正仿宋_GBK"/>
          <w:szCs w:val="32"/>
        </w:rPr>
      </w:pPr>
    </w:p>
    <w:p>
      <w:pPr>
        <w:pageBreakBefore w:val="0"/>
        <w:kinsoku/>
        <w:wordWrap/>
        <w:topLinePunct w:val="0"/>
        <w:autoSpaceDE/>
        <w:autoSpaceDN/>
        <w:bidi w:val="0"/>
        <w:adjustRightInd/>
        <w:snapToGrid/>
        <w:spacing w:line="576" w:lineRule="exact"/>
        <w:ind w:firstLine="640" w:firstLineChars="200"/>
        <w:textAlignment w:val="auto"/>
        <w:rPr>
          <w:rFonts w:hint="eastAsia" w:ascii="黑体" w:hAnsi="黑体" w:eastAsia="黑体" w:cs="黑体"/>
          <w:lang w:val="zh-CN"/>
        </w:rPr>
      </w:pPr>
      <w:bookmarkStart w:id="131" w:name="_Toc26518"/>
      <w:bookmarkStart w:id="132" w:name="_Toc18860"/>
      <w:r>
        <w:rPr>
          <w:rFonts w:hint="eastAsia" w:ascii="黑体" w:hAnsi="黑体" w:eastAsia="黑体" w:cs="黑体"/>
        </w:rPr>
        <w:t>一、</w:t>
      </w:r>
      <w:r>
        <w:rPr>
          <w:rFonts w:hint="eastAsia" w:ascii="黑体" w:hAnsi="黑体" w:eastAsia="黑体" w:cs="黑体"/>
          <w:lang w:val="zh-CN"/>
        </w:rPr>
        <w:t>部门（单位）概况</w:t>
      </w:r>
      <w:bookmarkEnd w:id="131"/>
      <w:bookmarkEnd w:id="132"/>
    </w:p>
    <w:p>
      <w:pPr>
        <w:pageBreakBefore w:val="0"/>
        <w:kinsoku/>
        <w:wordWrap/>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Cs w:val="32"/>
          <w:lang w:val="zh-CN"/>
        </w:rPr>
      </w:pPr>
      <w:r>
        <w:rPr>
          <w:rFonts w:hint="eastAsia" w:ascii="楷体_GB2312" w:hAnsi="楷体_GB2312" w:eastAsia="楷体_GB2312" w:cs="楷体_GB2312"/>
          <w:szCs w:val="32"/>
          <w:lang w:val="zh-CN"/>
        </w:rPr>
        <w:t>（一）机构组成</w:t>
      </w:r>
    </w:p>
    <w:p>
      <w:pPr>
        <w:pageBreakBefore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rPr>
      </w:pPr>
      <w:r>
        <w:rPr>
          <w:rFonts w:hint="eastAsia" w:ascii="仿宋_GB2312" w:hAnsi="仿宋_GB2312" w:eastAsia="仿宋_GB2312" w:cs="仿宋_GB2312"/>
        </w:rPr>
        <w:t>苍溪县运山镇人民政府下属内设机构5个，包括：政府机关、便民服务中心、农业综合服务中心、乡村建设和文化旅游服务中心、农民工服务中心。</w:t>
      </w:r>
    </w:p>
    <w:p>
      <w:pPr>
        <w:pageBreakBefore w:val="0"/>
        <w:kinsoku/>
        <w:wordWrap/>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Cs w:val="32"/>
          <w:lang w:val="zh-CN"/>
        </w:rPr>
      </w:pPr>
      <w:r>
        <w:rPr>
          <w:rFonts w:hint="eastAsia" w:ascii="楷体_GB2312" w:hAnsi="楷体_GB2312" w:eastAsia="楷体_GB2312" w:cs="楷体_GB2312"/>
          <w:szCs w:val="32"/>
          <w:lang w:val="zh-CN" w:eastAsia="zh-CN"/>
        </w:rPr>
        <w:t>（二）</w:t>
      </w:r>
      <w:r>
        <w:rPr>
          <w:rFonts w:hint="eastAsia" w:ascii="楷体_GB2312" w:hAnsi="楷体_GB2312" w:eastAsia="楷体_GB2312" w:cs="楷体_GB2312"/>
          <w:szCs w:val="32"/>
          <w:lang w:val="zh-CN"/>
        </w:rPr>
        <w:t>机构职能</w:t>
      </w:r>
    </w:p>
    <w:p>
      <w:pPr>
        <w:pageBreakBefore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szCs w:val="32"/>
        </w:rPr>
      </w:pPr>
      <w:r>
        <w:rPr>
          <w:rFonts w:hint="eastAsia" w:ascii="仿宋_GB2312" w:hAnsi="仿宋_GB2312" w:eastAsia="仿宋_GB2312" w:cs="仿宋_GB2312"/>
          <w:b/>
          <w:bCs/>
          <w:szCs w:val="32"/>
        </w:rPr>
        <w:t>1．便民服务中心。</w:t>
      </w:r>
      <w:r>
        <w:rPr>
          <w:rFonts w:hint="eastAsia" w:ascii="仿宋_GB2312" w:hAnsi="仿宋_GB2312" w:eastAsia="仿宋_GB2312" w:cs="仿宋_GB2312"/>
          <w:szCs w:val="32"/>
        </w:rPr>
        <w:t>负责便民服务中心制度建设并组织实施；负责便民服务平台规范化建设及日常运行管理；负责依法下放的行政许可、公共服务等便民服务事项的进驻、受理、办理和公开等事务性工作；负责窗口工作人员的管理、培训和考核工作；负责受理便民服务来访、投诉工作；负责指导村(社区)便民服务代办站工作；负责人力资源和社会保障、医疗保障、退役军人等各类政务和便民服务工作；完成镇党委、政府和上级业务主管部门交办的其他工作。</w:t>
      </w:r>
    </w:p>
    <w:p>
      <w:pPr>
        <w:pageBreakBefore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szCs w:val="32"/>
        </w:rPr>
      </w:pPr>
      <w:r>
        <w:rPr>
          <w:rFonts w:hint="eastAsia" w:ascii="仿宋_GB2312" w:hAnsi="仿宋_GB2312" w:eastAsia="仿宋_GB2312" w:cs="仿宋_GB2312"/>
          <w:b/>
          <w:bCs/>
          <w:szCs w:val="32"/>
        </w:rPr>
        <w:t>2．农业综合服务中心。</w:t>
      </w:r>
      <w:r>
        <w:rPr>
          <w:rFonts w:hint="eastAsia" w:ascii="仿宋_GB2312" w:hAnsi="仿宋_GB2312" w:eastAsia="仿宋_GB2312" w:cs="仿宋_GB2312"/>
          <w:szCs w:val="32"/>
        </w:rPr>
        <w:t>负责农业、畜牧、渔业、林业、水利等综合服务工作；承担农经、农业技术培训指导与应用推广、新型农用机械应用与推广、农产品质量安全、农业公共信息和农业技术宣传教育、农业设施管理维护、植物病虫害和动物疫病防治、屠宰检疫、林业资源和野生动植物保护、林木采伐、森林病虫害处置、森林防灭火、小型水利工程和病害水库整治、水资源保护和利用、水土保持的预防和水土流失的治理、防汛抗旱等各类涉农事务与服务工作；负责辖区内猕猴桃、雪梨、中药材、健康养殖等特色产业发展品种选育、技术指导、品牌保护和创建等事务性工作；负责农村产权交易有关事务性工作；完成镇党委、政府和上级业务主管部门交办的其他工作。</w:t>
      </w:r>
    </w:p>
    <w:p>
      <w:pPr>
        <w:pageBreakBefore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szCs w:val="32"/>
        </w:rPr>
      </w:pPr>
      <w:r>
        <w:rPr>
          <w:rFonts w:hint="eastAsia" w:ascii="仿宋_GB2312" w:hAnsi="仿宋_GB2312" w:eastAsia="仿宋_GB2312" w:cs="仿宋_GB2312"/>
          <w:b/>
          <w:bCs/>
          <w:szCs w:val="32"/>
        </w:rPr>
        <w:t>3．乡村建设和文化旅游服务中心。</w:t>
      </w:r>
      <w:r>
        <w:rPr>
          <w:rFonts w:hint="eastAsia" w:ascii="仿宋_GB2312" w:hAnsi="仿宋_GB2312" w:eastAsia="仿宋_GB2312" w:cs="仿宋_GB2312"/>
          <w:szCs w:val="32"/>
        </w:rPr>
        <w:t>负责乡村振兴战略、乡村建设等事务工作；负责村镇基础设施建设、运行与维护等事务性工作；负责辖区内道路建设事务工作；负责教育、科技、思想教育宣传、文化旅游体育、广播电视、文物和非物质文化遗产保护等服务工作；负责乡村文化旅游与相关产业融合发展等服务工作；完成镇党委、政府和上级业务主管部门交办的其他工作。</w:t>
      </w:r>
    </w:p>
    <w:p>
      <w:pPr>
        <w:pageBreakBefore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szCs w:val="32"/>
        </w:rPr>
      </w:pPr>
      <w:r>
        <w:rPr>
          <w:rFonts w:hint="eastAsia" w:ascii="仿宋_GB2312" w:hAnsi="仿宋_GB2312" w:eastAsia="仿宋_GB2312" w:cs="仿宋_GB2312"/>
          <w:b/>
          <w:bCs/>
          <w:szCs w:val="32"/>
        </w:rPr>
        <w:t>4．农民工服务中心。</w:t>
      </w:r>
      <w:r>
        <w:rPr>
          <w:rFonts w:hint="eastAsia" w:ascii="仿宋_GB2312" w:hAnsi="仿宋_GB2312" w:eastAsia="仿宋_GB2312" w:cs="仿宋_GB2312"/>
          <w:szCs w:val="32"/>
        </w:rPr>
        <w:t>负责农民工服务平台的管理，承担农民工信息的收集、录入、统计上报工作；负责就业创业扶持政策宣传、民工技能培训和返乡就业创业工作；负责农民工维权、法律援助、劳动保障、社会生活等事务性工作；负责社会治安综合治理等相关事务工作；负责突发事件应急处置的事务性工作；完成镇党委、政府和上级业务主管部门交办的其他工作。</w:t>
      </w:r>
    </w:p>
    <w:p>
      <w:pPr>
        <w:pageBreakBefore w:val="0"/>
        <w:kinsoku/>
        <w:wordWrap/>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Cs w:val="32"/>
          <w:lang w:val="zh-CN"/>
        </w:rPr>
      </w:pPr>
      <w:r>
        <w:rPr>
          <w:rFonts w:hint="eastAsia" w:ascii="楷体_GB2312" w:hAnsi="楷体_GB2312" w:eastAsia="楷体_GB2312" w:cs="楷体_GB2312"/>
          <w:szCs w:val="32"/>
          <w:lang w:val="zh-CN"/>
        </w:rPr>
        <w:t>（三）人员概况</w:t>
      </w:r>
    </w:p>
    <w:p>
      <w:pPr>
        <w:pageBreakBefore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rPr>
      </w:pPr>
      <w:bookmarkStart w:id="133" w:name="_Toc16540"/>
      <w:bookmarkStart w:id="134" w:name="_Toc21585"/>
      <w:r>
        <w:rPr>
          <w:rFonts w:hint="eastAsia" w:ascii="仿宋_GB2312" w:hAnsi="仿宋_GB2312" w:eastAsia="仿宋_GB2312" w:cs="仿宋_GB2312"/>
        </w:rPr>
        <w:t>政府有独立核算的机构1个，党委在职人员4人、政府机关在职人员14人(含机关工勤2人)、事业在职人员19人、“三支一扶”2人。</w:t>
      </w:r>
    </w:p>
    <w:p>
      <w:pPr>
        <w:pageBreakBefore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rPr>
      </w:pPr>
      <w:r>
        <w:rPr>
          <w:rFonts w:hint="eastAsia" w:ascii="黑体" w:hAnsi="黑体" w:eastAsia="黑体" w:cs="黑体"/>
        </w:rPr>
        <w:t>二、部门财政资金收支情况</w:t>
      </w:r>
      <w:bookmarkEnd w:id="133"/>
      <w:bookmarkEnd w:id="134"/>
    </w:p>
    <w:p>
      <w:pPr>
        <w:pageBreakBefore w:val="0"/>
        <w:kinsoku/>
        <w:wordWrap/>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Cs w:val="32"/>
          <w:lang w:val="zh-CN"/>
        </w:rPr>
      </w:pPr>
      <w:r>
        <w:rPr>
          <w:rFonts w:hint="eastAsia" w:ascii="楷体_GB2312" w:hAnsi="楷体_GB2312" w:eastAsia="楷体_GB2312" w:cs="楷体_GB2312"/>
          <w:szCs w:val="32"/>
          <w:lang w:val="zh-CN"/>
        </w:rPr>
        <w:t>（一）部门财政资金收入情况</w:t>
      </w:r>
    </w:p>
    <w:p>
      <w:pPr>
        <w:pageBreakBefore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lang w:val="zh-CN"/>
        </w:rPr>
      </w:pPr>
      <w:bookmarkStart w:id="135" w:name="_Toc4948"/>
      <w:bookmarkStart w:id="136" w:name="_Toc28661"/>
      <w:r>
        <w:rPr>
          <w:rFonts w:hint="eastAsia" w:ascii="仿宋_GB2312" w:hAnsi="仿宋_GB2312" w:eastAsia="仿宋_GB2312" w:cs="仿宋_GB2312"/>
        </w:rPr>
        <w:t>2021年本年收入合计1064.54万元，其中：一般公共预算财政拨款收入988.31万元，占92.8%；政府性基金预算财政拨款收入10.00万元，占0.8%；</w:t>
      </w:r>
      <w:bookmarkEnd w:id="135"/>
      <w:bookmarkEnd w:id="136"/>
      <w:r>
        <w:rPr>
          <w:rFonts w:hint="eastAsia" w:ascii="仿宋_GB2312" w:hAnsi="仿宋_GB2312" w:eastAsia="仿宋_GB2312" w:cs="仿宋_GB2312"/>
        </w:rPr>
        <w:t>年初结转和结余66.23万元，占6.4%。</w:t>
      </w:r>
    </w:p>
    <w:p>
      <w:pPr>
        <w:pageBreakBefore w:val="0"/>
        <w:kinsoku/>
        <w:wordWrap/>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Cs w:val="32"/>
          <w:lang w:val="zh-CN"/>
        </w:rPr>
      </w:pPr>
      <w:r>
        <w:rPr>
          <w:rFonts w:hint="eastAsia" w:ascii="楷体_GB2312" w:hAnsi="楷体_GB2312" w:eastAsia="楷体_GB2312" w:cs="楷体_GB2312"/>
          <w:szCs w:val="32"/>
          <w:lang w:val="zh-CN"/>
        </w:rPr>
        <w:t>（二）部门财政资金支出情况</w:t>
      </w:r>
    </w:p>
    <w:p>
      <w:pPr>
        <w:pageBreakBefore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rPr>
      </w:pPr>
      <w:r>
        <w:rPr>
          <w:rFonts w:hint="eastAsia" w:ascii="仿宋_GB2312" w:hAnsi="仿宋_GB2312" w:eastAsia="仿宋_GB2312" w:cs="仿宋_GB2312"/>
        </w:rPr>
        <w:t>2021年本年支出合计1064.54万元，其中：基本支出632.81万元，占52.2%；项目支出471.73万元，占47.8%；上缴上级支出0万元，占0%；经营支出0万元，占0%；对附属单位补助支出0万元，占0%。</w:t>
      </w:r>
    </w:p>
    <w:p>
      <w:pPr>
        <w:pageBreakBefore w:val="0"/>
        <w:kinsoku/>
        <w:wordWrap/>
        <w:topLinePunct w:val="0"/>
        <w:autoSpaceDE/>
        <w:autoSpaceDN/>
        <w:bidi w:val="0"/>
        <w:adjustRightInd/>
        <w:snapToGrid/>
        <w:spacing w:line="576" w:lineRule="exact"/>
        <w:ind w:firstLine="640" w:firstLineChars="200"/>
        <w:textAlignment w:val="auto"/>
        <w:rPr>
          <w:rFonts w:hint="eastAsia" w:ascii="黑体" w:hAnsi="黑体" w:eastAsia="黑体" w:cs="黑体"/>
        </w:rPr>
      </w:pPr>
      <w:r>
        <w:rPr>
          <w:rFonts w:hint="eastAsia" w:ascii="黑体" w:hAnsi="黑体" w:eastAsia="黑体" w:cs="黑体"/>
        </w:rPr>
        <w:t>三、部门整体预算绩效管理情况</w:t>
      </w:r>
    </w:p>
    <w:p>
      <w:pPr>
        <w:pageBreakBefore w:val="0"/>
        <w:kinsoku/>
        <w:wordWrap/>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Cs w:val="32"/>
          <w:lang w:val="zh-CN"/>
        </w:rPr>
      </w:pPr>
      <w:r>
        <w:rPr>
          <w:rFonts w:hint="eastAsia" w:ascii="楷体_GB2312" w:hAnsi="楷体_GB2312" w:eastAsia="楷体_GB2312" w:cs="楷体_GB2312"/>
          <w:szCs w:val="32"/>
          <w:lang w:val="zh-CN"/>
        </w:rPr>
        <w:t>（一）部门预算项目绩效管理</w:t>
      </w:r>
    </w:p>
    <w:p>
      <w:pPr>
        <w:pageBreakBefore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全面启动运山片区国土空间总体规划编制，优化片区用地布局，并与旅游、产业、交通等专项规划相衔接，做到多规合一、统筹推进。依托县域副中心城镇和片区中心镇优势，积极争取政策项目资金，加强中心场镇水电路气网等基础设施建设。发挥中心场镇辐射带动作用，引导资源要素聚集，打造片区一流中心学校、中心医院、中心养老院等，争创全省百强中心镇。常态化开展城乡环境综合治理，抓好山水林田湖和产业园、户办庭园改造升级，争创“国家卫生乡镇”，打造亲山近水、宜居宜业的园林小城镇。</w:t>
      </w:r>
    </w:p>
    <w:p>
      <w:pPr>
        <w:pageBreakBefore w:val="0"/>
        <w:kinsoku/>
        <w:wordWrap/>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Cs w:val="32"/>
          <w:lang w:val="zh-CN"/>
        </w:rPr>
      </w:pPr>
      <w:r>
        <w:rPr>
          <w:rFonts w:hint="eastAsia" w:ascii="楷体_GB2312" w:hAnsi="楷体_GB2312" w:eastAsia="楷体_GB2312" w:cs="楷体_GB2312"/>
          <w:szCs w:val="32"/>
          <w:lang w:val="zh-CN"/>
        </w:rPr>
        <w:t>（二）结果应用情况</w:t>
      </w:r>
    </w:p>
    <w:p>
      <w:pPr>
        <w:pageBreakBefore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szCs w:val="32"/>
        </w:rPr>
      </w:pPr>
      <w:bookmarkStart w:id="137" w:name="_Toc25259"/>
      <w:bookmarkStart w:id="138" w:name="_Toc12400"/>
      <w:r>
        <w:rPr>
          <w:rFonts w:hint="eastAsia" w:ascii="仿宋_GB2312" w:hAnsi="仿宋_GB2312" w:eastAsia="仿宋_GB2312" w:cs="仿宋_GB2312"/>
          <w:b/>
          <w:bCs/>
          <w:szCs w:val="32"/>
        </w:rPr>
        <w:t>1．建立预算结合机制。</w:t>
      </w:r>
      <w:r>
        <w:rPr>
          <w:rFonts w:hint="eastAsia" w:ascii="仿宋_GB2312" w:hAnsi="仿宋_GB2312" w:eastAsia="仿宋_GB2312" w:cs="仿宋_GB2312"/>
          <w:szCs w:val="32"/>
        </w:rPr>
        <w:t>通过建立评价结果与预算相结合的机制，逐步将评价结果作为安排以后年度预算的重要依据，优先和重点支持绩效好的项目，减少对绩效差的项目资金安排，取消无绩效的项目，优化公共资源配置。</w:t>
      </w:r>
    </w:p>
    <w:p>
      <w:pPr>
        <w:pageBreakBefore w:val="0"/>
        <w:kinsoku/>
        <w:wordWrap/>
        <w:topLinePunct w:val="0"/>
        <w:autoSpaceDE/>
        <w:autoSpaceDN/>
        <w:bidi w:val="0"/>
        <w:adjustRightInd/>
        <w:snapToGrid/>
        <w:spacing w:line="576" w:lineRule="exact"/>
        <w:ind w:firstLine="643" w:firstLineChars="200"/>
        <w:textAlignment w:val="auto"/>
        <w:rPr>
          <w:rFonts w:ascii="仿宋_GB2312" w:hAnsi="仿宋_GB2312" w:eastAsia="仿宋_GB2312" w:cs="仿宋_GB2312"/>
          <w:szCs w:val="32"/>
        </w:rPr>
      </w:pPr>
      <w:r>
        <w:rPr>
          <w:rFonts w:hint="eastAsia" w:ascii="仿宋_GB2312" w:hAnsi="仿宋_GB2312" w:eastAsia="仿宋_GB2312" w:cs="仿宋_GB2312"/>
          <w:b/>
          <w:bCs/>
          <w:szCs w:val="32"/>
        </w:rPr>
        <w:t>2．建立绩效报告机制。</w:t>
      </w:r>
      <w:r>
        <w:rPr>
          <w:rFonts w:hint="eastAsia" w:ascii="仿宋_GB2312" w:hAnsi="仿宋_GB2312" w:eastAsia="仿宋_GB2312" w:cs="仿宋_GB2312"/>
          <w:szCs w:val="32"/>
        </w:rPr>
        <w:t>镇财政所要按上级财政部门的要求，报送预算绩效管理工作情况；每年向本级政府、人大报告支出管理绩效评价情况。</w:t>
      </w:r>
    </w:p>
    <w:p>
      <w:pPr>
        <w:pageBreakBefore w:val="0"/>
        <w:kinsoku/>
        <w:wordWrap/>
        <w:topLinePunct w:val="0"/>
        <w:autoSpaceDE/>
        <w:autoSpaceDN/>
        <w:bidi w:val="0"/>
        <w:adjustRightInd/>
        <w:snapToGrid/>
        <w:spacing w:line="576" w:lineRule="exact"/>
        <w:ind w:firstLine="643" w:firstLineChars="200"/>
        <w:textAlignment w:val="auto"/>
        <w:rPr>
          <w:rFonts w:ascii="仿宋" w:hAnsi="仿宋" w:eastAsia="仿宋_GB2312" w:cs="仿宋_GB2312"/>
          <w:szCs w:val="32"/>
        </w:rPr>
      </w:pPr>
      <w:r>
        <w:rPr>
          <w:rFonts w:hint="eastAsia" w:ascii="仿宋_GB2312" w:hAnsi="仿宋_GB2312" w:eastAsia="仿宋_GB2312" w:cs="仿宋_GB2312"/>
          <w:b/>
          <w:bCs/>
          <w:szCs w:val="32"/>
        </w:rPr>
        <w:t>3．建立绩效问责机制。</w:t>
      </w:r>
      <w:r>
        <w:rPr>
          <w:rFonts w:hint="eastAsia" w:ascii="仿宋_GB2312" w:hAnsi="仿宋_GB2312" w:eastAsia="仿宋_GB2312" w:cs="仿宋_GB2312"/>
          <w:szCs w:val="32"/>
        </w:rPr>
        <w:t>镇政府要将预算绩效管理情况作为行政管理考核的重要依据，对严重违规行为，要予以问责。落实财政资金使用主体责任，形成“谁干事谁花钱，谁花钱谁担责”的</w:t>
      </w:r>
      <w:r>
        <w:rPr>
          <w:rFonts w:hint="eastAsia" w:ascii="仿宋" w:hAnsi="仿宋" w:eastAsia="仿宋_GB2312" w:cs="仿宋_GB2312"/>
          <w:szCs w:val="32"/>
        </w:rPr>
        <w:t>权责机制。</w:t>
      </w:r>
    </w:p>
    <w:p>
      <w:pPr>
        <w:pageBreakBefore w:val="0"/>
        <w:kinsoku/>
        <w:wordWrap/>
        <w:topLinePunct w:val="0"/>
        <w:autoSpaceDE/>
        <w:autoSpaceDN/>
        <w:bidi w:val="0"/>
        <w:adjustRightInd/>
        <w:snapToGrid/>
        <w:spacing w:line="576" w:lineRule="exact"/>
        <w:ind w:firstLine="640" w:firstLineChars="200"/>
        <w:textAlignment w:val="auto"/>
        <w:rPr>
          <w:rFonts w:hint="eastAsia" w:ascii="黑体" w:hAnsi="黑体" w:eastAsia="黑体" w:cs="黑体"/>
          <w:b w:val="0"/>
          <w:bCs w:val="0"/>
        </w:rPr>
      </w:pPr>
      <w:r>
        <w:rPr>
          <w:rFonts w:hint="eastAsia" w:ascii="黑体" w:hAnsi="黑体" w:eastAsia="黑体" w:cs="黑体"/>
          <w:b w:val="0"/>
          <w:bCs w:val="0"/>
        </w:rPr>
        <w:t>四、评价结论及建议</w:t>
      </w:r>
      <w:bookmarkEnd w:id="137"/>
      <w:bookmarkEnd w:id="138"/>
    </w:p>
    <w:p>
      <w:pPr>
        <w:pageBreakBefore w:val="0"/>
        <w:kinsoku/>
        <w:wordWrap/>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Cs w:val="32"/>
          <w:lang w:val="zh-CN"/>
        </w:rPr>
      </w:pPr>
      <w:r>
        <w:rPr>
          <w:rFonts w:hint="eastAsia" w:ascii="楷体_GB2312" w:hAnsi="楷体_GB2312" w:eastAsia="楷体_GB2312" w:cs="楷体_GB2312"/>
          <w:szCs w:val="32"/>
          <w:lang w:val="zh-CN"/>
        </w:rPr>
        <w:t>（一）评价结论</w:t>
      </w:r>
    </w:p>
    <w:p>
      <w:pPr>
        <w:pageBreakBefore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一是要科学合理地编制部门预算，预算要结合本部门的事业发展计划、职责和任务测算，要确保部门预算编制真实、准确、完整，切合单位实际。二是要强化绩效管理考核，围绕绩效考核目标任务，层层分解落实，明确责任领导和责任单位及责任人，强化责任意识，使每位同志对自己的目标任务了然于胸，从而增强工作的主动性和积极性，使考核目标中涉及到的每一项任务都落到了实处，同时建立并执行考核目标执行情况跟踪检查制度，责任追究制度，使单位在合理使用资金，有效控制支出的情况下，确保了各项绩效考核指标保质保量完成。</w:t>
      </w:r>
    </w:p>
    <w:p>
      <w:pPr>
        <w:pageBreakBefore w:val="0"/>
        <w:kinsoku/>
        <w:wordWrap/>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Cs w:val="32"/>
          <w:lang w:val="zh-CN"/>
        </w:rPr>
      </w:pPr>
      <w:r>
        <w:rPr>
          <w:rFonts w:hint="eastAsia" w:ascii="楷体_GB2312" w:hAnsi="楷体_GB2312" w:eastAsia="楷体_GB2312" w:cs="楷体_GB2312"/>
          <w:szCs w:val="32"/>
          <w:lang w:val="zh-CN"/>
        </w:rPr>
        <w:t>（二）存在问题</w:t>
      </w:r>
    </w:p>
    <w:p>
      <w:pPr>
        <w:pageBreakBefore w:val="0"/>
        <w:kinsoku/>
        <w:wordWrap/>
        <w:topLinePunct w:val="0"/>
        <w:autoSpaceDE/>
        <w:autoSpaceDN/>
        <w:bidi w:val="0"/>
        <w:adjustRightInd/>
        <w:snapToGrid/>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乡镇预算经费主要是人员经费和维护政府正常运转的公用经费，在履行发展经济职能方面只能靠项目的支撑。没有服务于发展经济职能的经费保障，造成了很多工作开展被动，给我镇工作的正常运转和单位形象带来了负面影响。</w:t>
      </w:r>
    </w:p>
    <w:p>
      <w:pPr>
        <w:pageBreakBefore w:val="0"/>
        <w:kinsoku/>
        <w:wordWrap/>
        <w:topLinePunct w:val="0"/>
        <w:autoSpaceDE/>
        <w:autoSpaceDN/>
        <w:bidi w:val="0"/>
        <w:adjustRightInd/>
        <w:snapToGrid/>
        <w:spacing w:line="576" w:lineRule="exact"/>
        <w:ind w:firstLine="640" w:firstLineChars="200"/>
        <w:textAlignment w:val="auto"/>
        <w:rPr>
          <w:rFonts w:hint="eastAsia" w:ascii="楷体_GB2312" w:hAnsi="楷体_GB2312" w:eastAsia="楷体_GB2312" w:cs="楷体_GB2312"/>
          <w:szCs w:val="32"/>
          <w:lang w:val="zh-CN"/>
        </w:rPr>
      </w:pPr>
      <w:r>
        <w:rPr>
          <w:rFonts w:hint="eastAsia" w:ascii="楷体_GB2312" w:hAnsi="楷体_GB2312" w:eastAsia="楷体_GB2312" w:cs="楷体_GB2312"/>
          <w:szCs w:val="32"/>
          <w:lang w:val="zh-CN"/>
        </w:rPr>
        <w:t>（三）改进建议</w:t>
      </w:r>
    </w:p>
    <w:p>
      <w:pPr>
        <w:pageBreakBefore w:val="0"/>
        <w:widowControl/>
        <w:kinsoku/>
        <w:wordWrap/>
        <w:topLinePunct w:val="0"/>
        <w:autoSpaceDE/>
        <w:autoSpaceDN/>
        <w:bidi w:val="0"/>
        <w:adjustRightInd/>
        <w:snapToGrid/>
        <w:spacing w:line="576" w:lineRule="exact"/>
        <w:ind w:firstLine="640" w:firstLineChars="200"/>
        <w:jc w:val="left"/>
        <w:textAlignment w:val="auto"/>
        <w:rPr>
          <w:rFonts w:ascii="仿宋_GB2312" w:hAnsi="仿宋_GB2312" w:eastAsia="仿宋_GB2312" w:cs="仿宋_GB2312"/>
          <w:szCs w:val="32"/>
        </w:rPr>
      </w:pPr>
      <w:r>
        <w:rPr>
          <w:rFonts w:hint="eastAsia" w:ascii="仿宋_GB2312" w:hAnsi="仿宋_GB2312" w:eastAsia="仿宋_GB2312" w:cs="仿宋_GB2312"/>
          <w:szCs w:val="32"/>
        </w:rPr>
        <w:t>（1）建议加强政策学习，提高思想认识。组织单位人员认真学习《中华人民共和国预算法》等相关法规、制度，提高单位领导对全面预算管理的重视程度，增强财务人员的预算意识，坚持先有预算、后有支出，没有预算不得支出的支出理念。</w:t>
      </w:r>
    </w:p>
    <w:p>
      <w:pPr>
        <w:pageBreakBefore w:val="0"/>
        <w:widowControl/>
        <w:kinsoku/>
        <w:wordWrap/>
        <w:topLinePunct w:val="0"/>
        <w:autoSpaceDE/>
        <w:autoSpaceDN/>
        <w:bidi w:val="0"/>
        <w:adjustRightInd/>
        <w:snapToGrid/>
        <w:spacing w:line="576" w:lineRule="exact"/>
        <w:ind w:firstLine="640" w:firstLineChars="200"/>
        <w:jc w:val="left"/>
        <w:textAlignment w:val="auto"/>
        <w:rPr>
          <w:rFonts w:ascii="仿宋_GB2312" w:hAnsi="仿宋_GB2312" w:eastAsia="仿宋_GB2312" w:cs="仿宋_GB2312"/>
          <w:szCs w:val="32"/>
        </w:rPr>
      </w:pPr>
      <w:r>
        <w:rPr>
          <w:rFonts w:hint="eastAsia" w:ascii="仿宋_GB2312" w:hAnsi="仿宋_GB2312" w:eastAsia="仿宋_GB2312" w:cs="仿宋_GB2312"/>
          <w:szCs w:val="32"/>
        </w:rPr>
        <w:t>（2）建议细化预算指标，提高预算科学性。预算编制前根据年度内单位可预见的工作任务，确定单位年度预算目标，细化预算指标，科学合理编制部门预算，推进预算编制科学化、准确化。</w:t>
      </w:r>
    </w:p>
    <w:p>
      <w:pPr>
        <w:pageBreakBefore w:val="0"/>
        <w:widowControl/>
        <w:kinsoku/>
        <w:wordWrap/>
        <w:topLinePunct w:val="0"/>
        <w:autoSpaceDE/>
        <w:autoSpaceDN/>
        <w:bidi w:val="0"/>
        <w:adjustRightInd/>
        <w:snapToGrid/>
        <w:spacing w:line="576" w:lineRule="exact"/>
        <w:ind w:firstLine="640" w:firstLineChars="200"/>
        <w:jc w:val="left"/>
        <w:textAlignment w:val="auto"/>
        <w:rPr>
          <w:rFonts w:ascii="仿宋_GB2312" w:hAnsi="仿宋_GB2312" w:eastAsia="仿宋_GB2312" w:cs="仿宋_GB2312"/>
          <w:szCs w:val="32"/>
        </w:rPr>
      </w:pPr>
      <w:r>
        <w:rPr>
          <w:rFonts w:hint="eastAsia" w:ascii="仿宋_GB2312" w:hAnsi="仿宋_GB2312" w:eastAsia="仿宋_GB2312" w:cs="仿宋_GB2312"/>
          <w:szCs w:val="32"/>
        </w:rPr>
        <w:t>（3）建议加强预算执行管理。年度预算编制后，根据实际情况，定期做好预算执行分析，掌握预算执行进度，及时找出预算实际执行情况与预算目标之间存在的差异，采取有效措施纠正偏差，提高预算执行的时效性和均衡性，同时为下一次科学、准确地编制部门预算积累经验。</w:t>
      </w:r>
    </w:p>
    <w:p>
      <w:pPr>
        <w:pageBreakBefore w:val="0"/>
        <w:widowControl/>
        <w:kinsoku/>
        <w:wordWrap/>
        <w:topLinePunct w:val="0"/>
        <w:autoSpaceDE/>
        <w:autoSpaceDN/>
        <w:bidi w:val="0"/>
        <w:adjustRightInd/>
        <w:snapToGrid/>
        <w:spacing w:line="576" w:lineRule="exact"/>
        <w:ind w:firstLine="640" w:firstLineChars="200"/>
        <w:jc w:val="left"/>
        <w:textAlignment w:val="auto"/>
        <w:rPr>
          <w:rFonts w:hint="eastAsia"/>
          <w:lang w:val="zh-CN"/>
        </w:rPr>
      </w:pPr>
      <w:r>
        <w:rPr>
          <w:rFonts w:hint="eastAsia" w:ascii="仿宋_GB2312" w:hAnsi="仿宋_GB2312" w:eastAsia="仿宋_GB2312" w:cs="仿宋_GB2312"/>
          <w:szCs w:val="32"/>
        </w:rPr>
        <w:t>（4）加强现有预算管理模式的改革与完善。以结果为导向，即预算编制、执行、监督等，要以年初确定的绩效目标为依据，始终围绕绩效目标实现（即预期结果）这一主线，强化支出责任，“用钱要问效，无效要问责”，形成绩效目标管理、绩效运行监控、绩效评价实施、评价结果应用、一环扣一环的管理闭环，实现预算编制有目标、预算执行有监控、预算完成有评价、评价结果有反馈、反馈结果有应用。</w:t>
      </w:r>
      <w:bookmarkStart w:id="139" w:name="_Toc28231"/>
    </w:p>
    <w:p>
      <w:pPr>
        <w:pStyle w:val="4"/>
        <w:rPr>
          <w:rFonts w:hint="eastAsia"/>
          <w:lang w:val="zh-CN"/>
        </w:rPr>
      </w:pPr>
    </w:p>
    <w:p>
      <w:pPr>
        <w:rPr>
          <w:rFonts w:hint="eastAsia"/>
          <w:lang w:val="zh-CN"/>
        </w:rPr>
      </w:pPr>
      <w:r>
        <w:rPr>
          <w:rFonts w:hint="eastAsia"/>
          <w:lang w:val="zh-CN"/>
        </w:rPr>
        <w:br w:type="page"/>
      </w:r>
    </w:p>
    <w:p>
      <w:pPr>
        <w:pStyle w:val="4"/>
        <w:keepLines w:val="0"/>
        <w:pageBreakBefore w:val="0"/>
        <w:widowControl w:val="0"/>
        <w:kinsoku/>
        <w:wordWrap/>
        <w:topLinePunct w:val="0"/>
        <w:bidi w:val="0"/>
        <w:spacing w:before="0" w:after="0" w:line="576" w:lineRule="exact"/>
        <w:textAlignment w:val="auto"/>
      </w:pPr>
      <w:r>
        <w:rPr>
          <w:rFonts w:hint="eastAsia"/>
          <w:lang w:val="zh-CN"/>
        </w:rPr>
        <w:t>附件</w:t>
      </w:r>
      <w:r>
        <w:rPr>
          <w:rFonts w:hint="eastAsia"/>
        </w:rPr>
        <w:t>2</w:t>
      </w:r>
      <w:bookmarkEnd w:id="139"/>
    </w:p>
    <w:p>
      <w:pPr>
        <w:keepLines w:val="0"/>
        <w:pageBreakBefore w:val="0"/>
        <w:widowControl w:val="0"/>
        <w:kinsoku/>
        <w:wordWrap/>
        <w:topLinePunct w:val="0"/>
        <w:bidi w:val="0"/>
        <w:spacing w:line="576" w:lineRule="exact"/>
        <w:textAlignment w:val="auto"/>
        <w:rPr>
          <w:rFonts w:ascii="方正仿宋_GBK" w:hAnsi="方正仿宋_GBK" w:eastAsia="方正仿宋_GBK" w:cs="方正仿宋_GBK"/>
          <w:szCs w:val="32"/>
          <w:lang w:val="zh-CN"/>
        </w:rPr>
      </w:pPr>
      <w:r>
        <w:rPr>
          <w:rFonts w:hint="eastAsia" w:ascii="方正仿宋_GBK" w:hAnsi="方正仿宋_GBK" w:eastAsia="方正仿宋_GBK" w:cs="方正仿宋_GBK"/>
          <w:szCs w:val="32"/>
          <w:lang w:val="zh-CN"/>
        </w:rPr>
        <w:t>附件</w:t>
      </w:r>
      <w:r>
        <w:rPr>
          <w:rFonts w:hint="eastAsia" w:ascii="方正仿宋_GBK" w:hAnsi="方正仿宋_GBK" w:eastAsia="方正仿宋_GBK" w:cs="方正仿宋_GBK"/>
          <w:szCs w:val="32"/>
        </w:rPr>
        <w:t>2-1</w:t>
      </w:r>
    </w:p>
    <w:p>
      <w:pPr>
        <w:pStyle w:val="2"/>
        <w:keepLines w:val="0"/>
        <w:pageBreakBefore w:val="0"/>
        <w:widowControl w:val="0"/>
        <w:kinsoku/>
        <w:wordWrap/>
        <w:topLinePunct w:val="0"/>
        <w:bidi w:val="0"/>
        <w:spacing w:line="576" w:lineRule="exact"/>
        <w:textAlignment w:val="auto"/>
      </w:pPr>
    </w:p>
    <w:p>
      <w:pPr>
        <w:keepLines w:val="0"/>
        <w:pageBreakBefore w:val="0"/>
        <w:widowControl w:val="0"/>
        <w:kinsoku/>
        <w:wordWrap/>
        <w:topLinePunct w:val="0"/>
        <w:bidi w:val="0"/>
        <w:spacing w:line="576" w:lineRule="exact"/>
        <w:jc w:val="center"/>
        <w:textAlignment w:val="auto"/>
        <w:rPr>
          <w:rFonts w:ascii="方正小标宋简体" w:hAnsi="方正小标宋简体" w:eastAsia="方正小标宋简体" w:cs="方正小标宋简体"/>
          <w:sz w:val="40"/>
          <w:szCs w:val="40"/>
          <w:lang w:val="zh-CN"/>
        </w:rPr>
      </w:pPr>
      <w:r>
        <w:rPr>
          <w:rFonts w:hint="eastAsia" w:ascii="方正小标宋简体" w:hAnsi="方正小标宋简体" w:eastAsia="方正小标宋简体" w:cs="方正小标宋简体"/>
          <w:sz w:val="40"/>
          <w:szCs w:val="40"/>
        </w:rPr>
        <w:t>2021年</w:t>
      </w:r>
      <w:r>
        <w:rPr>
          <w:rFonts w:hint="eastAsia" w:ascii="方正小标宋简体" w:hAnsi="方正小标宋简体" w:eastAsia="方正小标宋简体" w:cs="方正小标宋简体"/>
          <w:sz w:val="40"/>
          <w:szCs w:val="40"/>
          <w:lang w:val="zh-CN"/>
        </w:rPr>
        <w:t>对村民委员会和村党支部的补助项目支出绩效自评报告</w:t>
      </w:r>
    </w:p>
    <w:p>
      <w:pPr>
        <w:keepLines w:val="0"/>
        <w:pageBreakBefore w:val="0"/>
        <w:widowControl w:val="0"/>
        <w:kinsoku/>
        <w:wordWrap/>
        <w:topLinePunct w:val="0"/>
        <w:bidi w:val="0"/>
        <w:spacing w:line="576" w:lineRule="exact"/>
        <w:ind w:firstLine="640"/>
        <w:jc w:val="center"/>
        <w:textAlignment w:val="auto"/>
        <w:rPr>
          <w:rFonts w:ascii="宋体" w:hAnsi="宋体" w:eastAsia="宋体"/>
          <w:szCs w:val="32"/>
          <w:lang w:val="zh-CN"/>
        </w:rPr>
      </w:pPr>
    </w:p>
    <w:p>
      <w:pPr>
        <w:keepLines w:val="0"/>
        <w:pageBreakBefore w:val="0"/>
        <w:widowControl w:val="0"/>
        <w:kinsoku/>
        <w:wordWrap/>
        <w:topLinePunct w:val="0"/>
        <w:bidi w:val="0"/>
        <w:adjustRightInd w:val="0"/>
        <w:snapToGrid w:val="0"/>
        <w:spacing w:line="576" w:lineRule="exact"/>
        <w:ind w:firstLine="720"/>
        <w:textAlignment w:val="auto"/>
        <w:rPr>
          <w:rFonts w:ascii="黑体" w:hAnsi="宋体" w:eastAsia="黑体"/>
          <w:szCs w:val="32"/>
          <w:lang w:val="zh-CN"/>
        </w:rPr>
      </w:pPr>
      <w:r>
        <w:rPr>
          <w:rFonts w:hint="eastAsia" w:ascii="黑体" w:hAnsi="宋体" w:eastAsia="黑体"/>
          <w:szCs w:val="32"/>
        </w:rPr>
        <w:t>一、</w:t>
      </w:r>
      <w:r>
        <w:rPr>
          <w:rFonts w:hint="eastAsia" w:ascii="黑体" w:hAnsi="宋体" w:eastAsia="黑体"/>
          <w:szCs w:val="32"/>
          <w:lang w:val="zh-CN"/>
        </w:rPr>
        <w:t>项目概况</w:t>
      </w:r>
    </w:p>
    <w:p>
      <w:pPr>
        <w:keepLines w:val="0"/>
        <w:pageBreakBefore w:val="0"/>
        <w:widowControl w:val="0"/>
        <w:kinsoku/>
        <w:wordWrap/>
        <w:topLinePunct w:val="0"/>
        <w:bidi w:val="0"/>
        <w:adjustRightInd w:val="0"/>
        <w:snapToGrid w:val="0"/>
        <w:spacing w:line="576" w:lineRule="exact"/>
        <w:ind w:firstLine="720"/>
        <w:textAlignment w:val="auto"/>
        <w:rPr>
          <w:rFonts w:ascii="楷体_GB2312" w:hAnsi="宋体" w:eastAsia="楷体_GB2312"/>
          <w:bCs/>
          <w:szCs w:val="32"/>
          <w:lang w:val="zh-CN"/>
        </w:rPr>
      </w:pPr>
      <w:r>
        <w:rPr>
          <w:rFonts w:hint="eastAsia" w:ascii="楷体_GB2312" w:hAnsi="宋体" w:eastAsia="楷体_GB2312"/>
          <w:bCs/>
          <w:szCs w:val="32"/>
          <w:lang w:val="zh-CN"/>
        </w:rPr>
        <w:t>（一）项目基本情况</w:t>
      </w:r>
    </w:p>
    <w:p>
      <w:pPr>
        <w:keepLines w:val="0"/>
        <w:pageBreakBefore w:val="0"/>
        <w:widowControl w:val="0"/>
        <w:kinsoku/>
        <w:wordWrap/>
        <w:topLinePunct w:val="0"/>
        <w:bidi w:val="0"/>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rPr>
        <w:t>运山镇人民政府辖6个行政村，农村社区1个，村组干部64人。该经费严格按照项目支出的范围、用途控制，坚持专款专用，不挤占挪用。项目资金支出的合法性、合理性，由镇财政所进行把关以及核对，并进行会计核算，确保了项目资金的安全。</w:t>
      </w:r>
    </w:p>
    <w:p>
      <w:pPr>
        <w:keepLines w:val="0"/>
        <w:pageBreakBefore w:val="0"/>
        <w:widowControl w:val="0"/>
        <w:kinsoku/>
        <w:wordWrap/>
        <w:topLinePunct w:val="0"/>
        <w:bidi w:val="0"/>
        <w:adjustRightInd w:val="0"/>
        <w:snapToGrid w:val="0"/>
        <w:spacing w:line="576" w:lineRule="exact"/>
        <w:ind w:firstLine="720"/>
        <w:textAlignment w:val="auto"/>
        <w:rPr>
          <w:rFonts w:ascii="楷体_GB2312" w:hAnsi="宋体" w:eastAsia="楷体_GB2312"/>
          <w:bCs/>
          <w:szCs w:val="32"/>
          <w:lang w:val="zh-CN"/>
        </w:rPr>
      </w:pPr>
      <w:r>
        <w:rPr>
          <w:rFonts w:hint="eastAsia" w:ascii="楷体_GB2312" w:hAnsi="宋体" w:eastAsia="楷体_GB2312"/>
          <w:bCs/>
          <w:szCs w:val="32"/>
          <w:lang w:val="zh-CN"/>
        </w:rPr>
        <w:t>（二）项目绩效目标</w:t>
      </w:r>
    </w:p>
    <w:p>
      <w:pPr>
        <w:pStyle w:val="6"/>
        <w:keepLines w:val="0"/>
        <w:pageBreakBefore w:val="0"/>
        <w:widowControl w:val="0"/>
        <w:kinsoku/>
        <w:wordWrap/>
        <w:topLinePunct w:val="0"/>
        <w:bidi w:val="0"/>
        <w:adjustRightInd w:val="0"/>
        <w:snapToGrid w:val="0"/>
        <w:spacing w:beforeLines="0" w:line="576" w:lineRule="exact"/>
        <w:ind w:firstLine="640" w:firstLineChars="200"/>
        <w:textAlignment w:val="auto"/>
        <w:rPr>
          <w:rFonts w:hAnsi="仿宋_GB2312" w:cs="仿宋_GB2312"/>
          <w:kern w:val="2"/>
          <w:sz w:val="32"/>
        </w:rPr>
      </w:pPr>
      <w:r>
        <w:rPr>
          <w:rFonts w:hint="eastAsia" w:hAnsi="仿宋_GB2312" w:cs="仿宋_GB2312"/>
          <w:kern w:val="2"/>
          <w:sz w:val="32"/>
        </w:rPr>
        <w:t>对村民委员会和村党支部的补助项目经费来源为财政拨款，该项目投资223.62万元，经费资金总额为223.62万元，切实保障村组干部的正常工作报酬；基层组织正常开展活动；农村公共运行服务和村（社区）办公运转。经费用于</w:t>
      </w:r>
      <w:r>
        <w:rPr>
          <w:rFonts w:hint="eastAsia" w:hAnsi="仿宋_GB2312" w:cs="仿宋_GB2312"/>
          <w:spacing w:val="-6"/>
          <w:kern w:val="2"/>
          <w:sz w:val="32"/>
        </w:rPr>
        <w:t>解决村（社区）群众最关心、最直接、最急需解决的各类事项。</w:t>
      </w:r>
    </w:p>
    <w:p>
      <w:pPr>
        <w:keepLines w:val="0"/>
        <w:pageBreakBefore w:val="0"/>
        <w:widowControl w:val="0"/>
        <w:kinsoku/>
        <w:wordWrap/>
        <w:topLinePunct w:val="0"/>
        <w:bidi w:val="0"/>
        <w:adjustRightInd w:val="0"/>
        <w:snapToGrid w:val="0"/>
        <w:spacing w:line="576" w:lineRule="exact"/>
        <w:ind w:firstLine="720"/>
        <w:textAlignment w:val="auto"/>
        <w:rPr>
          <w:rFonts w:ascii="楷体_GB2312" w:hAnsi="宋体" w:eastAsia="楷体_GB2312"/>
          <w:bCs/>
          <w:szCs w:val="32"/>
          <w:lang w:val="zh-CN"/>
        </w:rPr>
      </w:pPr>
      <w:r>
        <w:rPr>
          <w:rFonts w:hint="eastAsia" w:ascii="楷体_GB2312" w:hAnsi="宋体" w:eastAsia="楷体_GB2312"/>
          <w:bCs/>
          <w:szCs w:val="32"/>
          <w:lang w:val="zh-CN"/>
        </w:rPr>
        <w:t>（三）项目自评步骤及方法。</w:t>
      </w:r>
    </w:p>
    <w:p>
      <w:pPr>
        <w:keepLines w:val="0"/>
        <w:pageBreakBefore w:val="0"/>
        <w:widowControl w:val="0"/>
        <w:kinsoku/>
        <w:wordWrap/>
        <w:topLinePunct w:val="0"/>
        <w:bidi w:val="0"/>
        <w:spacing w:line="576" w:lineRule="exact"/>
        <w:ind w:firstLine="640" w:firstLineChars="200"/>
        <w:textAlignment w:val="auto"/>
        <w:rPr>
          <w:rFonts w:ascii="仿宋_GB2312" w:hAnsi="仿宋_GB2312" w:eastAsia="仿宋_GB2312" w:cs="仿宋_GB2312"/>
        </w:rPr>
      </w:pPr>
      <w:r>
        <w:rPr>
          <w:rFonts w:hint="eastAsia" w:ascii="仿宋_GB2312" w:hAnsi="仿宋_GB2312" w:eastAsia="仿宋_GB2312" w:cs="仿宋_GB2312"/>
          <w:lang w:val="zh-CN"/>
        </w:rPr>
        <w:t>本项目为延续性项目，按照村书记</w:t>
      </w:r>
      <w:r>
        <w:rPr>
          <w:rFonts w:hint="eastAsia" w:ascii="仿宋_GB2312" w:hAnsi="仿宋_GB2312" w:eastAsia="仿宋_GB2312" w:cs="仿宋_GB2312"/>
        </w:rPr>
        <w:t>3000元/人/月，村</w:t>
      </w:r>
      <w:r>
        <w:rPr>
          <w:rFonts w:hint="eastAsia" w:ascii="仿宋_GB2312" w:hAnsi="仿宋_GB2312" w:eastAsia="仿宋_GB2312" w:cs="仿宋_GB2312"/>
          <w:spacing w:val="-6"/>
          <w:kern w:val="2"/>
          <w:sz w:val="32"/>
          <w:szCs w:val="24"/>
          <w:lang w:val="en-US" w:eastAsia="zh-CN" w:bidi="ar-SA"/>
        </w:rPr>
        <w:t>副职2100元/人/月，组长800元/人/月，实行每月发放到账。</w:t>
      </w:r>
    </w:p>
    <w:p>
      <w:pPr>
        <w:keepLines w:val="0"/>
        <w:pageBreakBefore w:val="0"/>
        <w:widowControl w:val="0"/>
        <w:kinsoku/>
        <w:wordWrap/>
        <w:topLinePunct w:val="0"/>
        <w:bidi w:val="0"/>
        <w:spacing w:line="576" w:lineRule="exact"/>
        <w:ind w:firstLine="640" w:firstLineChars="200"/>
        <w:textAlignment w:val="auto"/>
        <w:rPr>
          <w:rFonts w:ascii="黑体" w:hAnsi="宋体" w:eastAsia="黑体"/>
          <w:szCs w:val="32"/>
        </w:rPr>
      </w:pPr>
      <w:r>
        <w:rPr>
          <w:rFonts w:hint="eastAsia" w:ascii="黑体" w:hAnsi="宋体" w:eastAsia="黑体"/>
          <w:szCs w:val="32"/>
        </w:rPr>
        <w:t>二、项目资金申报及使用情况</w:t>
      </w:r>
    </w:p>
    <w:p>
      <w:pPr>
        <w:keepLines w:val="0"/>
        <w:pageBreakBefore w:val="0"/>
        <w:widowControl w:val="0"/>
        <w:kinsoku/>
        <w:wordWrap/>
        <w:topLinePunct w:val="0"/>
        <w:bidi w:val="0"/>
        <w:adjustRightInd w:val="0"/>
        <w:snapToGrid w:val="0"/>
        <w:spacing w:line="576" w:lineRule="exact"/>
        <w:ind w:firstLine="720"/>
        <w:textAlignment w:val="auto"/>
        <w:rPr>
          <w:rFonts w:ascii="楷体_GB2312" w:hAnsi="宋体" w:eastAsia="楷体_GB2312"/>
          <w:bCs/>
          <w:szCs w:val="32"/>
          <w:lang w:val="zh-CN"/>
        </w:rPr>
      </w:pPr>
      <w:r>
        <w:rPr>
          <w:rFonts w:hint="eastAsia" w:ascii="楷体_GB2312" w:hAnsi="宋体" w:eastAsia="楷体_GB2312"/>
          <w:bCs/>
          <w:szCs w:val="32"/>
          <w:lang w:val="zh-CN"/>
        </w:rPr>
        <w:t>（一）项目资金申报及批复情况</w:t>
      </w:r>
    </w:p>
    <w:p>
      <w:pPr>
        <w:keepLines w:val="0"/>
        <w:pageBreakBefore w:val="0"/>
        <w:widowControl w:val="0"/>
        <w:kinsoku/>
        <w:wordWrap/>
        <w:topLinePunct w:val="0"/>
        <w:bidi w:val="0"/>
        <w:spacing w:line="576" w:lineRule="exact"/>
        <w:ind w:firstLine="640" w:firstLineChars="200"/>
        <w:textAlignment w:val="auto"/>
        <w:rPr>
          <w:rFonts w:ascii="仿宋_GB2312" w:hAnsi="仿宋_GB2312" w:eastAsia="仿宋_GB2312" w:cs="仿宋_GB2312"/>
        </w:rPr>
      </w:pPr>
      <w:r>
        <w:rPr>
          <w:rFonts w:hint="eastAsia" w:ascii="仿宋_GB2312" w:hAnsi="仿宋_GB2312" w:eastAsia="仿宋_GB2312" w:cs="仿宋_GB2312"/>
        </w:rPr>
        <w:t>苍溪县财政局拨付对村民委员会和村党支部的补助项目专项资金223.62万元。运山镇财政所财务制度健全完备，资金管理规范，专款专用，资金使用与申报计划完全相符，合理，合法，合规。</w:t>
      </w:r>
    </w:p>
    <w:p>
      <w:pPr>
        <w:keepLines w:val="0"/>
        <w:pageBreakBefore w:val="0"/>
        <w:widowControl w:val="0"/>
        <w:kinsoku/>
        <w:wordWrap/>
        <w:topLinePunct w:val="0"/>
        <w:bidi w:val="0"/>
        <w:adjustRightInd w:val="0"/>
        <w:snapToGrid w:val="0"/>
        <w:spacing w:line="576" w:lineRule="exact"/>
        <w:ind w:firstLine="720"/>
        <w:textAlignment w:val="auto"/>
        <w:rPr>
          <w:rFonts w:ascii="仿宋_GB2312" w:hAnsi="宋体" w:eastAsia="仿宋_GB2312"/>
          <w:bCs/>
          <w:szCs w:val="32"/>
          <w:lang w:val="zh-CN"/>
        </w:rPr>
      </w:pPr>
      <w:r>
        <w:rPr>
          <w:rFonts w:hint="eastAsia" w:ascii="楷体_GB2312" w:hAnsi="宋体" w:eastAsia="楷体_GB2312"/>
          <w:bCs/>
          <w:szCs w:val="32"/>
          <w:lang w:val="zh-CN"/>
        </w:rPr>
        <w:t>（二）资金计划、到位及使用情况</w:t>
      </w:r>
    </w:p>
    <w:p>
      <w:pPr>
        <w:keepLines w:val="0"/>
        <w:pageBreakBefore w:val="0"/>
        <w:widowControl w:val="0"/>
        <w:kinsoku/>
        <w:wordWrap/>
        <w:topLinePunct w:val="0"/>
        <w:bidi w:val="0"/>
        <w:spacing w:line="576" w:lineRule="exact"/>
        <w:ind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1．资金计划。</w:t>
      </w:r>
      <w:r>
        <w:rPr>
          <w:rFonts w:hint="eastAsia" w:ascii="仿宋_GB2312" w:hAnsi="仿宋_GB2312" w:eastAsia="仿宋_GB2312" w:cs="仿宋_GB2312"/>
        </w:rPr>
        <w:t>该项目资金计划223.62万元，截至2021年12月31日，实际计划情况223.62万元，计划资金中无中央、省、市财政资金、项目单位自筹资金及其他渠道资金，只有县财政局拨付资金。</w:t>
      </w:r>
    </w:p>
    <w:p>
      <w:pPr>
        <w:keepLines w:val="0"/>
        <w:pageBreakBefore w:val="0"/>
        <w:widowControl w:val="0"/>
        <w:kinsoku/>
        <w:wordWrap/>
        <w:topLinePunct w:val="0"/>
        <w:bidi w:val="0"/>
        <w:spacing w:line="576" w:lineRule="exact"/>
        <w:ind w:firstLine="645"/>
        <w:textAlignment w:val="auto"/>
        <w:rPr>
          <w:rFonts w:ascii="仿宋_GB2312" w:hAnsi="仿宋_GB2312" w:eastAsia="仿宋_GB2312" w:cs="仿宋_GB2312"/>
        </w:rPr>
      </w:pPr>
      <w:r>
        <w:rPr>
          <w:rFonts w:hint="eastAsia" w:ascii="仿宋_GB2312" w:hAnsi="仿宋_GB2312" w:eastAsia="仿宋_GB2312" w:cs="仿宋_GB2312"/>
          <w:b/>
          <w:bCs/>
          <w:szCs w:val="32"/>
        </w:rPr>
        <w:t>2．资金到位。</w:t>
      </w:r>
      <w:r>
        <w:rPr>
          <w:rFonts w:hint="eastAsia" w:ascii="仿宋_GB2312" w:hAnsi="仿宋_GB2312" w:eastAsia="仿宋_GB2312" w:cs="仿宋_GB2312"/>
        </w:rPr>
        <w:t>该项目资金到位223.62万元，截至2021年12月31日，实际到位情况223.62万元，计划资金中无中央、省、市财政资金、项目单位自筹资金及其他渠道资金，只有县财政局匹配资金。</w:t>
      </w:r>
    </w:p>
    <w:p>
      <w:pPr>
        <w:keepLines w:val="0"/>
        <w:pageBreakBefore w:val="0"/>
        <w:widowControl w:val="0"/>
        <w:kinsoku/>
        <w:wordWrap/>
        <w:topLinePunct w:val="0"/>
        <w:bidi w:val="0"/>
        <w:spacing w:line="576" w:lineRule="exact"/>
        <w:ind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3．资金使用。</w:t>
      </w:r>
      <w:r>
        <w:rPr>
          <w:rFonts w:hint="eastAsia" w:ascii="仿宋_GB2312" w:hAnsi="仿宋_GB2312" w:eastAsia="仿宋_GB2312" w:cs="仿宋_GB2312"/>
        </w:rPr>
        <w:t>项目资金截至2021年底的实际支出情况为223.62万元，支付依据合规合法，资金支付与预算相符。</w:t>
      </w:r>
    </w:p>
    <w:p>
      <w:pPr>
        <w:keepLines w:val="0"/>
        <w:pageBreakBefore w:val="0"/>
        <w:widowControl w:val="0"/>
        <w:kinsoku/>
        <w:wordWrap/>
        <w:topLinePunct w:val="0"/>
        <w:bidi w:val="0"/>
        <w:spacing w:line="576" w:lineRule="exact"/>
        <w:ind w:firstLine="640" w:firstLineChars="200"/>
        <w:textAlignment w:val="auto"/>
        <w:rPr>
          <w:rFonts w:ascii="仿宋_GB2312" w:hAnsi="仿宋_GB2312" w:eastAsia="仿宋_GB2312" w:cs="仿宋_GB2312"/>
        </w:rPr>
      </w:pPr>
      <w:r>
        <w:rPr>
          <w:rFonts w:hint="eastAsia" w:ascii="仿宋_GB2312" w:hAnsi="仿宋_GB2312" w:eastAsia="仿宋_GB2312" w:cs="仿宋_GB2312"/>
        </w:rPr>
        <w:t>经费实施专账核算，无截留、挤占、挪用专项资金现象。全部支出使用合法票据，无虚列项目成本，无进行大额现金支付现象，对超过1000元以上支出均通过公务卡和银行转账等结算方式，均按规定标准执行。</w:t>
      </w:r>
    </w:p>
    <w:p>
      <w:pPr>
        <w:keepLines w:val="0"/>
        <w:pageBreakBefore w:val="0"/>
        <w:widowControl w:val="0"/>
        <w:kinsoku/>
        <w:wordWrap/>
        <w:topLinePunct w:val="0"/>
        <w:bidi w:val="0"/>
        <w:adjustRightInd w:val="0"/>
        <w:snapToGrid w:val="0"/>
        <w:spacing w:line="576" w:lineRule="exact"/>
        <w:ind w:firstLine="720"/>
        <w:textAlignment w:val="auto"/>
        <w:rPr>
          <w:rFonts w:ascii="楷体_GB2312" w:hAnsi="宋体" w:eastAsia="楷体_GB2312"/>
          <w:bCs/>
          <w:szCs w:val="32"/>
          <w:lang w:val="zh-CN"/>
        </w:rPr>
      </w:pPr>
      <w:r>
        <w:rPr>
          <w:rFonts w:hint="eastAsia" w:ascii="楷体_GB2312" w:hAnsi="宋体" w:eastAsia="楷体_GB2312"/>
          <w:bCs/>
          <w:szCs w:val="32"/>
          <w:lang w:val="zh-CN"/>
        </w:rPr>
        <w:t>（三）项目财务管理情况。</w:t>
      </w:r>
    </w:p>
    <w:p>
      <w:pPr>
        <w:keepLines w:val="0"/>
        <w:pageBreakBefore w:val="0"/>
        <w:widowControl w:val="0"/>
        <w:kinsoku/>
        <w:wordWrap/>
        <w:topLinePunct w:val="0"/>
        <w:bidi w:val="0"/>
        <w:adjustRightInd w:val="0"/>
        <w:snapToGrid w:val="0"/>
        <w:spacing w:line="576" w:lineRule="exact"/>
        <w:ind w:firstLine="720"/>
        <w:textAlignment w:val="auto"/>
        <w:rPr>
          <w:rFonts w:ascii="仿宋_GB2312" w:hAnsi="宋体" w:eastAsia="仿宋_GB2312"/>
          <w:szCs w:val="32"/>
          <w:lang w:val="zh-CN"/>
        </w:rPr>
      </w:pPr>
      <w:r>
        <w:rPr>
          <w:rFonts w:hint="eastAsia" w:ascii="仿宋_GB2312" w:hAnsi="宋体" w:eastAsia="仿宋_GB2312"/>
          <w:szCs w:val="32"/>
          <w:lang w:val="zh-CN"/>
        </w:rPr>
        <w:t>总体评价各项目实施单位财务管理制度是否健全，是否严格执行财务管理制度，账务处理是否及时，会计核算是否规范等。</w:t>
      </w:r>
    </w:p>
    <w:p>
      <w:pPr>
        <w:keepLines w:val="0"/>
        <w:pageBreakBefore w:val="0"/>
        <w:widowControl w:val="0"/>
        <w:kinsoku/>
        <w:wordWrap/>
        <w:topLinePunct w:val="0"/>
        <w:bidi w:val="0"/>
        <w:adjustRightInd w:val="0"/>
        <w:snapToGrid w:val="0"/>
        <w:spacing w:line="576" w:lineRule="exact"/>
        <w:ind w:firstLine="720"/>
        <w:textAlignment w:val="auto"/>
        <w:rPr>
          <w:rFonts w:ascii="黑体" w:hAnsi="宋体" w:eastAsia="黑体"/>
          <w:szCs w:val="32"/>
        </w:rPr>
      </w:pPr>
      <w:r>
        <w:rPr>
          <w:rFonts w:hint="eastAsia" w:ascii="黑体" w:hAnsi="宋体" w:eastAsia="黑体"/>
          <w:szCs w:val="32"/>
        </w:rPr>
        <w:t>三、项目实施及管理情况</w:t>
      </w:r>
    </w:p>
    <w:p>
      <w:pPr>
        <w:pStyle w:val="6"/>
        <w:keepLines w:val="0"/>
        <w:pageBreakBefore w:val="0"/>
        <w:widowControl w:val="0"/>
        <w:kinsoku/>
        <w:wordWrap/>
        <w:topLinePunct w:val="0"/>
        <w:bidi w:val="0"/>
        <w:adjustRightInd w:val="0"/>
        <w:snapToGrid w:val="0"/>
        <w:spacing w:beforeLines="0" w:line="576" w:lineRule="exact"/>
        <w:ind w:firstLine="672" w:firstLineChars="210"/>
        <w:textAlignment w:val="auto"/>
        <w:rPr>
          <w:rFonts w:hAnsi="仿宋_GB2312" w:cs="仿宋_GB2312"/>
          <w:sz w:val="32"/>
          <w:szCs w:val="32"/>
        </w:rPr>
      </w:pPr>
      <w:r>
        <w:rPr>
          <w:rFonts w:hint="eastAsia" w:hAnsi="仿宋_GB2312" w:cs="仿宋_GB2312"/>
          <w:sz w:val="32"/>
          <w:szCs w:val="32"/>
        </w:rPr>
        <w:t>为了更好的使用对村民委员会和村党支部的补助专项经费，我镇严格按照中共苍溪县委组织部和苍溪县财政局有关规定的要求进行使用。运山镇财政所负责经费资金支付进度监督及管理。</w:t>
      </w:r>
    </w:p>
    <w:p>
      <w:pPr>
        <w:pStyle w:val="6"/>
        <w:keepLines w:val="0"/>
        <w:pageBreakBefore w:val="0"/>
        <w:widowControl w:val="0"/>
        <w:kinsoku/>
        <w:wordWrap/>
        <w:topLinePunct w:val="0"/>
        <w:bidi w:val="0"/>
        <w:adjustRightInd w:val="0"/>
        <w:snapToGrid w:val="0"/>
        <w:spacing w:beforeLines="0" w:line="576" w:lineRule="exact"/>
        <w:ind w:firstLine="640" w:firstLineChars="200"/>
        <w:textAlignment w:val="auto"/>
        <w:rPr>
          <w:rFonts w:hAnsi="仿宋_GB2312" w:cs="仿宋_GB2312"/>
          <w:kern w:val="2"/>
          <w:sz w:val="32"/>
          <w:lang w:val="zh-CN"/>
        </w:rPr>
      </w:pPr>
      <w:r>
        <w:rPr>
          <w:rFonts w:hint="eastAsia" w:ascii="楷体_GB2312" w:hAnsi="宋体" w:eastAsia="楷体_GB2312"/>
          <w:bCs/>
          <w:sz w:val="32"/>
          <w:szCs w:val="32"/>
          <w:lang w:val="zh-CN"/>
        </w:rPr>
        <w:t>（一）项目组织架构及实施流程。</w:t>
      </w:r>
      <w:r>
        <w:rPr>
          <w:rFonts w:hint="eastAsia" w:hAnsi="仿宋_GB2312" w:cs="仿宋_GB2312"/>
          <w:kern w:val="2"/>
          <w:sz w:val="32"/>
        </w:rPr>
        <w:t>2021年对村民委员会和村党支部的补助项目建设主要内容是切实保障基层组织正常开展活动；农村公共运行服务和村（社区）办公运转。经费用于解决村（社区）群众最关心、最直接、最急需解决的各类事项。该经费资金到位及时，支出合理合规，设立依据充分，并且目标明确，符合我镇要求。</w:t>
      </w:r>
    </w:p>
    <w:p>
      <w:pPr>
        <w:keepLines w:val="0"/>
        <w:pageBreakBefore w:val="0"/>
        <w:widowControl w:val="0"/>
        <w:kinsoku/>
        <w:wordWrap/>
        <w:topLinePunct w:val="0"/>
        <w:bidi w:val="0"/>
        <w:spacing w:line="576" w:lineRule="exact"/>
        <w:ind w:firstLine="640" w:firstLineChars="200"/>
        <w:textAlignment w:val="auto"/>
        <w:rPr>
          <w:rFonts w:ascii="仿宋_GB2312" w:hAnsi="仿宋_GB2312" w:eastAsia="仿宋_GB2312" w:cs="仿宋_GB2312"/>
        </w:rPr>
      </w:pPr>
      <w:r>
        <w:rPr>
          <w:rFonts w:hint="eastAsia" w:ascii="楷体_GB2312" w:hAnsi="宋体" w:eastAsia="楷体_GB2312"/>
          <w:bCs/>
          <w:szCs w:val="32"/>
          <w:lang w:val="zh-CN"/>
        </w:rPr>
        <w:t>（二）项目管理情况。</w:t>
      </w:r>
      <w:r>
        <w:rPr>
          <w:rFonts w:hint="eastAsia" w:ascii="仿宋_GB2312" w:hAnsi="仿宋_GB2312" w:eastAsia="仿宋_GB2312" w:cs="仿宋_GB2312"/>
        </w:rPr>
        <w:t>2021年对村民委员会和村党支部的补助项目经费来源为财政拨款，该项目投资223.62万元，主要实施内容是切实保障基层组织正常开展活动；农村公共运行服务和村（社区）办公运转。经费用于解决村（社区）群众最关心、最直接、最急需解决的各类事项。</w:t>
      </w:r>
    </w:p>
    <w:p>
      <w:pPr>
        <w:keepLines w:val="0"/>
        <w:pageBreakBefore w:val="0"/>
        <w:widowControl w:val="0"/>
        <w:kinsoku/>
        <w:wordWrap/>
        <w:topLinePunct w:val="0"/>
        <w:bidi w:val="0"/>
        <w:adjustRightInd w:val="0"/>
        <w:snapToGrid w:val="0"/>
        <w:spacing w:line="576" w:lineRule="exact"/>
        <w:ind w:firstLine="720"/>
        <w:textAlignment w:val="auto"/>
        <w:rPr>
          <w:rFonts w:ascii="仿宋" w:hAnsi="仿宋" w:eastAsia="仿宋_GB2312"/>
          <w:szCs w:val="32"/>
        </w:rPr>
      </w:pPr>
      <w:r>
        <w:rPr>
          <w:rFonts w:hint="eastAsia" w:ascii="仿宋_GB2312" w:hAnsi="仿宋_GB2312" w:eastAsia="仿宋_GB2312" w:cs="仿宋_GB2312"/>
          <w:szCs w:val="32"/>
          <w:lang w:val="zh-CN"/>
        </w:rPr>
        <w:t>（三）项目监管情况。</w:t>
      </w:r>
      <w:r>
        <w:rPr>
          <w:rFonts w:hint="eastAsia" w:ascii="仿宋_GB2312" w:hAnsi="仿宋_GB2312" w:eastAsia="仿宋_GB2312" w:cs="仿宋_GB2312"/>
          <w:szCs w:val="32"/>
        </w:rPr>
        <w:t>坚持项目账务达到账证相符、账账相符、账实相符，为提高工作质量和效率，明确规范管理、强化责任、稳中求进的指导思想，经费严格按照项目支出的范围、用途控制，坚持专款专用，不挤占挪用。项目资金支出的合法性、合理性，由镇财政所进行把关以及核对，并进行会计核算，确保了项目资金的安全。</w:t>
      </w:r>
    </w:p>
    <w:p>
      <w:pPr>
        <w:pStyle w:val="6"/>
        <w:keepLines w:val="0"/>
        <w:pageBreakBefore w:val="0"/>
        <w:widowControl w:val="0"/>
        <w:kinsoku/>
        <w:wordWrap/>
        <w:topLinePunct w:val="0"/>
        <w:bidi w:val="0"/>
        <w:adjustRightInd w:val="0"/>
        <w:snapToGrid w:val="0"/>
        <w:spacing w:beforeLines="0" w:line="576" w:lineRule="exact"/>
        <w:ind w:firstLine="800" w:firstLineChars="250"/>
        <w:textAlignment w:val="auto"/>
        <w:rPr>
          <w:rFonts w:ascii="黑体" w:hAnsi="黑体" w:eastAsia="黑体" w:cs="黑体"/>
          <w:bCs/>
          <w:sz w:val="32"/>
          <w:szCs w:val="32"/>
        </w:rPr>
      </w:pPr>
      <w:r>
        <w:rPr>
          <w:rFonts w:hint="eastAsia" w:ascii="黑体" w:hAnsi="黑体" w:eastAsia="黑体" w:cs="黑体"/>
          <w:bCs/>
          <w:sz w:val="32"/>
          <w:szCs w:val="32"/>
        </w:rPr>
        <w:t>四、项目绩效情况</w:t>
      </w:r>
    </w:p>
    <w:p>
      <w:pPr>
        <w:pStyle w:val="6"/>
        <w:keepLines w:val="0"/>
        <w:pageBreakBefore w:val="0"/>
        <w:widowControl w:val="0"/>
        <w:kinsoku/>
        <w:wordWrap/>
        <w:topLinePunct w:val="0"/>
        <w:bidi w:val="0"/>
        <w:adjustRightInd w:val="0"/>
        <w:snapToGrid w:val="0"/>
        <w:spacing w:beforeLines="0" w:line="576" w:lineRule="exact"/>
        <w:ind w:firstLine="645"/>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（一）项目完成情况</w:t>
      </w:r>
    </w:p>
    <w:p>
      <w:pPr>
        <w:pStyle w:val="6"/>
        <w:keepLines w:val="0"/>
        <w:pageBreakBefore w:val="0"/>
        <w:widowControl w:val="0"/>
        <w:kinsoku/>
        <w:wordWrap/>
        <w:topLinePunct w:val="0"/>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截至2021年底项目资金支出为223.62万元，2021年对村民委员会和村党支部的补助专项经费建设主要内容是解决村（社区）群众最关心、最直接、最急需解决的各类事项，经费拨付实施后，群众最关心、最直接、最急需解决的各类事项得以解决。该经费资金到位及时，支出合理合规，设立依据充分，并且目标明确，基本符合我镇要求。</w:t>
      </w:r>
    </w:p>
    <w:p>
      <w:pPr>
        <w:pStyle w:val="6"/>
        <w:keepLines w:val="0"/>
        <w:pageBreakBefore w:val="0"/>
        <w:widowControl w:val="0"/>
        <w:kinsoku/>
        <w:wordWrap/>
        <w:topLinePunct w:val="0"/>
        <w:bidi w:val="0"/>
        <w:adjustRightInd w:val="0"/>
        <w:snapToGrid w:val="0"/>
        <w:spacing w:beforeLines="0" w:line="576" w:lineRule="exact"/>
        <w:ind w:firstLine="645"/>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(二)项目效益情况</w:t>
      </w:r>
    </w:p>
    <w:p>
      <w:pPr>
        <w:pStyle w:val="6"/>
        <w:keepLines w:val="0"/>
        <w:pageBreakBefore w:val="0"/>
        <w:widowControl w:val="0"/>
        <w:kinsoku/>
        <w:wordWrap/>
        <w:topLinePunct w:val="0"/>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szCs w:val="32"/>
        </w:rPr>
        <w:t>经费预期目标完成程度。</w:t>
      </w:r>
      <w:r>
        <w:rPr>
          <w:rFonts w:hint="eastAsia" w:hAnsi="仿宋_GB2312" w:cs="仿宋_GB2312"/>
          <w:kern w:val="2"/>
          <w:sz w:val="32"/>
        </w:rPr>
        <w:t>2021年对村民委员会和村党支部的补助专项经费已将资金拨付给6个行政村1个农村社区开展服务群众工作，按照年初设置的绩效目标，具体完成情况如下：</w:t>
      </w:r>
    </w:p>
    <w:p>
      <w:pPr>
        <w:pStyle w:val="6"/>
        <w:keepLines w:val="0"/>
        <w:pageBreakBefore w:val="0"/>
        <w:widowControl w:val="0"/>
        <w:kinsoku/>
        <w:wordWrap/>
        <w:topLinePunct w:val="0"/>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产出指标保障基层组织活动正常开展运行率达到100%，完成绩效标准为优；成效指标（村民满意度）达到90%以上，完成绩效标准为优。</w:t>
      </w:r>
    </w:p>
    <w:p>
      <w:pPr>
        <w:pStyle w:val="6"/>
        <w:keepLines w:val="0"/>
        <w:pageBreakBefore w:val="0"/>
        <w:widowControl w:val="0"/>
        <w:kinsoku/>
        <w:wordWrap/>
        <w:topLinePunct w:val="0"/>
        <w:bidi w:val="0"/>
        <w:adjustRightInd w:val="0"/>
        <w:snapToGrid w:val="0"/>
        <w:spacing w:beforeLines="0" w:line="576" w:lineRule="exact"/>
        <w:ind w:firstLine="672" w:firstLineChars="210"/>
        <w:textAlignment w:val="auto"/>
        <w:rPr>
          <w:rFonts w:hint="eastAsia" w:ascii="黑体" w:hAnsi="黑体" w:eastAsia="黑体" w:cs="黑体"/>
          <w:bCs/>
          <w:szCs w:val="32"/>
        </w:rPr>
      </w:pPr>
      <w:r>
        <w:rPr>
          <w:rFonts w:hint="eastAsia" w:hAnsi="仿宋_GB2312" w:cs="仿宋_GB2312"/>
          <w:kern w:val="2"/>
          <w:sz w:val="32"/>
        </w:rPr>
        <w:t>经费实施对经济和社会的影响。2021年对村民委员会和村党支部的补助专项经费，通过合理地对财、物资源的投入使用，做到了节约资源。经费拨付实施后，解决村（社区）群众最关心、最直接、最急需解决的各类事项。</w:t>
      </w:r>
    </w:p>
    <w:p>
      <w:pPr>
        <w:keepLines w:val="0"/>
        <w:pageBreakBefore w:val="0"/>
        <w:widowControl w:val="0"/>
        <w:kinsoku/>
        <w:wordWrap/>
        <w:topLinePunct w:val="0"/>
        <w:bidi w:val="0"/>
        <w:spacing w:line="576" w:lineRule="exact"/>
        <w:ind w:firstLine="800" w:firstLineChars="250"/>
        <w:textAlignment w:val="auto"/>
        <w:rPr>
          <w:rFonts w:ascii="黑体" w:hAnsi="黑体" w:eastAsia="黑体" w:cs="黑体"/>
          <w:bCs/>
          <w:szCs w:val="32"/>
        </w:rPr>
      </w:pPr>
      <w:r>
        <w:rPr>
          <w:rFonts w:hint="eastAsia" w:ascii="黑体" w:hAnsi="黑体" w:eastAsia="黑体" w:cs="黑体"/>
          <w:bCs/>
          <w:szCs w:val="32"/>
        </w:rPr>
        <w:t>五、评价结论及建议</w:t>
      </w:r>
    </w:p>
    <w:p>
      <w:pPr>
        <w:keepLines w:val="0"/>
        <w:pageBreakBefore w:val="0"/>
        <w:widowControl w:val="0"/>
        <w:kinsoku/>
        <w:wordWrap/>
        <w:topLinePunct w:val="0"/>
        <w:bidi w:val="0"/>
        <w:spacing w:line="576" w:lineRule="exact"/>
        <w:ind w:firstLine="645"/>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（一）评价结论</w:t>
      </w:r>
    </w:p>
    <w:p>
      <w:pPr>
        <w:pStyle w:val="6"/>
        <w:keepLines w:val="0"/>
        <w:pageBreakBefore w:val="0"/>
        <w:widowControl w:val="0"/>
        <w:kinsoku/>
        <w:wordWrap/>
        <w:topLinePunct w:val="0"/>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2021年对村民委员会和村党支部的补助专项经费，通过合理地对财、物资源的投入使用，做到了节约资源。经费拨付实施后，解决村（社区）群众最关心、最直接、最急需解决的各类事项。</w:t>
      </w:r>
    </w:p>
    <w:p>
      <w:pPr>
        <w:pStyle w:val="6"/>
        <w:keepLines w:val="0"/>
        <w:pageBreakBefore w:val="0"/>
        <w:widowControl w:val="0"/>
        <w:kinsoku/>
        <w:wordWrap/>
        <w:topLinePunct w:val="0"/>
        <w:bidi w:val="0"/>
        <w:adjustRightInd w:val="0"/>
        <w:snapToGrid w:val="0"/>
        <w:spacing w:beforeLines="0" w:line="576" w:lineRule="exact"/>
        <w:ind w:firstLine="672" w:firstLineChars="210"/>
        <w:textAlignment w:val="auto"/>
        <w:rPr>
          <w:rFonts w:hAnsi="仿宋_GB2312" w:cs="仿宋_GB2312"/>
          <w:kern w:val="2"/>
          <w:sz w:val="32"/>
          <w:szCs w:val="32"/>
        </w:rPr>
      </w:pPr>
      <w:r>
        <w:rPr>
          <w:rFonts w:hint="eastAsia" w:hAnsi="仿宋_GB2312" w:cs="仿宋_GB2312"/>
          <w:kern w:val="2"/>
          <w:sz w:val="32"/>
          <w:szCs w:val="32"/>
        </w:rPr>
        <w:t>我镇在以下相关方面将持续做好工作，保证经费的良好运行，发挥其预期作用。</w:t>
      </w:r>
    </w:p>
    <w:p>
      <w:pPr>
        <w:pStyle w:val="6"/>
        <w:keepLines w:val="0"/>
        <w:pageBreakBefore w:val="0"/>
        <w:widowControl w:val="0"/>
        <w:kinsoku/>
        <w:wordWrap/>
        <w:topLinePunct w:val="0"/>
        <w:bidi w:val="0"/>
        <w:adjustRightInd w:val="0"/>
        <w:snapToGrid w:val="0"/>
        <w:spacing w:beforeLines="0" w:line="576" w:lineRule="exact"/>
        <w:ind w:firstLine="672" w:firstLineChars="210"/>
        <w:textAlignment w:val="auto"/>
        <w:rPr>
          <w:rFonts w:hAnsi="仿宋_GB2312" w:cs="仿宋_GB2312"/>
          <w:kern w:val="2"/>
          <w:sz w:val="32"/>
          <w:szCs w:val="32"/>
        </w:rPr>
      </w:pPr>
      <w:r>
        <w:rPr>
          <w:rFonts w:hint="eastAsia" w:hAnsi="仿宋_GB2312" w:cs="仿宋_GB2312"/>
          <w:kern w:val="2"/>
          <w:sz w:val="32"/>
          <w:szCs w:val="32"/>
        </w:rPr>
        <w:t>政策方面，我镇坚持“以人为本”的管理原则，切实履行国家和地方政府的管理规定。</w:t>
      </w:r>
    </w:p>
    <w:p>
      <w:pPr>
        <w:pStyle w:val="6"/>
        <w:keepLines w:val="0"/>
        <w:pageBreakBefore w:val="0"/>
        <w:widowControl w:val="0"/>
        <w:kinsoku/>
        <w:wordWrap/>
        <w:topLinePunct w:val="0"/>
        <w:bidi w:val="0"/>
        <w:adjustRightInd w:val="0"/>
        <w:snapToGrid w:val="0"/>
        <w:spacing w:beforeLines="0" w:line="576" w:lineRule="exact"/>
        <w:ind w:firstLine="672" w:firstLineChars="210"/>
        <w:textAlignment w:val="auto"/>
        <w:rPr>
          <w:rFonts w:hAnsi="仿宋_GB2312" w:cs="仿宋_GB2312"/>
          <w:kern w:val="2"/>
          <w:sz w:val="32"/>
          <w:szCs w:val="32"/>
        </w:rPr>
      </w:pPr>
      <w:r>
        <w:rPr>
          <w:rFonts w:hint="eastAsia" w:hAnsi="仿宋_GB2312" w:cs="仿宋_GB2312"/>
          <w:kern w:val="2"/>
          <w:sz w:val="32"/>
          <w:szCs w:val="32"/>
        </w:rPr>
        <w:t>可持续性方面，提升农村基层干部的素质和战斗力，为乡村振兴提供坚实的人才保障。培养造就一支懂农业、爱农村、爱农民的农村基层干部队伍，覆盖率100%。</w:t>
      </w:r>
    </w:p>
    <w:p>
      <w:pPr>
        <w:keepLines w:val="0"/>
        <w:pageBreakBefore w:val="0"/>
        <w:widowControl w:val="0"/>
        <w:kinsoku/>
        <w:wordWrap/>
        <w:topLinePunct w:val="0"/>
        <w:bidi w:val="0"/>
        <w:spacing w:line="576" w:lineRule="exact"/>
        <w:ind w:firstLine="645"/>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（二）存在的问题</w:t>
      </w:r>
    </w:p>
    <w:p>
      <w:pPr>
        <w:keepLines w:val="0"/>
        <w:pageBreakBefore w:val="0"/>
        <w:widowControl w:val="0"/>
        <w:kinsoku/>
        <w:wordWrap/>
        <w:topLinePunct w:val="0"/>
        <w:bidi w:val="0"/>
        <w:spacing w:line="576" w:lineRule="exact"/>
        <w:ind w:firstLine="640" w:firstLineChars="200"/>
        <w:textAlignment w:val="auto"/>
        <w:rPr>
          <w:rFonts w:ascii="仿宋_GB2312" w:hAnsi="仿宋_GB2312" w:eastAsia="仿宋_GB2312" w:cs="仿宋_GB2312"/>
          <w:kern w:val="0"/>
          <w:szCs w:val="32"/>
        </w:rPr>
      </w:pPr>
      <w:r>
        <w:rPr>
          <w:rFonts w:hint="eastAsia" w:ascii="仿宋_GB2312" w:hAnsi="仿宋_GB2312" w:eastAsia="仿宋_GB2312" w:cs="仿宋_GB2312"/>
          <w:kern w:val="0"/>
          <w:szCs w:val="32"/>
        </w:rPr>
        <w:t>资金方面，经费的资金投入结构目前较为单一，主要是政府投资，基层干部报酬低的问题难以解决。</w:t>
      </w:r>
    </w:p>
    <w:p>
      <w:pPr>
        <w:keepLines w:val="0"/>
        <w:pageBreakBefore w:val="0"/>
        <w:widowControl w:val="0"/>
        <w:kinsoku/>
        <w:wordWrap/>
        <w:topLinePunct w:val="0"/>
        <w:bidi w:val="0"/>
        <w:spacing w:line="576" w:lineRule="exact"/>
        <w:ind w:firstLine="645"/>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（三）相关建议</w:t>
      </w:r>
    </w:p>
    <w:p>
      <w:pPr>
        <w:keepLines w:val="0"/>
        <w:pageBreakBefore w:val="0"/>
        <w:widowControl w:val="0"/>
        <w:kinsoku/>
        <w:wordWrap/>
        <w:topLinePunct w:val="0"/>
        <w:bidi w:val="0"/>
        <w:spacing w:line="576" w:lineRule="exact"/>
        <w:ind w:firstLine="616" w:firstLineChars="200"/>
        <w:textAlignment w:val="auto"/>
        <w:rPr>
          <w:rFonts w:hint="eastAsia" w:ascii="仿宋_GB2312" w:hAnsi="仿宋_GB2312" w:eastAsia="仿宋_GB2312" w:cs="仿宋_GB2312"/>
          <w:spacing w:val="-6"/>
          <w:kern w:val="2"/>
          <w:sz w:val="32"/>
          <w:szCs w:val="24"/>
          <w:lang w:val="en-US" w:eastAsia="zh-CN" w:bidi="ar-SA"/>
        </w:rPr>
      </w:pPr>
      <w:r>
        <w:rPr>
          <w:rFonts w:hint="eastAsia" w:ascii="仿宋_GB2312" w:hAnsi="仿宋_GB2312" w:eastAsia="仿宋_GB2312" w:cs="仿宋_GB2312"/>
          <w:spacing w:val="-6"/>
          <w:kern w:val="2"/>
          <w:sz w:val="32"/>
          <w:szCs w:val="24"/>
          <w:lang w:val="en-US" w:eastAsia="zh-CN" w:bidi="ar-SA"/>
        </w:rPr>
        <w:t>要通过发展状大集体经济，创收节支解决资金不足的问题。</w:t>
      </w:r>
    </w:p>
    <w:p>
      <w:pPr>
        <w:pStyle w:val="2"/>
        <w:rPr>
          <w:rFonts w:ascii="仿宋_GB2312" w:hAnsi="仿宋_GB2312" w:eastAsia="仿宋_GB2312" w:cs="仿宋_GB2312"/>
          <w:sz w:val="32"/>
          <w:szCs w:val="32"/>
        </w:rPr>
      </w:pPr>
    </w:p>
    <w:p>
      <w:pPr>
        <w:pStyle w:val="2"/>
        <w:rPr>
          <w:rFonts w:ascii="仿宋_GB2312" w:hAnsi="仿宋_GB2312" w:eastAsia="仿宋_GB2312" w:cs="仿宋_GB2312"/>
          <w:sz w:val="32"/>
          <w:szCs w:val="32"/>
        </w:rPr>
      </w:pPr>
    </w:p>
    <w:p>
      <w:pPr>
        <w:pStyle w:val="2"/>
        <w:rPr>
          <w:rFonts w:ascii="仿宋_GB2312" w:hAnsi="仿宋_GB2312" w:eastAsia="仿宋_GB2312" w:cs="仿宋_GB2312"/>
          <w:sz w:val="32"/>
          <w:szCs w:val="32"/>
        </w:rPr>
      </w:pPr>
    </w:p>
    <w:p>
      <w:pPr>
        <w:pStyle w:val="2"/>
        <w:rPr>
          <w:rFonts w:ascii="仿宋_GB2312" w:hAnsi="仿宋_GB2312" w:eastAsia="仿宋_GB2312" w:cs="仿宋_GB2312"/>
          <w:sz w:val="32"/>
          <w:szCs w:val="32"/>
        </w:rPr>
      </w:pPr>
    </w:p>
    <w:tbl>
      <w:tblPr>
        <w:tblStyle w:val="13"/>
        <w:tblpPr w:leftFromText="180" w:rightFromText="180" w:vertAnchor="text" w:horzAnchor="page" w:tblpX="1281" w:tblpY="660"/>
        <w:tblOverlap w:val="never"/>
        <w:tblW w:w="9811" w:type="dxa"/>
        <w:tblInd w:w="0" w:type="dxa"/>
        <w:tblLayout w:type="fixed"/>
        <w:tblCellMar>
          <w:top w:w="0" w:type="dxa"/>
          <w:left w:w="108" w:type="dxa"/>
          <w:bottom w:w="0" w:type="dxa"/>
          <w:right w:w="108" w:type="dxa"/>
        </w:tblCellMar>
      </w:tblPr>
      <w:tblGrid>
        <w:gridCol w:w="1204"/>
        <w:gridCol w:w="1215"/>
        <w:gridCol w:w="1245"/>
        <w:gridCol w:w="2279"/>
        <w:gridCol w:w="1651"/>
        <w:gridCol w:w="1977"/>
        <w:gridCol w:w="240"/>
      </w:tblGrid>
      <w:tr>
        <w:tblPrEx>
          <w:tblCellMar>
            <w:top w:w="0" w:type="dxa"/>
            <w:left w:w="108" w:type="dxa"/>
            <w:bottom w:w="0" w:type="dxa"/>
            <w:right w:w="108" w:type="dxa"/>
          </w:tblCellMar>
        </w:tblPrEx>
        <w:trPr>
          <w:trHeight w:val="675" w:hRule="atLeast"/>
        </w:trPr>
        <w:tc>
          <w:tcPr>
            <w:tcW w:w="9571" w:type="dxa"/>
            <w:gridSpan w:val="6"/>
            <w:tcBorders>
              <w:top w:val="nil"/>
              <w:left w:val="nil"/>
              <w:bottom w:val="nil"/>
              <w:right w:val="nil"/>
            </w:tcBorders>
            <w:shd w:val="clear" w:color="auto" w:fill="auto"/>
            <w:vAlign w:val="center"/>
          </w:tcPr>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ascii="宋体" w:hAnsi="宋体" w:eastAsia="宋体" w:cs="宋体"/>
                <w:b/>
                <w:sz w:val="28"/>
                <w:szCs w:val="28"/>
              </w:rPr>
            </w:pPr>
            <w:r>
              <w:rPr>
                <w:rFonts w:hint="eastAsia" w:ascii="宋体" w:hAnsi="宋体" w:eastAsia="宋体" w:cs="宋体"/>
                <w:b/>
                <w:sz w:val="28"/>
                <w:szCs w:val="28"/>
              </w:rPr>
              <w:t>2021年对村民委员会和村党支部的补助部门预算项目绩效目标自评</w:t>
            </w:r>
          </w:p>
        </w:tc>
        <w:tc>
          <w:tcPr>
            <w:tcW w:w="240" w:type="dxa"/>
            <w:tcBorders>
              <w:top w:val="nil"/>
              <w:left w:val="nil"/>
              <w:bottom w:val="nil"/>
              <w:right w:val="nil"/>
            </w:tcBorders>
            <w:shd w:val="clear" w:color="auto" w:fill="auto"/>
            <w:vAlign w:val="center"/>
          </w:tcPr>
          <w:p>
            <w:pPr>
              <w:widowControl/>
              <w:jc w:val="center"/>
              <w:textAlignment w:val="center"/>
              <w:rPr>
                <w:rFonts w:ascii="宋体" w:hAnsi="宋体" w:eastAsia="宋体" w:cs="宋体"/>
                <w:b/>
                <w:kern w:val="0"/>
                <w:sz w:val="28"/>
                <w:szCs w:val="28"/>
              </w:rPr>
            </w:pPr>
          </w:p>
        </w:tc>
      </w:tr>
      <w:tr>
        <w:tblPrEx>
          <w:tblCellMar>
            <w:top w:w="0" w:type="dxa"/>
            <w:left w:w="108" w:type="dxa"/>
            <w:bottom w:w="0" w:type="dxa"/>
            <w:right w:w="108" w:type="dxa"/>
          </w:tblCellMar>
        </w:tblPrEx>
        <w:trPr>
          <w:gridAfter w:val="1"/>
          <w:wAfter w:w="240" w:type="dxa"/>
          <w:trHeight w:val="90" w:hRule="atLeast"/>
        </w:trPr>
        <w:tc>
          <w:tcPr>
            <w:tcW w:w="241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主管部门及代码</w:t>
            </w:r>
          </w:p>
        </w:tc>
        <w:tc>
          <w:tcPr>
            <w:tcW w:w="352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sz w:val="22"/>
                <w:szCs w:val="22"/>
              </w:rPr>
              <w:t>苍溪县财政局</w:t>
            </w: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实施单位</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cs="宋体"/>
                <w:sz w:val="21"/>
                <w:szCs w:val="22"/>
              </w:rPr>
              <w:t>苍溪县运山镇人民政府</w:t>
            </w:r>
          </w:p>
        </w:tc>
      </w:tr>
      <w:tr>
        <w:tblPrEx>
          <w:tblCellMar>
            <w:top w:w="0" w:type="dxa"/>
            <w:left w:w="108" w:type="dxa"/>
            <w:bottom w:w="0" w:type="dxa"/>
            <w:right w:w="108" w:type="dxa"/>
          </w:tblCellMar>
        </w:tblPrEx>
        <w:trPr>
          <w:gridAfter w:val="1"/>
          <w:wAfter w:w="240" w:type="dxa"/>
          <w:trHeight w:val="341" w:hRule="atLeast"/>
        </w:trPr>
        <w:tc>
          <w:tcPr>
            <w:tcW w:w="2419"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hint="eastAsia" w:ascii="宋体" w:hAnsi="宋体" w:eastAsia="宋体" w:cs="宋体"/>
                <w:kern w:val="0"/>
                <w:sz w:val="22"/>
                <w:szCs w:val="22"/>
                <w:lang w:eastAsia="zh-CN"/>
              </w:rPr>
            </w:pPr>
            <w:r>
              <w:rPr>
                <w:rFonts w:hint="eastAsia" w:ascii="宋体" w:hAnsi="宋体" w:eastAsia="宋体" w:cs="宋体"/>
                <w:kern w:val="0"/>
                <w:sz w:val="22"/>
                <w:szCs w:val="22"/>
              </w:rPr>
              <w:t>项目预算</w:t>
            </w:r>
          </w:p>
          <w:p>
            <w:pPr>
              <w:widowControl/>
              <w:spacing w:line="300" w:lineRule="atLeast"/>
              <w:jc w:val="center"/>
              <w:textAlignment w:val="center"/>
              <w:rPr>
                <w:rFonts w:hint="eastAsia" w:ascii="宋体" w:hAnsi="宋体" w:eastAsia="宋体" w:cs="宋体"/>
                <w:kern w:val="0"/>
                <w:sz w:val="22"/>
                <w:szCs w:val="22"/>
                <w:lang w:eastAsia="zh-CN"/>
              </w:rPr>
            </w:pPr>
            <w:r>
              <w:rPr>
                <w:rFonts w:hint="eastAsia" w:ascii="宋体" w:hAnsi="宋体" w:eastAsia="宋体" w:cs="宋体"/>
                <w:kern w:val="0"/>
                <w:sz w:val="22"/>
                <w:szCs w:val="22"/>
              </w:rPr>
              <w:t>执行情况</w:t>
            </w:r>
          </w:p>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（万元）</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预算数：</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cs="宋体"/>
                <w:sz w:val="21"/>
                <w:szCs w:val="22"/>
              </w:rPr>
              <w:t>223.62</w:t>
            </w: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执行数：</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cs="宋体"/>
                <w:sz w:val="21"/>
                <w:szCs w:val="22"/>
              </w:rPr>
              <w:t>223.62</w:t>
            </w:r>
          </w:p>
        </w:tc>
      </w:tr>
      <w:tr>
        <w:tblPrEx>
          <w:tblCellMar>
            <w:top w:w="0" w:type="dxa"/>
            <w:left w:w="108" w:type="dxa"/>
            <w:bottom w:w="0" w:type="dxa"/>
            <w:right w:w="108" w:type="dxa"/>
          </w:tblCellMar>
        </w:tblPrEx>
        <w:trPr>
          <w:gridAfter w:val="1"/>
          <w:wAfter w:w="240" w:type="dxa"/>
          <w:trHeight w:val="555" w:hRule="atLeast"/>
        </w:trPr>
        <w:tc>
          <w:tcPr>
            <w:tcW w:w="24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宋体" w:hAnsi="宋体" w:eastAsia="宋体" w:cs="宋体"/>
                <w:sz w:val="22"/>
                <w:szCs w:val="22"/>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kern w:val="0"/>
                <w:sz w:val="22"/>
                <w:szCs w:val="22"/>
              </w:rPr>
            </w:pPr>
            <w:r>
              <w:rPr>
                <w:rFonts w:hint="eastAsia" w:ascii="宋体" w:hAnsi="宋体" w:eastAsia="宋体" w:cs="宋体"/>
                <w:kern w:val="0"/>
                <w:sz w:val="22"/>
                <w:szCs w:val="22"/>
              </w:rPr>
              <w:t>其中：</w:t>
            </w:r>
          </w:p>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财政拨款</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cs="宋体"/>
                <w:sz w:val="21"/>
                <w:szCs w:val="22"/>
              </w:rPr>
              <w:t>223.62</w:t>
            </w: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kern w:val="0"/>
                <w:sz w:val="22"/>
                <w:szCs w:val="22"/>
              </w:rPr>
            </w:pPr>
            <w:r>
              <w:rPr>
                <w:rFonts w:hint="eastAsia" w:ascii="宋体" w:hAnsi="宋体" w:eastAsia="宋体" w:cs="宋体"/>
                <w:kern w:val="0"/>
                <w:sz w:val="22"/>
                <w:szCs w:val="22"/>
              </w:rPr>
              <w:t>其中：</w:t>
            </w:r>
          </w:p>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财政拨款</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cs="宋体"/>
                <w:sz w:val="21"/>
                <w:szCs w:val="22"/>
              </w:rPr>
              <w:t>223.62</w:t>
            </w:r>
          </w:p>
        </w:tc>
      </w:tr>
      <w:tr>
        <w:tblPrEx>
          <w:tblCellMar>
            <w:top w:w="0" w:type="dxa"/>
            <w:left w:w="108" w:type="dxa"/>
            <w:bottom w:w="0" w:type="dxa"/>
            <w:right w:w="108" w:type="dxa"/>
          </w:tblCellMar>
        </w:tblPrEx>
        <w:trPr>
          <w:gridAfter w:val="1"/>
          <w:wAfter w:w="240" w:type="dxa"/>
          <w:trHeight w:val="341" w:hRule="atLeast"/>
        </w:trPr>
        <w:tc>
          <w:tcPr>
            <w:tcW w:w="2419"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宋体" w:hAnsi="宋体" w:eastAsia="宋体" w:cs="宋体"/>
                <w:sz w:val="22"/>
                <w:szCs w:val="22"/>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其他资金</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其他资金</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p>
        </w:tc>
      </w:tr>
      <w:tr>
        <w:tblPrEx>
          <w:tblCellMar>
            <w:top w:w="0" w:type="dxa"/>
            <w:left w:w="108" w:type="dxa"/>
            <w:bottom w:w="0" w:type="dxa"/>
            <w:right w:w="108" w:type="dxa"/>
          </w:tblCellMar>
        </w:tblPrEx>
        <w:trPr>
          <w:gridAfter w:val="1"/>
          <w:wAfter w:w="240" w:type="dxa"/>
          <w:trHeight w:val="217" w:hRule="atLeast"/>
        </w:trPr>
        <w:tc>
          <w:tcPr>
            <w:tcW w:w="120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kern w:val="0"/>
                <w:sz w:val="22"/>
                <w:szCs w:val="22"/>
              </w:rPr>
            </w:pPr>
            <w:r>
              <w:rPr>
                <w:rFonts w:hint="eastAsia" w:ascii="宋体" w:hAnsi="宋体" w:eastAsia="宋体" w:cs="宋体"/>
                <w:kern w:val="0"/>
                <w:sz w:val="22"/>
                <w:szCs w:val="22"/>
              </w:rPr>
              <w:t>年度总体目标</w:t>
            </w:r>
          </w:p>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完成情况</w:t>
            </w:r>
          </w:p>
        </w:tc>
        <w:tc>
          <w:tcPr>
            <w:tcW w:w="47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预期目标</w:t>
            </w:r>
          </w:p>
        </w:tc>
        <w:tc>
          <w:tcPr>
            <w:tcW w:w="36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目标实际完成情况</w:t>
            </w:r>
          </w:p>
        </w:tc>
      </w:tr>
      <w:tr>
        <w:tblPrEx>
          <w:tblCellMar>
            <w:top w:w="0" w:type="dxa"/>
            <w:left w:w="108" w:type="dxa"/>
            <w:bottom w:w="0" w:type="dxa"/>
            <w:right w:w="108" w:type="dxa"/>
          </w:tblCellMar>
        </w:tblPrEx>
        <w:trPr>
          <w:gridAfter w:val="1"/>
          <w:wAfter w:w="240" w:type="dxa"/>
          <w:trHeight w:val="797" w:hRule="atLeast"/>
        </w:trPr>
        <w:tc>
          <w:tcPr>
            <w:tcW w:w="120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宋体" w:hAnsi="宋体" w:eastAsia="宋体" w:cs="宋体"/>
                <w:sz w:val="22"/>
                <w:szCs w:val="22"/>
              </w:rPr>
            </w:pPr>
          </w:p>
        </w:tc>
        <w:tc>
          <w:tcPr>
            <w:tcW w:w="47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hAnsi="宋体" w:eastAsia="宋体" w:cs="宋体"/>
                <w:sz w:val="22"/>
                <w:szCs w:val="22"/>
              </w:rPr>
            </w:pPr>
            <w:r>
              <w:rPr>
                <w:rFonts w:hint="eastAsia" w:ascii="宋体" w:cs="宋体"/>
                <w:sz w:val="21"/>
                <w:szCs w:val="22"/>
              </w:rPr>
              <w:t>切实保障基层组织人员报酬和基层工作正常开展活动；农村公共运行服务和村（社区）办公运转。</w:t>
            </w:r>
          </w:p>
        </w:tc>
        <w:tc>
          <w:tcPr>
            <w:tcW w:w="362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hAnsi="宋体" w:eastAsia="宋体" w:cs="宋体"/>
                <w:sz w:val="22"/>
                <w:szCs w:val="22"/>
              </w:rPr>
            </w:pPr>
            <w:r>
              <w:rPr>
                <w:rFonts w:hint="eastAsia" w:ascii="宋体" w:cs="宋体"/>
                <w:sz w:val="21"/>
                <w:szCs w:val="22"/>
              </w:rPr>
              <w:t>切实保障基层组织人员报酬和基层工作正常开展活动；农村公共运行服务和村（社区）办公运转。</w:t>
            </w:r>
          </w:p>
        </w:tc>
      </w:tr>
      <w:tr>
        <w:tblPrEx>
          <w:tblCellMar>
            <w:top w:w="0" w:type="dxa"/>
            <w:left w:w="108" w:type="dxa"/>
            <w:bottom w:w="0" w:type="dxa"/>
            <w:right w:w="108" w:type="dxa"/>
          </w:tblCellMar>
        </w:tblPrEx>
        <w:trPr>
          <w:gridAfter w:val="1"/>
          <w:wAfter w:w="240" w:type="dxa"/>
          <w:trHeight w:val="693" w:hRule="atLeast"/>
        </w:trPr>
        <w:tc>
          <w:tcPr>
            <w:tcW w:w="1204" w:type="dxa"/>
            <w:vMerge w:val="restart"/>
            <w:tcBorders>
              <w:top w:val="single" w:color="000000" w:sz="4" w:space="0"/>
              <w:left w:val="single" w:color="000000" w:sz="4" w:space="0"/>
              <w:right w:val="single" w:color="000000"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年度绩效指标完成情况</w:t>
            </w:r>
          </w:p>
        </w:tc>
        <w:tc>
          <w:tcPr>
            <w:tcW w:w="1215" w:type="dxa"/>
            <w:tcBorders>
              <w:top w:val="single" w:color="000000" w:sz="4" w:space="0"/>
              <w:left w:val="nil"/>
              <w:bottom w:val="single" w:color="000000" w:sz="4" w:space="0"/>
              <w:right w:val="single" w:color="000000"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一级指标</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二级指标</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三级指标</w:t>
            </w: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预期指标值</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实际完成指标值</w:t>
            </w:r>
          </w:p>
        </w:tc>
      </w:tr>
      <w:tr>
        <w:tblPrEx>
          <w:tblCellMar>
            <w:top w:w="0" w:type="dxa"/>
            <w:left w:w="108" w:type="dxa"/>
            <w:bottom w:w="0" w:type="dxa"/>
            <w:right w:w="108" w:type="dxa"/>
          </w:tblCellMar>
        </w:tblPrEx>
        <w:trPr>
          <w:gridAfter w:val="1"/>
          <w:wAfter w:w="240" w:type="dxa"/>
          <w:trHeight w:val="415" w:hRule="atLeast"/>
        </w:trPr>
        <w:tc>
          <w:tcPr>
            <w:tcW w:w="1204"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kern w:val="0"/>
                <w:sz w:val="24"/>
              </w:rPr>
            </w:pPr>
            <w:r>
              <w:rPr>
                <w:rFonts w:hint="eastAsia" w:ascii="仿宋_GB2312" w:hAnsi="仿宋_GB2312" w:eastAsia="仿宋_GB2312" w:cs="仿宋_GB2312"/>
                <w:kern w:val="0"/>
                <w:sz w:val="24"/>
              </w:rPr>
              <w:t>完成</w:t>
            </w:r>
          </w:p>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指标</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数量指标</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保障全镇村组干部人员报酬，基础设施、环境类、服务类、社会管理类项目的运行维护。</w:t>
            </w: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按政策规定标准用途予以保障。</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保障基层组织活动正常开展，运行率100%。</w:t>
            </w:r>
          </w:p>
        </w:tc>
      </w:tr>
      <w:tr>
        <w:tblPrEx>
          <w:tblCellMar>
            <w:top w:w="0" w:type="dxa"/>
            <w:left w:w="108" w:type="dxa"/>
            <w:bottom w:w="0" w:type="dxa"/>
            <w:right w:w="108" w:type="dxa"/>
          </w:tblCellMar>
        </w:tblPrEx>
        <w:trPr>
          <w:gridAfter w:val="1"/>
          <w:wAfter w:w="240" w:type="dxa"/>
          <w:trHeight w:val="415" w:hRule="atLeast"/>
        </w:trPr>
        <w:tc>
          <w:tcPr>
            <w:tcW w:w="1204"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质量指标</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按县委、县政府下达的目标任务，按质按量完成。</w:t>
            </w: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100%</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100%</w:t>
            </w:r>
          </w:p>
        </w:tc>
      </w:tr>
      <w:tr>
        <w:tblPrEx>
          <w:tblCellMar>
            <w:top w:w="0" w:type="dxa"/>
            <w:left w:w="108" w:type="dxa"/>
            <w:bottom w:w="0" w:type="dxa"/>
            <w:right w:w="108" w:type="dxa"/>
          </w:tblCellMar>
        </w:tblPrEx>
        <w:trPr>
          <w:gridAfter w:val="1"/>
          <w:wAfter w:w="240" w:type="dxa"/>
          <w:trHeight w:val="415" w:hRule="atLeast"/>
        </w:trPr>
        <w:tc>
          <w:tcPr>
            <w:tcW w:w="1204"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时效指标</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项目完成时间</w:t>
            </w: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2021年12月底</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2021年12月底</w:t>
            </w:r>
          </w:p>
        </w:tc>
      </w:tr>
      <w:tr>
        <w:tblPrEx>
          <w:tblCellMar>
            <w:top w:w="0" w:type="dxa"/>
            <w:left w:w="108" w:type="dxa"/>
            <w:bottom w:w="0" w:type="dxa"/>
            <w:right w:w="108" w:type="dxa"/>
          </w:tblCellMar>
        </w:tblPrEx>
        <w:trPr>
          <w:gridAfter w:val="1"/>
          <w:wAfter w:w="240" w:type="dxa"/>
          <w:trHeight w:val="480" w:hRule="atLeast"/>
        </w:trPr>
        <w:tc>
          <w:tcPr>
            <w:tcW w:w="1204"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成本指标</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完成成本（万元）</w:t>
            </w: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≤223.62</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223.62</w:t>
            </w:r>
          </w:p>
        </w:tc>
      </w:tr>
      <w:tr>
        <w:tblPrEx>
          <w:tblCellMar>
            <w:top w:w="0" w:type="dxa"/>
            <w:left w:w="108" w:type="dxa"/>
            <w:bottom w:w="0" w:type="dxa"/>
            <w:right w:w="108" w:type="dxa"/>
          </w:tblCellMar>
        </w:tblPrEx>
        <w:trPr>
          <w:gridAfter w:val="1"/>
          <w:wAfter w:w="240" w:type="dxa"/>
          <w:trHeight w:val="480" w:hRule="atLeast"/>
        </w:trPr>
        <w:tc>
          <w:tcPr>
            <w:tcW w:w="1204"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restart"/>
            <w:tcBorders>
              <w:top w:val="single" w:color="000000" w:sz="4" w:space="0"/>
              <w:left w:val="single" w:color="000000" w:sz="4" w:space="0"/>
              <w:right w:val="single" w:color="000000" w:sz="4" w:space="0"/>
            </w:tcBorders>
            <w:shd w:val="clear" w:color="auto" w:fill="auto"/>
            <w:vAlign w:val="center"/>
          </w:tcPr>
          <w:p>
            <w:pPr>
              <w:spacing w:line="300" w:lineRule="atLeast"/>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rPr>
              <w:t>效益</w:t>
            </w:r>
          </w:p>
          <w:p>
            <w:pPr>
              <w:spacing w:line="300" w:lineRule="atLeast"/>
              <w:jc w:val="center"/>
              <w:rPr>
                <w:rFonts w:ascii="仿宋_GB2312" w:hAnsi="仿宋_GB2312" w:eastAsia="仿宋_GB2312" w:cs="仿宋_GB2312"/>
                <w:sz w:val="24"/>
              </w:rPr>
            </w:pPr>
            <w:r>
              <w:rPr>
                <w:rFonts w:hint="eastAsia" w:ascii="仿宋_GB2312" w:hAnsi="仿宋_GB2312" w:eastAsia="仿宋_GB2312" w:cs="仿宋_GB2312"/>
                <w:kern w:val="0"/>
                <w:sz w:val="24"/>
              </w:rPr>
              <w:t>指标</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社会效益指标</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hint="eastAsia" w:ascii="宋体" w:eastAsia="仿宋" w:cs="宋体"/>
                <w:sz w:val="21"/>
                <w:szCs w:val="22"/>
                <w:lang w:eastAsia="zh-CN"/>
              </w:rPr>
            </w:pPr>
            <w:r>
              <w:rPr>
                <w:rFonts w:hint="eastAsia" w:ascii="宋体" w:cs="宋体"/>
                <w:sz w:val="21"/>
                <w:szCs w:val="22"/>
              </w:rPr>
              <w:t>解决村内最急需、群众最急盼的问题，建立民主参与、民主议事、民主决策、民主监督的农村公共服务运行维护管理体系</w:t>
            </w:r>
            <w:r>
              <w:rPr>
                <w:rFonts w:hint="eastAsia" w:ascii="宋体" w:cs="宋体"/>
                <w:sz w:val="21"/>
                <w:szCs w:val="22"/>
                <w:lang w:eastAsia="zh-CN"/>
              </w:rPr>
              <w:t>。</w:t>
            </w: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确保基层组织的正常运转，提升了为民服务的能力，维护了社会稳定。</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100%</w:t>
            </w:r>
          </w:p>
        </w:tc>
      </w:tr>
      <w:tr>
        <w:tblPrEx>
          <w:tblCellMar>
            <w:top w:w="0" w:type="dxa"/>
            <w:left w:w="108" w:type="dxa"/>
            <w:bottom w:w="0" w:type="dxa"/>
            <w:right w:w="108" w:type="dxa"/>
          </w:tblCellMar>
        </w:tblPrEx>
        <w:trPr>
          <w:gridAfter w:val="1"/>
          <w:wAfter w:w="240" w:type="dxa"/>
          <w:trHeight w:val="577" w:hRule="atLeast"/>
        </w:trPr>
        <w:tc>
          <w:tcPr>
            <w:tcW w:w="1204"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sz w:val="24"/>
              </w:rPr>
              <w:t>生态效益指标</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节约资源有效推进，森林覆盖率持续提高，环境状况得到改善。</w:t>
            </w: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100%</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100%</w:t>
            </w:r>
          </w:p>
        </w:tc>
      </w:tr>
      <w:tr>
        <w:tblPrEx>
          <w:tblCellMar>
            <w:top w:w="0" w:type="dxa"/>
            <w:left w:w="108" w:type="dxa"/>
            <w:bottom w:w="0" w:type="dxa"/>
            <w:right w:w="108" w:type="dxa"/>
          </w:tblCellMar>
        </w:tblPrEx>
        <w:trPr>
          <w:gridAfter w:val="1"/>
          <w:wAfter w:w="240" w:type="dxa"/>
          <w:trHeight w:val="480" w:hRule="atLeast"/>
        </w:trPr>
        <w:tc>
          <w:tcPr>
            <w:tcW w:w="1204"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continue"/>
            <w:tcBorders>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可持续影响指标</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提升农村基层干部的素质和战斗力，为乡村振兴提供坚实的人才保障。</w:t>
            </w: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培养造就一支懂农业、爱农村、爱农民的农村基层干部队伍。</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培养造就一支懂农业、爱农村、爱农民的农村基层干部队伍。</w:t>
            </w:r>
          </w:p>
        </w:tc>
      </w:tr>
      <w:tr>
        <w:tblPrEx>
          <w:tblCellMar>
            <w:top w:w="0" w:type="dxa"/>
            <w:left w:w="108" w:type="dxa"/>
            <w:bottom w:w="0" w:type="dxa"/>
            <w:right w:w="108" w:type="dxa"/>
          </w:tblCellMar>
        </w:tblPrEx>
        <w:trPr>
          <w:gridAfter w:val="1"/>
          <w:wAfter w:w="240" w:type="dxa"/>
          <w:trHeight w:val="550" w:hRule="atLeast"/>
        </w:trPr>
        <w:tc>
          <w:tcPr>
            <w:tcW w:w="1204" w:type="dxa"/>
            <w:vMerge w:val="continue"/>
            <w:tcBorders>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rPr>
              <w:t>满意</w:t>
            </w:r>
          </w:p>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度指标</w:t>
            </w:r>
          </w:p>
        </w:tc>
        <w:tc>
          <w:tcPr>
            <w:tcW w:w="1245"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kern w:val="0"/>
                <w:sz w:val="24"/>
              </w:rPr>
            </w:pPr>
            <w:r>
              <w:rPr>
                <w:rFonts w:hint="eastAsia" w:ascii="仿宋_GB2312" w:hAnsi="仿宋_GB2312" w:eastAsia="仿宋_GB2312" w:cs="仿宋_GB2312"/>
                <w:kern w:val="0"/>
                <w:sz w:val="24"/>
              </w:rPr>
              <w:t>满意度</w:t>
            </w:r>
          </w:p>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指标</w:t>
            </w:r>
          </w:p>
        </w:tc>
        <w:tc>
          <w:tcPr>
            <w:tcW w:w="2279"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群众满意度</w:t>
            </w:r>
          </w:p>
        </w:tc>
        <w:tc>
          <w:tcPr>
            <w:tcW w:w="1651"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≥92%</w:t>
            </w:r>
          </w:p>
        </w:tc>
        <w:tc>
          <w:tcPr>
            <w:tcW w:w="197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≥92%</w:t>
            </w:r>
          </w:p>
        </w:tc>
      </w:tr>
    </w:tbl>
    <w:p>
      <w:pPr>
        <w:spacing w:line="300" w:lineRule="atLeast"/>
        <w:ind w:firstLine="640" w:firstLineChars="200"/>
        <w:rPr>
          <w:rFonts w:ascii="方正仿宋_GBK" w:hAnsi="方正仿宋_GBK" w:eastAsia="方正仿宋_GBK" w:cs="方正仿宋_GBK"/>
          <w:szCs w:val="32"/>
          <w:lang w:val="zh-CN"/>
        </w:rPr>
      </w:pPr>
    </w:p>
    <w:p>
      <w:pPr>
        <w:keepNext w:val="0"/>
        <w:keepLines w:val="0"/>
        <w:pageBreakBefore w:val="0"/>
        <w:widowControl w:val="0"/>
        <w:kinsoku/>
        <w:wordWrap/>
        <w:overflowPunct/>
        <w:topLinePunct w:val="0"/>
        <w:bidi w:val="0"/>
        <w:spacing w:line="576" w:lineRule="exact"/>
        <w:textAlignment w:val="auto"/>
        <w:rPr>
          <w:rFonts w:ascii="方正仿宋_GBK" w:hAnsi="方正仿宋_GBK" w:eastAsia="方正仿宋_GBK" w:cs="方正仿宋_GBK"/>
          <w:szCs w:val="32"/>
        </w:rPr>
      </w:pPr>
      <w:r>
        <w:rPr>
          <w:rFonts w:hint="eastAsia" w:ascii="方正仿宋_GBK" w:hAnsi="方正仿宋_GBK" w:eastAsia="方正仿宋_GBK" w:cs="方正仿宋_GBK"/>
          <w:szCs w:val="32"/>
          <w:lang w:val="zh-CN"/>
        </w:rPr>
        <w:t>附件</w:t>
      </w:r>
      <w:r>
        <w:rPr>
          <w:rFonts w:hint="eastAsia" w:ascii="方正仿宋_GBK" w:hAnsi="方正仿宋_GBK" w:eastAsia="方正仿宋_GBK" w:cs="方正仿宋_GBK"/>
          <w:szCs w:val="32"/>
        </w:rPr>
        <w:t>2-2</w:t>
      </w:r>
    </w:p>
    <w:p>
      <w:pPr>
        <w:keepNext w:val="0"/>
        <w:keepLines w:val="0"/>
        <w:pageBreakBefore w:val="0"/>
        <w:widowControl w:val="0"/>
        <w:kinsoku/>
        <w:wordWrap/>
        <w:overflowPunct/>
        <w:topLinePunct w:val="0"/>
        <w:bidi w:val="0"/>
        <w:spacing w:line="576" w:lineRule="exact"/>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2021年就业补助项目绩效评价报告</w:t>
      </w:r>
    </w:p>
    <w:p>
      <w:pPr>
        <w:pStyle w:val="2"/>
        <w:keepNext w:val="0"/>
        <w:keepLines w:val="0"/>
        <w:pageBreakBefore w:val="0"/>
        <w:widowControl w:val="0"/>
        <w:kinsoku/>
        <w:wordWrap/>
        <w:overflowPunct/>
        <w:topLinePunct w:val="0"/>
        <w:bidi w:val="0"/>
        <w:spacing w:line="576" w:lineRule="exact"/>
        <w:textAlignment w:val="auto"/>
      </w:pP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 w:hAnsi="仿宋" w:eastAsia="仿宋_GB2312" w:cs="仿宋_GB2312"/>
          <w:szCs w:val="32"/>
        </w:rPr>
      </w:pPr>
      <w:r>
        <w:rPr>
          <w:rFonts w:hint="eastAsia" w:ascii="黑体" w:hAnsi="黑体" w:eastAsia="黑体" w:cs="黑体"/>
          <w:szCs w:val="32"/>
        </w:rPr>
        <w:t>一、项目概况</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Cs w:val="32"/>
        </w:rPr>
      </w:pPr>
      <w:r>
        <w:rPr>
          <w:rFonts w:hint="eastAsia" w:ascii="楷体_GB2312" w:hAnsi="楷体_GB2312" w:eastAsia="楷体_GB2312" w:cs="楷体_GB2312"/>
          <w:szCs w:val="32"/>
        </w:rPr>
        <w:t>（一）项目基本情况</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rPr>
      </w:pPr>
      <w:r>
        <w:rPr>
          <w:rFonts w:hint="eastAsia" w:ascii="仿宋_GB2312" w:hAnsi="仿宋_GB2312" w:eastAsia="仿宋_GB2312" w:cs="仿宋_GB2312"/>
        </w:rPr>
        <w:t>运山镇人民政府辖6个行政村，农村社区1个，公益性岗位人员24人。经费严格按照项目支出的范围、用途控制，坚持专款专用，不挤占挪用。项目资金支出的合法性、合理性，由镇便民服务中心负责农村就业工作的人员进行申报复核，镇财政所进行核对、会计核算，确保了项目资金的安全。</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40" w:firstLineChars="200"/>
        <w:textAlignment w:val="auto"/>
        <w:rPr>
          <w:rFonts w:hint="eastAsia" w:ascii="楷体_GB2312" w:hAnsi="楷体_GB2312" w:eastAsia="楷体_GB2312" w:cs="楷体_GB2312"/>
          <w:kern w:val="2"/>
          <w:sz w:val="32"/>
          <w:szCs w:val="32"/>
          <w:lang w:val="en-US" w:eastAsia="zh-CN" w:bidi="ar-SA"/>
        </w:rPr>
      </w:pPr>
      <w:r>
        <w:rPr>
          <w:rFonts w:hint="eastAsia" w:ascii="楷体_GB2312" w:hAnsi="楷体_GB2312" w:eastAsia="楷体_GB2312" w:cs="楷体_GB2312"/>
          <w:kern w:val="2"/>
          <w:sz w:val="32"/>
          <w:szCs w:val="32"/>
          <w:lang w:val="en-US" w:eastAsia="zh-CN" w:bidi="ar-SA"/>
        </w:rPr>
        <w:t>（二）项目绩效目标</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40" w:firstLineChars="200"/>
        <w:textAlignment w:val="auto"/>
        <w:rPr>
          <w:rFonts w:hAnsi="仿宋_GB2312" w:cs="仿宋_GB2312"/>
          <w:kern w:val="2"/>
          <w:sz w:val="32"/>
        </w:rPr>
      </w:pPr>
      <w:r>
        <w:rPr>
          <w:rFonts w:hint="eastAsia" w:hAnsi="仿宋_GB2312" w:cs="仿宋_GB2312"/>
          <w:kern w:val="2"/>
          <w:sz w:val="32"/>
        </w:rPr>
        <w:t>就业补助项目经费来源为财政拨款，该项目投资33.71万元，经费资金总额为33.71万元，切实保障农村创业就业补助、普通公益性岗位及贫困公益性岗位的补贴以及普通公益性岗位的社会保险补贴，推动农村工作发展。</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hint="eastAsia" w:ascii="楷体_GB2312" w:hAnsi="楷体_GB2312" w:eastAsia="楷体_GB2312" w:cs="楷体_GB2312"/>
          <w:szCs w:val="32"/>
          <w:lang w:val="zh-CN"/>
        </w:rPr>
      </w:pPr>
      <w:r>
        <w:rPr>
          <w:rFonts w:hint="eastAsia" w:ascii="楷体_GB2312" w:hAnsi="楷体_GB2312" w:eastAsia="楷体_GB2312" w:cs="楷体_GB2312"/>
          <w:szCs w:val="32"/>
          <w:lang w:val="zh-CN"/>
        </w:rPr>
        <w:t>（三）项目自评步骤及方法</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rPr>
      </w:pPr>
      <w:r>
        <w:rPr>
          <w:rFonts w:hint="eastAsia" w:ascii="仿宋_GB2312" w:hAnsi="仿宋_GB2312" w:eastAsia="仿宋_GB2312" w:cs="仿宋_GB2312"/>
          <w:lang w:val="zh-CN"/>
        </w:rPr>
        <w:t>本项目为延续性项目，按照农村公岗</w:t>
      </w:r>
      <w:r>
        <w:rPr>
          <w:rFonts w:hint="eastAsia" w:ascii="仿宋_GB2312" w:hAnsi="仿宋_GB2312" w:eastAsia="仿宋_GB2312" w:cs="仿宋_GB2312"/>
        </w:rPr>
        <w:t>300元/人/月，城镇公岗1120元/人/月，实行季度考核，季度打卡支付资金。</w:t>
      </w:r>
    </w:p>
    <w:p>
      <w:pPr>
        <w:keepNext w:val="0"/>
        <w:keepLines w:val="0"/>
        <w:pageBreakBefore w:val="0"/>
        <w:widowControl w:val="0"/>
        <w:kinsoku/>
        <w:wordWrap/>
        <w:overflowPunct/>
        <w:topLinePunct w:val="0"/>
        <w:autoSpaceDE/>
        <w:autoSpaceDN/>
        <w:bidi w:val="0"/>
        <w:spacing w:line="576" w:lineRule="exact"/>
        <w:ind w:firstLine="627" w:firstLineChars="196"/>
        <w:textAlignment w:val="auto"/>
        <w:rPr>
          <w:rFonts w:ascii="黑体" w:hAnsi="黑体" w:eastAsia="黑体" w:cs="黑体"/>
          <w:bCs/>
          <w:szCs w:val="32"/>
        </w:rPr>
      </w:pPr>
      <w:r>
        <w:rPr>
          <w:rFonts w:hint="eastAsia" w:ascii="黑体" w:hAnsi="黑体" w:eastAsia="黑体" w:cs="黑体"/>
          <w:bCs/>
          <w:szCs w:val="32"/>
        </w:rPr>
        <w:t>二、项目资金申报及使用情况</w:t>
      </w:r>
    </w:p>
    <w:p>
      <w:pPr>
        <w:keepNext w:val="0"/>
        <w:keepLines w:val="0"/>
        <w:pageBreakBefore w:val="0"/>
        <w:widowControl w:val="0"/>
        <w:kinsoku/>
        <w:wordWrap/>
        <w:overflowPunct/>
        <w:topLinePunct w:val="0"/>
        <w:autoSpaceDE/>
        <w:autoSpaceDN/>
        <w:bidi w:val="0"/>
        <w:spacing w:line="576" w:lineRule="exact"/>
        <w:ind w:firstLine="480" w:firstLineChars="15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（一）项目资金申报及批复情况</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rPr>
      </w:pPr>
      <w:r>
        <w:rPr>
          <w:rFonts w:hint="eastAsia" w:ascii="仿宋_GB2312" w:hAnsi="仿宋_GB2312" w:eastAsia="仿宋_GB2312" w:cs="仿宋_GB2312"/>
        </w:rPr>
        <w:t>县财政局拨就业补助项目专项资金33.71万元。运山镇财政所财务制度健全完备，资金管理规范，专款专用，资金使用与申报计划完全相符，合理，合法，合规。</w:t>
      </w:r>
    </w:p>
    <w:p>
      <w:pPr>
        <w:keepNext w:val="0"/>
        <w:keepLines w:val="0"/>
        <w:pageBreakBefore w:val="0"/>
        <w:widowControl w:val="0"/>
        <w:kinsoku/>
        <w:wordWrap/>
        <w:overflowPunct/>
        <w:topLinePunct w:val="0"/>
        <w:autoSpaceDE/>
        <w:autoSpaceDN/>
        <w:bidi w:val="0"/>
        <w:spacing w:line="576" w:lineRule="exact"/>
        <w:ind w:firstLine="480" w:firstLineChars="15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（二）资金计划、到位及使用情况</w:t>
      </w:r>
    </w:p>
    <w:p>
      <w:pPr>
        <w:keepNext w:val="0"/>
        <w:keepLines w:val="0"/>
        <w:pageBreakBefore w:val="0"/>
        <w:widowControl w:val="0"/>
        <w:kinsoku/>
        <w:wordWrap/>
        <w:overflowPunct/>
        <w:topLinePunct w:val="0"/>
        <w:autoSpaceDE/>
        <w:autoSpaceDN/>
        <w:bidi w:val="0"/>
        <w:spacing w:line="576" w:lineRule="exact"/>
        <w:ind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1．资金计划。</w:t>
      </w:r>
      <w:r>
        <w:rPr>
          <w:rFonts w:hint="eastAsia" w:ascii="仿宋_GB2312" w:hAnsi="仿宋_GB2312" w:eastAsia="仿宋_GB2312" w:cs="仿宋_GB2312"/>
        </w:rPr>
        <w:t>该项目资金计划33.71万元，截至2021年12月31日，实际计划情况33.71万元，计划资金中无中央、省、市财政资金、项目单位自筹资金及其他渠道资金，只有县财政局拨付资金。</w:t>
      </w:r>
    </w:p>
    <w:p>
      <w:pPr>
        <w:keepNext w:val="0"/>
        <w:keepLines w:val="0"/>
        <w:pageBreakBefore w:val="0"/>
        <w:widowControl w:val="0"/>
        <w:kinsoku/>
        <w:wordWrap/>
        <w:overflowPunct/>
        <w:topLinePunct w:val="0"/>
        <w:autoSpaceDE/>
        <w:autoSpaceDN/>
        <w:bidi w:val="0"/>
        <w:spacing w:line="576" w:lineRule="exact"/>
        <w:ind w:firstLine="645"/>
        <w:textAlignment w:val="auto"/>
        <w:rPr>
          <w:rFonts w:ascii="仿宋_GB2312" w:hAnsi="仿宋_GB2312" w:eastAsia="仿宋_GB2312" w:cs="仿宋_GB2312"/>
        </w:rPr>
      </w:pPr>
      <w:r>
        <w:rPr>
          <w:rFonts w:hint="eastAsia" w:ascii="仿宋_GB2312" w:hAnsi="仿宋_GB2312" w:eastAsia="仿宋_GB2312" w:cs="仿宋_GB2312"/>
          <w:b/>
          <w:bCs/>
          <w:szCs w:val="32"/>
        </w:rPr>
        <w:t>2．资金到位。</w:t>
      </w:r>
      <w:r>
        <w:rPr>
          <w:rFonts w:hint="eastAsia" w:ascii="仿宋_GB2312" w:hAnsi="仿宋_GB2312" w:eastAsia="仿宋_GB2312" w:cs="仿宋_GB2312"/>
        </w:rPr>
        <w:t>该项目资金到位33.71万元，截至2021年12月31日，实际到位情况33.71万元，计划资金中无中央、省、市财政资金、项目单位自筹资金及其他渠道资金，只有县财政局匹配资金。</w:t>
      </w:r>
    </w:p>
    <w:p>
      <w:pPr>
        <w:keepNext w:val="0"/>
        <w:keepLines w:val="0"/>
        <w:pageBreakBefore w:val="0"/>
        <w:widowControl w:val="0"/>
        <w:kinsoku/>
        <w:wordWrap/>
        <w:overflowPunct/>
        <w:topLinePunct w:val="0"/>
        <w:autoSpaceDE/>
        <w:autoSpaceDN/>
        <w:bidi w:val="0"/>
        <w:spacing w:line="576" w:lineRule="exact"/>
        <w:ind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3．资金使用。</w:t>
      </w:r>
      <w:r>
        <w:rPr>
          <w:rFonts w:hint="eastAsia" w:ascii="仿宋_GB2312" w:hAnsi="仿宋_GB2312" w:eastAsia="仿宋_GB2312" w:cs="仿宋_GB2312"/>
        </w:rPr>
        <w:t>项目资金截至2021年底的实际支出情况为33.71万元，支付依据合规合法，资金支付与预算相符。</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rPr>
      </w:pPr>
      <w:r>
        <w:rPr>
          <w:rFonts w:hint="eastAsia" w:ascii="仿宋_GB2312" w:hAnsi="仿宋_GB2312" w:eastAsia="仿宋_GB2312" w:cs="仿宋_GB2312"/>
        </w:rPr>
        <w:t>经费实施专账核算，无截留、挤占、挪用专项资金现象。全部支出使用合法票据，无虚列项目成本，无进行大额现金支付现象，对超过1000元以上支出均通过公务卡和银行转账等结算方式，均按规定标准执行。</w:t>
      </w:r>
    </w:p>
    <w:p>
      <w:pPr>
        <w:keepNext w:val="0"/>
        <w:keepLines w:val="0"/>
        <w:pageBreakBefore w:val="0"/>
        <w:widowControl w:val="0"/>
        <w:kinsoku/>
        <w:wordWrap/>
        <w:overflowPunct/>
        <w:topLinePunct w:val="0"/>
        <w:autoSpaceDE/>
        <w:autoSpaceDN/>
        <w:bidi w:val="0"/>
        <w:spacing w:line="576" w:lineRule="exact"/>
        <w:ind w:firstLine="480" w:firstLineChars="15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（三）项目财务管理情况</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72" w:firstLineChars="210"/>
        <w:textAlignment w:val="auto"/>
        <w:rPr>
          <w:rFonts w:hint="eastAsia" w:hAnsi="仿宋_GB2312" w:cs="仿宋_GB2312"/>
          <w:sz w:val="32"/>
          <w:szCs w:val="32"/>
        </w:rPr>
      </w:pPr>
      <w:r>
        <w:rPr>
          <w:rFonts w:hint="eastAsia" w:hAnsi="仿宋_GB2312" w:cs="仿宋_GB2312"/>
          <w:sz w:val="32"/>
          <w:szCs w:val="32"/>
        </w:rPr>
        <w:t>为了更好的使用对就业补助专项经费，我镇严格按照苍溪县就业局和苍溪县财政局有关规定的要求进行使用。</w:t>
      </w:r>
      <w:r>
        <w:rPr>
          <w:rFonts w:hint="eastAsia" w:hAnsi="仿宋_GB2312" w:cs="仿宋_GB2312"/>
          <w:sz w:val="32"/>
          <w:szCs w:val="32"/>
          <w:lang w:val="en-US" w:eastAsia="zh-CN"/>
        </w:rPr>
        <w:t>运山</w:t>
      </w:r>
      <w:r>
        <w:rPr>
          <w:rFonts w:hint="eastAsia" w:hAnsi="仿宋_GB2312" w:cs="仿宋_GB2312"/>
          <w:sz w:val="32"/>
          <w:szCs w:val="32"/>
        </w:rPr>
        <w:t>镇财政所负责经费资金支付进度监督及管理。</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40" w:firstLineChars="200"/>
        <w:jc w:val="left"/>
        <w:textAlignment w:val="auto"/>
        <w:rPr>
          <w:rFonts w:ascii="黑体" w:hAnsi="黑体" w:eastAsia="黑体" w:cs="黑体"/>
          <w:bCs/>
          <w:sz w:val="32"/>
          <w:szCs w:val="32"/>
        </w:rPr>
      </w:pPr>
      <w:r>
        <w:rPr>
          <w:rFonts w:hint="eastAsia" w:ascii="黑体" w:hAnsi="黑体" w:eastAsia="黑体" w:cs="黑体"/>
          <w:bCs/>
          <w:sz w:val="32"/>
          <w:szCs w:val="32"/>
        </w:rPr>
        <w:t>三、项目实施及管理情况</w:t>
      </w:r>
    </w:p>
    <w:p>
      <w:pPr>
        <w:keepNext w:val="0"/>
        <w:keepLines w:val="0"/>
        <w:pageBreakBefore w:val="0"/>
        <w:widowControl w:val="0"/>
        <w:kinsoku/>
        <w:wordWrap/>
        <w:overflowPunct/>
        <w:topLinePunct w:val="0"/>
        <w:autoSpaceDE/>
        <w:autoSpaceDN/>
        <w:bidi w:val="0"/>
        <w:spacing w:line="576" w:lineRule="exact"/>
        <w:ind w:firstLine="480" w:firstLineChars="15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（一）项目组织架构及实施流程</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40" w:firstLineChars="200"/>
        <w:textAlignment w:val="auto"/>
        <w:rPr>
          <w:rFonts w:hAnsi="仿宋_GB2312" w:cs="仿宋_GB2312"/>
          <w:kern w:val="2"/>
          <w:sz w:val="32"/>
        </w:rPr>
      </w:pPr>
      <w:r>
        <w:rPr>
          <w:rFonts w:hint="eastAsia" w:hAnsi="仿宋_GB2312" w:cs="仿宋_GB2312"/>
          <w:kern w:val="2"/>
          <w:sz w:val="32"/>
        </w:rPr>
        <w:t>2021年就业补助项目建设主要内容是切实保障农村创业就业补助、普通公益性岗位及贫困公益性岗位的补贴以及普通公益性岗位的社会保险补贴，推动农村工作发展。该经费资金到位及时，支出合理合规，设立依据充分，并且目标明确，符合我镇要求。</w:t>
      </w:r>
    </w:p>
    <w:p>
      <w:pPr>
        <w:keepNext w:val="0"/>
        <w:keepLines w:val="0"/>
        <w:pageBreakBefore w:val="0"/>
        <w:widowControl w:val="0"/>
        <w:kinsoku/>
        <w:wordWrap/>
        <w:overflowPunct/>
        <w:topLinePunct w:val="0"/>
        <w:autoSpaceDE/>
        <w:autoSpaceDN/>
        <w:bidi w:val="0"/>
        <w:spacing w:line="576" w:lineRule="exact"/>
        <w:ind w:firstLine="480" w:firstLineChars="15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（二）项目管理情况</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rPr>
        <w:t>2021年就业补助项目经费来源为财政拨款，该项目投资33.71万元，主要实施内容是切实保障农村创业就业补助、普通公益性岗位及贫困公益性岗位的补贴以及普通公益性岗位的社会保险补贴，推动农村工作发展。</w:t>
      </w:r>
    </w:p>
    <w:p>
      <w:pPr>
        <w:keepNext w:val="0"/>
        <w:keepLines w:val="0"/>
        <w:pageBreakBefore w:val="0"/>
        <w:widowControl w:val="0"/>
        <w:kinsoku/>
        <w:wordWrap/>
        <w:overflowPunct/>
        <w:topLinePunct w:val="0"/>
        <w:autoSpaceDE/>
        <w:autoSpaceDN/>
        <w:bidi w:val="0"/>
        <w:spacing w:line="576" w:lineRule="exact"/>
        <w:ind w:firstLine="480" w:firstLineChars="15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（三）项目监管情况</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72" w:firstLineChars="210"/>
        <w:textAlignment w:val="auto"/>
        <w:rPr>
          <w:rFonts w:ascii="仿宋" w:hAnsi="仿宋"/>
          <w:sz w:val="32"/>
          <w:szCs w:val="32"/>
        </w:rPr>
      </w:pPr>
      <w:r>
        <w:rPr>
          <w:rFonts w:hint="eastAsia" w:hAnsi="仿宋_GB2312" w:cs="仿宋_GB2312"/>
          <w:sz w:val="32"/>
          <w:szCs w:val="32"/>
        </w:rPr>
        <w:t>坚持项目账务达到账证相符、账账相符、账实相符，为提高工作质量和效率，明确规范管理、强化责任、稳中求进的指导思想，经费严格按照项目支出的范围、用途控制，坚持专款专用，不挤占挪用。项目资金支出的合法性、合理性，由镇财政所进行把关以及核对，并进行会计核算，确保了项目资金的安全。</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800" w:firstLineChars="250"/>
        <w:textAlignment w:val="auto"/>
        <w:rPr>
          <w:rFonts w:ascii="黑体" w:hAnsi="黑体" w:eastAsia="黑体" w:cs="黑体"/>
          <w:bCs/>
          <w:sz w:val="32"/>
          <w:szCs w:val="32"/>
        </w:rPr>
      </w:pPr>
      <w:r>
        <w:rPr>
          <w:rFonts w:hint="eastAsia" w:ascii="黑体" w:hAnsi="黑体" w:eastAsia="黑体" w:cs="黑体"/>
          <w:bCs/>
          <w:sz w:val="32"/>
          <w:szCs w:val="32"/>
        </w:rPr>
        <w:t>四、项目绩效情况</w:t>
      </w:r>
    </w:p>
    <w:p>
      <w:pPr>
        <w:keepNext w:val="0"/>
        <w:keepLines w:val="0"/>
        <w:pageBreakBefore w:val="0"/>
        <w:widowControl w:val="0"/>
        <w:kinsoku/>
        <w:wordWrap/>
        <w:overflowPunct/>
        <w:topLinePunct w:val="0"/>
        <w:autoSpaceDE/>
        <w:autoSpaceDN/>
        <w:bidi w:val="0"/>
        <w:spacing w:line="576" w:lineRule="exact"/>
        <w:ind w:firstLine="480" w:firstLineChars="15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（一）项目完成情况</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72" w:firstLineChars="210"/>
        <w:textAlignment w:val="auto"/>
        <w:rPr>
          <w:rFonts w:hint="eastAsia" w:ascii="仿宋_GB2312" w:hAnsi="仿宋_GB2312" w:eastAsia="仿宋_GB2312" w:cs="仿宋_GB2312"/>
          <w:szCs w:val="32"/>
        </w:rPr>
      </w:pPr>
      <w:r>
        <w:rPr>
          <w:rFonts w:hint="eastAsia" w:hAnsi="仿宋_GB2312" w:cs="仿宋_GB2312"/>
          <w:kern w:val="2"/>
          <w:sz w:val="32"/>
        </w:rPr>
        <w:t>截至2021年底项目资金支出为33.71万元，2021年就业补助专项经费建设主要内容是保障农村创业就业补助、普通公益性岗位及贫困公益性岗位的补贴以及普通公益性岗位的社会保险补贴，推动农村工作发展。该经费资金到位及时，支出合理合规，设立依据充分，并且目标明确，基本符合我镇要求。</w:t>
      </w:r>
    </w:p>
    <w:p>
      <w:pPr>
        <w:keepNext w:val="0"/>
        <w:keepLines w:val="0"/>
        <w:pageBreakBefore w:val="0"/>
        <w:widowControl w:val="0"/>
        <w:kinsoku/>
        <w:wordWrap/>
        <w:overflowPunct/>
        <w:topLinePunct w:val="0"/>
        <w:autoSpaceDE/>
        <w:autoSpaceDN/>
        <w:bidi w:val="0"/>
        <w:spacing w:line="576" w:lineRule="exact"/>
        <w:ind w:firstLine="480" w:firstLineChars="15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(二)项目效益情况</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szCs w:val="32"/>
        </w:rPr>
        <w:t>经费预期目标完成程度。2</w:t>
      </w:r>
      <w:r>
        <w:rPr>
          <w:rFonts w:hint="eastAsia" w:hAnsi="仿宋_GB2312" w:cs="仿宋_GB2312"/>
          <w:kern w:val="2"/>
          <w:sz w:val="32"/>
        </w:rPr>
        <w:t>021年就业补助专项经费已将资金拨付给全镇24人公益性岗位人员开展服务群众工作，按照年初设置的绩效目标，具体完成情况如下：</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产出指标保障农村公益性岗位正常开展运行率达到100%，完成绩效标准为优；成效指标（村民满意度）达到90%以上，完成绩效标准为优。</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经费实施对经济和社会的影响。2021年就业补助专项经费，通过合理地资金投入使用，促进了农村就业率。经费拨付实施后，保障了农村创业就业补助、普通公益性岗位及贫困公益性岗位的补贴以及普通公益性岗位的社会保险补贴，推动农村工作发展。</w:t>
      </w:r>
    </w:p>
    <w:p>
      <w:pPr>
        <w:keepNext w:val="0"/>
        <w:keepLines w:val="0"/>
        <w:pageBreakBefore w:val="0"/>
        <w:widowControl w:val="0"/>
        <w:kinsoku/>
        <w:wordWrap/>
        <w:overflowPunct/>
        <w:topLinePunct w:val="0"/>
        <w:autoSpaceDE/>
        <w:autoSpaceDN/>
        <w:bidi w:val="0"/>
        <w:spacing w:line="576" w:lineRule="exact"/>
        <w:ind w:firstLine="800" w:firstLineChars="250"/>
        <w:textAlignment w:val="auto"/>
        <w:rPr>
          <w:rFonts w:ascii="黑体" w:hAnsi="黑体" w:eastAsia="黑体" w:cs="黑体"/>
          <w:bCs/>
          <w:szCs w:val="32"/>
        </w:rPr>
      </w:pPr>
      <w:r>
        <w:rPr>
          <w:rFonts w:hint="eastAsia" w:ascii="黑体" w:hAnsi="黑体" w:eastAsia="黑体" w:cs="黑体"/>
          <w:bCs/>
          <w:szCs w:val="32"/>
        </w:rPr>
        <w:t>五、评价结论及建议</w:t>
      </w:r>
    </w:p>
    <w:p>
      <w:pPr>
        <w:keepNext w:val="0"/>
        <w:keepLines w:val="0"/>
        <w:pageBreakBefore w:val="0"/>
        <w:widowControl w:val="0"/>
        <w:kinsoku/>
        <w:wordWrap/>
        <w:overflowPunct/>
        <w:topLinePunct w:val="0"/>
        <w:autoSpaceDE/>
        <w:autoSpaceDN/>
        <w:bidi w:val="0"/>
        <w:spacing w:line="576" w:lineRule="exact"/>
        <w:ind w:firstLine="480" w:firstLineChars="15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（一）评价结论</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2021年就业补助专项经费，通过合理地资金投入使用，促进了农村就业率。经费拨付实施后，保障了农村创业就业补助、普通公益性岗位及贫困公益性岗位的补贴以及普通公益性岗位的社会保险补贴，推动农村工作发展。</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我镇在以下相关方面将持续做好工作，保证经费的良好运行，发挥其预期作用。</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政策方面，我镇坚持“以人为本”的管理原则，切实履行国家和地方政府的法律法规。</w:t>
      </w:r>
    </w:p>
    <w:p>
      <w:pPr>
        <w:pStyle w:val="6"/>
        <w:keepNext w:val="0"/>
        <w:keepLines w:val="0"/>
        <w:pageBreakBefore w:val="0"/>
        <w:widowControl w:val="0"/>
        <w:kinsoku/>
        <w:wordWrap/>
        <w:overflowPunct/>
        <w:topLinePunct w:val="0"/>
        <w:autoSpaceDE/>
        <w:autoSpaceDN/>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可持续性方面，确保公岗队伍稳定，提高农村就业率，提高农村就业队伍收入。</w:t>
      </w:r>
    </w:p>
    <w:p>
      <w:pPr>
        <w:keepNext w:val="0"/>
        <w:keepLines w:val="0"/>
        <w:pageBreakBefore w:val="0"/>
        <w:widowControl w:val="0"/>
        <w:kinsoku/>
        <w:wordWrap/>
        <w:overflowPunct/>
        <w:topLinePunct w:val="0"/>
        <w:autoSpaceDE/>
        <w:autoSpaceDN/>
        <w:bidi w:val="0"/>
        <w:spacing w:line="576" w:lineRule="exact"/>
        <w:ind w:firstLine="480" w:firstLineChars="15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（二）存在的问题</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仿宋_GB2312" w:hAnsi="仿宋_GB2312" w:eastAsia="仿宋_GB2312" w:cs="仿宋_GB2312"/>
          <w:szCs w:val="32"/>
        </w:rPr>
      </w:pPr>
      <w:r>
        <w:rPr>
          <w:rFonts w:hint="eastAsia" w:ascii="仿宋_GB2312" w:hAnsi="仿宋_GB2312" w:eastAsia="仿宋_GB2312" w:cs="仿宋_GB2312"/>
          <w:szCs w:val="32"/>
        </w:rPr>
        <w:t>通过项目实施，发现的主要问题：资金使用，项目实施后公岗人员未定期到岗履职尽责。</w:t>
      </w:r>
    </w:p>
    <w:p>
      <w:pPr>
        <w:keepNext w:val="0"/>
        <w:keepLines w:val="0"/>
        <w:pageBreakBefore w:val="0"/>
        <w:widowControl w:val="0"/>
        <w:kinsoku/>
        <w:wordWrap/>
        <w:overflowPunct/>
        <w:topLinePunct w:val="0"/>
        <w:autoSpaceDE/>
        <w:autoSpaceDN/>
        <w:bidi w:val="0"/>
        <w:spacing w:line="576" w:lineRule="exact"/>
        <w:ind w:firstLine="480" w:firstLineChars="15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（三）相关建议</w:t>
      </w:r>
    </w:p>
    <w:p>
      <w:pPr>
        <w:keepNext w:val="0"/>
        <w:keepLines w:val="0"/>
        <w:pageBreakBefore w:val="0"/>
        <w:widowControl w:val="0"/>
        <w:kinsoku/>
        <w:wordWrap/>
        <w:overflowPunct/>
        <w:topLinePunct w:val="0"/>
        <w:autoSpaceDE/>
        <w:autoSpaceDN/>
        <w:bidi w:val="0"/>
        <w:spacing w:line="576" w:lineRule="exact"/>
        <w:ind w:firstLine="640" w:firstLineChars="200"/>
        <w:textAlignment w:val="auto"/>
        <w:rPr>
          <w:rFonts w:ascii="方正仿宋_GBK" w:hAnsi="方正仿宋_GBK" w:eastAsia="方正仿宋_GBK" w:cs="方正仿宋_GBK"/>
          <w:szCs w:val="32"/>
          <w:lang w:val="zh-CN"/>
        </w:rPr>
      </w:pPr>
      <w:r>
        <w:rPr>
          <w:rFonts w:hint="eastAsia" w:ascii="仿宋_GB2312" w:hAnsi="仿宋_GB2312" w:eastAsia="仿宋_GB2312" w:cs="仿宋_GB2312"/>
          <w:szCs w:val="32"/>
        </w:rPr>
        <w:t>按季度考核，督促公岗人员尽职尽责，发挥就业补助实际效益。</w:t>
      </w:r>
    </w:p>
    <w:tbl>
      <w:tblPr>
        <w:tblStyle w:val="13"/>
        <w:tblpPr w:leftFromText="180" w:rightFromText="180" w:vertAnchor="text" w:horzAnchor="page" w:tblpX="1281" w:tblpY="660"/>
        <w:tblOverlap w:val="never"/>
        <w:tblW w:w="9811" w:type="dxa"/>
        <w:tblInd w:w="0" w:type="dxa"/>
        <w:tblLayout w:type="fixed"/>
        <w:tblCellMar>
          <w:top w:w="0" w:type="dxa"/>
          <w:left w:w="108" w:type="dxa"/>
          <w:bottom w:w="0" w:type="dxa"/>
          <w:right w:w="108" w:type="dxa"/>
        </w:tblCellMar>
      </w:tblPr>
      <w:tblGrid>
        <w:gridCol w:w="1026"/>
        <w:gridCol w:w="1146"/>
        <w:gridCol w:w="1307"/>
        <w:gridCol w:w="2208"/>
        <w:gridCol w:w="1746"/>
        <w:gridCol w:w="2138"/>
        <w:gridCol w:w="240"/>
      </w:tblGrid>
      <w:tr>
        <w:tblPrEx>
          <w:tblCellMar>
            <w:top w:w="0" w:type="dxa"/>
            <w:left w:w="108" w:type="dxa"/>
            <w:bottom w:w="0" w:type="dxa"/>
            <w:right w:w="108" w:type="dxa"/>
          </w:tblCellMar>
        </w:tblPrEx>
        <w:trPr>
          <w:trHeight w:val="675" w:hRule="atLeast"/>
        </w:trPr>
        <w:tc>
          <w:tcPr>
            <w:tcW w:w="9571" w:type="dxa"/>
            <w:gridSpan w:val="6"/>
            <w:tcBorders>
              <w:top w:val="nil"/>
              <w:left w:val="nil"/>
              <w:bottom w:val="nil"/>
              <w:right w:val="nil"/>
            </w:tcBorders>
            <w:shd w:val="clear" w:color="auto" w:fill="auto"/>
            <w:vAlign w:val="center"/>
          </w:tcPr>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hint="eastAsia" w:ascii="宋体" w:hAnsi="宋体" w:eastAsia="宋体" w:cs="宋体"/>
                <w:b/>
                <w:sz w:val="28"/>
                <w:szCs w:val="28"/>
              </w:rPr>
            </w:pPr>
          </w:p>
          <w:p>
            <w:pPr>
              <w:widowControl/>
              <w:jc w:val="center"/>
              <w:textAlignment w:val="center"/>
              <w:rPr>
                <w:rFonts w:ascii="宋体" w:hAnsi="宋体" w:eastAsia="宋体" w:cs="宋体"/>
                <w:b/>
                <w:sz w:val="28"/>
                <w:szCs w:val="28"/>
              </w:rPr>
            </w:pPr>
            <w:r>
              <w:rPr>
                <w:rFonts w:hint="eastAsia" w:ascii="宋体" w:hAnsi="宋体" w:eastAsia="宋体" w:cs="宋体"/>
                <w:b/>
                <w:sz w:val="28"/>
                <w:szCs w:val="28"/>
              </w:rPr>
              <w:t>2021年就业补助部门预算项目绩效目标自评</w:t>
            </w:r>
          </w:p>
        </w:tc>
        <w:tc>
          <w:tcPr>
            <w:tcW w:w="240" w:type="dxa"/>
            <w:tcBorders>
              <w:top w:val="nil"/>
              <w:left w:val="nil"/>
              <w:bottom w:val="nil"/>
              <w:right w:val="nil"/>
            </w:tcBorders>
            <w:shd w:val="clear" w:color="auto" w:fill="auto"/>
            <w:vAlign w:val="center"/>
          </w:tcPr>
          <w:p>
            <w:pPr>
              <w:widowControl/>
              <w:jc w:val="center"/>
              <w:textAlignment w:val="center"/>
              <w:rPr>
                <w:rFonts w:ascii="宋体" w:hAnsi="宋体" w:eastAsia="宋体" w:cs="宋体"/>
                <w:b/>
                <w:kern w:val="0"/>
                <w:sz w:val="28"/>
                <w:szCs w:val="28"/>
              </w:rPr>
            </w:pPr>
          </w:p>
        </w:tc>
      </w:tr>
      <w:tr>
        <w:tblPrEx>
          <w:tblCellMar>
            <w:top w:w="0" w:type="dxa"/>
            <w:left w:w="108" w:type="dxa"/>
            <w:bottom w:w="0" w:type="dxa"/>
            <w:right w:w="108" w:type="dxa"/>
          </w:tblCellMar>
        </w:tblPrEx>
        <w:trPr>
          <w:gridAfter w:val="1"/>
          <w:wAfter w:w="240" w:type="dxa"/>
          <w:trHeight w:val="568" w:hRule="atLeast"/>
        </w:trPr>
        <w:tc>
          <w:tcPr>
            <w:tcW w:w="217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主管部门及代码</w:t>
            </w:r>
          </w:p>
        </w:tc>
        <w:tc>
          <w:tcPr>
            <w:tcW w:w="351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sz w:val="22"/>
                <w:szCs w:val="22"/>
              </w:rPr>
              <w:t>苍溪县财政局</w:t>
            </w: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实施单位</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sz w:val="22"/>
                <w:szCs w:val="22"/>
              </w:rPr>
              <w:t>苍溪县运山镇人民政府</w:t>
            </w:r>
          </w:p>
        </w:tc>
      </w:tr>
      <w:tr>
        <w:tblPrEx>
          <w:tblCellMar>
            <w:top w:w="0" w:type="dxa"/>
            <w:left w:w="108" w:type="dxa"/>
            <w:bottom w:w="0" w:type="dxa"/>
            <w:right w:w="108" w:type="dxa"/>
          </w:tblCellMar>
        </w:tblPrEx>
        <w:trPr>
          <w:gridAfter w:val="1"/>
          <w:wAfter w:w="240" w:type="dxa"/>
          <w:trHeight w:val="341" w:hRule="atLeast"/>
        </w:trPr>
        <w:tc>
          <w:tcPr>
            <w:tcW w:w="2172"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hint="eastAsia" w:ascii="宋体" w:hAnsi="宋体" w:eastAsia="宋体" w:cs="宋体"/>
                <w:kern w:val="0"/>
                <w:sz w:val="22"/>
                <w:szCs w:val="22"/>
                <w:lang w:eastAsia="zh-CN"/>
              </w:rPr>
            </w:pPr>
            <w:r>
              <w:rPr>
                <w:rFonts w:hint="eastAsia" w:ascii="宋体" w:hAnsi="宋体" w:eastAsia="宋体" w:cs="宋体"/>
                <w:kern w:val="0"/>
                <w:sz w:val="22"/>
                <w:szCs w:val="22"/>
              </w:rPr>
              <w:t>项目预算</w:t>
            </w:r>
          </w:p>
          <w:p>
            <w:pPr>
              <w:widowControl/>
              <w:spacing w:line="300" w:lineRule="atLeast"/>
              <w:jc w:val="center"/>
              <w:textAlignment w:val="center"/>
              <w:rPr>
                <w:rFonts w:hint="eastAsia" w:ascii="宋体" w:hAnsi="宋体" w:eastAsia="宋体" w:cs="宋体"/>
                <w:kern w:val="0"/>
                <w:sz w:val="22"/>
                <w:szCs w:val="22"/>
                <w:lang w:eastAsia="zh-CN"/>
              </w:rPr>
            </w:pPr>
            <w:r>
              <w:rPr>
                <w:rFonts w:hint="eastAsia" w:ascii="宋体" w:hAnsi="宋体" w:eastAsia="宋体" w:cs="宋体"/>
                <w:kern w:val="0"/>
                <w:sz w:val="22"/>
                <w:szCs w:val="22"/>
              </w:rPr>
              <w:t>执行情况</w:t>
            </w:r>
          </w:p>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（万元）</w:t>
            </w: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预算数：</w:t>
            </w:r>
          </w:p>
        </w:tc>
        <w:tc>
          <w:tcPr>
            <w:tcW w:w="2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cs="宋体"/>
                <w:sz w:val="21"/>
                <w:szCs w:val="22"/>
              </w:rPr>
              <w:t>33.71</w:t>
            </w: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执行数：</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cs="宋体"/>
                <w:sz w:val="21"/>
                <w:szCs w:val="22"/>
              </w:rPr>
              <w:t>33.71</w:t>
            </w:r>
          </w:p>
        </w:tc>
      </w:tr>
      <w:tr>
        <w:tblPrEx>
          <w:tblCellMar>
            <w:top w:w="0" w:type="dxa"/>
            <w:left w:w="108" w:type="dxa"/>
            <w:bottom w:w="0" w:type="dxa"/>
            <w:right w:w="108" w:type="dxa"/>
          </w:tblCellMar>
        </w:tblPrEx>
        <w:trPr>
          <w:gridAfter w:val="1"/>
          <w:wAfter w:w="240" w:type="dxa"/>
          <w:trHeight w:val="555" w:hRule="atLeast"/>
        </w:trPr>
        <w:tc>
          <w:tcPr>
            <w:tcW w:w="217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宋体" w:hAnsi="宋体" w:eastAsia="宋体" w:cs="宋体"/>
                <w:sz w:val="22"/>
                <w:szCs w:val="22"/>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kern w:val="0"/>
                <w:sz w:val="22"/>
                <w:szCs w:val="22"/>
              </w:rPr>
            </w:pPr>
            <w:r>
              <w:rPr>
                <w:rFonts w:hint="eastAsia" w:ascii="宋体" w:hAnsi="宋体" w:eastAsia="宋体" w:cs="宋体"/>
                <w:kern w:val="0"/>
                <w:sz w:val="22"/>
                <w:szCs w:val="22"/>
              </w:rPr>
              <w:t>其中：</w:t>
            </w:r>
          </w:p>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财政拨款</w:t>
            </w:r>
          </w:p>
        </w:tc>
        <w:tc>
          <w:tcPr>
            <w:tcW w:w="2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cs="宋体"/>
                <w:sz w:val="21"/>
                <w:szCs w:val="22"/>
              </w:rPr>
              <w:t>33.71</w:t>
            </w: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kern w:val="0"/>
                <w:sz w:val="22"/>
                <w:szCs w:val="22"/>
              </w:rPr>
            </w:pPr>
            <w:r>
              <w:rPr>
                <w:rFonts w:hint="eastAsia" w:ascii="宋体" w:hAnsi="宋体" w:eastAsia="宋体" w:cs="宋体"/>
                <w:kern w:val="0"/>
                <w:sz w:val="22"/>
                <w:szCs w:val="22"/>
              </w:rPr>
              <w:t>其中：</w:t>
            </w:r>
          </w:p>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财政拨款</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cs="宋体"/>
                <w:sz w:val="21"/>
                <w:szCs w:val="22"/>
              </w:rPr>
              <w:t>33.71</w:t>
            </w:r>
          </w:p>
        </w:tc>
      </w:tr>
      <w:tr>
        <w:tblPrEx>
          <w:tblCellMar>
            <w:top w:w="0" w:type="dxa"/>
            <w:left w:w="108" w:type="dxa"/>
            <w:bottom w:w="0" w:type="dxa"/>
            <w:right w:w="108" w:type="dxa"/>
          </w:tblCellMar>
        </w:tblPrEx>
        <w:trPr>
          <w:gridAfter w:val="1"/>
          <w:wAfter w:w="240" w:type="dxa"/>
          <w:trHeight w:val="341" w:hRule="atLeast"/>
        </w:trPr>
        <w:tc>
          <w:tcPr>
            <w:tcW w:w="2172"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宋体" w:hAnsi="宋体" w:eastAsia="宋体" w:cs="宋体"/>
                <w:sz w:val="22"/>
                <w:szCs w:val="22"/>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其他资金</w:t>
            </w:r>
          </w:p>
        </w:tc>
        <w:tc>
          <w:tcPr>
            <w:tcW w:w="2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其他资金</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p>
        </w:tc>
      </w:tr>
      <w:tr>
        <w:tblPrEx>
          <w:tblCellMar>
            <w:top w:w="0" w:type="dxa"/>
            <w:left w:w="108" w:type="dxa"/>
            <w:bottom w:w="0" w:type="dxa"/>
            <w:right w:w="108" w:type="dxa"/>
          </w:tblCellMar>
        </w:tblPrEx>
        <w:trPr>
          <w:gridAfter w:val="1"/>
          <w:wAfter w:w="240" w:type="dxa"/>
          <w:trHeight w:val="217" w:hRule="atLeast"/>
        </w:trPr>
        <w:tc>
          <w:tcPr>
            <w:tcW w:w="102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kern w:val="0"/>
                <w:sz w:val="22"/>
                <w:szCs w:val="22"/>
              </w:rPr>
            </w:pPr>
            <w:r>
              <w:rPr>
                <w:rFonts w:hint="eastAsia" w:ascii="宋体" w:hAnsi="宋体" w:eastAsia="宋体" w:cs="宋体"/>
                <w:kern w:val="0"/>
                <w:sz w:val="22"/>
                <w:szCs w:val="22"/>
              </w:rPr>
              <w:t>年度总体目标</w:t>
            </w:r>
          </w:p>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完成情况</w:t>
            </w:r>
          </w:p>
        </w:tc>
        <w:tc>
          <w:tcPr>
            <w:tcW w:w="466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预期目标</w:t>
            </w:r>
          </w:p>
        </w:tc>
        <w:tc>
          <w:tcPr>
            <w:tcW w:w="3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目标实际完成情况</w:t>
            </w:r>
          </w:p>
        </w:tc>
      </w:tr>
      <w:tr>
        <w:tblPrEx>
          <w:tblCellMar>
            <w:top w:w="0" w:type="dxa"/>
            <w:left w:w="108" w:type="dxa"/>
            <w:bottom w:w="0" w:type="dxa"/>
            <w:right w:w="108" w:type="dxa"/>
          </w:tblCellMar>
        </w:tblPrEx>
        <w:trPr>
          <w:gridAfter w:val="1"/>
          <w:wAfter w:w="240" w:type="dxa"/>
          <w:trHeight w:val="797" w:hRule="atLeast"/>
        </w:trPr>
        <w:tc>
          <w:tcPr>
            <w:tcW w:w="10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宋体" w:hAnsi="宋体" w:eastAsia="宋体" w:cs="宋体"/>
                <w:sz w:val="22"/>
                <w:szCs w:val="22"/>
              </w:rPr>
            </w:pPr>
          </w:p>
        </w:tc>
        <w:tc>
          <w:tcPr>
            <w:tcW w:w="466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hAnsi="宋体" w:eastAsia="宋体" w:cs="宋体"/>
                <w:sz w:val="22"/>
                <w:szCs w:val="22"/>
              </w:rPr>
            </w:pPr>
            <w:r>
              <w:rPr>
                <w:rFonts w:hint="eastAsia" w:ascii="宋体" w:hAnsi="宋体" w:cs="宋体"/>
                <w:kern w:val="0"/>
                <w:sz w:val="22"/>
              </w:rPr>
              <w:t>保障农村创业就业补助、普通公益性岗位及贫困公益性岗位的补贴以及普通公益性岗位的社会保险补贴，推动农村工作发展。</w:t>
            </w:r>
          </w:p>
        </w:tc>
        <w:tc>
          <w:tcPr>
            <w:tcW w:w="388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hAnsi="宋体" w:eastAsia="宋体" w:cs="宋体"/>
                <w:sz w:val="22"/>
                <w:szCs w:val="22"/>
              </w:rPr>
            </w:pPr>
            <w:r>
              <w:rPr>
                <w:rFonts w:hint="eastAsia" w:ascii="宋体" w:hAnsi="宋体" w:cs="宋体"/>
                <w:kern w:val="0"/>
                <w:sz w:val="22"/>
              </w:rPr>
              <w:t>保障农村创业就业补助、普通公益性岗位及贫困公益性岗位的补贴以及普通公益性岗位的社会保险补贴，推动农村工作发展。</w:t>
            </w:r>
          </w:p>
        </w:tc>
      </w:tr>
      <w:tr>
        <w:tblPrEx>
          <w:tblCellMar>
            <w:top w:w="0" w:type="dxa"/>
            <w:left w:w="108" w:type="dxa"/>
            <w:bottom w:w="0" w:type="dxa"/>
            <w:right w:w="108" w:type="dxa"/>
          </w:tblCellMar>
        </w:tblPrEx>
        <w:trPr>
          <w:gridAfter w:val="1"/>
          <w:wAfter w:w="240" w:type="dxa"/>
          <w:trHeight w:val="693" w:hRule="atLeast"/>
        </w:trPr>
        <w:tc>
          <w:tcPr>
            <w:tcW w:w="1026" w:type="dxa"/>
            <w:vMerge w:val="restart"/>
            <w:tcBorders>
              <w:top w:val="single" w:color="000000" w:sz="4" w:space="0"/>
              <w:left w:val="single" w:color="000000" w:sz="4" w:space="0"/>
              <w:right w:val="single" w:color="000000"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年度绩效指标完成情况</w:t>
            </w:r>
          </w:p>
        </w:tc>
        <w:tc>
          <w:tcPr>
            <w:tcW w:w="1146" w:type="dxa"/>
            <w:tcBorders>
              <w:top w:val="single" w:color="000000" w:sz="4" w:space="0"/>
              <w:left w:val="nil"/>
              <w:bottom w:val="single" w:color="000000" w:sz="4" w:space="0"/>
              <w:right w:val="single" w:color="000000"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一级指标</w:t>
            </w: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二级指标</w:t>
            </w:r>
          </w:p>
        </w:tc>
        <w:tc>
          <w:tcPr>
            <w:tcW w:w="2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三级指标</w:t>
            </w: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预期指标值</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实际完成指标值</w:t>
            </w:r>
          </w:p>
        </w:tc>
      </w:tr>
      <w:tr>
        <w:tblPrEx>
          <w:tblCellMar>
            <w:top w:w="0" w:type="dxa"/>
            <w:left w:w="108" w:type="dxa"/>
            <w:bottom w:w="0" w:type="dxa"/>
            <w:right w:w="108" w:type="dxa"/>
          </w:tblCellMar>
        </w:tblPrEx>
        <w:trPr>
          <w:gridAfter w:val="1"/>
          <w:wAfter w:w="240" w:type="dxa"/>
          <w:trHeight w:val="415" w:hRule="atLeast"/>
        </w:trPr>
        <w:tc>
          <w:tcPr>
            <w:tcW w:w="1026"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1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kern w:val="0"/>
                <w:sz w:val="24"/>
              </w:rPr>
            </w:pPr>
            <w:r>
              <w:rPr>
                <w:rFonts w:hint="eastAsia" w:ascii="仿宋_GB2312" w:hAnsi="仿宋_GB2312" w:eastAsia="仿宋_GB2312" w:cs="仿宋_GB2312"/>
                <w:kern w:val="0"/>
                <w:sz w:val="24"/>
              </w:rPr>
              <w:t>完成</w:t>
            </w:r>
          </w:p>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指标</w:t>
            </w: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数量指标</w:t>
            </w:r>
          </w:p>
        </w:tc>
        <w:tc>
          <w:tcPr>
            <w:tcW w:w="2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2"/>
              </w:rPr>
              <w:t>涉及村（社区）个数</w:t>
            </w: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20个</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20个</w:t>
            </w:r>
          </w:p>
        </w:tc>
      </w:tr>
      <w:tr>
        <w:tblPrEx>
          <w:tblCellMar>
            <w:top w:w="0" w:type="dxa"/>
            <w:left w:w="108" w:type="dxa"/>
            <w:bottom w:w="0" w:type="dxa"/>
            <w:right w:w="108" w:type="dxa"/>
          </w:tblCellMar>
        </w:tblPrEx>
        <w:trPr>
          <w:gridAfter w:val="1"/>
          <w:wAfter w:w="240" w:type="dxa"/>
          <w:trHeight w:val="415" w:hRule="atLeast"/>
        </w:trPr>
        <w:tc>
          <w:tcPr>
            <w:tcW w:w="1026"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1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质量指标</w:t>
            </w:r>
          </w:p>
        </w:tc>
        <w:tc>
          <w:tcPr>
            <w:tcW w:w="2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hAnsi="宋体" w:cs="宋体"/>
                <w:kern w:val="0"/>
                <w:sz w:val="22"/>
                <w:szCs w:val="22"/>
              </w:rPr>
              <w:t>资金到位率</w:t>
            </w: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100%</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100%</w:t>
            </w:r>
          </w:p>
        </w:tc>
      </w:tr>
      <w:tr>
        <w:tblPrEx>
          <w:tblCellMar>
            <w:top w:w="0" w:type="dxa"/>
            <w:left w:w="108" w:type="dxa"/>
            <w:bottom w:w="0" w:type="dxa"/>
            <w:right w:w="108" w:type="dxa"/>
          </w:tblCellMar>
        </w:tblPrEx>
        <w:trPr>
          <w:gridAfter w:val="1"/>
          <w:wAfter w:w="240" w:type="dxa"/>
          <w:trHeight w:val="415" w:hRule="atLeast"/>
        </w:trPr>
        <w:tc>
          <w:tcPr>
            <w:tcW w:w="1026"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1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时效指标</w:t>
            </w:r>
          </w:p>
        </w:tc>
        <w:tc>
          <w:tcPr>
            <w:tcW w:w="2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2"/>
              </w:rPr>
              <w:t>完成时间</w:t>
            </w: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2021年12月底</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2021年12月底</w:t>
            </w:r>
          </w:p>
        </w:tc>
      </w:tr>
      <w:tr>
        <w:tblPrEx>
          <w:tblCellMar>
            <w:top w:w="0" w:type="dxa"/>
            <w:left w:w="108" w:type="dxa"/>
            <w:bottom w:w="0" w:type="dxa"/>
            <w:right w:w="108" w:type="dxa"/>
          </w:tblCellMar>
        </w:tblPrEx>
        <w:trPr>
          <w:gridAfter w:val="1"/>
          <w:wAfter w:w="240" w:type="dxa"/>
          <w:trHeight w:val="480" w:hRule="atLeast"/>
        </w:trPr>
        <w:tc>
          <w:tcPr>
            <w:tcW w:w="1026"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1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成本指标</w:t>
            </w:r>
          </w:p>
        </w:tc>
        <w:tc>
          <w:tcPr>
            <w:tcW w:w="2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完成成本（万元）</w:t>
            </w: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≤33.71</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33.71</w:t>
            </w:r>
          </w:p>
        </w:tc>
      </w:tr>
      <w:tr>
        <w:tblPrEx>
          <w:tblCellMar>
            <w:top w:w="0" w:type="dxa"/>
            <w:left w:w="108" w:type="dxa"/>
            <w:bottom w:w="0" w:type="dxa"/>
            <w:right w:w="108" w:type="dxa"/>
          </w:tblCellMar>
        </w:tblPrEx>
        <w:trPr>
          <w:gridAfter w:val="1"/>
          <w:wAfter w:w="240" w:type="dxa"/>
          <w:trHeight w:val="480" w:hRule="atLeast"/>
        </w:trPr>
        <w:tc>
          <w:tcPr>
            <w:tcW w:w="1026"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146" w:type="dxa"/>
            <w:vMerge w:val="restart"/>
            <w:tcBorders>
              <w:top w:val="single" w:color="000000" w:sz="4" w:space="0"/>
              <w:left w:val="single" w:color="000000" w:sz="4" w:space="0"/>
              <w:right w:val="single" w:color="000000" w:sz="4" w:space="0"/>
            </w:tcBorders>
            <w:shd w:val="clear" w:color="auto" w:fill="auto"/>
            <w:vAlign w:val="center"/>
          </w:tcPr>
          <w:p>
            <w:pPr>
              <w:spacing w:line="300" w:lineRule="atLeast"/>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rPr>
              <w:t>效益</w:t>
            </w:r>
          </w:p>
          <w:p>
            <w:pPr>
              <w:spacing w:line="300" w:lineRule="atLeast"/>
              <w:jc w:val="center"/>
              <w:rPr>
                <w:rFonts w:ascii="仿宋_GB2312" w:hAnsi="仿宋_GB2312" w:eastAsia="仿宋_GB2312" w:cs="仿宋_GB2312"/>
                <w:sz w:val="24"/>
              </w:rPr>
            </w:pPr>
            <w:r>
              <w:rPr>
                <w:rFonts w:hint="eastAsia" w:ascii="仿宋_GB2312" w:hAnsi="仿宋_GB2312" w:eastAsia="仿宋_GB2312" w:cs="仿宋_GB2312"/>
                <w:kern w:val="0"/>
                <w:sz w:val="24"/>
              </w:rPr>
              <w:t>指标</w:t>
            </w: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社会效益指标</w:t>
            </w:r>
          </w:p>
        </w:tc>
        <w:tc>
          <w:tcPr>
            <w:tcW w:w="2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hAnsi="宋体" w:cs="宋体"/>
                <w:color w:val="000000"/>
                <w:kern w:val="0"/>
                <w:sz w:val="22"/>
                <w:szCs w:val="22"/>
              </w:rPr>
              <w:t>提高农村就业率</w:t>
            </w: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100%</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100%</w:t>
            </w:r>
          </w:p>
        </w:tc>
      </w:tr>
      <w:tr>
        <w:tblPrEx>
          <w:tblCellMar>
            <w:top w:w="0" w:type="dxa"/>
            <w:left w:w="108" w:type="dxa"/>
            <w:bottom w:w="0" w:type="dxa"/>
            <w:right w:w="108" w:type="dxa"/>
          </w:tblCellMar>
        </w:tblPrEx>
        <w:trPr>
          <w:gridAfter w:val="1"/>
          <w:wAfter w:w="240" w:type="dxa"/>
          <w:trHeight w:val="577" w:hRule="atLeast"/>
        </w:trPr>
        <w:tc>
          <w:tcPr>
            <w:tcW w:w="1026"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146"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sz w:val="24"/>
              </w:rPr>
              <w:t>经济效益指标</w:t>
            </w:r>
          </w:p>
        </w:tc>
        <w:tc>
          <w:tcPr>
            <w:tcW w:w="2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提高农村就业队伍收入</w:t>
            </w: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是</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是</w:t>
            </w:r>
          </w:p>
        </w:tc>
      </w:tr>
      <w:tr>
        <w:tblPrEx>
          <w:tblCellMar>
            <w:top w:w="0" w:type="dxa"/>
            <w:left w:w="108" w:type="dxa"/>
            <w:bottom w:w="0" w:type="dxa"/>
            <w:right w:w="108" w:type="dxa"/>
          </w:tblCellMar>
        </w:tblPrEx>
        <w:trPr>
          <w:gridAfter w:val="1"/>
          <w:wAfter w:w="240" w:type="dxa"/>
          <w:trHeight w:val="480" w:hRule="atLeast"/>
        </w:trPr>
        <w:tc>
          <w:tcPr>
            <w:tcW w:w="1026" w:type="dxa"/>
            <w:vMerge w:val="continue"/>
            <w:tcBorders>
              <w:left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146" w:type="dxa"/>
            <w:vMerge w:val="continue"/>
            <w:tcBorders>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可持续影响指标</w:t>
            </w:r>
          </w:p>
        </w:tc>
        <w:tc>
          <w:tcPr>
            <w:tcW w:w="2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确保公岗队伍稳定</w:t>
            </w: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长期</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hAnsi="宋体" w:cs="宋体"/>
                <w:kern w:val="0"/>
                <w:sz w:val="22"/>
                <w:szCs w:val="22"/>
              </w:rPr>
              <w:t>长期</w:t>
            </w:r>
          </w:p>
        </w:tc>
      </w:tr>
      <w:tr>
        <w:tblPrEx>
          <w:tblCellMar>
            <w:top w:w="0" w:type="dxa"/>
            <w:left w:w="108" w:type="dxa"/>
            <w:bottom w:w="0" w:type="dxa"/>
            <w:right w:w="108" w:type="dxa"/>
          </w:tblCellMar>
        </w:tblPrEx>
        <w:trPr>
          <w:gridAfter w:val="1"/>
          <w:wAfter w:w="240" w:type="dxa"/>
          <w:trHeight w:val="530" w:hRule="atLeast"/>
        </w:trPr>
        <w:tc>
          <w:tcPr>
            <w:tcW w:w="1026" w:type="dxa"/>
            <w:vMerge w:val="continue"/>
            <w:tcBorders>
              <w:left w:val="single" w:color="000000" w:sz="4" w:space="0"/>
              <w:bottom w:val="single" w:color="000000" w:sz="4" w:space="0"/>
              <w:right w:val="single" w:color="000000"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1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rPr>
              <w:t>满意</w:t>
            </w:r>
          </w:p>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度指标</w:t>
            </w:r>
          </w:p>
        </w:tc>
        <w:tc>
          <w:tcPr>
            <w:tcW w:w="130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bottom"/>
              <w:rPr>
                <w:rFonts w:ascii="仿宋_GB2312" w:hAnsi="仿宋_GB2312" w:eastAsia="仿宋_GB2312" w:cs="仿宋_GB2312"/>
                <w:kern w:val="0"/>
                <w:sz w:val="24"/>
              </w:rPr>
            </w:pPr>
            <w:r>
              <w:rPr>
                <w:rFonts w:hint="eastAsia" w:ascii="仿宋_GB2312" w:hAnsi="仿宋_GB2312" w:eastAsia="仿宋_GB2312" w:cs="仿宋_GB2312"/>
                <w:kern w:val="0"/>
                <w:sz w:val="24"/>
              </w:rPr>
              <w:t>满意度</w:t>
            </w:r>
          </w:p>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指标</w:t>
            </w:r>
          </w:p>
        </w:tc>
        <w:tc>
          <w:tcPr>
            <w:tcW w:w="220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群众满意度</w:t>
            </w:r>
          </w:p>
        </w:tc>
        <w:tc>
          <w:tcPr>
            <w:tcW w:w="1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≥92%</w:t>
            </w:r>
          </w:p>
        </w:tc>
        <w:tc>
          <w:tcPr>
            <w:tcW w:w="213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≥92%</w:t>
            </w:r>
          </w:p>
        </w:tc>
      </w:tr>
    </w:tbl>
    <w:p>
      <w:pPr>
        <w:pStyle w:val="6"/>
        <w:spacing w:before="93"/>
        <w:rPr>
          <w:rFonts w:ascii="方正仿宋_GBK" w:hAnsi="方正仿宋_GBK" w:eastAsia="方正仿宋_GBK" w:cs="方正仿宋_GBK"/>
          <w:sz w:val="32"/>
          <w:szCs w:val="32"/>
          <w:lang w:val="zh-CN"/>
        </w:rPr>
      </w:pPr>
    </w:p>
    <w:p>
      <w:pPr>
        <w:spacing w:line="576" w:lineRule="exact"/>
        <w:rPr>
          <w:rFonts w:hint="eastAsia" w:ascii="方正仿宋_GBK" w:hAnsi="方正仿宋_GBK" w:eastAsia="方正仿宋_GBK" w:cs="方正仿宋_GBK"/>
          <w:szCs w:val="32"/>
          <w:lang w:val="zh-CN"/>
        </w:rPr>
      </w:pPr>
    </w:p>
    <w:p>
      <w:pPr>
        <w:spacing w:line="576" w:lineRule="exact"/>
        <w:rPr>
          <w:rFonts w:hint="eastAsia" w:ascii="方正仿宋_GBK" w:hAnsi="方正仿宋_GBK" w:eastAsia="方正仿宋_GBK" w:cs="方正仿宋_GBK"/>
          <w:szCs w:val="32"/>
          <w:lang w:val="zh-CN"/>
        </w:rPr>
      </w:pPr>
    </w:p>
    <w:p>
      <w:pPr>
        <w:spacing w:line="576" w:lineRule="exact"/>
        <w:rPr>
          <w:rFonts w:hint="eastAsia" w:ascii="方正仿宋_GBK" w:hAnsi="方正仿宋_GBK" w:eastAsia="方正仿宋_GBK" w:cs="方正仿宋_GBK"/>
          <w:szCs w:val="32"/>
          <w:lang w:val="zh-CN"/>
        </w:rPr>
      </w:pPr>
    </w:p>
    <w:p>
      <w:pPr>
        <w:spacing w:line="576" w:lineRule="exact"/>
        <w:rPr>
          <w:rFonts w:hint="eastAsia" w:ascii="方正仿宋_GBK" w:hAnsi="方正仿宋_GBK" w:eastAsia="方正仿宋_GBK" w:cs="方正仿宋_GBK"/>
          <w:szCs w:val="32"/>
          <w:lang w:val="zh-CN"/>
        </w:rPr>
      </w:pPr>
    </w:p>
    <w:p>
      <w:pPr>
        <w:spacing w:line="576" w:lineRule="exact"/>
        <w:rPr>
          <w:rFonts w:hint="eastAsia" w:ascii="方正仿宋_GBK" w:hAnsi="方正仿宋_GBK" w:eastAsia="方正仿宋_GBK" w:cs="方正仿宋_GBK"/>
          <w:szCs w:val="32"/>
          <w:lang w:val="zh-CN"/>
        </w:rPr>
      </w:pPr>
    </w:p>
    <w:p>
      <w:pPr>
        <w:spacing w:line="576" w:lineRule="exact"/>
        <w:rPr>
          <w:rFonts w:hint="eastAsia" w:ascii="方正仿宋_GBK" w:hAnsi="方正仿宋_GBK" w:eastAsia="方正仿宋_GBK" w:cs="方正仿宋_GBK"/>
          <w:szCs w:val="32"/>
          <w:lang w:val="zh-CN"/>
        </w:rPr>
      </w:pPr>
    </w:p>
    <w:p>
      <w:pPr>
        <w:keepNext w:val="0"/>
        <w:keepLines w:val="0"/>
        <w:pageBreakBefore w:val="0"/>
        <w:widowControl w:val="0"/>
        <w:kinsoku/>
        <w:wordWrap/>
        <w:overflowPunct/>
        <w:topLinePunct w:val="0"/>
        <w:bidi w:val="0"/>
        <w:spacing w:line="576" w:lineRule="exact"/>
        <w:textAlignment w:val="auto"/>
        <w:rPr>
          <w:rFonts w:ascii="方正仿宋_GBK" w:hAnsi="方正仿宋_GBK" w:eastAsia="方正仿宋_GBK" w:cs="方正仿宋_GBK"/>
          <w:szCs w:val="32"/>
        </w:rPr>
      </w:pPr>
      <w:r>
        <w:rPr>
          <w:rFonts w:hint="eastAsia" w:ascii="方正仿宋_GBK" w:hAnsi="方正仿宋_GBK" w:eastAsia="方正仿宋_GBK" w:cs="方正仿宋_GBK"/>
          <w:szCs w:val="32"/>
          <w:lang w:val="zh-CN"/>
        </w:rPr>
        <w:t>附件</w:t>
      </w:r>
      <w:r>
        <w:rPr>
          <w:rFonts w:hint="eastAsia" w:ascii="方正仿宋_GBK" w:hAnsi="方正仿宋_GBK" w:eastAsia="方正仿宋_GBK" w:cs="方正仿宋_GBK"/>
          <w:szCs w:val="32"/>
        </w:rPr>
        <w:t>2-3</w:t>
      </w:r>
    </w:p>
    <w:p>
      <w:pPr>
        <w:keepNext w:val="0"/>
        <w:keepLines w:val="0"/>
        <w:pageBreakBefore w:val="0"/>
        <w:widowControl w:val="0"/>
        <w:kinsoku/>
        <w:wordWrap/>
        <w:overflowPunct/>
        <w:topLinePunct w:val="0"/>
        <w:bidi w:val="0"/>
        <w:spacing w:line="576" w:lineRule="exact"/>
        <w:jc w:val="center"/>
        <w:textAlignment w:val="auto"/>
      </w:pPr>
      <w:r>
        <w:rPr>
          <w:rFonts w:hint="eastAsia" w:ascii="方正小标宋简体" w:hAnsi="方正小标宋简体" w:eastAsia="方正小标宋简体" w:cs="方正小标宋简体"/>
          <w:b w:val="0"/>
          <w:bCs w:val="0"/>
          <w:spacing w:val="-6"/>
          <w:sz w:val="44"/>
          <w:szCs w:val="44"/>
        </w:rPr>
        <w:t>2021年农村基础设施建设项目绩效评价报告</w:t>
      </w:r>
    </w:p>
    <w:p>
      <w:pPr>
        <w:keepNext w:val="0"/>
        <w:keepLines w:val="0"/>
        <w:pageBreakBefore w:val="0"/>
        <w:widowControl w:val="0"/>
        <w:kinsoku/>
        <w:wordWrap/>
        <w:overflowPunct/>
        <w:topLinePunct w:val="0"/>
        <w:bidi w:val="0"/>
        <w:spacing w:line="576" w:lineRule="exact"/>
        <w:ind w:firstLine="640" w:firstLineChars="200"/>
        <w:textAlignment w:val="auto"/>
        <w:rPr>
          <w:rFonts w:ascii="仿宋" w:hAnsi="仿宋" w:eastAsia="仿宋_GB2312" w:cs="仿宋_GB2312"/>
          <w:szCs w:val="32"/>
        </w:rPr>
      </w:pPr>
      <w:r>
        <w:rPr>
          <w:rFonts w:hint="eastAsia" w:ascii="黑体" w:hAnsi="黑体" w:eastAsia="黑体" w:cs="黑体"/>
          <w:szCs w:val="32"/>
        </w:rPr>
        <w:t>一、项目概况</w:t>
      </w:r>
    </w:p>
    <w:p>
      <w:pPr>
        <w:keepNext w:val="0"/>
        <w:keepLines w:val="0"/>
        <w:pageBreakBefore w:val="0"/>
        <w:widowControl w:val="0"/>
        <w:kinsoku/>
        <w:wordWrap/>
        <w:overflowPunct/>
        <w:topLinePunct w:val="0"/>
        <w:bidi w:val="0"/>
        <w:spacing w:line="576" w:lineRule="exact"/>
        <w:ind w:firstLine="640" w:firstLineChars="20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（一）项目基本情况</w:t>
      </w:r>
    </w:p>
    <w:p>
      <w:pPr>
        <w:keepNext w:val="0"/>
        <w:keepLines w:val="0"/>
        <w:pageBreakBefore w:val="0"/>
        <w:widowControl w:val="0"/>
        <w:kinsoku/>
        <w:wordWrap/>
        <w:overflowPunct/>
        <w:topLinePunct w:val="0"/>
        <w:bidi w:val="0"/>
        <w:spacing w:line="576" w:lineRule="exact"/>
        <w:ind w:firstLine="640" w:firstLineChars="200"/>
        <w:textAlignment w:val="auto"/>
        <w:rPr>
          <w:rFonts w:ascii="仿宋_GB2312" w:hAnsi="仿宋_GB2312" w:eastAsia="仿宋_GB2312" w:cs="仿宋_GB2312"/>
        </w:rPr>
      </w:pPr>
      <w:r>
        <w:rPr>
          <w:rFonts w:hint="eastAsia" w:ascii="仿宋_GB2312" w:hAnsi="仿宋_GB2312" w:eastAsia="仿宋_GB2312" w:cs="仿宋_GB2312"/>
        </w:rPr>
        <w:t>运山镇人民政府对辖区内6个行政村开展革命老区项目建设、进行道路塘堰建设等基础设施设备建设，改善农村生活条件。经费严格按照项目支出的范围、用途控制，坚持专款专用，不挤占挪用。项目资金支出的合法性、合理性，由镇经济发展办进行进行项目验收把关，镇财政所进行会计核算，确保了项目资金的安全。</w:t>
      </w:r>
    </w:p>
    <w:p>
      <w:pPr>
        <w:keepNext w:val="0"/>
        <w:keepLines w:val="0"/>
        <w:pageBreakBefore w:val="0"/>
        <w:widowControl w:val="0"/>
        <w:kinsoku/>
        <w:wordWrap/>
        <w:overflowPunct/>
        <w:topLinePunct w:val="0"/>
        <w:bidi w:val="0"/>
        <w:spacing w:line="576" w:lineRule="exact"/>
        <w:ind w:firstLine="640" w:firstLineChars="20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（二）项目绩效目标</w:t>
      </w:r>
    </w:p>
    <w:p>
      <w:pPr>
        <w:pStyle w:val="6"/>
        <w:keepNext w:val="0"/>
        <w:keepLines w:val="0"/>
        <w:pageBreakBefore w:val="0"/>
        <w:widowControl w:val="0"/>
        <w:kinsoku/>
        <w:wordWrap/>
        <w:overflowPunct/>
        <w:topLinePunct w:val="0"/>
        <w:bidi w:val="0"/>
        <w:adjustRightInd w:val="0"/>
        <w:snapToGrid w:val="0"/>
        <w:spacing w:beforeLines="0" w:line="576" w:lineRule="exact"/>
        <w:ind w:firstLine="640" w:firstLineChars="200"/>
        <w:textAlignment w:val="auto"/>
        <w:rPr>
          <w:rFonts w:hAnsi="仿宋_GB2312" w:cs="仿宋_GB2312"/>
          <w:kern w:val="2"/>
          <w:sz w:val="32"/>
        </w:rPr>
      </w:pPr>
      <w:r>
        <w:rPr>
          <w:rFonts w:hint="eastAsia" w:hAnsi="仿宋_GB2312" w:cs="仿宋_GB2312"/>
          <w:kern w:val="2"/>
          <w:sz w:val="32"/>
        </w:rPr>
        <w:t>农村基础设施建设项目经费来源为财政拨款，该项目投资70.00万元，经费资金总额为70.00万元，切实保障6个行政村开展革命老区项目建设、进行道路塘堰建设等基础设施设备建设，改善农村生活条件。</w:t>
      </w:r>
    </w:p>
    <w:p>
      <w:pPr>
        <w:keepNext w:val="0"/>
        <w:keepLines w:val="0"/>
        <w:pageBreakBefore w:val="0"/>
        <w:widowControl w:val="0"/>
        <w:kinsoku/>
        <w:wordWrap/>
        <w:overflowPunct/>
        <w:topLinePunct w:val="0"/>
        <w:bidi w:val="0"/>
        <w:spacing w:line="576" w:lineRule="exact"/>
        <w:ind w:firstLine="640" w:firstLineChars="200"/>
        <w:textAlignment w:val="auto"/>
        <w:rPr>
          <w:rFonts w:ascii="仿宋_GB2312" w:hAnsi="仿宋_GB2312" w:eastAsia="仿宋_GB2312" w:cs="仿宋_GB2312"/>
          <w:kern w:val="0"/>
          <w:szCs w:val="32"/>
          <w:lang w:val="zh-CN"/>
        </w:rPr>
      </w:pPr>
      <w:r>
        <w:rPr>
          <w:rFonts w:hint="eastAsia" w:ascii="楷体_GB2312" w:hAnsi="楷体_GB2312" w:eastAsia="楷体_GB2312" w:cs="楷体_GB2312"/>
          <w:szCs w:val="32"/>
          <w:lang w:val="zh-CN"/>
        </w:rPr>
        <w:t>（三）项目自评步骤及方法</w:t>
      </w:r>
    </w:p>
    <w:p>
      <w:pPr>
        <w:keepNext w:val="0"/>
        <w:keepLines w:val="0"/>
        <w:pageBreakBefore w:val="0"/>
        <w:widowControl w:val="0"/>
        <w:kinsoku/>
        <w:wordWrap/>
        <w:overflowPunct/>
        <w:topLinePunct w:val="0"/>
        <w:bidi w:val="0"/>
        <w:adjustRightInd w:val="0"/>
        <w:snapToGrid w:val="0"/>
        <w:spacing w:line="576" w:lineRule="exact"/>
        <w:ind w:firstLine="720"/>
        <w:textAlignment w:val="auto"/>
        <w:rPr>
          <w:rFonts w:hint="eastAsia" w:ascii="黑体" w:hAnsi="黑体" w:eastAsia="黑体" w:cs="黑体"/>
          <w:bCs/>
          <w:szCs w:val="32"/>
        </w:rPr>
      </w:pPr>
      <w:r>
        <w:rPr>
          <w:rFonts w:hint="eastAsia" w:ascii="仿宋_GB2312" w:hAnsi="仿宋_GB2312" w:eastAsia="仿宋_GB2312" w:cs="仿宋_GB2312"/>
          <w:lang w:val="zh-CN"/>
        </w:rPr>
        <w:t>该项目按照</w:t>
      </w:r>
      <w:r>
        <w:rPr>
          <w:rFonts w:hint="eastAsia" w:ascii="仿宋_GB2312" w:hAnsi="仿宋_GB2312" w:eastAsia="仿宋_GB2312" w:cs="仿宋_GB2312"/>
        </w:rPr>
        <w:t>《苍溪县财政局关于印发集中采购目录以外及分散采购限额标准以下项目施行简易程序实施意见》</w:t>
      </w:r>
      <w:r>
        <w:rPr>
          <w:rFonts w:hint="eastAsia" w:ascii="仿宋_GB2312" w:hAnsi="仿宋_GB2312" w:eastAsia="仿宋_GB2312" w:cs="仿宋_GB2312"/>
          <w:lang w:eastAsia="zh-CN"/>
        </w:rPr>
        <w:t>（</w:t>
      </w:r>
      <w:r>
        <w:rPr>
          <w:rFonts w:hint="eastAsia" w:ascii="仿宋_GB2312" w:hAnsi="仿宋_GB2312" w:eastAsia="仿宋_GB2312" w:cs="仿宋_GB2312"/>
          <w:lang w:val="zh-CN"/>
        </w:rPr>
        <w:t>苍财办〔</w:t>
      </w:r>
      <w:r>
        <w:rPr>
          <w:rFonts w:hint="eastAsia" w:ascii="仿宋_GB2312" w:hAnsi="仿宋_GB2312" w:eastAsia="仿宋_GB2312" w:cs="仿宋_GB2312"/>
        </w:rPr>
        <w:t>2021</w:t>
      </w:r>
      <w:r>
        <w:rPr>
          <w:rFonts w:hint="eastAsia" w:ascii="仿宋_GB2312" w:hAnsi="仿宋_GB2312" w:eastAsia="仿宋_GB2312" w:cs="仿宋_GB2312"/>
          <w:lang w:val="zh-CN"/>
        </w:rPr>
        <w:t>〕</w:t>
      </w:r>
      <w:r>
        <w:rPr>
          <w:rFonts w:hint="eastAsia" w:ascii="仿宋_GB2312" w:hAnsi="仿宋_GB2312" w:eastAsia="仿宋_GB2312" w:cs="仿宋_GB2312"/>
        </w:rPr>
        <w:t>14号</w:t>
      </w:r>
      <w:r>
        <w:rPr>
          <w:rFonts w:hint="eastAsia" w:ascii="仿宋_GB2312" w:hAnsi="仿宋_GB2312" w:eastAsia="仿宋_GB2312" w:cs="仿宋_GB2312"/>
          <w:lang w:eastAsia="zh-CN"/>
        </w:rPr>
        <w:t>）</w:t>
      </w:r>
      <w:r>
        <w:rPr>
          <w:rFonts w:hint="eastAsia" w:ascii="仿宋_GB2312" w:hAnsi="仿宋_GB2312" w:eastAsia="仿宋_GB2312" w:cs="仿宋_GB2312"/>
        </w:rPr>
        <w:t>的文件精神，我镇2021年农村基础设施建设项目全部通过</w:t>
      </w:r>
      <w:r>
        <w:rPr>
          <w:rFonts w:hint="eastAsia" w:ascii="仿宋_GB2312" w:hAnsi="仿宋_GB2312" w:eastAsia="仿宋_GB2312" w:cs="仿宋_GB2312"/>
          <w:lang w:val="zh-CN"/>
        </w:rPr>
        <w:t>竞争性谈判方式进行招标，组织专人实行监督验收</w:t>
      </w:r>
      <w:r>
        <w:rPr>
          <w:rFonts w:hint="eastAsia" w:ascii="仿宋_GB2312" w:hAnsi="仿宋_GB2312" w:eastAsia="仿宋_GB2312" w:cs="仿宋_GB2312"/>
          <w:kern w:val="0"/>
          <w:szCs w:val="32"/>
          <w:lang w:val="zh-CN"/>
        </w:rPr>
        <w:t>。</w:t>
      </w:r>
    </w:p>
    <w:p>
      <w:pPr>
        <w:keepNext w:val="0"/>
        <w:keepLines w:val="0"/>
        <w:pageBreakBefore w:val="0"/>
        <w:widowControl w:val="0"/>
        <w:kinsoku/>
        <w:wordWrap/>
        <w:overflowPunct/>
        <w:topLinePunct w:val="0"/>
        <w:bidi w:val="0"/>
        <w:spacing w:line="576" w:lineRule="exact"/>
        <w:ind w:firstLine="627" w:firstLineChars="196"/>
        <w:textAlignment w:val="auto"/>
        <w:rPr>
          <w:rFonts w:ascii="黑体" w:hAnsi="黑体" w:eastAsia="黑体" w:cs="黑体"/>
          <w:bCs/>
          <w:szCs w:val="32"/>
        </w:rPr>
      </w:pPr>
      <w:r>
        <w:rPr>
          <w:rFonts w:hint="eastAsia" w:ascii="黑体" w:hAnsi="黑体" w:eastAsia="黑体" w:cs="黑体"/>
          <w:bCs/>
          <w:szCs w:val="32"/>
        </w:rPr>
        <w:t>二、项目资金申报及使用情况</w:t>
      </w:r>
    </w:p>
    <w:p>
      <w:pPr>
        <w:keepNext w:val="0"/>
        <w:keepLines w:val="0"/>
        <w:pageBreakBefore w:val="0"/>
        <w:widowControl w:val="0"/>
        <w:kinsoku/>
        <w:wordWrap/>
        <w:overflowPunct/>
        <w:topLinePunct w:val="0"/>
        <w:bidi w:val="0"/>
        <w:spacing w:line="576" w:lineRule="exact"/>
        <w:ind w:firstLine="480" w:firstLineChars="150"/>
        <w:textAlignment w:val="auto"/>
        <w:rPr>
          <w:rFonts w:ascii="仿宋_GB2312" w:hAnsi="仿宋_GB2312" w:eastAsia="仿宋_GB2312" w:cs="仿宋_GB2312"/>
          <w:szCs w:val="32"/>
        </w:rPr>
      </w:pPr>
      <w:r>
        <w:rPr>
          <w:rFonts w:hint="eastAsia" w:ascii="楷体_GB2312" w:hAnsi="楷体_GB2312" w:eastAsia="楷体_GB2312" w:cs="楷体_GB2312"/>
          <w:szCs w:val="32"/>
        </w:rPr>
        <w:t>（一）项目资金申报及批复情况</w:t>
      </w:r>
    </w:p>
    <w:p>
      <w:pPr>
        <w:pStyle w:val="6"/>
        <w:keepNext w:val="0"/>
        <w:keepLines w:val="0"/>
        <w:pageBreakBefore w:val="0"/>
        <w:widowControl w:val="0"/>
        <w:kinsoku/>
        <w:wordWrap/>
        <w:overflowPunct/>
        <w:topLinePunct w:val="0"/>
        <w:bidi w:val="0"/>
        <w:adjustRightInd w:val="0"/>
        <w:snapToGrid w:val="0"/>
        <w:spacing w:beforeLines="0" w:line="576" w:lineRule="exact"/>
        <w:ind w:firstLine="640" w:firstLineChars="200"/>
        <w:textAlignment w:val="auto"/>
        <w:rPr>
          <w:rFonts w:hAnsi="仿宋_GB2312" w:cs="仿宋_GB2312"/>
          <w:kern w:val="2"/>
          <w:sz w:val="32"/>
        </w:rPr>
      </w:pPr>
      <w:r>
        <w:rPr>
          <w:rFonts w:hint="eastAsia" w:hAnsi="仿宋_GB2312" w:cs="仿宋_GB2312"/>
          <w:kern w:val="2"/>
          <w:sz w:val="32"/>
        </w:rPr>
        <w:t>县财政局拨农村基础设施建设项目专项资金70.00万元。运山镇财政所财务制度健全完备，资金管理规范，专款专用，资金使用与申报计划完全相符，合理，合法，合规。</w:t>
      </w:r>
    </w:p>
    <w:p>
      <w:pPr>
        <w:keepNext w:val="0"/>
        <w:keepLines w:val="0"/>
        <w:pageBreakBefore w:val="0"/>
        <w:widowControl w:val="0"/>
        <w:kinsoku/>
        <w:wordWrap/>
        <w:overflowPunct/>
        <w:topLinePunct w:val="0"/>
        <w:bidi w:val="0"/>
        <w:spacing w:line="576" w:lineRule="exact"/>
        <w:ind w:firstLine="640" w:firstLineChars="20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（二）资金计划、到位及使用情况</w:t>
      </w:r>
    </w:p>
    <w:p>
      <w:pPr>
        <w:keepNext w:val="0"/>
        <w:keepLines w:val="0"/>
        <w:pageBreakBefore w:val="0"/>
        <w:widowControl w:val="0"/>
        <w:kinsoku/>
        <w:wordWrap/>
        <w:overflowPunct/>
        <w:topLinePunct w:val="0"/>
        <w:bidi w:val="0"/>
        <w:spacing w:line="576" w:lineRule="exact"/>
        <w:ind w:firstLine="643" w:firstLineChars="200"/>
        <w:textAlignment w:val="auto"/>
        <w:rPr>
          <w:rFonts w:ascii="仿宋_GB2312" w:hAnsi="仿宋_GB2312" w:eastAsia="仿宋_GB2312" w:cs="仿宋_GB2312"/>
        </w:rPr>
      </w:pPr>
      <w:r>
        <w:rPr>
          <w:rFonts w:hint="eastAsia" w:ascii="仿宋_GB2312" w:hAnsi="仿宋_GB2312" w:eastAsia="仿宋_GB2312" w:cs="仿宋_GB2312"/>
          <w:b/>
          <w:bCs/>
          <w:szCs w:val="32"/>
        </w:rPr>
        <w:t>1．资金计划。</w:t>
      </w:r>
      <w:r>
        <w:rPr>
          <w:rFonts w:hint="eastAsia" w:ascii="仿宋_GB2312" w:hAnsi="仿宋_GB2312" w:eastAsia="仿宋_GB2312" w:cs="仿宋_GB2312"/>
        </w:rPr>
        <w:t>该项目资金计划70.00万元，截至2021年12月31日，实际计划情况70.00万元，计划资金中无中央、省、市财政资金、项目单位自筹资金及其他渠道资金，只有县财政局拨付资金。</w:t>
      </w:r>
    </w:p>
    <w:p>
      <w:pPr>
        <w:keepNext w:val="0"/>
        <w:keepLines w:val="0"/>
        <w:pageBreakBefore w:val="0"/>
        <w:widowControl w:val="0"/>
        <w:kinsoku/>
        <w:wordWrap/>
        <w:overflowPunct/>
        <w:topLinePunct w:val="0"/>
        <w:bidi w:val="0"/>
        <w:spacing w:line="576" w:lineRule="exact"/>
        <w:ind w:firstLine="645"/>
        <w:textAlignment w:val="auto"/>
        <w:rPr>
          <w:rFonts w:ascii="仿宋_GB2312" w:hAnsi="仿宋_GB2312" w:eastAsia="仿宋_GB2312" w:cs="仿宋_GB2312"/>
        </w:rPr>
      </w:pPr>
      <w:r>
        <w:rPr>
          <w:rFonts w:hint="eastAsia" w:ascii="仿宋_GB2312" w:hAnsi="仿宋_GB2312" w:eastAsia="仿宋_GB2312" w:cs="仿宋_GB2312"/>
          <w:b/>
          <w:bCs/>
          <w:szCs w:val="32"/>
        </w:rPr>
        <w:t>2．资金到位。</w:t>
      </w:r>
      <w:r>
        <w:rPr>
          <w:rFonts w:hint="eastAsia" w:ascii="仿宋_GB2312" w:hAnsi="仿宋_GB2312" w:eastAsia="仿宋_GB2312" w:cs="仿宋_GB2312"/>
        </w:rPr>
        <w:t>该项目资金到位70.00万元，截至2021年12月31日，实际到位情况70.00万元，计划资金中无中央、省、市财政资金、项目单位自筹资金及其他渠道资金，只有县财政局匹配资金。</w:t>
      </w:r>
    </w:p>
    <w:p>
      <w:pPr>
        <w:pStyle w:val="6"/>
        <w:keepNext w:val="0"/>
        <w:keepLines w:val="0"/>
        <w:pageBreakBefore w:val="0"/>
        <w:widowControl w:val="0"/>
        <w:kinsoku/>
        <w:wordWrap/>
        <w:overflowPunct/>
        <w:topLinePunct w:val="0"/>
        <w:bidi w:val="0"/>
        <w:adjustRightInd w:val="0"/>
        <w:snapToGrid w:val="0"/>
        <w:spacing w:beforeLines="0" w:line="576" w:lineRule="exact"/>
        <w:ind w:firstLine="643" w:firstLineChars="200"/>
        <w:textAlignment w:val="auto"/>
        <w:rPr>
          <w:rFonts w:hAnsi="仿宋_GB2312" w:cs="仿宋_GB2312"/>
          <w:kern w:val="2"/>
          <w:sz w:val="32"/>
        </w:rPr>
      </w:pPr>
      <w:r>
        <w:rPr>
          <w:rFonts w:hint="eastAsia" w:ascii="仿宋_GB2312" w:hAnsi="仿宋_GB2312" w:eastAsia="仿宋_GB2312" w:cs="仿宋_GB2312"/>
          <w:b/>
          <w:bCs/>
          <w:kern w:val="2"/>
          <w:sz w:val="32"/>
          <w:szCs w:val="32"/>
          <w:lang w:val="en-US" w:eastAsia="zh-CN" w:bidi="ar-SA"/>
        </w:rPr>
        <w:t>3．资金使用。</w:t>
      </w:r>
      <w:r>
        <w:rPr>
          <w:rFonts w:hint="eastAsia" w:hAnsi="仿宋_GB2312" w:cs="仿宋_GB2312"/>
          <w:kern w:val="2"/>
          <w:sz w:val="32"/>
        </w:rPr>
        <w:t>项目资金截至2021年底的实际支出情况为70.00万元，支付依据合规合法，资金支付与预算相符。</w:t>
      </w:r>
    </w:p>
    <w:p>
      <w:pPr>
        <w:pStyle w:val="6"/>
        <w:keepNext w:val="0"/>
        <w:keepLines w:val="0"/>
        <w:pageBreakBefore w:val="0"/>
        <w:widowControl w:val="0"/>
        <w:kinsoku/>
        <w:wordWrap/>
        <w:overflowPunct/>
        <w:topLinePunct w:val="0"/>
        <w:bidi w:val="0"/>
        <w:adjustRightInd w:val="0"/>
        <w:snapToGrid w:val="0"/>
        <w:spacing w:beforeLines="0" w:line="576" w:lineRule="exact"/>
        <w:ind w:firstLine="640" w:firstLineChars="200"/>
        <w:textAlignment w:val="auto"/>
        <w:rPr>
          <w:rFonts w:hAnsi="仿宋_GB2312" w:cs="仿宋_GB2312"/>
          <w:kern w:val="2"/>
          <w:sz w:val="32"/>
        </w:rPr>
      </w:pPr>
      <w:r>
        <w:rPr>
          <w:rFonts w:hint="eastAsia" w:hAnsi="仿宋_GB2312" w:cs="仿宋_GB2312"/>
          <w:kern w:val="2"/>
          <w:sz w:val="32"/>
        </w:rPr>
        <w:t>经费实施专账核算，无截留、挤占、挪用专项资金现象。全部支出使用合法票据，无虚列项目成本，无进行大额现金支付现象，对超过1000元以上支出均通过公务卡和银行转账等结算方式，均按规定标准执行。</w:t>
      </w:r>
    </w:p>
    <w:p>
      <w:pPr>
        <w:keepNext w:val="0"/>
        <w:keepLines w:val="0"/>
        <w:pageBreakBefore w:val="0"/>
        <w:widowControl w:val="0"/>
        <w:kinsoku/>
        <w:wordWrap/>
        <w:overflowPunct/>
        <w:topLinePunct w:val="0"/>
        <w:bidi w:val="0"/>
        <w:spacing w:line="576" w:lineRule="exact"/>
        <w:ind w:firstLine="640" w:firstLineChars="20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（三）项目财务管理情况</w:t>
      </w:r>
    </w:p>
    <w:p>
      <w:pPr>
        <w:pStyle w:val="6"/>
        <w:keepNext w:val="0"/>
        <w:keepLines w:val="0"/>
        <w:pageBreakBefore w:val="0"/>
        <w:widowControl w:val="0"/>
        <w:kinsoku/>
        <w:wordWrap/>
        <w:overflowPunct/>
        <w:topLinePunct w:val="0"/>
        <w:bidi w:val="0"/>
        <w:adjustRightInd w:val="0"/>
        <w:snapToGrid w:val="0"/>
        <w:spacing w:beforeLines="0" w:line="576" w:lineRule="exact"/>
        <w:ind w:firstLine="640" w:firstLineChars="200"/>
        <w:textAlignment w:val="auto"/>
        <w:rPr>
          <w:rFonts w:hAnsi="仿宋_GB2312" w:cs="仿宋_GB2312"/>
          <w:kern w:val="2"/>
          <w:sz w:val="32"/>
          <w:szCs w:val="32"/>
        </w:rPr>
      </w:pPr>
      <w:r>
        <w:rPr>
          <w:rFonts w:hint="eastAsia" w:hAnsi="仿宋_GB2312" w:cs="仿宋_GB2312"/>
          <w:kern w:val="2"/>
          <w:sz w:val="32"/>
          <w:szCs w:val="32"/>
        </w:rPr>
        <w:t>为了更好的使用农村基础设施建设专项经费，我镇严格按照苍溪县财政局有关规定的要求进行使用，镇财政所负责经费资金支付进度监督及管理。</w:t>
      </w:r>
    </w:p>
    <w:p>
      <w:pPr>
        <w:pStyle w:val="6"/>
        <w:keepNext w:val="0"/>
        <w:keepLines w:val="0"/>
        <w:pageBreakBefore w:val="0"/>
        <w:widowControl w:val="0"/>
        <w:kinsoku/>
        <w:wordWrap/>
        <w:overflowPunct/>
        <w:topLinePunct w:val="0"/>
        <w:bidi w:val="0"/>
        <w:adjustRightInd w:val="0"/>
        <w:snapToGrid w:val="0"/>
        <w:spacing w:beforeLines="0" w:line="576" w:lineRule="exact"/>
        <w:ind w:firstLine="640" w:firstLineChars="200"/>
        <w:jc w:val="left"/>
        <w:textAlignment w:val="auto"/>
        <w:rPr>
          <w:rFonts w:ascii="黑体" w:hAnsi="黑体" w:eastAsia="黑体" w:cs="黑体"/>
          <w:bCs/>
          <w:sz w:val="32"/>
          <w:szCs w:val="32"/>
        </w:rPr>
      </w:pPr>
      <w:r>
        <w:rPr>
          <w:rFonts w:hint="eastAsia" w:ascii="黑体" w:hAnsi="黑体" w:eastAsia="黑体" w:cs="黑体"/>
          <w:bCs/>
          <w:sz w:val="32"/>
          <w:szCs w:val="32"/>
        </w:rPr>
        <w:t>三、项目实施及管理情况</w:t>
      </w:r>
    </w:p>
    <w:p>
      <w:pPr>
        <w:keepNext w:val="0"/>
        <w:keepLines w:val="0"/>
        <w:pageBreakBefore w:val="0"/>
        <w:widowControl w:val="0"/>
        <w:kinsoku/>
        <w:wordWrap/>
        <w:overflowPunct/>
        <w:topLinePunct w:val="0"/>
        <w:bidi w:val="0"/>
        <w:spacing w:line="576" w:lineRule="exact"/>
        <w:ind w:firstLine="640" w:firstLineChars="20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（一）项目组织架构及实施流程</w:t>
      </w:r>
    </w:p>
    <w:p>
      <w:pPr>
        <w:pStyle w:val="6"/>
        <w:keepNext w:val="0"/>
        <w:keepLines w:val="0"/>
        <w:pageBreakBefore w:val="0"/>
        <w:widowControl w:val="0"/>
        <w:kinsoku/>
        <w:wordWrap/>
        <w:overflowPunct/>
        <w:topLinePunct w:val="0"/>
        <w:bidi w:val="0"/>
        <w:adjustRightInd w:val="0"/>
        <w:snapToGrid w:val="0"/>
        <w:spacing w:beforeLines="0" w:line="576" w:lineRule="exact"/>
        <w:ind w:firstLine="640" w:firstLineChars="200"/>
        <w:textAlignment w:val="auto"/>
        <w:rPr>
          <w:rFonts w:hAnsi="仿宋_GB2312" w:cs="仿宋_GB2312"/>
          <w:kern w:val="2"/>
          <w:sz w:val="32"/>
        </w:rPr>
      </w:pPr>
      <w:r>
        <w:rPr>
          <w:rFonts w:hint="eastAsia" w:hAnsi="仿宋_GB2312" w:cs="仿宋_GB2312"/>
          <w:kern w:val="2"/>
          <w:sz w:val="32"/>
        </w:rPr>
        <w:t>2021年农村基础设施建设项目建设主要内容是切实保障8个行政村开展革命老区项目建设、进行道路塘堰建设等基础设施设备建设，改善农村生活条件。该经费资金到位及时，支出合理合规，设立依据充分，并且目标明确，符合我镇要求。</w:t>
      </w:r>
    </w:p>
    <w:p>
      <w:pPr>
        <w:keepNext w:val="0"/>
        <w:keepLines w:val="0"/>
        <w:pageBreakBefore w:val="0"/>
        <w:widowControl w:val="0"/>
        <w:kinsoku/>
        <w:wordWrap/>
        <w:overflowPunct/>
        <w:topLinePunct w:val="0"/>
        <w:bidi w:val="0"/>
        <w:spacing w:line="576" w:lineRule="exact"/>
        <w:ind w:firstLine="640" w:firstLineChars="20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（二）项目管理情况</w:t>
      </w:r>
    </w:p>
    <w:p>
      <w:pPr>
        <w:pStyle w:val="6"/>
        <w:keepNext w:val="0"/>
        <w:keepLines w:val="0"/>
        <w:pageBreakBefore w:val="0"/>
        <w:widowControl w:val="0"/>
        <w:kinsoku/>
        <w:wordWrap/>
        <w:overflowPunct/>
        <w:topLinePunct w:val="0"/>
        <w:bidi w:val="0"/>
        <w:adjustRightInd w:val="0"/>
        <w:snapToGrid w:val="0"/>
        <w:spacing w:beforeLines="0" w:line="576" w:lineRule="exact"/>
        <w:ind w:firstLine="640" w:firstLineChars="200"/>
        <w:textAlignment w:val="auto"/>
        <w:rPr>
          <w:rFonts w:hAnsi="仿宋_GB2312" w:cs="仿宋_GB2312"/>
          <w:kern w:val="2"/>
          <w:sz w:val="32"/>
        </w:rPr>
      </w:pPr>
      <w:r>
        <w:rPr>
          <w:rFonts w:hint="eastAsia" w:hAnsi="仿宋_GB2312" w:cs="仿宋_GB2312"/>
          <w:kern w:val="2"/>
          <w:sz w:val="32"/>
        </w:rPr>
        <w:t>2021年农村基础设施建设项目经费来源为财政拨款，该项目投资70.00万元，主要实施内容是切实保障6个行政村开展革命老区项目建设、进行道路塘堰建设等基础设施设备建设，改善农村生活条件。</w:t>
      </w:r>
    </w:p>
    <w:p>
      <w:pPr>
        <w:keepNext w:val="0"/>
        <w:keepLines w:val="0"/>
        <w:pageBreakBefore w:val="0"/>
        <w:widowControl w:val="0"/>
        <w:kinsoku/>
        <w:wordWrap/>
        <w:overflowPunct/>
        <w:topLinePunct w:val="0"/>
        <w:bidi w:val="0"/>
        <w:spacing w:line="576" w:lineRule="exact"/>
        <w:ind w:firstLine="640" w:firstLineChars="20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（三）项目监管情况</w:t>
      </w:r>
    </w:p>
    <w:p>
      <w:pPr>
        <w:pStyle w:val="6"/>
        <w:keepNext w:val="0"/>
        <w:keepLines w:val="0"/>
        <w:pageBreakBefore w:val="0"/>
        <w:widowControl w:val="0"/>
        <w:kinsoku/>
        <w:wordWrap/>
        <w:overflowPunct/>
        <w:topLinePunct w:val="0"/>
        <w:bidi w:val="0"/>
        <w:adjustRightInd w:val="0"/>
        <w:snapToGrid w:val="0"/>
        <w:spacing w:beforeLines="0" w:line="576" w:lineRule="exact"/>
        <w:ind w:firstLine="672" w:firstLineChars="210"/>
        <w:textAlignment w:val="auto"/>
        <w:rPr>
          <w:rFonts w:ascii="仿宋" w:hAnsi="仿宋"/>
          <w:sz w:val="32"/>
          <w:szCs w:val="32"/>
        </w:rPr>
      </w:pPr>
      <w:r>
        <w:rPr>
          <w:rFonts w:hint="eastAsia" w:hAnsi="仿宋_GB2312" w:cs="仿宋_GB2312"/>
          <w:sz w:val="32"/>
          <w:szCs w:val="32"/>
        </w:rPr>
        <w:t>坚持项目账务达到账证相符、账账相符、账实相符，为提高工作质量和效率，明确规范管理、强化责任、稳中求进的指导思想，经费严格按照项目支出的范围、用途控制，坚持专款专用，不挤占挪用。项目资金支出的合法性、合理性，由镇财政所进行把关以及核对，并进行会计核算，确保了项目资金的安全。资金主要来源于政府投资</w:t>
      </w:r>
      <w:r>
        <w:rPr>
          <w:rFonts w:hint="eastAsia" w:ascii="仿宋" w:hAnsi="仿宋"/>
          <w:sz w:val="32"/>
          <w:szCs w:val="32"/>
        </w:rPr>
        <w:t>。</w:t>
      </w:r>
    </w:p>
    <w:p>
      <w:pPr>
        <w:pStyle w:val="6"/>
        <w:keepNext w:val="0"/>
        <w:keepLines w:val="0"/>
        <w:pageBreakBefore w:val="0"/>
        <w:widowControl w:val="0"/>
        <w:kinsoku/>
        <w:wordWrap/>
        <w:overflowPunct/>
        <w:topLinePunct w:val="0"/>
        <w:bidi w:val="0"/>
        <w:adjustRightInd w:val="0"/>
        <w:snapToGrid w:val="0"/>
        <w:spacing w:beforeLines="0" w:line="576" w:lineRule="exact"/>
        <w:ind w:firstLine="800" w:firstLineChars="250"/>
        <w:textAlignment w:val="auto"/>
        <w:rPr>
          <w:rFonts w:ascii="黑体" w:hAnsi="黑体" w:eastAsia="黑体" w:cs="黑体"/>
          <w:bCs/>
          <w:sz w:val="32"/>
          <w:szCs w:val="32"/>
        </w:rPr>
      </w:pPr>
      <w:r>
        <w:rPr>
          <w:rFonts w:hint="eastAsia" w:ascii="黑体" w:hAnsi="黑体" w:eastAsia="黑体" w:cs="黑体"/>
          <w:bCs/>
          <w:sz w:val="32"/>
          <w:szCs w:val="32"/>
        </w:rPr>
        <w:t>四、项目绩效情况</w:t>
      </w:r>
    </w:p>
    <w:p>
      <w:pPr>
        <w:keepNext w:val="0"/>
        <w:keepLines w:val="0"/>
        <w:pageBreakBefore w:val="0"/>
        <w:widowControl w:val="0"/>
        <w:kinsoku/>
        <w:wordWrap/>
        <w:overflowPunct/>
        <w:topLinePunct w:val="0"/>
        <w:bidi w:val="0"/>
        <w:spacing w:line="576" w:lineRule="exact"/>
        <w:ind w:firstLine="640" w:firstLineChars="20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（一）项目完成情况</w:t>
      </w:r>
    </w:p>
    <w:p>
      <w:pPr>
        <w:pStyle w:val="6"/>
        <w:keepNext w:val="0"/>
        <w:keepLines w:val="0"/>
        <w:pageBreakBefore w:val="0"/>
        <w:widowControl w:val="0"/>
        <w:kinsoku/>
        <w:wordWrap/>
        <w:overflowPunct/>
        <w:topLinePunct w:val="0"/>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截至2021年底项目资金支出为70.00万元，2021年农村基础设施建设专项经费建设主要内容是保障6个行政村开展革命老区项目建设、进行道路塘堰建设等基础设施设备建设，改善农村生活条件。该经费资金到位及时，支出合理合规，设立依据充分，并且目标明确，基本符合我镇要求。</w:t>
      </w:r>
    </w:p>
    <w:p>
      <w:pPr>
        <w:keepNext w:val="0"/>
        <w:keepLines w:val="0"/>
        <w:pageBreakBefore w:val="0"/>
        <w:widowControl w:val="0"/>
        <w:kinsoku/>
        <w:wordWrap/>
        <w:overflowPunct/>
        <w:topLinePunct w:val="0"/>
        <w:bidi w:val="0"/>
        <w:spacing w:line="576" w:lineRule="exact"/>
        <w:ind w:firstLine="640" w:firstLineChars="20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(二)项目效益情况</w:t>
      </w:r>
    </w:p>
    <w:p>
      <w:pPr>
        <w:pStyle w:val="6"/>
        <w:keepNext w:val="0"/>
        <w:keepLines w:val="0"/>
        <w:pageBreakBefore w:val="0"/>
        <w:widowControl w:val="0"/>
        <w:kinsoku/>
        <w:wordWrap/>
        <w:overflowPunct/>
        <w:topLinePunct w:val="0"/>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sz w:val="32"/>
          <w:szCs w:val="32"/>
        </w:rPr>
        <w:t>经费预期目标完成程度</w:t>
      </w:r>
      <w:r>
        <w:rPr>
          <w:rFonts w:hint="eastAsia" w:hAnsi="仿宋_GB2312" w:cs="仿宋_GB2312"/>
          <w:kern w:val="2"/>
          <w:sz w:val="32"/>
        </w:rPr>
        <w:t>。2021年农村基础设施建设补助专项经费已将资金拨付给6个行政村开展革命老区项目建设、进行道路塘堰建设等基础设施设备建设，改善农村生活条件。按照年初设置的绩效目标，具体完成情况如下：</w:t>
      </w:r>
    </w:p>
    <w:p>
      <w:pPr>
        <w:pStyle w:val="6"/>
        <w:keepNext w:val="0"/>
        <w:keepLines w:val="0"/>
        <w:pageBreakBefore w:val="0"/>
        <w:widowControl w:val="0"/>
        <w:kinsoku/>
        <w:wordWrap/>
        <w:overflowPunct/>
        <w:topLinePunct w:val="0"/>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产出指标保障6个行政村开展革命老区项目建设、进行道路塘堰建设等基础设施设备建设，完成绩效标准为优；成效指标（村民满意度）达到90%以上，完成绩效标准为优。</w:t>
      </w:r>
    </w:p>
    <w:p>
      <w:pPr>
        <w:pStyle w:val="6"/>
        <w:keepNext w:val="0"/>
        <w:keepLines w:val="0"/>
        <w:pageBreakBefore w:val="0"/>
        <w:widowControl w:val="0"/>
        <w:kinsoku/>
        <w:wordWrap/>
        <w:overflowPunct/>
        <w:topLinePunct w:val="0"/>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经费实施对经济和社会的影响。2021年农村基础设施建设专项经费，通过合理地资金投入使用，巩固了农村基础设施建设。经费拨付实施后，保障了6个行政村开展革命老区项目建设、进行道路塘堰建设等基础设施设备建设，改善农村生活条件。</w:t>
      </w:r>
    </w:p>
    <w:p>
      <w:pPr>
        <w:keepNext w:val="0"/>
        <w:keepLines w:val="0"/>
        <w:pageBreakBefore w:val="0"/>
        <w:widowControl w:val="0"/>
        <w:kinsoku/>
        <w:wordWrap/>
        <w:overflowPunct/>
        <w:topLinePunct w:val="0"/>
        <w:bidi w:val="0"/>
        <w:spacing w:line="576" w:lineRule="exact"/>
        <w:ind w:firstLine="800" w:firstLineChars="250"/>
        <w:textAlignment w:val="auto"/>
        <w:rPr>
          <w:rFonts w:ascii="黑体" w:hAnsi="黑体" w:eastAsia="黑体" w:cs="黑体"/>
          <w:bCs/>
          <w:szCs w:val="32"/>
        </w:rPr>
      </w:pPr>
      <w:r>
        <w:rPr>
          <w:rFonts w:hint="eastAsia" w:ascii="黑体" w:hAnsi="黑体" w:eastAsia="黑体" w:cs="黑体"/>
          <w:bCs/>
          <w:szCs w:val="32"/>
        </w:rPr>
        <w:t>五、评价结论及建议</w:t>
      </w:r>
    </w:p>
    <w:p>
      <w:pPr>
        <w:keepNext w:val="0"/>
        <w:keepLines w:val="0"/>
        <w:pageBreakBefore w:val="0"/>
        <w:widowControl w:val="0"/>
        <w:kinsoku/>
        <w:wordWrap/>
        <w:overflowPunct/>
        <w:topLinePunct w:val="0"/>
        <w:bidi w:val="0"/>
        <w:spacing w:line="576" w:lineRule="exact"/>
        <w:ind w:firstLine="640" w:firstLineChars="20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（一）评价结论</w:t>
      </w:r>
    </w:p>
    <w:p>
      <w:pPr>
        <w:pStyle w:val="6"/>
        <w:keepNext w:val="0"/>
        <w:keepLines w:val="0"/>
        <w:pageBreakBefore w:val="0"/>
        <w:widowControl w:val="0"/>
        <w:kinsoku/>
        <w:wordWrap/>
        <w:overflowPunct/>
        <w:topLinePunct w:val="0"/>
        <w:bidi w:val="0"/>
        <w:adjustRightInd w:val="0"/>
        <w:snapToGrid w:val="0"/>
        <w:spacing w:beforeLines="0" w:line="576" w:lineRule="exact"/>
        <w:ind w:firstLine="672" w:firstLineChars="210"/>
        <w:textAlignment w:val="auto"/>
        <w:rPr>
          <w:rFonts w:hAnsi="仿宋_GB2312" w:cs="仿宋_GB2312"/>
          <w:kern w:val="2"/>
          <w:sz w:val="32"/>
        </w:rPr>
      </w:pPr>
      <w:r>
        <w:rPr>
          <w:rFonts w:hint="eastAsia" w:hAnsi="仿宋_GB2312" w:cs="仿宋_GB2312"/>
          <w:kern w:val="2"/>
          <w:sz w:val="32"/>
        </w:rPr>
        <w:t>2021年农村基础设施建设专项经费，通过合理地资金投入使用，促进了农村就业率。经费拨付实施后，保障6个行政村开展革命老区项目建设、进行道路塘堰建设等基础设施设备建设，改善农村生活条件。</w:t>
      </w:r>
    </w:p>
    <w:p>
      <w:pPr>
        <w:pStyle w:val="6"/>
        <w:keepNext w:val="0"/>
        <w:keepLines w:val="0"/>
        <w:pageBreakBefore w:val="0"/>
        <w:widowControl w:val="0"/>
        <w:kinsoku/>
        <w:wordWrap/>
        <w:overflowPunct/>
        <w:topLinePunct w:val="0"/>
        <w:bidi w:val="0"/>
        <w:adjustRightInd w:val="0"/>
        <w:snapToGrid w:val="0"/>
        <w:spacing w:beforeLines="0" w:line="576" w:lineRule="exact"/>
        <w:ind w:firstLine="672" w:firstLineChars="210"/>
        <w:textAlignment w:val="auto"/>
        <w:rPr>
          <w:rFonts w:hAnsi="仿宋_GB2312" w:cs="仿宋_GB2312"/>
          <w:kern w:val="2"/>
          <w:sz w:val="32"/>
          <w:szCs w:val="32"/>
        </w:rPr>
      </w:pPr>
      <w:r>
        <w:rPr>
          <w:rFonts w:hint="eastAsia" w:hAnsi="仿宋_GB2312" w:cs="仿宋_GB2312"/>
          <w:kern w:val="2"/>
          <w:sz w:val="32"/>
          <w:szCs w:val="32"/>
        </w:rPr>
        <w:t>我镇在以下相关方面将持续做好工作，保证经费的良好运行，发挥其预期作用。</w:t>
      </w:r>
    </w:p>
    <w:p>
      <w:pPr>
        <w:pStyle w:val="6"/>
        <w:keepNext w:val="0"/>
        <w:keepLines w:val="0"/>
        <w:pageBreakBefore w:val="0"/>
        <w:widowControl w:val="0"/>
        <w:kinsoku/>
        <w:wordWrap/>
        <w:overflowPunct/>
        <w:topLinePunct w:val="0"/>
        <w:bidi w:val="0"/>
        <w:adjustRightInd w:val="0"/>
        <w:snapToGrid w:val="0"/>
        <w:spacing w:beforeLines="0" w:line="576" w:lineRule="exact"/>
        <w:ind w:firstLine="672" w:firstLineChars="210"/>
        <w:textAlignment w:val="auto"/>
        <w:rPr>
          <w:rFonts w:hAnsi="仿宋_GB2312" w:cs="仿宋_GB2312"/>
          <w:kern w:val="2"/>
          <w:sz w:val="32"/>
          <w:szCs w:val="32"/>
        </w:rPr>
      </w:pPr>
      <w:r>
        <w:rPr>
          <w:rFonts w:hint="eastAsia" w:hAnsi="仿宋_GB2312" w:cs="仿宋_GB2312"/>
          <w:kern w:val="2"/>
          <w:sz w:val="32"/>
          <w:szCs w:val="32"/>
        </w:rPr>
        <w:t>政策方面，我镇坚持“以人为本”的管理原则，切实履行国家和地方政府的法律法规。</w:t>
      </w:r>
    </w:p>
    <w:p>
      <w:pPr>
        <w:pStyle w:val="6"/>
        <w:keepNext w:val="0"/>
        <w:keepLines w:val="0"/>
        <w:pageBreakBefore w:val="0"/>
        <w:widowControl w:val="0"/>
        <w:kinsoku/>
        <w:wordWrap/>
        <w:overflowPunct/>
        <w:topLinePunct w:val="0"/>
        <w:bidi w:val="0"/>
        <w:adjustRightInd w:val="0"/>
        <w:snapToGrid w:val="0"/>
        <w:spacing w:beforeLines="0" w:line="576" w:lineRule="exact"/>
        <w:ind w:firstLine="672" w:firstLineChars="210"/>
        <w:textAlignment w:val="auto"/>
        <w:rPr>
          <w:rFonts w:hAnsi="仿宋_GB2312" w:cs="仿宋_GB2312"/>
          <w:kern w:val="2"/>
          <w:sz w:val="32"/>
          <w:szCs w:val="32"/>
        </w:rPr>
      </w:pPr>
      <w:r>
        <w:rPr>
          <w:rFonts w:hint="eastAsia" w:hAnsi="仿宋_GB2312" w:cs="仿宋_GB2312"/>
          <w:kern w:val="2"/>
          <w:sz w:val="32"/>
          <w:szCs w:val="32"/>
        </w:rPr>
        <w:t>可持续性方面，改善基础设施生产条件，带动农业亩均产量增加。</w:t>
      </w:r>
    </w:p>
    <w:p>
      <w:pPr>
        <w:keepNext w:val="0"/>
        <w:keepLines w:val="0"/>
        <w:pageBreakBefore w:val="0"/>
        <w:widowControl w:val="0"/>
        <w:kinsoku/>
        <w:wordWrap/>
        <w:overflowPunct/>
        <w:topLinePunct w:val="0"/>
        <w:bidi w:val="0"/>
        <w:spacing w:line="576" w:lineRule="exact"/>
        <w:ind w:firstLine="640" w:firstLineChars="20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（二）存在的问题</w:t>
      </w:r>
    </w:p>
    <w:p>
      <w:pPr>
        <w:keepNext w:val="0"/>
        <w:keepLines w:val="0"/>
        <w:pageBreakBefore w:val="0"/>
        <w:widowControl w:val="0"/>
        <w:kinsoku/>
        <w:wordWrap/>
        <w:overflowPunct/>
        <w:topLinePunct w:val="0"/>
        <w:bidi w:val="0"/>
        <w:spacing w:line="576" w:lineRule="exact"/>
        <w:ind w:firstLine="640" w:firstLineChars="200"/>
        <w:textAlignment w:val="auto"/>
        <w:rPr>
          <w:rFonts w:ascii="仿宋_GB2312" w:hAnsi="仿宋_GB2312" w:eastAsia="仿宋_GB2312"/>
          <w:szCs w:val="32"/>
        </w:rPr>
      </w:pPr>
      <w:r>
        <w:rPr>
          <w:rFonts w:hint="eastAsia" w:ascii="仿宋_GB2312" w:hAnsi="仿宋_GB2312" w:eastAsia="仿宋_GB2312" w:cs="仿宋_GB2312"/>
          <w:szCs w:val="32"/>
        </w:rPr>
        <w:t>通过项目实施，发现的主要问题：</w:t>
      </w:r>
      <w:r>
        <w:rPr>
          <w:rFonts w:hint="eastAsia" w:ascii="仿宋_GB2312" w:hAnsi="仿宋_GB2312" w:eastAsia="仿宋_GB2312"/>
          <w:szCs w:val="32"/>
        </w:rPr>
        <w:t>资金方面，项目实施后缺少后续管护运行经费</w:t>
      </w:r>
    </w:p>
    <w:p>
      <w:pPr>
        <w:keepNext w:val="0"/>
        <w:keepLines w:val="0"/>
        <w:pageBreakBefore w:val="0"/>
        <w:widowControl w:val="0"/>
        <w:kinsoku/>
        <w:wordWrap/>
        <w:overflowPunct/>
        <w:topLinePunct w:val="0"/>
        <w:bidi w:val="0"/>
        <w:spacing w:line="576" w:lineRule="exact"/>
        <w:ind w:firstLine="640" w:firstLineChars="200"/>
        <w:textAlignment w:val="auto"/>
        <w:rPr>
          <w:rFonts w:hint="eastAsia" w:ascii="楷体_GB2312" w:hAnsi="楷体_GB2312" w:eastAsia="楷体_GB2312" w:cs="楷体_GB2312"/>
          <w:szCs w:val="32"/>
        </w:rPr>
      </w:pPr>
      <w:r>
        <w:rPr>
          <w:rFonts w:hint="eastAsia" w:ascii="楷体_GB2312" w:hAnsi="楷体_GB2312" w:eastAsia="楷体_GB2312" w:cs="楷体_GB2312"/>
          <w:szCs w:val="32"/>
        </w:rPr>
        <w:t>（三）相关建议</w:t>
      </w:r>
    </w:p>
    <w:p>
      <w:pPr>
        <w:keepNext w:val="0"/>
        <w:keepLines w:val="0"/>
        <w:pageBreakBefore w:val="0"/>
        <w:widowControl w:val="0"/>
        <w:kinsoku/>
        <w:wordWrap/>
        <w:overflowPunct/>
        <w:topLinePunct w:val="0"/>
        <w:bidi w:val="0"/>
        <w:spacing w:line="576" w:lineRule="exact"/>
        <w:ind w:firstLine="640" w:firstLineChars="200"/>
        <w:textAlignment w:val="auto"/>
        <w:rPr>
          <w:rFonts w:ascii="仿宋_GB2312" w:hAnsi="仿宋_GB2312" w:eastAsia="仿宋_GB2312"/>
          <w:szCs w:val="32"/>
        </w:rPr>
      </w:pPr>
      <w:r>
        <w:rPr>
          <w:rFonts w:hint="eastAsia" w:ascii="仿宋_GB2312" w:hAnsi="仿宋_GB2312" w:eastAsia="仿宋_GB2312"/>
          <w:szCs w:val="32"/>
        </w:rPr>
        <w:t>在村级办公经费及公共运行经费中安排管护资金，确保基础设施建设运行顺畅，改善居民生活条件。</w:t>
      </w:r>
    </w:p>
    <w:p>
      <w:pPr>
        <w:pStyle w:val="2"/>
        <w:rPr>
          <w:rFonts w:ascii="仿宋_GB2312" w:hAnsi="仿宋_GB2312" w:eastAsia="仿宋_GB2312" w:cs="Times New Roman"/>
          <w:kern w:val="2"/>
          <w:sz w:val="32"/>
          <w:szCs w:val="32"/>
        </w:rPr>
      </w:pPr>
    </w:p>
    <w:p>
      <w:pPr>
        <w:pStyle w:val="2"/>
        <w:rPr>
          <w:rFonts w:ascii="仿宋_GB2312" w:hAnsi="仿宋_GB2312" w:eastAsia="仿宋_GB2312" w:cs="Times New Roman"/>
          <w:kern w:val="2"/>
          <w:sz w:val="32"/>
          <w:szCs w:val="32"/>
        </w:rPr>
      </w:pPr>
    </w:p>
    <w:p>
      <w:pPr>
        <w:pStyle w:val="2"/>
        <w:rPr>
          <w:rFonts w:ascii="仿宋_GB2312" w:hAnsi="仿宋_GB2312" w:eastAsia="仿宋_GB2312" w:cs="Times New Roman"/>
          <w:kern w:val="2"/>
          <w:sz w:val="32"/>
          <w:szCs w:val="32"/>
        </w:rPr>
      </w:pPr>
    </w:p>
    <w:p>
      <w:pPr>
        <w:pStyle w:val="2"/>
        <w:rPr>
          <w:rFonts w:ascii="仿宋_GB2312" w:hAnsi="仿宋_GB2312" w:eastAsia="仿宋_GB2312" w:cs="Times New Roman"/>
          <w:kern w:val="2"/>
          <w:sz w:val="32"/>
          <w:szCs w:val="32"/>
        </w:rPr>
      </w:pPr>
    </w:p>
    <w:p>
      <w:pPr>
        <w:pStyle w:val="2"/>
        <w:rPr>
          <w:rFonts w:ascii="仿宋_GB2312" w:hAnsi="仿宋_GB2312" w:eastAsia="仿宋_GB2312" w:cs="Times New Roman"/>
          <w:kern w:val="2"/>
          <w:sz w:val="32"/>
          <w:szCs w:val="32"/>
        </w:rPr>
      </w:pPr>
    </w:p>
    <w:p>
      <w:pPr>
        <w:pStyle w:val="2"/>
        <w:rPr>
          <w:rFonts w:ascii="仿宋_GB2312" w:hAnsi="仿宋_GB2312" w:eastAsia="仿宋_GB2312" w:cs="Times New Roman"/>
          <w:kern w:val="2"/>
          <w:sz w:val="32"/>
          <w:szCs w:val="32"/>
        </w:rPr>
      </w:pPr>
    </w:p>
    <w:p>
      <w:pPr>
        <w:pStyle w:val="2"/>
        <w:rPr>
          <w:rFonts w:ascii="仿宋_GB2312" w:hAnsi="仿宋_GB2312" w:eastAsia="仿宋_GB2312" w:cs="Times New Roman"/>
          <w:kern w:val="2"/>
          <w:sz w:val="32"/>
          <w:szCs w:val="32"/>
        </w:rPr>
      </w:pPr>
    </w:p>
    <w:tbl>
      <w:tblPr>
        <w:tblStyle w:val="13"/>
        <w:tblpPr w:leftFromText="180" w:rightFromText="180" w:vertAnchor="text" w:horzAnchor="page" w:tblpX="1281" w:tblpY="660"/>
        <w:tblOverlap w:val="never"/>
        <w:tblW w:w="9571" w:type="dxa"/>
        <w:tblInd w:w="0" w:type="dxa"/>
        <w:tblBorders>
          <w:top w:val="none" w:color="auto" w:sz="0" w:space="0"/>
          <w:left w:val="none" w:color="auto" w:sz="0" w:space="0"/>
          <w:bottom w:val="single" w:color="000000" w:sz="4"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204"/>
        <w:gridCol w:w="1215"/>
        <w:gridCol w:w="1245"/>
        <w:gridCol w:w="2279"/>
        <w:gridCol w:w="1651"/>
        <w:gridCol w:w="1977"/>
      </w:tblGrid>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9" w:hRule="atLeast"/>
        </w:trPr>
        <w:tc>
          <w:tcPr>
            <w:tcW w:w="9571" w:type="dxa"/>
            <w:gridSpan w:val="6"/>
            <w:tcBorders>
              <w:bottom w:val="single" w:color="auto" w:sz="4" w:space="0"/>
              <w:tl2br w:val="nil"/>
              <w:tr2bl w:val="nil"/>
            </w:tcBorders>
            <w:shd w:val="clear" w:color="auto" w:fill="auto"/>
            <w:vAlign w:val="center"/>
          </w:tcPr>
          <w:p>
            <w:pPr>
              <w:spacing w:line="576" w:lineRule="exact"/>
              <w:ind w:firstLine="562" w:firstLineChars="200"/>
              <w:rPr>
                <w:rFonts w:hint="eastAsia" w:ascii="宋体" w:hAnsi="宋体" w:eastAsia="宋体" w:cs="宋体"/>
                <w:b/>
                <w:sz w:val="28"/>
                <w:szCs w:val="28"/>
              </w:rPr>
            </w:pPr>
          </w:p>
          <w:p>
            <w:pPr>
              <w:spacing w:line="576" w:lineRule="exact"/>
              <w:ind w:firstLine="562" w:firstLineChars="200"/>
              <w:rPr>
                <w:rFonts w:hint="eastAsia" w:ascii="宋体" w:hAnsi="宋体" w:eastAsia="宋体" w:cs="宋体"/>
                <w:b/>
                <w:sz w:val="28"/>
                <w:szCs w:val="28"/>
              </w:rPr>
            </w:pPr>
          </w:p>
          <w:p>
            <w:pPr>
              <w:spacing w:line="576" w:lineRule="exact"/>
              <w:ind w:firstLine="562" w:firstLineChars="200"/>
              <w:rPr>
                <w:rFonts w:hint="eastAsia" w:ascii="宋体" w:hAnsi="宋体" w:eastAsia="宋体" w:cs="宋体"/>
                <w:b/>
                <w:sz w:val="28"/>
                <w:szCs w:val="28"/>
              </w:rPr>
            </w:pPr>
          </w:p>
          <w:p>
            <w:pPr>
              <w:spacing w:line="576" w:lineRule="exact"/>
              <w:rPr>
                <w:rFonts w:hint="eastAsia" w:ascii="宋体" w:hAnsi="宋体" w:eastAsia="宋体" w:cs="宋体"/>
                <w:b/>
                <w:sz w:val="28"/>
                <w:szCs w:val="28"/>
              </w:rPr>
            </w:pPr>
          </w:p>
          <w:p>
            <w:pPr>
              <w:spacing w:line="576" w:lineRule="exact"/>
              <w:ind w:firstLine="562" w:firstLineChars="200"/>
              <w:rPr>
                <w:rFonts w:hint="eastAsia" w:ascii="宋体" w:hAnsi="宋体" w:eastAsia="宋体" w:cs="宋体"/>
                <w:b/>
                <w:sz w:val="28"/>
                <w:szCs w:val="28"/>
              </w:rPr>
            </w:pPr>
          </w:p>
          <w:p>
            <w:pPr>
              <w:spacing w:line="576" w:lineRule="exact"/>
              <w:ind w:firstLine="562" w:firstLineChars="200"/>
              <w:rPr>
                <w:rFonts w:hint="eastAsia" w:ascii="宋体" w:hAnsi="宋体" w:eastAsia="宋体" w:cs="宋体"/>
                <w:b/>
                <w:sz w:val="28"/>
                <w:szCs w:val="28"/>
              </w:rPr>
            </w:pPr>
          </w:p>
          <w:p>
            <w:pPr>
              <w:spacing w:line="576" w:lineRule="exact"/>
              <w:ind w:firstLine="562" w:firstLineChars="200"/>
              <w:rPr>
                <w:rFonts w:hint="eastAsia" w:ascii="宋体" w:hAnsi="宋体" w:eastAsia="宋体" w:cs="宋体"/>
                <w:b/>
                <w:sz w:val="28"/>
                <w:szCs w:val="28"/>
              </w:rPr>
            </w:pPr>
          </w:p>
          <w:p>
            <w:pPr>
              <w:spacing w:line="576" w:lineRule="exact"/>
              <w:ind w:firstLine="562" w:firstLineChars="200"/>
              <w:rPr>
                <w:rFonts w:hint="eastAsia" w:ascii="宋体" w:hAnsi="宋体" w:eastAsia="宋体" w:cs="宋体"/>
                <w:b/>
                <w:sz w:val="28"/>
                <w:szCs w:val="28"/>
              </w:rPr>
            </w:pPr>
          </w:p>
          <w:p>
            <w:pPr>
              <w:spacing w:line="576" w:lineRule="exact"/>
              <w:ind w:firstLine="562" w:firstLineChars="200"/>
              <w:rPr>
                <w:rFonts w:hint="eastAsia" w:ascii="宋体" w:hAnsi="宋体" w:eastAsia="宋体" w:cs="宋体"/>
                <w:b/>
                <w:sz w:val="28"/>
                <w:szCs w:val="28"/>
              </w:rPr>
            </w:pPr>
          </w:p>
          <w:p>
            <w:pPr>
              <w:spacing w:line="576" w:lineRule="exact"/>
              <w:ind w:firstLine="562" w:firstLineChars="200"/>
              <w:rPr>
                <w:rFonts w:ascii="宋体" w:hAnsi="宋体" w:eastAsia="宋体" w:cs="宋体"/>
                <w:sz w:val="22"/>
                <w:szCs w:val="22"/>
              </w:rPr>
            </w:pPr>
            <w:r>
              <w:rPr>
                <w:rFonts w:hint="eastAsia" w:ascii="宋体" w:hAnsi="宋体" w:eastAsia="宋体" w:cs="宋体"/>
                <w:b/>
                <w:sz w:val="28"/>
                <w:szCs w:val="28"/>
              </w:rPr>
              <w:t>2021年农村基础设施建设项目补助部门预算项目绩效目标自评</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9" w:hRule="atLeast"/>
        </w:trPr>
        <w:tc>
          <w:tcPr>
            <w:tcW w:w="2419"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主管部门及代码</w:t>
            </w:r>
          </w:p>
        </w:tc>
        <w:tc>
          <w:tcPr>
            <w:tcW w:w="352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sz w:val="22"/>
                <w:szCs w:val="22"/>
              </w:rPr>
              <w:t>苍溪县财政局</w:t>
            </w: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实施单位</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sz w:val="22"/>
                <w:szCs w:val="22"/>
              </w:rPr>
              <w:t>苍溪县运山镇人民政府</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1" w:hRule="atLeast"/>
        </w:trPr>
        <w:tc>
          <w:tcPr>
            <w:tcW w:w="2419" w:type="dxa"/>
            <w:gridSpan w:val="2"/>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hint="eastAsia" w:ascii="宋体" w:hAnsi="宋体" w:eastAsia="宋体" w:cs="宋体"/>
                <w:kern w:val="0"/>
                <w:sz w:val="22"/>
                <w:szCs w:val="22"/>
                <w:lang w:eastAsia="zh-CN"/>
              </w:rPr>
            </w:pPr>
            <w:r>
              <w:rPr>
                <w:rFonts w:hint="eastAsia" w:ascii="宋体" w:hAnsi="宋体" w:eastAsia="宋体" w:cs="宋体"/>
                <w:kern w:val="0"/>
                <w:sz w:val="22"/>
                <w:szCs w:val="22"/>
              </w:rPr>
              <w:t>项目预算</w:t>
            </w:r>
          </w:p>
          <w:p>
            <w:pPr>
              <w:widowControl/>
              <w:spacing w:line="300" w:lineRule="atLeast"/>
              <w:jc w:val="center"/>
              <w:textAlignment w:val="center"/>
              <w:rPr>
                <w:rFonts w:hint="eastAsia" w:ascii="宋体" w:hAnsi="宋体" w:eastAsia="宋体" w:cs="宋体"/>
                <w:kern w:val="0"/>
                <w:sz w:val="22"/>
                <w:szCs w:val="22"/>
                <w:lang w:eastAsia="zh-CN"/>
              </w:rPr>
            </w:pPr>
            <w:r>
              <w:rPr>
                <w:rFonts w:hint="eastAsia" w:ascii="宋体" w:hAnsi="宋体" w:eastAsia="宋体" w:cs="宋体"/>
                <w:kern w:val="0"/>
                <w:sz w:val="22"/>
                <w:szCs w:val="22"/>
              </w:rPr>
              <w:t>执行情况</w:t>
            </w:r>
          </w:p>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（万元）</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预算数：</w:t>
            </w:r>
          </w:p>
        </w:tc>
        <w:tc>
          <w:tcPr>
            <w:tcW w:w="2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cs="宋体"/>
                <w:kern w:val="0"/>
                <w:sz w:val="22"/>
              </w:rPr>
              <w:t>70.00</w:t>
            </w: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执行数：</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cs="宋体"/>
                <w:kern w:val="0"/>
                <w:sz w:val="22"/>
              </w:rPr>
              <w:t>70.00</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9" w:hRule="atLeast"/>
        </w:trPr>
        <w:tc>
          <w:tcPr>
            <w:tcW w:w="2419"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宋体" w:hAnsi="宋体" w:eastAsia="宋体" w:cs="宋体"/>
                <w:sz w:val="22"/>
                <w:szCs w:val="22"/>
              </w:rPr>
            </w:pP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kern w:val="0"/>
                <w:sz w:val="22"/>
                <w:szCs w:val="22"/>
              </w:rPr>
            </w:pPr>
            <w:r>
              <w:rPr>
                <w:rFonts w:hint="eastAsia" w:ascii="宋体" w:hAnsi="宋体" w:eastAsia="宋体" w:cs="宋体"/>
                <w:kern w:val="0"/>
                <w:sz w:val="22"/>
                <w:szCs w:val="22"/>
              </w:rPr>
              <w:t>其中：</w:t>
            </w:r>
          </w:p>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财政拨款</w:t>
            </w:r>
          </w:p>
        </w:tc>
        <w:tc>
          <w:tcPr>
            <w:tcW w:w="2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cs="宋体"/>
                <w:kern w:val="0"/>
                <w:sz w:val="22"/>
              </w:rPr>
              <w:t>70.00</w:t>
            </w: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kern w:val="0"/>
                <w:sz w:val="22"/>
                <w:szCs w:val="22"/>
              </w:rPr>
            </w:pPr>
            <w:r>
              <w:rPr>
                <w:rFonts w:hint="eastAsia" w:ascii="宋体" w:hAnsi="宋体" w:eastAsia="宋体" w:cs="宋体"/>
                <w:kern w:val="0"/>
                <w:sz w:val="22"/>
                <w:szCs w:val="22"/>
              </w:rPr>
              <w:t>其中：</w:t>
            </w:r>
          </w:p>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财政拨款</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cs="宋体"/>
                <w:kern w:val="0"/>
                <w:sz w:val="22"/>
              </w:rPr>
              <w:t>70.00</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6" w:hRule="atLeast"/>
        </w:trPr>
        <w:tc>
          <w:tcPr>
            <w:tcW w:w="2419"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宋体" w:hAnsi="宋体" w:eastAsia="宋体" w:cs="宋体"/>
                <w:sz w:val="22"/>
                <w:szCs w:val="22"/>
              </w:rPr>
            </w:pP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其他资金</w:t>
            </w:r>
          </w:p>
        </w:tc>
        <w:tc>
          <w:tcPr>
            <w:tcW w:w="2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其他资金</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7" w:hRule="atLeast"/>
        </w:trPr>
        <w:tc>
          <w:tcPr>
            <w:tcW w:w="120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kern w:val="0"/>
                <w:sz w:val="22"/>
                <w:szCs w:val="22"/>
              </w:rPr>
            </w:pPr>
            <w:r>
              <w:rPr>
                <w:rFonts w:hint="eastAsia" w:ascii="宋体" w:hAnsi="宋体" w:eastAsia="宋体" w:cs="宋体"/>
                <w:kern w:val="0"/>
                <w:sz w:val="22"/>
                <w:szCs w:val="22"/>
              </w:rPr>
              <w:t>年度总体目标</w:t>
            </w:r>
          </w:p>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完成情况</w:t>
            </w:r>
          </w:p>
        </w:tc>
        <w:tc>
          <w:tcPr>
            <w:tcW w:w="4739"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预期目标</w:t>
            </w:r>
          </w:p>
        </w:tc>
        <w:tc>
          <w:tcPr>
            <w:tcW w:w="362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宋体" w:hAnsi="宋体" w:eastAsia="宋体" w:cs="宋体"/>
                <w:sz w:val="22"/>
                <w:szCs w:val="22"/>
              </w:rPr>
            </w:pPr>
            <w:r>
              <w:rPr>
                <w:rFonts w:hint="eastAsia" w:ascii="宋体" w:hAnsi="宋体" w:eastAsia="宋体" w:cs="宋体"/>
                <w:kern w:val="0"/>
                <w:sz w:val="22"/>
                <w:szCs w:val="22"/>
              </w:rPr>
              <w:t>目标实际完成情况</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7" w:hRule="atLeast"/>
        </w:trPr>
        <w:tc>
          <w:tcPr>
            <w:tcW w:w="120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宋体" w:hAnsi="宋体" w:eastAsia="宋体" w:cs="宋体"/>
                <w:sz w:val="22"/>
                <w:szCs w:val="22"/>
              </w:rPr>
            </w:pPr>
          </w:p>
        </w:tc>
        <w:tc>
          <w:tcPr>
            <w:tcW w:w="4739"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hAnsi="宋体" w:eastAsia="宋体" w:cs="宋体"/>
                <w:sz w:val="22"/>
                <w:szCs w:val="22"/>
              </w:rPr>
            </w:pPr>
            <w:r>
              <w:rPr>
                <w:rFonts w:hint="eastAsia" w:ascii="宋体" w:hAnsi="宋体" w:cs="宋体"/>
                <w:kern w:val="0"/>
                <w:sz w:val="22"/>
              </w:rPr>
              <w:t>保障了全镇6个行政村的道路建设、塘堰建设等基础设施设备建设，改善农村生活条件。</w:t>
            </w:r>
          </w:p>
        </w:tc>
        <w:tc>
          <w:tcPr>
            <w:tcW w:w="362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hAnsi="宋体" w:eastAsia="宋体" w:cs="宋体"/>
                <w:sz w:val="22"/>
                <w:szCs w:val="22"/>
              </w:rPr>
            </w:pPr>
            <w:r>
              <w:rPr>
                <w:rFonts w:hint="eastAsia" w:ascii="宋体" w:hAnsi="宋体" w:cs="宋体"/>
                <w:kern w:val="0"/>
                <w:sz w:val="22"/>
              </w:rPr>
              <w:t>保障了全镇6个行政村的道路建设、塘堰建设等基础设施设备建设，改善农村生活条件。</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3" w:hRule="atLeast"/>
        </w:trPr>
        <w:tc>
          <w:tcPr>
            <w:tcW w:w="1204"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年度绩效指标完成情况</w:t>
            </w: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一级指标</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二级指标</w:t>
            </w:r>
          </w:p>
        </w:tc>
        <w:tc>
          <w:tcPr>
            <w:tcW w:w="2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三级指标</w:t>
            </w: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预期指标值</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center"/>
              <w:rPr>
                <w:rFonts w:ascii="仿宋_GB2312" w:hAnsi="仿宋_GB2312" w:eastAsia="仿宋_GB2312" w:cs="仿宋_GB2312"/>
                <w:sz w:val="24"/>
              </w:rPr>
            </w:pPr>
            <w:r>
              <w:rPr>
                <w:rFonts w:hint="eastAsia" w:ascii="仿宋_GB2312" w:hAnsi="仿宋_GB2312" w:eastAsia="仿宋_GB2312" w:cs="仿宋_GB2312"/>
                <w:kern w:val="0"/>
                <w:sz w:val="24"/>
              </w:rPr>
              <w:t>实际完成指标值</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120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bottom"/>
              <w:rPr>
                <w:rFonts w:ascii="仿宋_GB2312" w:hAnsi="仿宋_GB2312" w:eastAsia="仿宋_GB2312" w:cs="仿宋_GB2312"/>
                <w:kern w:val="0"/>
                <w:sz w:val="24"/>
              </w:rPr>
            </w:pPr>
            <w:r>
              <w:rPr>
                <w:rFonts w:hint="eastAsia" w:ascii="仿宋_GB2312" w:hAnsi="仿宋_GB2312" w:eastAsia="仿宋_GB2312" w:cs="仿宋_GB2312"/>
                <w:kern w:val="0"/>
                <w:sz w:val="24"/>
              </w:rPr>
              <w:t>完成</w:t>
            </w:r>
          </w:p>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指标</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数量指标</w:t>
            </w:r>
          </w:p>
        </w:tc>
        <w:tc>
          <w:tcPr>
            <w:tcW w:w="2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2"/>
              </w:rPr>
              <w:t>涉及村个数</w:t>
            </w: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6个</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6个</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120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质量指标</w:t>
            </w:r>
          </w:p>
        </w:tc>
        <w:tc>
          <w:tcPr>
            <w:tcW w:w="2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hAnsi="宋体" w:cs="宋体"/>
                <w:kern w:val="0"/>
                <w:sz w:val="22"/>
                <w:szCs w:val="22"/>
              </w:rPr>
              <w:t>资金到位率</w:t>
            </w: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100%</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100%</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120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时效指标</w:t>
            </w:r>
          </w:p>
        </w:tc>
        <w:tc>
          <w:tcPr>
            <w:tcW w:w="2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2"/>
              </w:rPr>
              <w:t>完成时间</w:t>
            </w: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2021年12月底</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2021年12月底</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20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成本指标</w:t>
            </w:r>
          </w:p>
        </w:tc>
        <w:tc>
          <w:tcPr>
            <w:tcW w:w="2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完成成本（万元）</w:t>
            </w: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≤70.00</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70.00</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20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rPr>
              <w:t>效益</w:t>
            </w:r>
          </w:p>
          <w:p>
            <w:pPr>
              <w:spacing w:line="300" w:lineRule="atLeast"/>
              <w:jc w:val="center"/>
              <w:rPr>
                <w:rFonts w:ascii="仿宋_GB2312" w:hAnsi="仿宋_GB2312" w:eastAsia="仿宋_GB2312" w:cs="仿宋_GB2312"/>
                <w:sz w:val="24"/>
              </w:rPr>
            </w:pPr>
            <w:r>
              <w:rPr>
                <w:rFonts w:hint="eastAsia" w:ascii="仿宋_GB2312" w:hAnsi="仿宋_GB2312" w:eastAsia="仿宋_GB2312" w:cs="仿宋_GB2312"/>
                <w:kern w:val="0"/>
                <w:sz w:val="24"/>
              </w:rPr>
              <w:t>指标</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社会效益指标</w:t>
            </w:r>
          </w:p>
        </w:tc>
        <w:tc>
          <w:tcPr>
            <w:tcW w:w="2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textAlignment w:val="center"/>
              <w:rPr>
                <w:rFonts w:ascii="宋体" w:cs="宋体"/>
                <w:sz w:val="21"/>
                <w:szCs w:val="22"/>
              </w:rPr>
            </w:pPr>
            <w:r>
              <w:rPr>
                <w:rFonts w:hint="eastAsia" w:ascii="宋体" w:hAnsi="宋体" w:cs="宋体"/>
                <w:kern w:val="0"/>
                <w:sz w:val="22"/>
              </w:rPr>
              <w:t>受益群众户数（户）</w:t>
            </w: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textAlignment w:val="center"/>
              <w:rPr>
                <w:rFonts w:ascii="宋体" w:cs="宋体"/>
                <w:sz w:val="21"/>
                <w:szCs w:val="22"/>
              </w:rPr>
            </w:pPr>
            <w:r>
              <w:rPr>
                <w:rFonts w:ascii="宋体" w:hAnsi="宋体" w:cs="宋体"/>
                <w:kern w:val="0"/>
                <w:sz w:val="22"/>
              </w:rPr>
              <w:t>≥</w:t>
            </w:r>
            <w:r>
              <w:rPr>
                <w:rFonts w:hint="eastAsia" w:ascii="宋体" w:hAnsi="宋体" w:cs="宋体"/>
                <w:kern w:val="0"/>
                <w:sz w:val="22"/>
              </w:rPr>
              <w:t>120户</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hAnsi="宋体" w:cs="宋体"/>
                <w:kern w:val="0"/>
                <w:sz w:val="22"/>
              </w:rPr>
              <w:t>120户</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7" w:hRule="atLeast"/>
        </w:trPr>
        <w:tc>
          <w:tcPr>
            <w:tcW w:w="120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sz w:val="24"/>
              </w:rPr>
              <w:t>经济效益指标</w:t>
            </w:r>
          </w:p>
        </w:tc>
        <w:tc>
          <w:tcPr>
            <w:tcW w:w="2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hAnsi="宋体" w:cs="宋体"/>
                <w:kern w:val="0"/>
                <w:sz w:val="22"/>
              </w:rPr>
              <w:t>生产条件改善带动农业亩均产量增加</w:t>
            </w: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textAlignment w:val="center"/>
              <w:rPr>
                <w:rFonts w:ascii="宋体" w:cs="宋体"/>
                <w:sz w:val="21"/>
                <w:szCs w:val="22"/>
              </w:rPr>
            </w:pPr>
            <w:r>
              <w:rPr>
                <w:rFonts w:hint="eastAsia" w:ascii="宋体" w:hAnsi="宋体" w:cs="宋体"/>
                <w:kern w:val="0"/>
                <w:sz w:val="22"/>
              </w:rPr>
              <w:t>明显增加</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textAlignment w:val="center"/>
              <w:rPr>
                <w:rFonts w:ascii="宋体" w:cs="宋体"/>
                <w:sz w:val="21"/>
                <w:szCs w:val="22"/>
              </w:rPr>
            </w:pPr>
            <w:r>
              <w:rPr>
                <w:rFonts w:hint="eastAsia" w:ascii="宋体" w:hAnsi="宋体" w:cs="宋体"/>
                <w:kern w:val="0"/>
                <w:sz w:val="22"/>
              </w:rPr>
              <w:t>明显增加</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204"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300" w:lineRule="atLeast"/>
              <w:jc w:val="center"/>
              <w:rPr>
                <w:rFonts w:ascii="仿宋_GB2312" w:hAnsi="仿宋_GB2312" w:eastAsia="仿宋_GB2312" w:cs="仿宋_GB2312"/>
                <w:sz w:val="24"/>
              </w:rPr>
            </w:pP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可持续影响指标</w:t>
            </w:r>
          </w:p>
        </w:tc>
        <w:tc>
          <w:tcPr>
            <w:tcW w:w="2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hAnsi="宋体" w:cs="宋体"/>
                <w:kern w:val="0"/>
                <w:sz w:val="22"/>
              </w:rPr>
              <w:t>改善基础设施</w:t>
            </w: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textAlignment w:val="center"/>
              <w:rPr>
                <w:rFonts w:ascii="宋体" w:cs="宋体"/>
                <w:sz w:val="21"/>
                <w:szCs w:val="22"/>
              </w:rPr>
            </w:pPr>
            <w:r>
              <w:rPr>
                <w:rFonts w:hint="eastAsia" w:ascii="宋体" w:hAnsi="宋体" w:cs="宋体"/>
                <w:kern w:val="0"/>
                <w:sz w:val="22"/>
              </w:rPr>
              <w:t>明显提升</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textAlignment w:val="center"/>
              <w:rPr>
                <w:rFonts w:ascii="宋体" w:cs="宋体"/>
                <w:sz w:val="21"/>
                <w:szCs w:val="22"/>
              </w:rPr>
            </w:pPr>
            <w:r>
              <w:rPr>
                <w:rFonts w:hint="eastAsia" w:ascii="宋体" w:hAnsi="宋体" w:cs="宋体"/>
                <w:kern w:val="0"/>
                <w:sz w:val="22"/>
              </w:rPr>
              <w:t>明显提升</w:t>
            </w:r>
          </w:p>
        </w:tc>
      </w:tr>
      <w:tr>
        <w:tblPrEx>
          <w:tblBorders>
            <w:top w:val="none" w:color="auto" w:sz="0" w:space="0"/>
            <w:left w:val="none" w:color="auto" w:sz="0" w:space="0"/>
            <w:bottom w:val="single" w:color="000000" w:sz="4"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204" w:type="dxa"/>
            <w:vMerge w:val="continue"/>
            <w:tcBorders>
              <w:top w:val="single" w:color="auto" w:sz="4" w:space="0"/>
              <w:left w:val="single" w:color="auto" w:sz="4" w:space="0"/>
              <w:right w:val="single" w:color="auto" w:sz="4" w:space="0"/>
              <w:tl2br w:val="nil"/>
              <w:tr2bl w:val="nil"/>
            </w:tcBorders>
            <w:shd w:val="clear" w:color="auto" w:fill="auto"/>
            <w:vAlign w:val="center"/>
          </w:tcPr>
          <w:p>
            <w:pPr>
              <w:spacing w:line="300" w:lineRule="atLeast"/>
              <w:jc w:val="center"/>
              <w:rPr>
                <w:rFonts w:ascii="仿宋_GB2312" w:hAnsi="仿宋_GB2312" w:eastAsia="仿宋_GB2312" w:cs="仿宋_GB2312"/>
                <w:sz w:val="24"/>
              </w:rPr>
            </w:pPr>
          </w:p>
        </w:tc>
        <w:tc>
          <w:tcPr>
            <w:tcW w:w="121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bottom"/>
              <w:rPr>
                <w:rFonts w:hint="eastAsia" w:ascii="仿宋_GB2312" w:hAnsi="仿宋_GB2312" w:eastAsia="仿宋_GB2312" w:cs="仿宋_GB2312"/>
                <w:kern w:val="0"/>
                <w:sz w:val="24"/>
                <w:lang w:eastAsia="zh-CN"/>
              </w:rPr>
            </w:pPr>
            <w:r>
              <w:rPr>
                <w:rFonts w:hint="eastAsia" w:ascii="仿宋_GB2312" w:hAnsi="仿宋_GB2312" w:eastAsia="仿宋_GB2312" w:cs="仿宋_GB2312"/>
                <w:kern w:val="0"/>
                <w:sz w:val="24"/>
              </w:rPr>
              <w:t>满意</w:t>
            </w:r>
          </w:p>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度指标</w:t>
            </w:r>
          </w:p>
        </w:tc>
        <w:tc>
          <w:tcPr>
            <w:tcW w:w="1245"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bottom"/>
              <w:rPr>
                <w:rFonts w:ascii="仿宋_GB2312" w:hAnsi="仿宋_GB2312" w:eastAsia="仿宋_GB2312" w:cs="仿宋_GB2312"/>
                <w:kern w:val="0"/>
                <w:sz w:val="24"/>
              </w:rPr>
            </w:pPr>
            <w:r>
              <w:rPr>
                <w:rFonts w:hint="eastAsia" w:ascii="仿宋_GB2312" w:hAnsi="仿宋_GB2312" w:eastAsia="仿宋_GB2312" w:cs="仿宋_GB2312"/>
                <w:kern w:val="0"/>
                <w:sz w:val="24"/>
              </w:rPr>
              <w:t>满意度</w:t>
            </w:r>
          </w:p>
          <w:p>
            <w:pPr>
              <w:widowControl/>
              <w:spacing w:line="300" w:lineRule="atLeast"/>
              <w:jc w:val="center"/>
              <w:textAlignment w:val="bottom"/>
              <w:rPr>
                <w:rFonts w:ascii="仿宋_GB2312" w:hAnsi="仿宋_GB2312" w:eastAsia="仿宋_GB2312" w:cs="仿宋_GB2312"/>
                <w:sz w:val="24"/>
              </w:rPr>
            </w:pPr>
            <w:r>
              <w:rPr>
                <w:rFonts w:hint="eastAsia" w:ascii="仿宋_GB2312" w:hAnsi="仿宋_GB2312" w:eastAsia="仿宋_GB2312" w:cs="仿宋_GB2312"/>
                <w:kern w:val="0"/>
                <w:sz w:val="24"/>
              </w:rPr>
              <w:t>指标</w:t>
            </w:r>
          </w:p>
        </w:tc>
        <w:tc>
          <w:tcPr>
            <w:tcW w:w="227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群众满意度</w:t>
            </w:r>
          </w:p>
        </w:tc>
        <w:tc>
          <w:tcPr>
            <w:tcW w:w="1651"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≥90%</w:t>
            </w:r>
          </w:p>
        </w:tc>
        <w:tc>
          <w:tcPr>
            <w:tcW w:w="19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00" w:lineRule="atLeast"/>
              <w:jc w:val="center"/>
              <w:textAlignment w:val="top"/>
              <w:rPr>
                <w:rFonts w:ascii="宋体" w:cs="宋体"/>
                <w:sz w:val="21"/>
                <w:szCs w:val="22"/>
              </w:rPr>
            </w:pPr>
            <w:r>
              <w:rPr>
                <w:rFonts w:hint="eastAsia" w:ascii="宋体" w:cs="宋体"/>
                <w:sz w:val="21"/>
                <w:szCs w:val="22"/>
              </w:rPr>
              <w:t>≥90%</w:t>
            </w:r>
          </w:p>
        </w:tc>
      </w:tr>
    </w:tbl>
    <w:p>
      <w:pPr>
        <w:pStyle w:val="6"/>
        <w:spacing w:before="93"/>
        <w:rPr>
          <w:rFonts w:ascii="方正仿宋_GBK" w:hAnsi="方正仿宋_GBK" w:eastAsia="方正仿宋_GBK" w:cs="方正仿宋_GBK"/>
          <w:sz w:val="32"/>
          <w:szCs w:val="32"/>
          <w:lang w:val="zh-CN"/>
        </w:rPr>
      </w:pPr>
    </w:p>
    <w:p>
      <w:pPr>
        <w:pStyle w:val="3"/>
        <w:keepNext/>
        <w:keepLines/>
        <w:pageBreakBefore w:val="0"/>
        <w:widowControl w:val="0"/>
        <w:kinsoku/>
        <w:wordWrap/>
        <w:overflowPunct/>
        <w:topLinePunct w:val="0"/>
        <w:autoSpaceDE/>
        <w:autoSpaceDN/>
        <w:bidi w:val="0"/>
        <w:adjustRightInd/>
        <w:snapToGrid/>
        <w:spacing w:before="0" w:after="0" w:line="576" w:lineRule="exact"/>
        <w:textAlignment w:val="auto"/>
      </w:pPr>
      <w:bookmarkStart w:id="140" w:name="_Toc15396618"/>
      <w:bookmarkStart w:id="141" w:name="_Toc20458"/>
      <w:bookmarkStart w:id="142" w:name="_Toc19026"/>
      <w:bookmarkStart w:id="143" w:name="_Toc18133"/>
      <w:r>
        <w:rPr>
          <w:rFonts w:hint="eastAsia"/>
        </w:rPr>
        <w:t>第五部分 附表</w:t>
      </w:r>
      <w:bookmarkEnd w:id="127"/>
      <w:bookmarkEnd w:id="140"/>
      <w:bookmarkEnd w:id="141"/>
      <w:bookmarkEnd w:id="142"/>
      <w:bookmarkEnd w:id="143"/>
      <w:bookmarkStart w:id="144" w:name="_Toc15396619"/>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45" w:name="_Toc22598"/>
      <w:bookmarkStart w:id="146" w:name="_Toc30414"/>
      <w:bookmarkStart w:id="147" w:name="_Toc28944"/>
      <w:r>
        <w:rPr>
          <w:rFonts w:hint="eastAsia" w:ascii="仿宋_GB2312" w:hAnsi="仿宋_GB2312" w:eastAsia="仿宋_GB2312" w:cs="仿宋_GB2312"/>
        </w:rPr>
        <w:t>一、收入支出决算总表</w:t>
      </w:r>
      <w:bookmarkEnd w:id="144"/>
      <w:bookmarkEnd w:id="145"/>
      <w:bookmarkEnd w:id="146"/>
      <w:bookmarkEnd w:id="147"/>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48" w:name="_Toc13480"/>
      <w:bookmarkStart w:id="149" w:name="_Toc11404"/>
      <w:bookmarkStart w:id="150" w:name="_Toc5960"/>
      <w:bookmarkStart w:id="151" w:name="_Toc15396620"/>
      <w:r>
        <w:rPr>
          <w:rFonts w:hint="eastAsia" w:ascii="仿宋_GB2312" w:hAnsi="仿宋_GB2312" w:eastAsia="仿宋_GB2312" w:cs="仿宋_GB2312"/>
        </w:rPr>
        <w:t>二、收入决算表</w:t>
      </w:r>
      <w:bookmarkEnd w:id="148"/>
      <w:bookmarkEnd w:id="149"/>
      <w:bookmarkEnd w:id="150"/>
      <w:bookmarkEnd w:id="151"/>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52" w:name="_Toc18715"/>
      <w:bookmarkStart w:id="153" w:name="_Toc24409"/>
      <w:bookmarkStart w:id="154" w:name="_Toc15396621"/>
      <w:bookmarkStart w:id="155" w:name="_Toc3482"/>
      <w:r>
        <w:rPr>
          <w:rFonts w:hint="eastAsia" w:ascii="仿宋_GB2312" w:hAnsi="仿宋_GB2312" w:eastAsia="仿宋_GB2312" w:cs="仿宋_GB2312"/>
        </w:rPr>
        <w:t>三、支出决算表</w:t>
      </w:r>
      <w:bookmarkEnd w:id="152"/>
      <w:bookmarkEnd w:id="153"/>
      <w:bookmarkEnd w:id="154"/>
      <w:bookmarkEnd w:id="155"/>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56" w:name="_Toc4057"/>
      <w:bookmarkStart w:id="157" w:name="_Toc6659"/>
      <w:bookmarkStart w:id="158" w:name="_Toc10685"/>
      <w:bookmarkStart w:id="159" w:name="_Toc15396622"/>
      <w:r>
        <w:rPr>
          <w:rFonts w:hint="eastAsia" w:ascii="仿宋_GB2312" w:hAnsi="仿宋_GB2312" w:eastAsia="仿宋_GB2312" w:cs="仿宋_GB2312"/>
        </w:rPr>
        <w:t>四、财政拨款收入支出决算总表</w:t>
      </w:r>
      <w:bookmarkEnd w:id="156"/>
      <w:bookmarkEnd w:id="157"/>
      <w:bookmarkEnd w:id="158"/>
      <w:bookmarkEnd w:id="159"/>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60" w:name="_Toc15396623"/>
      <w:bookmarkStart w:id="161" w:name="_Toc5300"/>
      <w:bookmarkStart w:id="162" w:name="_Toc14519"/>
      <w:bookmarkStart w:id="163" w:name="_Toc19616"/>
      <w:r>
        <w:rPr>
          <w:rFonts w:hint="eastAsia" w:ascii="仿宋_GB2312" w:hAnsi="仿宋_GB2312" w:eastAsia="仿宋_GB2312" w:cs="仿宋_GB2312"/>
        </w:rPr>
        <w:t>五、财政拨款支出决算明细表</w:t>
      </w:r>
      <w:bookmarkEnd w:id="160"/>
      <w:bookmarkEnd w:id="161"/>
      <w:bookmarkEnd w:id="162"/>
      <w:bookmarkEnd w:id="163"/>
      <w:bookmarkStart w:id="164" w:name="_Toc15396624"/>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65" w:name="_Toc13253"/>
      <w:bookmarkStart w:id="166" w:name="_Toc29118"/>
      <w:bookmarkStart w:id="167" w:name="_Toc7806"/>
      <w:r>
        <w:rPr>
          <w:rFonts w:hint="eastAsia" w:ascii="仿宋_GB2312" w:hAnsi="仿宋_GB2312" w:eastAsia="仿宋_GB2312" w:cs="仿宋_GB2312"/>
        </w:rPr>
        <w:t>六、一般公共预算财政拨款支出决算表</w:t>
      </w:r>
      <w:bookmarkEnd w:id="164"/>
      <w:bookmarkEnd w:id="165"/>
      <w:bookmarkEnd w:id="166"/>
      <w:bookmarkEnd w:id="167"/>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68" w:name="_Toc19387"/>
      <w:bookmarkStart w:id="169" w:name="_Toc22525"/>
      <w:bookmarkStart w:id="170" w:name="_Toc15396625"/>
      <w:bookmarkStart w:id="171" w:name="_Toc23241"/>
      <w:r>
        <w:rPr>
          <w:rFonts w:hint="eastAsia" w:ascii="仿宋_GB2312" w:hAnsi="仿宋_GB2312" w:eastAsia="仿宋_GB2312" w:cs="仿宋_GB2312"/>
        </w:rPr>
        <w:t>七、一般公共预算财政拨款支出决算明细表</w:t>
      </w:r>
      <w:bookmarkEnd w:id="168"/>
      <w:bookmarkEnd w:id="169"/>
      <w:bookmarkEnd w:id="170"/>
      <w:bookmarkEnd w:id="171"/>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72" w:name="_Toc3746"/>
      <w:bookmarkStart w:id="173" w:name="_Toc16938"/>
      <w:bookmarkStart w:id="174" w:name="_Toc15396626"/>
      <w:bookmarkStart w:id="175" w:name="_Toc1063"/>
      <w:r>
        <w:rPr>
          <w:rFonts w:hint="eastAsia" w:ascii="仿宋_GB2312" w:hAnsi="仿宋_GB2312" w:eastAsia="仿宋_GB2312" w:cs="仿宋_GB2312"/>
        </w:rPr>
        <w:t>八、一般公共预算财政拨款基本支出决算表</w:t>
      </w:r>
      <w:bookmarkEnd w:id="172"/>
      <w:bookmarkEnd w:id="173"/>
      <w:bookmarkEnd w:id="174"/>
      <w:bookmarkEnd w:id="175"/>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76" w:name="_Toc5084"/>
      <w:bookmarkStart w:id="177" w:name="_Toc14337"/>
      <w:bookmarkStart w:id="178" w:name="_Toc15396627"/>
      <w:bookmarkStart w:id="179" w:name="_Toc9923"/>
      <w:r>
        <w:rPr>
          <w:rFonts w:hint="eastAsia" w:ascii="仿宋_GB2312" w:hAnsi="仿宋_GB2312" w:eastAsia="仿宋_GB2312" w:cs="仿宋_GB2312"/>
        </w:rPr>
        <w:t>九、一般公共预算财政拨款项目支出决算表</w:t>
      </w:r>
      <w:bookmarkEnd w:id="176"/>
      <w:bookmarkEnd w:id="177"/>
      <w:bookmarkEnd w:id="178"/>
      <w:bookmarkEnd w:id="179"/>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80" w:name="_Toc15396628"/>
      <w:bookmarkStart w:id="181" w:name="_Toc11013"/>
      <w:bookmarkStart w:id="182" w:name="_Toc12678"/>
      <w:bookmarkStart w:id="183" w:name="_Toc400"/>
      <w:r>
        <w:rPr>
          <w:rFonts w:hint="eastAsia" w:ascii="仿宋_GB2312" w:hAnsi="仿宋_GB2312" w:eastAsia="仿宋_GB2312" w:cs="仿宋_GB2312"/>
        </w:rPr>
        <w:t>十、一般公共预算财政拨款“三公”经费支出决算表</w:t>
      </w:r>
      <w:bookmarkEnd w:id="180"/>
      <w:bookmarkEnd w:id="181"/>
      <w:bookmarkEnd w:id="182"/>
      <w:bookmarkEnd w:id="183"/>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84" w:name="_Toc2804"/>
      <w:bookmarkStart w:id="185" w:name="_Toc30348"/>
      <w:bookmarkStart w:id="186" w:name="_Toc5619"/>
      <w:bookmarkStart w:id="187" w:name="_Toc15396629"/>
      <w:r>
        <w:rPr>
          <w:rFonts w:hint="eastAsia" w:ascii="仿宋_GB2312" w:hAnsi="仿宋_GB2312" w:eastAsia="仿宋_GB2312" w:cs="仿宋_GB2312"/>
        </w:rPr>
        <w:t>十一、政府性基金预算财政拨款收入支出决算表</w:t>
      </w:r>
      <w:bookmarkEnd w:id="184"/>
      <w:bookmarkEnd w:id="185"/>
      <w:bookmarkEnd w:id="186"/>
      <w:bookmarkEnd w:id="187"/>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88" w:name="_Toc21027"/>
      <w:bookmarkStart w:id="189" w:name="_Toc15396630"/>
      <w:bookmarkStart w:id="190" w:name="_Toc3932"/>
      <w:bookmarkStart w:id="191" w:name="_Toc31391"/>
      <w:r>
        <w:rPr>
          <w:rFonts w:hint="eastAsia" w:ascii="仿宋_GB2312" w:hAnsi="仿宋_GB2312" w:eastAsia="仿宋_GB2312" w:cs="仿宋_GB2312"/>
        </w:rPr>
        <w:t>十二、政府性基金预算财政拨款“三公”经费支出决算表</w:t>
      </w:r>
      <w:bookmarkEnd w:id="188"/>
      <w:bookmarkEnd w:id="189"/>
      <w:bookmarkEnd w:id="190"/>
      <w:bookmarkEnd w:id="191"/>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92" w:name="_Toc20943"/>
      <w:bookmarkStart w:id="193" w:name="_Toc21061"/>
      <w:bookmarkStart w:id="194" w:name="_Toc15396631"/>
      <w:bookmarkStart w:id="195" w:name="_Toc11202"/>
      <w:r>
        <w:rPr>
          <w:rFonts w:hint="eastAsia" w:ascii="仿宋_GB2312" w:hAnsi="仿宋_GB2312" w:eastAsia="仿宋_GB2312" w:cs="仿宋_GB2312"/>
        </w:rPr>
        <w:t>十三、国有资本经营预算财政拨款收入支出决算表</w:t>
      </w:r>
      <w:bookmarkEnd w:id="192"/>
      <w:bookmarkEnd w:id="193"/>
      <w:bookmarkEnd w:id="194"/>
      <w:bookmarkEnd w:id="195"/>
    </w:p>
    <w:p>
      <w:pPr>
        <w:pStyle w:val="5"/>
        <w:keepNext/>
        <w:keepLines/>
        <w:pageBreakBefore w:val="0"/>
        <w:widowControl w:val="0"/>
        <w:kinsoku/>
        <w:wordWrap/>
        <w:overflowPunct/>
        <w:topLinePunct w:val="0"/>
        <w:autoSpaceDE/>
        <w:autoSpaceDN/>
        <w:bidi w:val="0"/>
        <w:adjustRightInd/>
        <w:snapToGrid/>
        <w:spacing w:before="0" w:after="0" w:line="576" w:lineRule="exact"/>
        <w:textAlignment w:val="auto"/>
        <w:rPr>
          <w:rFonts w:ascii="仿宋_GB2312" w:hAnsi="仿宋_GB2312" w:eastAsia="仿宋_GB2312" w:cs="仿宋_GB2312"/>
        </w:rPr>
      </w:pPr>
      <w:bookmarkStart w:id="196" w:name="_Toc21135"/>
      <w:bookmarkStart w:id="197" w:name="_Toc29840"/>
      <w:bookmarkStart w:id="198" w:name="_Toc27895"/>
      <w:r>
        <w:rPr>
          <w:rFonts w:hint="eastAsia" w:ascii="仿宋_GB2312" w:hAnsi="仿宋_GB2312" w:eastAsia="仿宋_GB2312" w:cs="仿宋_GB2312"/>
        </w:rPr>
        <w:t>十四、国有资本经营预算财政拨款支出决算表</w:t>
      </w:r>
      <w:bookmarkEnd w:id="196"/>
      <w:bookmarkEnd w:id="197"/>
      <w:bookmarkEnd w:id="198"/>
    </w:p>
    <w:sectPr>
      <w:headerReference r:id="rId3" w:type="default"/>
      <w:footerReference r:id="rId4" w:type="default"/>
      <w:pgSz w:w="11906" w:h="16838"/>
      <w:pgMar w:top="1440" w:right="1800" w:bottom="1440" w:left="1800" w:header="851" w:footer="992" w:gutter="0"/>
      <w:pgNumType w:fmt="decimal"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E204629-8737-4861-8A75-379C06E0C8FE}"/>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embedRegular r:id="rId2" w:fontKey="{BD0E4C99-ED95-4C8D-9861-75DCEA363887}"/>
  </w:font>
  <w:font w:name="仿宋">
    <w:panose1 w:val="02010609060101010101"/>
    <w:charset w:val="86"/>
    <w:family w:val="auto"/>
    <w:pitch w:val="default"/>
    <w:sig w:usb0="800002BF" w:usb1="38CF7CFA" w:usb2="00000016" w:usb3="00000000" w:csb0="00040001" w:csb1="00000000"/>
    <w:embedRegular r:id="rId3" w:fontKey="{894D3C68-6E22-4C44-A335-0D11B396962F}"/>
  </w:font>
  <w:font w:name="Cambria">
    <w:panose1 w:val="02040503050406030204"/>
    <w:charset w:val="00"/>
    <w:family w:val="roman"/>
    <w:pitch w:val="default"/>
    <w:sig w:usb0="A00002EF" w:usb1="4000004B" w:usb2="00000000" w:usb3="00000000" w:csb0="2000009F" w:csb1="00000000"/>
  </w:font>
  <w:font w:name="方正仿宋_GB2312">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embedRegular r:id="rId4" w:fontKey="{20F091CC-C78D-4DEA-AED7-EA02646924FB}"/>
  </w:font>
  <w:font w:name="方正小标宋简体">
    <w:panose1 w:val="02010601030101010101"/>
    <w:charset w:val="86"/>
    <w:family w:val="auto"/>
    <w:pitch w:val="default"/>
    <w:sig w:usb0="00000001" w:usb1="080E0000" w:usb2="00000000" w:usb3="00000000" w:csb0="00040000" w:csb1="00000000"/>
  </w:font>
  <w:font w:name="方正仿宋_GBK">
    <w:altName w:val="Arial Unicode MS"/>
    <w:panose1 w:val="00000000000000000000"/>
    <w:charset w:val="86"/>
    <w:family w:val="auto"/>
    <w:pitch w:val="default"/>
    <w:sig w:usb0="00000000" w:usb1="00000000" w:usb2="00082016" w:usb3="00000000" w:csb0="00040001" w:csb1="00000000"/>
    <w:embedRegular r:id="rId5" w:fontKey="{E007AE12-DE2D-4C80-A984-008DA0F5A63E}"/>
  </w:font>
  <w:font w:name="Arial Unicode MS">
    <w:panose1 w:val="020B0604020202020204"/>
    <w:charset w:val="86"/>
    <w:family w:val="auto"/>
    <w:pitch w:val="default"/>
    <w:sig w:usb0="FFFFFFFF" w:usb1="E9FFFFFF" w:usb2="0000003F" w:usb3="00000000" w:csb0="603F01FF" w:csb1="FFFF0000"/>
  </w:font>
  <w:font w:name="楷体_GB2312">
    <w:panose1 w:val="02010609030101010101"/>
    <w:charset w:val="86"/>
    <w:family w:val="modern"/>
    <w:pitch w:val="default"/>
    <w:sig w:usb0="00000001" w:usb1="080E0000" w:usb2="00000000" w:usb3="00000000" w:csb0="00040000" w:csb1="00000000"/>
    <w:embedRegular r:id="rId6" w:fontKey="{98406629-5004-4B2A-8079-940BF803CA4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jc w:val="center"/>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9"/>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9"/>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2</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p>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I5NWRiNjNiNzMwYzIwZWY4NTJiY2RhOTYxMmE0ZGUifQ=="/>
  </w:docVars>
  <w:rsids>
    <w:rsidRoot w:val="00F1361C"/>
    <w:rsid w:val="00002ED1"/>
    <w:rsid w:val="000222C6"/>
    <w:rsid w:val="0002549F"/>
    <w:rsid w:val="000468DB"/>
    <w:rsid w:val="0006487A"/>
    <w:rsid w:val="00065F8F"/>
    <w:rsid w:val="00070A43"/>
    <w:rsid w:val="00071EB8"/>
    <w:rsid w:val="000768F2"/>
    <w:rsid w:val="0009184B"/>
    <w:rsid w:val="00094236"/>
    <w:rsid w:val="0009593C"/>
    <w:rsid w:val="000965B0"/>
    <w:rsid w:val="00097322"/>
    <w:rsid w:val="000A6A92"/>
    <w:rsid w:val="000B047F"/>
    <w:rsid w:val="000B5923"/>
    <w:rsid w:val="000B5A48"/>
    <w:rsid w:val="000B6FF3"/>
    <w:rsid w:val="000C3467"/>
    <w:rsid w:val="000C3CA6"/>
    <w:rsid w:val="000D1267"/>
    <w:rsid w:val="000D1D50"/>
    <w:rsid w:val="000D5782"/>
    <w:rsid w:val="000E6613"/>
    <w:rsid w:val="000E7119"/>
    <w:rsid w:val="00104619"/>
    <w:rsid w:val="00114E9B"/>
    <w:rsid w:val="00142216"/>
    <w:rsid w:val="00144D6A"/>
    <w:rsid w:val="0014729F"/>
    <w:rsid w:val="00157BAB"/>
    <w:rsid w:val="001654D1"/>
    <w:rsid w:val="001704CA"/>
    <w:rsid w:val="00174518"/>
    <w:rsid w:val="0018106D"/>
    <w:rsid w:val="001877A7"/>
    <w:rsid w:val="00191536"/>
    <w:rsid w:val="00196687"/>
    <w:rsid w:val="001C0962"/>
    <w:rsid w:val="001D7531"/>
    <w:rsid w:val="001E737D"/>
    <w:rsid w:val="001F0592"/>
    <w:rsid w:val="001F7506"/>
    <w:rsid w:val="002006CD"/>
    <w:rsid w:val="00202269"/>
    <w:rsid w:val="00202B36"/>
    <w:rsid w:val="00204B7A"/>
    <w:rsid w:val="00204CDE"/>
    <w:rsid w:val="0021101A"/>
    <w:rsid w:val="00220536"/>
    <w:rsid w:val="00235629"/>
    <w:rsid w:val="00260C38"/>
    <w:rsid w:val="002616C0"/>
    <w:rsid w:val="00265372"/>
    <w:rsid w:val="002662AA"/>
    <w:rsid w:val="00277EBA"/>
    <w:rsid w:val="00280496"/>
    <w:rsid w:val="00294DC9"/>
    <w:rsid w:val="00295495"/>
    <w:rsid w:val="002A31DE"/>
    <w:rsid w:val="002B2613"/>
    <w:rsid w:val="002C3729"/>
    <w:rsid w:val="002D6D05"/>
    <w:rsid w:val="002F1818"/>
    <w:rsid w:val="002F567B"/>
    <w:rsid w:val="003216A9"/>
    <w:rsid w:val="00335A74"/>
    <w:rsid w:val="0036561B"/>
    <w:rsid w:val="0037013F"/>
    <w:rsid w:val="00380C92"/>
    <w:rsid w:val="003A484F"/>
    <w:rsid w:val="003A4883"/>
    <w:rsid w:val="003B0BE0"/>
    <w:rsid w:val="003B0C1B"/>
    <w:rsid w:val="003B688C"/>
    <w:rsid w:val="003C0291"/>
    <w:rsid w:val="003C39AE"/>
    <w:rsid w:val="003C7B60"/>
    <w:rsid w:val="003D0C0F"/>
    <w:rsid w:val="003D1FB2"/>
    <w:rsid w:val="003D66DA"/>
    <w:rsid w:val="003E1310"/>
    <w:rsid w:val="003E6F55"/>
    <w:rsid w:val="003F7C6C"/>
    <w:rsid w:val="00406254"/>
    <w:rsid w:val="004223DE"/>
    <w:rsid w:val="00434489"/>
    <w:rsid w:val="00437085"/>
    <w:rsid w:val="00443880"/>
    <w:rsid w:val="004464F4"/>
    <w:rsid w:val="00471401"/>
    <w:rsid w:val="00473F31"/>
    <w:rsid w:val="0048263A"/>
    <w:rsid w:val="00487E5D"/>
    <w:rsid w:val="004A711F"/>
    <w:rsid w:val="004B199D"/>
    <w:rsid w:val="004B4690"/>
    <w:rsid w:val="004D2293"/>
    <w:rsid w:val="004E0A2D"/>
    <w:rsid w:val="004E206B"/>
    <w:rsid w:val="004E6DF7"/>
    <w:rsid w:val="004F0FBD"/>
    <w:rsid w:val="004F7153"/>
    <w:rsid w:val="00505A47"/>
    <w:rsid w:val="00506AF1"/>
    <w:rsid w:val="00512FDA"/>
    <w:rsid w:val="00520DA0"/>
    <w:rsid w:val="005664BB"/>
    <w:rsid w:val="00566FFA"/>
    <w:rsid w:val="0057481D"/>
    <w:rsid w:val="0058486E"/>
    <w:rsid w:val="00585B33"/>
    <w:rsid w:val="0059014D"/>
    <w:rsid w:val="005A07D0"/>
    <w:rsid w:val="005B5C64"/>
    <w:rsid w:val="005C480E"/>
    <w:rsid w:val="005C5337"/>
    <w:rsid w:val="005C6BD0"/>
    <w:rsid w:val="005D1C8B"/>
    <w:rsid w:val="005D468D"/>
    <w:rsid w:val="005D5CED"/>
    <w:rsid w:val="005F1A4C"/>
    <w:rsid w:val="00605688"/>
    <w:rsid w:val="006070AF"/>
    <w:rsid w:val="00607E6C"/>
    <w:rsid w:val="006101B1"/>
    <w:rsid w:val="00614E44"/>
    <w:rsid w:val="0062270A"/>
    <w:rsid w:val="00622830"/>
    <w:rsid w:val="00623DA0"/>
    <w:rsid w:val="00630AEF"/>
    <w:rsid w:val="006325F8"/>
    <w:rsid w:val="00633463"/>
    <w:rsid w:val="00634C9A"/>
    <w:rsid w:val="006440E4"/>
    <w:rsid w:val="0066343B"/>
    <w:rsid w:val="00664777"/>
    <w:rsid w:val="006748A4"/>
    <w:rsid w:val="006754B8"/>
    <w:rsid w:val="00681A31"/>
    <w:rsid w:val="00683E73"/>
    <w:rsid w:val="00697D9E"/>
    <w:rsid w:val="006A3141"/>
    <w:rsid w:val="006A5E34"/>
    <w:rsid w:val="006B2422"/>
    <w:rsid w:val="006B2B9A"/>
    <w:rsid w:val="006C1937"/>
    <w:rsid w:val="006F020C"/>
    <w:rsid w:val="007127B7"/>
    <w:rsid w:val="00715DB9"/>
    <w:rsid w:val="0071798E"/>
    <w:rsid w:val="007416B6"/>
    <w:rsid w:val="00746F48"/>
    <w:rsid w:val="0075404D"/>
    <w:rsid w:val="0075797D"/>
    <w:rsid w:val="0076182A"/>
    <w:rsid w:val="00767B7E"/>
    <w:rsid w:val="00776890"/>
    <w:rsid w:val="007770C3"/>
    <w:rsid w:val="00784D24"/>
    <w:rsid w:val="00785FBA"/>
    <w:rsid w:val="00786E4A"/>
    <w:rsid w:val="007875EB"/>
    <w:rsid w:val="0079426B"/>
    <w:rsid w:val="007B0A5F"/>
    <w:rsid w:val="007D1682"/>
    <w:rsid w:val="007D312A"/>
    <w:rsid w:val="007D3F19"/>
    <w:rsid w:val="007E23B0"/>
    <w:rsid w:val="007E23E5"/>
    <w:rsid w:val="007F1991"/>
    <w:rsid w:val="007F2C2F"/>
    <w:rsid w:val="007F54F1"/>
    <w:rsid w:val="007F55FC"/>
    <w:rsid w:val="007F5665"/>
    <w:rsid w:val="00800112"/>
    <w:rsid w:val="00807AF5"/>
    <w:rsid w:val="00813348"/>
    <w:rsid w:val="008253BB"/>
    <w:rsid w:val="0083706E"/>
    <w:rsid w:val="008408F6"/>
    <w:rsid w:val="008423A5"/>
    <w:rsid w:val="00850625"/>
    <w:rsid w:val="00853718"/>
    <w:rsid w:val="00855221"/>
    <w:rsid w:val="00860645"/>
    <w:rsid w:val="00871F71"/>
    <w:rsid w:val="00872348"/>
    <w:rsid w:val="00872FD8"/>
    <w:rsid w:val="00885AF4"/>
    <w:rsid w:val="008939CD"/>
    <w:rsid w:val="008B768C"/>
    <w:rsid w:val="008C4DB1"/>
    <w:rsid w:val="008C4EAF"/>
    <w:rsid w:val="008C5176"/>
    <w:rsid w:val="008C7FD0"/>
    <w:rsid w:val="008E1DE7"/>
    <w:rsid w:val="008E707C"/>
    <w:rsid w:val="00900B08"/>
    <w:rsid w:val="00902155"/>
    <w:rsid w:val="00902FA3"/>
    <w:rsid w:val="00923564"/>
    <w:rsid w:val="0092392E"/>
    <w:rsid w:val="009315F9"/>
    <w:rsid w:val="00933499"/>
    <w:rsid w:val="00935C98"/>
    <w:rsid w:val="00945F03"/>
    <w:rsid w:val="00946945"/>
    <w:rsid w:val="00951248"/>
    <w:rsid w:val="0095152F"/>
    <w:rsid w:val="00954C49"/>
    <w:rsid w:val="00955E37"/>
    <w:rsid w:val="00955F0E"/>
    <w:rsid w:val="0097099F"/>
    <w:rsid w:val="00971997"/>
    <w:rsid w:val="00971FFC"/>
    <w:rsid w:val="00984043"/>
    <w:rsid w:val="0098660A"/>
    <w:rsid w:val="009931C3"/>
    <w:rsid w:val="009B2C43"/>
    <w:rsid w:val="009B4EAE"/>
    <w:rsid w:val="009B7573"/>
    <w:rsid w:val="009C22F4"/>
    <w:rsid w:val="009C2A4B"/>
    <w:rsid w:val="009C2E98"/>
    <w:rsid w:val="009D3447"/>
    <w:rsid w:val="009D4711"/>
    <w:rsid w:val="009E625C"/>
    <w:rsid w:val="009F1185"/>
    <w:rsid w:val="009F18CD"/>
    <w:rsid w:val="009F2A13"/>
    <w:rsid w:val="009F7527"/>
    <w:rsid w:val="00A04EB0"/>
    <w:rsid w:val="00A13CC1"/>
    <w:rsid w:val="00A16847"/>
    <w:rsid w:val="00A237D8"/>
    <w:rsid w:val="00A23DAE"/>
    <w:rsid w:val="00A268C4"/>
    <w:rsid w:val="00A307CD"/>
    <w:rsid w:val="00A331C8"/>
    <w:rsid w:val="00A4080B"/>
    <w:rsid w:val="00A40A00"/>
    <w:rsid w:val="00A4142F"/>
    <w:rsid w:val="00A422EB"/>
    <w:rsid w:val="00A45BB7"/>
    <w:rsid w:val="00A56DF2"/>
    <w:rsid w:val="00A56E6E"/>
    <w:rsid w:val="00A67AB5"/>
    <w:rsid w:val="00A733B2"/>
    <w:rsid w:val="00A741C2"/>
    <w:rsid w:val="00A91760"/>
    <w:rsid w:val="00A93B00"/>
    <w:rsid w:val="00A93C21"/>
    <w:rsid w:val="00AB64C9"/>
    <w:rsid w:val="00AC3C6A"/>
    <w:rsid w:val="00AD5620"/>
    <w:rsid w:val="00AD656B"/>
    <w:rsid w:val="00AD7C1B"/>
    <w:rsid w:val="00AE16BA"/>
    <w:rsid w:val="00AE1EBE"/>
    <w:rsid w:val="00B03C9D"/>
    <w:rsid w:val="00B060AE"/>
    <w:rsid w:val="00B10517"/>
    <w:rsid w:val="00B14E76"/>
    <w:rsid w:val="00B161B8"/>
    <w:rsid w:val="00B2048C"/>
    <w:rsid w:val="00B310B9"/>
    <w:rsid w:val="00B35F3F"/>
    <w:rsid w:val="00B36CBB"/>
    <w:rsid w:val="00B425E0"/>
    <w:rsid w:val="00B440AA"/>
    <w:rsid w:val="00B44B70"/>
    <w:rsid w:val="00B53C56"/>
    <w:rsid w:val="00B57DAF"/>
    <w:rsid w:val="00B77EA6"/>
    <w:rsid w:val="00B81598"/>
    <w:rsid w:val="00B841F1"/>
    <w:rsid w:val="00B944D6"/>
    <w:rsid w:val="00BA7FD3"/>
    <w:rsid w:val="00BB4DF0"/>
    <w:rsid w:val="00BC1C85"/>
    <w:rsid w:val="00BC289F"/>
    <w:rsid w:val="00BC2D50"/>
    <w:rsid w:val="00BC5361"/>
    <w:rsid w:val="00BC5460"/>
    <w:rsid w:val="00BC6B50"/>
    <w:rsid w:val="00BD0E25"/>
    <w:rsid w:val="00BE74F1"/>
    <w:rsid w:val="00BF5BD6"/>
    <w:rsid w:val="00C03E31"/>
    <w:rsid w:val="00C10785"/>
    <w:rsid w:val="00C33E72"/>
    <w:rsid w:val="00C354B2"/>
    <w:rsid w:val="00C35554"/>
    <w:rsid w:val="00C42709"/>
    <w:rsid w:val="00C533CC"/>
    <w:rsid w:val="00C5751C"/>
    <w:rsid w:val="00C61BFC"/>
    <w:rsid w:val="00C62B85"/>
    <w:rsid w:val="00C65438"/>
    <w:rsid w:val="00C87FD8"/>
    <w:rsid w:val="00C91381"/>
    <w:rsid w:val="00C91CBB"/>
    <w:rsid w:val="00CB4E70"/>
    <w:rsid w:val="00CC09B6"/>
    <w:rsid w:val="00CC666F"/>
    <w:rsid w:val="00CD1E3F"/>
    <w:rsid w:val="00CE44F6"/>
    <w:rsid w:val="00CE49DA"/>
    <w:rsid w:val="00CE7B61"/>
    <w:rsid w:val="00D00095"/>
    <w:rsid w:val="00D0190F"/>
    <w:rsid w:val="00D114F0"/>
    <w:rsid w:val="00D20620"/>
    <w:rsid w:val="00D254F7"/>
    <w:rsid w:val="00D26091"/>
    <w:rsid w:val="00D2685C"/>
    <w:rsid w:val="00D302D3"/>
    <w:rsid w:val="00D34E7C"/>
    <w:rsid w:val="00D35489"/>
    <w:rsid w:val="00D36902"/>
    <w:rsid w:val="00D36AFE"/>
    <w:rsid w:val="00D51276"/>
    <w:rsid w:val="00D7035F"/>
    <w:rsid w:val="00D77353"/>
    <w:rsid w:val="00DA634F"/>
    <w:rsid w:val="00DA65AC"/>
    <w:rsid w:val="00DB1913"/>
    <w:rsid w:val="00DB36CE"/>
    <w:rsid w:val="00DC00E7"/>
    <w:rsid w:val="00DC410D"/>
    <w:rsid w:val="00DC54E3"/>
    <w:rsid w:val="00DC5A81"/>
    <w:rsid w:val="00DC68CA"/>
    <w:rsid w:val="00DC7CBA"/>
    <w:rsid w:val="00DD73B7"/>
    <w:rsid w:val="00DF28BC"/>
    <w:rsid w:val="00DF34B9"/>
    <w:rsid w:val="00E01053"/>
    <w:rsid w:val="00E07ACF"/>
    <w:rsid w:val="00E331A1"/>
    <w:rsid w:val="00E33202"/>
    <w:rsid w:val="00E336A9"/>
    <w:rsid w:val="00E33C8B"/>
    <w:rsid w:val="00E472B1"/>
    <w:rsid w:val="00E50624"/>
    <w:rsid w:val="00E568DF"/>
    <w:rsid w:val="00E64269"/>
    <w:rsid w:val="00E82267"/>
    <w:rsid w:val="00E853CE"/>
    <w:rsid w:val="00E867B6"/>
    <w:rsid w:val="00EA010F"/>
    <w:rsid w:val="00ED1B63"/>
    <w:rsid w:val="00ED3C1F"/>
    <w:rsid w:val="00ED4085"/>
    <w:rsid w:val="00ED420E"/>
    <w:rsid w:val="00ED6FBE"/>
    <w:rsid w:val="00EE2F57"/>
    <w:rsid w:val="00EF4C34"/>
    <w:rsid w:val="00EF77C6"/>
    <w:rsid w:val="00F05438"/>
    <w:rsid w:val="00F1361C"/>
    <w:rsid w:val="00F156F0"/>
    <w:rsid w:val="00F160C7"/>
    <w:rsid w:val="00F2408F"/>
    <w:rsid w:val="00F240E9"/>
    <w:rsid w:val="00F36D8F"/>
    <w:rsid w:val="00F417B1"/>
    <w:rsid w:val="00F45853"/>
    <w:rsid w:val="00F50B1F"/>
    <w:rsid w:val="00F602DF"/>
    <w:rsid w:val="00F6111E"/>
    <w:rsid w:val="00F754A1"/>
    <w:rsid w:val="00F81FD9"/>
    <w:rsid w:val="00F841AA"/>
    <w:rsid w:val="00F84643"/>
    <w:rsid w:val="00F84A94"/>
    <w:rsid w:val="00F87E96"/>
    <w:rsid w:val="00FA23E8"/>
    <w:rsid w:val="00FD3CC1"/>
    <w:rsid w:val="00FF1E02"/>
    <w:rsid w:val="00FF30B4"/>
    <w:rsid w:val="01AB36C3"/>
    <w:rsid w:val="01D61647"/>
    <w:rsid w:val="024C1EE4"/>
    <w:rsid w:val="02F104EC"/>
    <w:rsid w:val="02F113DF"/>
    <w:rsid w:val="03B042D7"/>
    <w:rsid w:val="03B64756"/>
    <w:rsid w:val="03C96DCD"/>
    <w:rsid w:val="04357D70"/>
    <w:rsid w:val="04677F48"/>
    <w:rsid w:val="04E377CC"/>
    <w:rsid w:val="05AA653C"/>
    <w:rsid w:val="05AC6E21"/>
    <w:rsid w:val="06056BF5"/>
    <w:rsid w:val="064E7EBC"/>
    <w:rsid w:val="066E0107"/>
    <w:rsid w:val="06C1036A"/>
    <w:rsid w:val="071E6893"/>
    <w:rsid w:val="07860479"/>
    <w:rsid w:val="07996F6E"/>
    <w:rsid w:val="088D6E3C"/>
    <w:rsid w:val="09134671"/>
    <w:rsid w:val="09436A8B"/>
    <w:rsid w:val="097420A2"/>
    <w:rsid w:val="0A18527A"/>
    <w:rsid w:val="0A2032A3"/>
    <w:rsid w:val="0A4D5B96"/>
    <w:rsid w:val="0A714912"/>
    <w:rsid w:val="0A8A459E"/>
    <w:rsid w:val="0B5036E2"/>
    <w:rsid w:val="0B62016E"/>
    <w:rsid w:val="0B662F05"/>
    <w:rsid w:val="0B7750AD"/>
    <w:rsid w:val="0BE36304"/>
    <w:rsid w:val="0C0149DC"/>
    <w:rsid w:val="0C3B1C9C"/>
    <w:rsid w:val="0C420AB3"/>
    <w:rsid w:val="0C451165"/>
    <w:rsid w:val="0C963376"/>
    <w:rsid w:val="0CE62B6E"/>
    <w:rsid w:val="0D150E9D"/>
    <w:rsid w:val="0D8124A8"/>
    <w:rsid w:val="0D935B07"/>
    <w:rsid w:val="0DA40F13"/>
    <w:rsid w:val="0E5C65DD"/>
    <w:rsid w:val="0E9E6512"/>
    <w:rsid w:val="0E9E6B9F"/>
    <w:rsid w:val="0EB35D8D"/>
    <w:rsid w:val="0EDE1004"/>
    <w:rsid w:val="0F7116D9"/>
    <w:rsid w:val="0F73174D"/>
    <w:rsid w:val="0F8B124F"/>
    <w:rsid w:val="101860EC"/>
    <w:rsid w:val="10C055FF"/>
    <w:rsid w:val="10C5095D"/>
    <w:rsid w:val="114C494B"/>
    <w:rsid w:val="118107EC"/>
    <w:rsid w:val="119C142F"/>
    <w:rsid w:val="120D5E88"/>
    <w:rsid w:val="126B0F75"/>
    <w:rsid w:val="12EC53DB"/>
    <w:rsid w:val="13244036"/>
    <w:rsid w:val="132904DA"/>
    <w:rsid w:val="13373EE7"/>
    <w:rsid w:val="133D279D"/>
    <w:rsid w:val="13805069"/>
    <w:rsid w:val="13D50BC4"/>
    <w:rsid w:val="13F0388F"/>
    <w:rsid w:val="141D0140"/>
    <w:rsid w:val="14F11A91"/>
    <w:rsid w:val="15266D71"/>
    <w:rsid w:val="15D51D78"/>
    <w:rsid w:val="16115FB7"/>
    <w:rsid w:val="16BB723D"/>
    <w:rsid w:val="175766E7"/>
    <w:rsid w:val="18297794"/>
    <w:rsid w:val="187B080E"/>
    <w:rsid w:val="18DF35E2"/>
    <w:rsid w:val="19207499"/>
    <w:rsid w:val="198D5B01"/>
    <w:rsid w:val="19E27B58"/>
    <w:rsid w:val="1A3B345F"/>
    <w:rsid w:val="1A537512"/>
    <w:rsid w:val="1A6D2564"/>
    <w:rsid w:val="1A846F04"/>
    <w:rsid w:val="1A983FEE"/>
    <w:rsid w:val="1AE308C7"/>
    <w:rsid w:val="1BE8440E"/>
    <w:rsid w:val="1BE85270"/>
    <w:rsid w:val="1BEF3577"/>
    <w:rsid w:val="1C250273"/>
    <w:rsid w:val="1C4A2D04"/>
    <w:rsid w:val="1C640D9B"/>
    <w:rsid w:val="1C9B22E3"/>
    <w:rsid w:val="1CAB4C1C"/>
    <w:rsid w:val="1CB55B02"/>
    <w:rsid w:val="1D155CEE"/>
    <w:rsid w:val="1D2E3157"/>
    <w:rsid w:val="1DC15D79"/>
    <w:rsid w:val="1E793F74"/>
    <w:rsid w:val="1E8101AC"/>
    <w:rsid w:val="1EB45AA9"/>
    <w:rsid w:val="1EFD54D7"/>
    <w:rsid w:val="1F126432"/>
    <w:rsid w:val="1F204D21"/>
    <w:rsid w:val="1F29007A"/>
    <w:rsid w:val="1F861028"/>
    <w:rsid w:val="1FF129C4"/>
    <w:rsid w:val="20605D1D"/>
    <w:rsid w:val="20803CC9"/>
    <w:rsid w:val="20D65FDF"/>
    <w:rsid w:val="20EB4EDE"/>
    <w:rsid w:val="219529C9"/>
    <w:rsid w:val="21E67CA5"/>
    <w:rsid w:val="22A068A5"/>
    <w:rsid w:val="23056CF6"/>
    <w:rsid w:val="234D21B7"/>
    <w:rsid w:val="23860B96"/>
    <w:rsid w:val="240371BF"/>
    <w:rsid w:val="24377CE7"/>
    <w:rsid w:val="24473A64"/>
    <w:rsid w:val="24547947"/>
    <w:rsid w:val="245F1CF4"/>
    <w:rsid w:val="24B46637"/>
    <w:rsid w:val="24FD3F53"/>
    <w:rsid w:val="25752309"/>
    <w:rsid w:val="265A664E"/>
    <w:rsid w:val="26A526DC"/>
    <w:rsid w:val="274E4B21"/>
    <w:rsid w:val="27847134"/>
    <w:rsid w:val="27CC19A2"/>
    <w:rsid w:val="27EE488A"/>
    <w:rsid w:val="28043432"/>
    <w:rsid w:val="281038E4"/>
    <w:rsid w:val="28133C2F"/>
    <w:rsid w:val="28DE3C83"/>
    <w:rsid w:val="28ED3EEA"/>
    <w:rsid w:val="28ED7324"/>
    <w:rsid w:val="2908196B"/>
    <w:rsid w:val="292F30CB"/>
    <w:rsid w:val="29910CF5"/>
    <w:rsid w:val="29F051B5"/>
    <w:rsid w:val="29FA2D3E"/>
    <w:rsid w:val="29FD04D3"/>
    <w:rsid w:val="2A4C418E"/>
    <w:rsid w:val="2A9E13F0"/>
    <w:rsid w:val="2AA94DF6"/>
    <w:rsid w:val="2B513870"/>
    <w:rsid w:val="2B5E0B65"/>
    <w:rsid w:val="2B620D8A"/>
    <w:rsid w:val="2BBE7D9C"/>
    <w:rsid w:val="2C8770B0"/>
    <w:rsid w:val="2C8A61B5"/>
    <w:rsid w:val="2CC01E65"/>
    <w:rsid w:val="2CD21810"/>
    <w:rsid w:val="2D1E5E4E"/>
    <w:rsid w:val="2DBF128F"/>
    <w:rsid w:val="2DF04E50"/>
    <w:rsid w:val="2E514979"/>
    <w:rsid w:val="2EBF6A3E"/>
    <w:rsid w:val="2F2B74F6"/>
    <w:rsid w:val="2F601896"/>
    <w:rsid w:val="2F6E03F0"/>
    <w:rsid w:val="2FDA7442"/>
    <w:rsid w:val="2FED29FE"/>
    <w:rsid w:val="300E61C7"/>
    <w:rsid w:val="303F1E27"/>
    <w:rsid w:val="30D2231F"/>
    <w:rsid w:val="311866CF"/>
    <w:rsid w:val="312839F7"/>
    <w:rsid w:val="319F7F4E"/>
    <w:rsid w:val="31D568D9"/>
    <w:rsid w:val="324038A7"/>
    <w:rsid w:val="326B1F6B"/>
    <w:rsid w:val="32B75C71"/>
    <w:rsid w:val="338A6097"/>
    <w:rsid w:val="33A41CB6"/>
    <w:rsid w:val="33AB7B51"/>
    <w:rsid w:val="344A2B14"/>
    <w:rsid w:val="362F52B4"/>
    <w:rsid w:val="364532CC"/>
    <w:rsid w:val="36AA5135"/>
    <w:rsid w:val="36D72EDD"/>
    <w:rsid w:val="36E26875"/>
    <w:rsid w:val="36E27034"/>
    <w:rsid w:val="372D68A3"/>
    <w:rsid w:val="3773726A"/>
    <w:rsid w:val="37E16F03"/>
    <w:rsid w:val="38035B45"/>
    <w:rsid w:val="38795776"/>
    <w:rsid w:val="38D050C3"/>
    <w:rsid w:val="38FA0B23"/>
    <w:rsid w:val="397D3044"/>
    <w:rsid w:val="399C13FB"/>
    <w:rsid w:val="3A316306"/>
    <w:rsid w:val="3B1D063B"/>
    <w:rsid w:val="3BBD50CE"/>
    <w:rsid w:val="3CE516EA"/>
    <w:rsid w:val="3CF0669D"/>
    <w:rsid w:val="3CF7310E"/>
    <w:rsid w:val="3D5E0EEA"/>
    <w:rsid w:val="3D720A0A"/>
    <w:rsid w:val="3D98207C"/>
    <w:rsid w:val="3DC56607"/>
    <w:rsid w:val="3E01175E"/>
    <w:rsid w:val="3E690030"/>
    <w:rsid w:val="3E691DE9"/>
    <w:rsid w:val="3E762CD2"/>
    <w:rsid w:val="3EB72B54"/>
    <w:rsid w:val="3EC5671A"/>
    <w:rsid w:val="3EE87285"/>
    <w:rsid w:val="3F6A7BC7"/>
    <w:rsid w:val="3F7531AC"/>
    <w:rsid w:val="3F97105F"/>
    <w:rsid w:val="3FA4757D"/>
    <w:rsid w:val="400B13AA"/>
    <w:rsid w:val="415C617B"/>
    <w:rsid w:val="42672E58"/>
    <w:rsid w:val="429601E9"/>
    <w:rsid w:val="42F73E67"/>
    <w:rsid w:val="433E3834"/>
    <w:rsid w:val="43A062AD"/>
    <w:rsid w:val="43EA577A"/>
    <w:rsid w:val="44054362"/>
    <w:rsid w:val="44AA59C3"/>
    <w:rsid w:val="44E268DA"/>
    <w:rsid w:val="450673B3"/>
    <w:rsid w:val="45CA7611"/>
    <w:rsid w:val="473533E2"/>
    <w:rsid w:val="477A0BC3"/>
    <w:rsid w:val="4780606D"/>
    <w:rsid w:val="48CC36A0"/>
    <w:rsid w:val="490E6CCB"/>
    <w:rsid w:val="49800D5C"/>
    <w:rsid w:val="49E17197"/>
    <w:rsid w:val="49FB6D95"/>
    <w:rsid w:val="4A627F82"/>
    <w:rsid w:val="4A6570BA"/>
    <w:rsid w:val="4A6E4CB8"/>
    <w:rsid w:val="4B4F25DA"/>
    <w:rsid w:val="4BCD4365"/>
    <w:rsid w:val="4BE068DB"/>
    <w:rsid w:val="4CE31E52"/>
    <w:rsid w:val="4D2717ED"/>
    <w:rsid w:val="4D577224"/>
    <w:rsid w:val="4DED20FE"/>
    <w:rsid w:val="4E7643C9"/>
    <w:rsid w:val="4EAB630A"/>
    <w:rsid w:val="4ECE2238"/>
    <w:rsid w:val="4EE334F2"/>
    <w:rsid w:val="4F2C145B"/>
    <w:rsid w:val="4F6208BA"/>
    <w:rsid w:val="4F6341AC"/>
    <w:rsid w:val="4FE677DD"/>
    <w:rsid w:val="501D1AF2"/>
    <w:rsid w:val="505428F9"/>
    <w:rsid w:val="50591CBD"/>
    <w:rsid w:val="50A6517A"/>
    <w:rsid w:val="50E8051F"/>
    <w:rsid w:val="526C4CE6"/>
    <w:rsid w:val="528F5286"/>
    <w:rsid w:val="529E7DE8"/>
    <w:rsid w:val="52D7160E"/>
    <w:rsid w:val="52DB52C1"/>
    <w:rsid w:val="53057EDB"/>
    <w:rsid w:val="5346560A"/>
    <w:rsid w:val="53A96AB8"/>
    <w:rsid w:val="53BC6E06"/>
    <w:rsid w:val="540208BE"/>
    <w:rsid w:val="540F260A"/>
    <w:rsid w:val="54170D5F"/>
    <w:rsid w:val="544374A8"/>
    <w:rsid w:val="547146BE"/>
    <w:rsid w:val="54800B10"/>
    <w:rsid w:val="54A825AD"/>
    <w:rsid w:val="54AE4416"/>
    <w:rsid w:val="55074A53"/>
    <w:rsid w:val="55AC6D33"/>
    <w:rsid w:val="560767DB"/>
    <w:rsid w:val="56C172E1"/>
    <w:rsid w:val="56C47EE7"/>
    <w:rsid w:val="580460F1"/>
    <w:rsid w:val="584E5E80"/>
    <w:rsid w:val="59085B65"/>
    <w:rsid w:val="591A36BE"/>
    <w:rsid w:val="591D7F22"/>
    <w:rsid w:val="595A2602"/>
    <w:rsid w:val="5A0239A0"/>
    <w:rsid w:val="5A100E9A"/>
    <w:rsid w:val="5A230951"/>
    <w:rsid w:val="5A697A69"/>
    <w:rsid w:val="5A853B90"/>
    <w:rsid w:val="5A9C6A6B"/>
    <w:rsid w:val="5AC1480E"/>
    <w:rsid w:val="5AF80325"/>
    <w:rsid w:val="5AF92295"/>
    <w:rsid w:val="5B1D2007"/>
    <w:rsid w:val="5B5829B8"/>
    <w:rsid w:val="5B791A9D"/>
    <w:rsid w:val="5BA109BC"/>
    <w:rsid w:val="5BA83AF9"/>
    <w:rsid w:val="5BEE0E17"/>
    <w:rsid w:val="5C0D7E00"/>
    <w:rsid w:val="5C9D4D8F"/>
    <w:rsid w:val="5CC646AE"/>
    <w:rsid w:val="5CD21338"/>
    <w:rsid w:val="5CD71FC4"/>
    <w:rsid w:val="5D1C479E"/>
    <w:rsid w:val="5D427A1F"/>
    <w:rsid w:val="5DCB1D21"/>
    <w:rsid w:val="5DD5516E"/>
    <w:rsid w:val="5E204FFD"/>
    <w:rsid w:val="5E5A4E8D"/>
    <w:rsid w:val="5EEF3282"/>
    <w:rsid w:val="5F1D47FE"/>
    <w:rsid w:val="5F4B7EC1"/>
    <w:rsid w:val="5F7E400A"/>
    <w:rsid w:val="5FE327FB"/>
    <w:rsid w:val="60121E89"/>
    <w:rsid w:val="6108747D"/>
    <w:rsid w:val="6170330B"/>
    <w:rsid w:val="61C32EF2"/>
    <w:rsid w:val="61FF1B33"/>
    <w:rsid w:val="623F6839"/>
    <w:rsid w:val="628E3217"/>
    <w:rsid w:val="62931123"/>
    <w:rsid w:val="629C1252"/>
    <w:rsid w:val="63D438A3"/>
    <w:rsid w:val="640C3E97"/>
    <w:rsid w:val="64B21544"/>
    <w:rsid w:val="64D00DF5"/>
    <w:rsid w:val="65624D19"/>
    <w:rsid w:val="657F0496"/>
    <w:rsid w:val="66475A02"/>
    <w:rsid w:val="665C2003"/>
    <w:rsid w:val="676F5875"/>
    <w:rsid w:val="67753429"/>
    <w:rsid w:val="67A12F13"/>
    <w:rsid w:val="67F56318"/>
    <w:rsid w:val="68D94084"/>
    <w:rsid w:val="69AC6EAA"/>
    <w:rsid w:val="69C97A5C"/>
    <w:rsid w:val="6A194EEC"/>
    <w:rsid w:val="6B264784"/>
    <w:rsid w:val="6B7434A2"/>
    <w:rsid w:val="6B905DD2"/>
    <w:rsid w:val="6BA047ED"/>
    <w:rsid w:val="6BCE4A9D"/>
    <w:rsid w:val="6C184899"/>
    <w:rsid w:val="6C4A05C8"/>
    <w:rsid w:val="6C77235B"/>
    <w:rsid w:val="6C97174C"/>
    <w:rsid w:val="6D925314"/>
    <w:rsid w:val="6DC12B07"/>
    <w:rsid w:val="6DE05374"/>
    <w:rsid w:val="6E1C718E"/>
    <w:rsid w:val="6E7E3605"/>
    <w:rsid w:val="6E866582"/>
    <w:rsid w:val="6ED66851"/>
    <w:rsid w:val="6F176B74"/>
    <w:rsid w:val="6F891186"/>
    <w:rsid w:val="6F926B42"/>
    <w:rsid w:val="6FBA156C"/>
    <w:rsid w:val="6FF5CC65"/>
    <w:rsid w:val="70181842"/>
    <w:rsid w:val="70215E4F"/>
    <w:rsid w:val="706E322F"/>
    <w:rsid w:val="711F2F78"/>
    <w:rsid w:val="712C077C"/>
    <w:rsid w:val="71411EE1"/>
    <w:rsid w:val="715C0E4B"/>
    <w:rsid w:val="71BC57F8"/>
    <w:rsid w:val="71D632DF"/>
    <w:rsid w:val="723B526F"/>
    <w:rsid w:val="724A2D0D"/>
    <w:rsid w:val="72734D90"/>
    <w:rsid w:val="72FB0CA2"/>
    <w:rsid w:val="73AD73D5"/>
    <w:rsid w:val="73B6EB34"/>
    <w:rsid w:val="74CF40B5"/>
    <w:rsid w:val="74EC61F0"/>
    <w:rsid w:val="75AD0232"/>
    <w:rsid w:val="7658447C"/>
    <w:rsid w:val="768D28B8"/>
    <w:rsid w:val="76C6459B"/>
    <w:rsid w:val="76CC1E7F"/>
    <w:rsid w:val="76D02B99"/>
    <w:rsid w:val="76D57A40"/>
    <w:rsid w:val="76F37EC6"/>
    <w:rsid w:val="77336515"/>
    <w:rsid w:val="775C067B"/>
    <w:rsid w:val="78126A72"/>
    <w:rsid w:val="78283BA0"/>
    <w:rsid w:val="789C375F"/>
    <w:rsid w:val="78E421BD"/>
    <w:rsid w:val="79170033"/>
    <w:rsid w:val="79EE5BA4"/>
    <w:rsid w:val="7A173ECC"/>
    <w:rsid w:val="7A663487"/>
    <w:rsid w:val="7A700797"/>
    <w:rsid w:val="7A894339"/>
    <w:rsid w:val="7BA110BB"/>
    <w:rsid w:val="7BAE6AB2"/>
    <w:rsid w:val="7BD209F2"/>
    <w:rsid w:val="7BD217F3"/>
    <w:rsid w:val="7BEF6820"/>
    <w:rsid w:val="7BFD1914"/>
    <w:rsid w:val="7C02545D"/>
    <w:rsid w:val="7C354746"/>
    <w:rsid w:val="7C811BC8"/>
    <w:rsid w:val="7DFA1D3B"/>
    <w:rsid w:val="7E1F3C97"/>
    <w:rsid w:val="7E5A4CCF"/>
    <w:rsid w:val="7EEF11D3"/>
    <w:rsid w:val="7EF23C00"/>
    <w:rsid w:val="7F1635B2"/>
    <w:rsid w:val="7F2350C1"/>
    <w:rsid w:val="7FA30C79"/>
    <w:rsid w:val="7FC96657"/>
    <w:rsid w:val="7FE37B5A"/>
    <w:rsid w:val="D8D6DB89"/>
    <w:rsid w:val="DB6F4CAB"/>
    <w:rsid w:val="DF6F978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 w:cs="Times New Roman"/>
      <w:kern w:val="2"/>
      <w:sz w:val="32"/>
      <w:szCs w:val="24"/>
      <w:lang w:val="en-US" w:eastAsia="zh-CN" w:bidi="ar-SA"/>
    </w:rPr>
  </w:style>
  <w:style w:type="paragraph" w:styleId="3">
    <w:name w:val="heading 1"/>
    <w:basedOn w:val="1"/>
    <w:next w:val="1"/>
    <w:link w:val="25"/>
    <w:qFormat/>
    <w:uiPriority w:val="9"/>
    <w:pPr>
      <w:keepNext/>
      <w:keepLines/>
      <w:spacing w:before="340" w:after="330" w:line="578" w:lineRule="auto"/>
      <w:jc w:val="center"/>
      <w:outlineLvl w:val="0"/>
    </w:pPr>
    <w:rPr>
      <w:rFonts w:eastAsia="黑体"/>
      <w:bCs/>
      <w:kern w:val="44"/>
      <w:sz w:val="44"/>
      <w:szCs w:val="44"/>
    </w:rPr>
  </w:style>
  <w:style w:type="paragraph" w:styleId="4">
    <w:name w:val="heading 2"/>
    <w:basedOn w:val="1"/>
    <w:next w:val="1"/>
    <w:link w:val="26"/>
    <w:unhideWhenUsed/>
    <w:qFormat/>
    <w:uiPriority w:val="9"/>
    <w:pPr>
      <w:keepNext/>
      <w:overflowPunct w:val="0"/>
      <w:spacing w:before="260" w:after="260" w:line="416" w:lineRule="auto"/>
      <w:outlineLvl w:val="1"/>
    </w:pPr>
    <w:rPr>
      <w:rFonts w:eastAsia="黑体" w:asciiTheme="majorHAnsi" w:hAnsiTheme="majorHAnsi" w:cstheme="majorBidi"/>
      <w:bCs/>
      <w:szCs w:val="32"/>
    </w:rPr>
  </w:style>
  <w:style w:type="paragraph" w:styleId="5">
    <w:name w:val="heading 3"/>
    <w:basedOn w:val="1"/>
    <w:next w:val="1"/>
    <w:link w:val="17"/>
    <w:unhideWhenUsed/>
    <w:qFormat/>
    <w:uiPriority w:val="9"/>
    <w:pPr>
      <w:keepNext/>
      <w:keepLines/>
      <w:spacing w:before="20" w:after="20" w:line="416" w:lineRule="auto"/>
      <w:outlineLvl w:val="2"/>
    </w:pPr>
    <w:rPr>
      <w:rFonts w:eastAsia="方正仿宋_GB2312"/>
      <w:bCs/>
      <w:szCs w:val="32"/>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6">
    <w:name w:val="Body Text"/>
    <w:basedOn w:val="1"/>
    <w:link w:val="23"/>
    <w:qFormat/>
    <w:uiPriority w:val="99"/>
    <w:pPr>
      <w:spacing w:beforeLines="30"/>
    </w:pPr>
    <w:rPr>
      <w:rFonts w:ascii="仿宋_GB2312" w:eastAsia="仿宋_GB2312"/>
      <w:kern w:val="0"/>
      <w:sz w:val="30"/>
    </w:rPr>
  </w:style>
  <w:style w:type="paragraph" w:styleId="7">
    <w:name w:val="toc 3"/>
    <w:basedOn w:val="1"/>
    <w:next w:val="1"/>
    <w:unhideWhenUsed/>
    <w:qFormat/>
    <w:uiPriority w:val="39"/>
    <w:pPr>
      <w:tabs>
        <w:tab w:val="right" w:leader="dot" w:pos="8296"/>
      </w:tabs>
      <w:ind w:left="840" w:leftChars="400"/>
    </w:pPr>
  </w:style>
  <w:style w:type="paragraph" w:styleId="8">
    <w:name w:val="Balloon Text"/>
    <w:basedOn w:val="1"/>
    <w:link w:val="28"/>
    <w:semiHidden/>
    <w:unhideWhenUsed/>
    <w:qFormat/>
    <w:uiPriority w:val="99"/>
    <w:rPr>
      <w:sz w:val="18"/>
      <w:szCs w:val="18"/>
    </w:rPr>
  </w:style>
  <w:style w:type="paragraph" w:styleId="9">
    <w:name w:val="footer"/>
    <w:basedOn w:val="1"/>
    <w:link w:val="21"/>
    <w:qFormat/>
    <w:uiPriority w:val="99"/>
    <w:pPr>
      <w:tabs>
        <w:tab w:val="center" w:pos="4153"/>
        <w:tab w:val="right" w:pos="8306"/>
      </w:tabs>
      <w:snapToGrid w:val="0"/>
      <w:jc w:val="left"/>
    </w:pPr>
    <w:rPr>
      <w:rFonts w:ascii="Calibri" w:hAnsi="Calibri"/>
      <w:kern w:val="0"/>
      <w:sz w:val="18"/>
      <w:szCs w:val="18"/>
    </w:rPr>
  </w:style>
  <w:style w:type="paragraph" w:styleId="10">
    <w:name w:val="header"/>
    <w:basedOn w:val="1"/>
    <w:link w:val="19"/>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1">
    <w:name w:val="toc 1"/>
    <w:basedOn w:val="1"/>
    <w:next w:val="1"/>
    <w:unhideWhenUsed/>
    <w:qFormat/>
    <w:uiPriority w:val="39"/>
    <w:pPr>
      <w:tabs>
        <w:tab w:val="right" w:leader="dot" w:pos="8296"/>
      </w:tabs>
      <w:spacing w:before="93"/>
      <w:jc w:val="center"/>
    </w:pPr>
    <w:rPr>
      <w:rFonts w:ascii="仿宋" w:hAnsi="仿宋"/>
      <w:sz w:val="28"/>
      <w:szCs w:val="28"/>
    </w:rPr>
  </w:style>
  <w:style w:type="paragraph" w:styleId="12">
    <w:name w:val="toc 2"/>
    <w:basedOn w:val="1"/>
    <w:next w:val="1"/>
    <w:unhideWhenUsed/>
    <w:qFormat/>
    <w:uiPriority w:val="39"/>
    <w:pPr>
      <w:tabs>
        <w:tab w:val="right" w:leader="dot" w:pos="8296"/>
      </w:tabs>
      <w:ind w:left="420" w:leftChars="200"/>
    </w:pPr>
  </w:style>
  <w:style w:type="character" w:styleId="15">
    <w:name w:val="Strong"/>
    <w:basedOn w:val="14"/>
    <w:qFormat/>
    <w:uiPriority w:val="99"/>
    <w:rPr>
      <w:b/>
    </w:rPr>
  </w:style>
  <w:style w:type="character" w:styleId="16">
    <w:name w:val="Hyperlink"/>
    <w:basedOn w:val="14"/>
    <w:unhideWhenUsed/>
    <w:qFormat/>
    <w:uiPriority w:val="99"/>
    <w:rPr>
      <w:color w:val="0000FF" w:themeColor="hyperlink"/>
      <w:u w:val="single"/>
      <w14:textFill>
        <w14:solidFill>
          <w14:schemeClr w14:val="hlink"/>
        </w14:solidFill>
      </w14:textFill>
    </w:rPr>
  </w:style>
  <w:style w:type="character" w:customStyle="1" w:styleId="17">
    <w:name w:val="标题 3 Char"/>
    <w:basedOn w:val="14"/>
    <w:link w:val="5"/>
    <w:qFormat/>
    <w:uiPriority w:val="9"/>
    <w:rPr>
      <w:rFonts w:ascii="Times New Roman" w:hAnsi="Times New Roman" w:eastAsia="方正仿宋_GB2312"/>
      <w:bCs/>
      <w:kern w:val="2"/>
      <w:sz w:val="32"/>
      <w:szCs w:val="32"/>
    </w:rPr>
  </w:style>
  <w:style w:type="character" w:customStyle="1" w:styleId="18">
    <w:name w:val="Header Char"/>
    <w:basedOn w:val="14"/>
    <w:semiHidden/>
    <w:qFormat/>
    <w:uiPriority w:val="99"/>
    <w:rPr>
      <w:rFonts w:ascii="Times New Roman" w:hAnsi="Times New Roman"/>
      <w:sz w:val="18"/>
      <w:szCs w:val="18"/>
    </w:rPr>
  </w:style>
  <w:style w:type="character" w:customStyle="1" w:styleId="19">
    <w:name w:val="页眉 Char"/>
    <w:link w:val="10"/>
    <w:semiHidden/>
    <w:qFormat/>
    <w:locked/>
    <w:uiPriority w:val="99"/>
    <w:rPr>
      <w:sz w:val="18"/>
    </w:rPr>
  </w:style>
  <w:style w:type="character" w:customStyle="1" w:styleId="20">
    <w:name w:val="Footer Char"/>
    <w:basedOn w:val="14"/>
    <w:semiHidden/>
    <w:qFormat/>
    <w:uiPriority w:val="99"/>
    <w:rPr>
      <w:rFonts w:ascii="Times New Roman" w:hAnsi="Times New Roman"/>
      <w:sz w:val="18"/>
      <w:szCs w:val="18"/>
    </w:rPr>
  </w:style>
  <w:style w:type="character" w:customStyle="1" w:styleId="21">
    <w:name w:val="页脚 Char"/>
    <w:link w:val="9"/>
    <w:qFormat/>
    <w:locked/>
    <w:uiPriority w:val="99"/>
    <w:rPr>
      <w:sz w:val="18"/>
    </w:rPr>
  </w:style>
  <w:style w:type="character" w:customStyle="1" w:styleId="22">
    <w:name w:val="Body Text Char"/>
    <w:basedOn w:val="14"/>
    <w:semiHidden/>
    <w:qFormat/>
    <w:uiPriority w:val="99"/>
    <w:rPr>
      <w:rFonts w:ascii="Times New Roman" w:hAnsi="Times New Roman"/>
      <w:szCs w:val="24"/>
    </w:rPr>
  </w:style>
  <w:style w:type="character" w:customStyle="1" w:styleId="23">
    <w:name w:val="正文文本 Char"/>
    <w:link w:val="6"/>
    <w:qFormat/>
    <w:locked/>
    <w:uiPriority w:val="99"/>
    <w:rPr>
      <w:rFonts w:ascii="仿宋_GB2312" w:hAnsi="Times New Roman" w:eastAsia="仿宋_GB2312"/>
      <w:sz w:val="24"/>
    </w:rPr>
  </w:style>
  <w:style w:type="paragraph" w:styleId="24">
    <w:name w:val="List Paragraph"/>
    <w:basedOn w:val="1"/>
    <w:qFormat/>
    <w:uiPriority w:val="34"/>
    <w:pPr>
      <w:ind w:firstLine="420" w:firstLineChars="200"/>
    </w:pPr>
  </w:style>
  <w:style w:type="character" w:customStyle="1" w:styleId="25">
    <w:name w:val="标题 1 Char"/>
    <w:basedOn w:val="14"/>
    <w:link w:val="3"/>
    <w:qFormat/>
    <w:uiPriority w:val="9"/>
    <w:rPr>
      <w:rFonts w:ascii="Times New Roman" w:hAnsi="Times New Roman" w:eastAsia="黑体"/>
      <w:bCs/>
      <w:kern w:val="44"/>
      <w:sz w:val="44"/>
      <w:szCs w:val="44"/>
    </w:rPr>
  </w:style>
  <w:style w:type="character" w:customStyle="1" w:styleId="26">
    <w:name w:val="标题 2 Char"/>
    <w:basedOn w:val="14"/>
    <w:link w:val="4"/>
    <w:qFormat/>
    <w:uiPriority w:val="9"/>
    <w:rPr>
      <w:rFonts w:eastAsia="黑体" w:asciiTheme="majorHAnsi" w:hAnsiTheme="majorHAnsi" w:cstheme="majorBidi"/>
      <w:bCs/>
      <w:kern w:val="2"/>
      <w:sz w:val="32"/>
      <w:szCs w:val="32"/>
    </w:rPr>
  </w:style>
  <w:style w:type="paragraph" w:customStyle="1" w:styleId="27">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28">
    <w:name w:val="批注框文本 Char"/>
    <w:basedOn w:val="14"/>
    <w:link w:val="8"/>
    <w:semiHidden/>
    <w:qFormat/>
    <w:uiPriority w:val="99"/>
    <w:rPr>
      <w:rFonts w:ascii="Times New Roman" w:hAnsi="Times New Roman"/>
      <w:kern w:val="2"/>
      <w:sz w:val="18"/>
      <w:szCs w:val="18"/>
    </w:rPr>
  </w:style>
  <w:style w:type="paragraph" w:customStyle="1" w:styleId="29">
    <w:name w:val="TOC 标题2"/>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paragraph" w:customStyle="1" w:styleId="30">
    <w:name w:val="WPSOffice手动目录 1"/>
    <w:qFormat/>
    <w:uiPriority w:val="0"/>
    <w:rPr>
      <w:rFonts w:asciiTheme="minorHAnsi" w:hAnsiTheme="minorHAnsi" w:eastAsiaTheme="minorEastAsia" w:cstheme="minorBidi"/>
      <w:lang w:val="en-US" w:eastAsia="zh-CN" w:bidi="ar-SA"/>
    </w:rPr>
  </w:style>
  <w:style w:type="paragraph" w:customStyle="1" w:styleId="31">
    <w:name w:val="WPSOffice手动目录 2"/>
    <w:qFormat/>
    <w:uiPriority w:val="0"/>
    <w:pPr>
      <w:ind w:left="200" w:leftChars="200"/>
    </w:pPr>
    <w:rPr>
      <w:rFonts w:asciiTheme="minorHAnsi" w:hAnsiTheme="minorHAnsi" w:eastAsiaTheme="minorEastAsia" w:cstheme="minorBidi"/>
      <w:lang w:val="en-US" w:eastAsia="zh-CN" w:bidi="ar-SA"/>
    </w:rPr>
  </w:style>
  <w:style w:type="paragraph" w:customStyle="1" w:styleId="32">
    <w:name w:val="WPSOffice手动目录 3"/>
    <w:qFormat/>
    <w:uiPriority w:val="0"/>
    <w:pPr>
      <w:ind w:left="400" w:leftChars="400"/>
    </w:pPr>
    <w:rPr>
      <w:rFonts w:asciiTheme="minorHAnsi" w:hAnsiTheme="minorHAnsi" w:eastAsiaTheme="minorEastAsia" w:cstheme="minorBidi"/>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hart" Target="charts/chart4.xml"/><Relationship Id="rId8" Type="http://schemas.openxmlformats.org/officeDocument/2006/relationships/chart" Target="charts/chart3.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customXml" Target="../customXml/item2.xml"/><Relationship Id="rId13" Type="http://schemas.openxmlformats.org/officeDocument/2006/relationships/customXml" Target="../customXml/item1.xml"/><Relationship Id="rId12" Type="http://schemas.openxmlformats.org/officeDocument/2006/relationships/chart" Target="charts/chart7.xml"/><Relationship Id="rId11" Type="http://schemas.openxmlformats.org/officeDocument/2006/relationships/chart" Target="charts/chart6.xml"/><Relationship Id="rId10" Type="http://schemas.openxmlformats.org/officeDocument/2006/relationships/chart" Target="charts/chart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charts/_rels/chart1.xml.rels><?xml version="1.0" encoding="UTF-8" standalone="yes"?>
<Relationships xmlns="http://schemas.openxmlformats.org/package/2006/relationships"><Relationship Id="rId1" Type="http://schemas.openxmlformats.org/officeDocument/2006/relationships/oleObject" Target="file:///E:\2021&#24180;&#20915;&#31639;&#20844;&#24320;&#65288;&#27495;&#22378;&#38215;&#65289;\&#22270;.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E:\2021&#24180;&#20915;&#31639;&#20844;&#24320;&#65288;&#27495;&#22378;&#38215;&#65289;\&#22270;.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E:\2021&#24180;&#20915;&#31639;&#20844;&#24320;&#65288;&#27495;&#22378;&#38215;&#65289;\&#22270;.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E:\2021&#24180;&#20915;&#31639;&#20844;&#24320;&#65288;&#27495;&#22378;&#38215;&#65289;\&#22270;.xlsx" TargetMode="External"/></Relationships>
</file>

<file path=word/charts/_rels/chart5.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Documents%20and%20Settings\Administrator\&#26700;&#38754;\&#20915;&#31639;&#20844;&#24320;&#25554;&#22270;&#21046;&#20316;&#31034;&#20363;(1)(1).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E:\2021&#24180;&#20915;&#31639;&#20844;&#24320;&#65288;&#27495;&#22378;&#38215;&#65289;\&#22270;.xlsx" TargetMode="External"/></Relationships>
</file>

<file path=word/charts/_rels/chart7.xml.rels><?xml version="1.0" encoding="UTF-8" standalone="yes"?>
<Relationships xmlns="http://schemas.openxmlformats.org/package/2006/relationships"><Relationship Id="rId1" Type="http://schemas.openxmlformats.org/officeDocument/2006/relationships/package" Target="../embeddings/Workbook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spPr>
            <a:solidFill>
              <a:schemeClr val="accent1"/>
            </a:solidFill>
          </c:spPr>
          <c:invertIfNegative val="0"/>
          <c:dPt>
            <c:idx val="1"/>
            <c:invertIfNegative val="0"/>
            <c:bubble3D val="0"/>
            <c:spPr>
              <a:solidFill>
                <a:srgbClr val="FFC000"/>
              </a:solidFill>
            </c:spPr>
          </c:dPt>
          <c:dLbls>
            <c:dLbl>
              <c:idx val="0"/>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en-US"/>
                      <a:t>1201</a:t>
                    </a:r>
                    <a:r>
                      <a:rPr lang="en-US" altLang="zh-CN"/>
                      <a:t>.76</a:t>
                    </a:r>
                    <a:endParaRPr altLang="en-US"/>
                  </a:p>
                </c:rich>
              </c:tx>
              <c:dLblPos val="outEnd"/>
              <c:showLegendKey val="0"/>
              <c:showVal val="1"/>
              <c:showCatName val="0"/>
              <c:showSerName val="0"/>
              <c:showPercent val="0"/>
              <c:showBubbleSize val="0"/>
              <c:extLst>
                <c:ext xmlns:c15="http://schemas.microsoft.com/office/drawing/2012/chart" uri="{CE6537A1-D6FC-4f65-9D91-7224C49458BB}"/>
              </c:extLst>
            </c:dLbl>
            <c:dLbl>
              <c:idx val="1"/>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en-US"/>
                      <a:t>1064</a:t>
                    </a:r>
                    <a:r>
                      <a:rPr lang="en-US" altLang="zh-CN"/>
                      <a:t>.54</a:t>
                    </a:r>
                    <a:endParaRPr altLang="en-US"/>
                  </a:p>
                </c:rich>
              </c:tx>
              <c:dLblPos val="outEnd"/>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ext>
            </c:extLst>
          </c:dLbls>
          <c:cat>
            <c:strRef>
              <c:f>[图.xlsx]图一!$A$1:$B$1</c:f>
              <c:strCache>
                <c:ptCount val="2"/>
                <c:pt idx="0">
                  <c:v>2020年</c:v>
                </c:pt>
                <c:pt idx="1">
                  <c:v>2021年</c:v>
                </c:pt>
              </c:strCache>
            </c:strRef>
          </c:cat>
          <c:val>
            <c:numRef>
              <c:f>[图.xlsx]图一!$A$2:$B$2</c:f>
              <c:numCache>
                <c:formatCode>General</c:formatCode>
                <c:ptCount val="2"/>
                <c:pt idx="0">
                  <c:v>2720.76</c:v>
                </c:pt>
                <c:pt idx="1">
                  <c:v>2395.95</c:v>
                </c:pt>
              </c:numCache>
            </c:numRef>
          </c:val>
        </c:ser>
        <c:dLbls>
          <c:showLegendKey val="0"/>
          <c:showVal val="1"/>
          <c:showCatName val="0"/>
          <c:showSerName val="0"/>
          <c:showPercent val="0"/>
          <c:showBubbleSize val="0"/>
        </c:dLbls>
        <c:gapWidth val="150"/>
        <c:axId val="179965952"/>
        <c:axId val="179969024"/>
      </c:barChart>
      <c:catAx>
        <c:axId val="179965952"/>
        <c:scaling>
          <c:orientation val="minMax"/>
        </c:scaling>
        <c:delete val="0"/>
        <c:axPos val="b"/>
        <c:title>
          <c:tx>
            <c:rich>
              <a:bodyPr rot="0" spcFirstLastPara="0" vertOverflow="ellipsis" vert="horz" wrap="square" anchor="ctr" anchorCtr="1"/>
              <a:lstStyle/>
              <a:p>
                <a:pPr defTabSz="914400">
                  <a:defRPr lang="zh-CN" sz="1000" b="1" i="0" u="none" strike="noStrike" kern="1200" baseline="0">
                    <a:solidFill>
                      <a:schemeClr val="tx1"/>
                    </a:solidFill>
                    <a:latin typeface="+mn-lt"/>
                    <a:ea typeface="+mn-ea"/>
                    <a:cs typeface="+mn-cs"/>
                  </a:defRPr>
                </a:pPr>
                <a:r>
                  <a:t>单位：万元</a:t>
                </a:r>
              </a:p>
            </c:rich>
          </c:tx>
          <c:layout>
            <c:manualLayout>
              <c:xMode val="edge"/>
              <c:yMode val="edge"/>
              <c:x val="0.832015231400117"/>
              <c:y val="0.068062827225131"/>
            </c:manualLayout>
          </c:layout>
          <c:overlay val="0"/>
        </c:title>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79969024"/>
        <c:crosses val="autoZero"/>
        <c:auto val="1"/>
        <c:lblAlgn val="ctr"/>
        <c:lblOffset val="100"/>
        <c:noMultiLvlLbl val="0"/>
      </c:catAx>
      <c:valAx>
        <c:axId val="179969024"/>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179965952"/>
        <c:crosses val="autoZero"/>
        <c:crossBetween val="between"/>
      </c:valAx>
    </c:plotArea>
    <c:legend>
      <c:legendPos val="r"/>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400" b="0" i="0" u="none" strike="noStrike" kern="1200" spc="0" baseline="0">
                <a:solidFill>
                  <a:schemeClr val="tx1">
                    <a:lumMod val="65000"/>
                    <a:lumOff val="35000"/>
                  </a:schemeClr>
                </a:solidFill>
                <a:latin typeface="+mn-lt"/>
                <a:ea typeface="+mn-ea"/>
                <a:cs typeface="+mn-cs"/>
              </a:defRPr>
            </a:pPr>
            <a:r>
              <a:t>单位：万元</a:t>
            </a:r>
          </a:p>
        </c:rich>
      </c:tx>
      <c:layout>
        <c:manualLayout>
          <c:xMode val="edge"/>
          <c:yMode val="edge"/>
          <c:x val="0.746642246642247"/>
          <c:y val="0.0729166666666667"/>
        </c:manualLayout>
      </c:layout>
      <c:overlay val="0"/>
      <c:spPr>
        <a:noFill/>
        <a:ln>
          <a:noFill/>
        </a:ln>
        <a:effectLst/>
      </c:spPr>
    </c:title>
    <c:autoTitleDeleted val="0"/>
    <c:plotArea>
      <c:layout>
        <c:manualLayout>
          <c:layoutTarget val="inner"/>
          <c:xMode val="edge"/>
          <c:yMode val="edge"/>
          <c:x val="0.342013888888889"/>
          <c:y val="0.176388888888889"/>
          <c:w val="0.324305555555556"/>
          <c:h val="0.540509259259259"/>
        </c:manualLayout>
      </c:layout>
      <c:pieChart>
        <c:varyColors val="1"/>
        <c:ser>
          <c:idx val="0"/>
          <c:order val="0"/>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Lbls>
            <c:dLbl>
              <c:idx val="0"/>
              <c:layout/>
              <c:tx>
                <c:rich>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r>
                      <a:rPr lang="en-US" altLang="en-US"/>
                      <a:t>988</a:t>
                    </a:r>
                    <a:r>
                      <a:rPr lang="en-US" altLang="zh-CN"/>
                      <a:t>.31</a:t>
                    </a:r>
                    <a:endParaRPr altLang="en-US"/>
                  </a:p>
                </c:rich>
              </c:tx>
              <c:dLblPos val="bestFit"/>
              <c:showLegendKey val="0"/>
              <c:showVal val="1"/>
              <c:showCatName val="0"/>
              <c:showSerName val="0"/>
              <c:showPercent val="0"/>
              <c:showBubbleSize val="0"/>
              <c:extLst>
                <c:ext xmlns:c15="http://schemas.microsoft.com/office/drawing/2012/chart" uri="{CE6537A1-D6FC-4f65-9D91-7224C49458BB}"/>
              </c:extLst>
            </c:dLbl>
            <c:dLbl>
              <c:idx val="1"/>
              <c:layout>
                <c:manualLayout>
                  <c:x val="-0.0372279828478111"/>
                  <c:y val="-0.00894305303343534"/>
                </c:manualLayout>
              </c:layout>
              <c:tx>
                <c:rich>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r>
                      <a:rPr lang="en-US" altLang="en-US"/>
                      <a:t>10</a:t>
                    </a:r>
                    <a:endParaRPr altLang="en-US"/>
                  </a:p>
                </c:rich>
              </c:tx>
              <c:dLblPos val="bestFi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extLst>
                <c:ext xmlns:c15="http://schemas.microsoft.com/office/drawing/2012/chart" uri="{02D57815-91ED-43cb-92C2-25804820EDAC}">
                  <c15:fullRef>
                    <c15:sqref>'[图.xlsx]图二 (2)'!$A$1:$A$6</c15:sqref>
                  </c15:fullRef>
                </c:ext>
              </c:extLst>
              <c:f>'[图.xlsx]图二 (2)'!$A$1:$A$2</c:f>
              <c:strCache>
                <c:ptCount val="2"/>
                <c:pt idx="0">
                  <c:v>一、一般公共预算财政拨款收入</c:v>
                </c:pt>
                <c:pt idx="1">
                  <c:v>二、政府性基金预算财政拨款收入</c:v>
                </c:pt>
              </c:strCache>
            </c:strRef>
          </c:cat>
          <c:val>
            <c:numRef>
              <c:extLst>
                <c:ext xmlns:c15="http://schemas.microsoft.com/office/drawing/2012/chart" uri="{02D57815-91ED-43cb-92C2-25804820EDAC}">
                  <c15:fullRef>
                    <c15:sqref>'图二 (2)'!$B$1:$B$6</c15:sqref>
                  </c15:fullRef>
                </c:ext>
              </c:extLst>
              <c:f>'[图.xlsx]图二 (2)'!$B$1:$B$2</c:f>
              <c:numCache>
                <c:formatCode>General</c:formatCode>
                <c:ptCount val="2"/>
                <c:pt idx="0">
                  <c:v>2050.44</c:v>
                </c:pt>
                <c:pt idx="1">
                  <c:v>20.6</c:v>
                </c:pt>
              </c:numCache>
            </c:numRef>
          </c:val>
        </c:ser>
        <c:ser>
          <c:idx val="1"/>
          <c:order val="1"/>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Lbls>
            <c:dLbl>
              <c:idx val="1"/>
              <c:layout>
                <c:manualLayout>
                  <c:x val="0.0321654287916653"/>
                  <c:y val="-0.149790274585539"/>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extLst>
                <c:ext xmlns:c15="http://schemas.microsoft.com/office/drawing/2012/chart" uri="{02D57815-91ED-43cb-92C2-25804820EDAC}">
                  <c15:fullRef>
                    <c15:sqref>'[图.xlsx]图二 (2)'!$A$1:$A$6</c15:sqref>
                  </c15:fullRef>
                </c:ext>
              </c:extLst>
              <c:f>'[图.xlsx]图二 (2)'!$A$1:$A$2</c:f>
              <c:strCache>
                <c:ptCount val="2"/>
                <c:pt idx="0">
                  <c:v>一、一般公共预算财政拨款收入</c:v>
                </c:pt>
                <c:pt idx="1">
                  <c:v>二、政府性基金预算财政拨款收入</c:v>
                </c:pt>
              </c:strCache>
            </c:strRef>
          </c:cat>
          <c:val>
            <c:numRef>
              <c:extLst>
                <c:ext xmlns:c15="http://schemas.microsoft.com/office/drawing/2012/chart" uri="{02D57815-91ED-43cb-92C2-25804820EDAC}">
                  <c15:fullRef>
                    <c15:sqref>'图二 (2)'!$C$1:$C$6</c15:sqref>
                  </c15:fullRef>
                </c:ext>
              </c:extLst>
              <c:f>'[图.xlsx]图二 (2)'!$C$1:$C$2</c:f>
              <c:numCache>
                <c:formatCode>0.00%</c:formatCode>
                <c:ptCount val="2"/>
                <c:pt idx="0">
                  <c:v>0.990053306551298</c:v>
                </c:pt>
                <c:pt idx="1">
                  <c:v>0.0099466934487021</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zero"/>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69224846894138"/>
          <c:y val="0.150462962962963"/>
          <c:w val="0.566371172353456"/>
          <c:h val="0.689814814814815"/>
        </c:manualLayout>
      </c:layout>
      <c:pieChart>
        <c:varyColors val="1"/>
        <c:ser>
          <c:idx val="0"/>
          <c:order val="0"/>
          <c:explosion val="0"/>
          <c:dPt>
            <c:idx val="0"/>
            <c:bubble3D val="0"/>
          </c:dPt>
          <c:dPt>
            <c:idx val="1"/>
            <c:bubble3D val="0"/>
          </c:dPt>
          <c:dLbls>
            <c:dLbl>
              <c:idx val="0"/>
              <c:layout>
                <c:manualLayout>
                  <c:x val="0.0848707349081365"/>
                  <c:y val="-0.171573344998542"/>
                </c:manualLayout>
              </c:layout>
              <c:tx>
                <c:rich>
                  <a:bodyPr rot="0" spcFirstLastPara="0" vertOverflow="ellipsis" vert="horz" wrap="square" lIns="38100" tIns="19050" rIns="38100" bIns="19050" anchor="ctr" anchorCtr="1"/>
                  <a:lstStyle/>
                  <a:p>
                    <a:pPr defTabSz="914400">
                      <a:defRPr lang="zh-CN" sz="1000" b="0" i="0" u="none" strike="noStrike" kern="1200" baseline="0">
                        <a:solidFill>
                          <a:schemeClr val="tx1"/>
                        </a:solidFill>
                        <a:latin typeface="+mn-lt"/>
                        <a:ea typeface="+mn-ea"/>
                        <a:cs typeface="+mn-cs"/>
                      </a:defRPr>
                    </a:pPr>
                    <a:r>
                      <a:t>52.2%</a:t>
                    </a:r>
                  </a:p>
                </c:rich>
              </c:tx>
              <c:dLblPos val="bestFi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0.0286458880139982"/>
                  <c:y val="0.140147273257509"/>
                </c:manualLayout>
              </c:layout>
              <c:tx>
                <c:rich>
                  <a:bodyPr rot="0" spcFirstLastPara="0" vertOverflow="ellipsis" vert="horz" wrap="square" lIns="38100" tIns="19050" rIns="38100" bIns="19050" anchor="ctr" anchorCtr="1"/>
                  <a:lstStyle/>
                  <a:p>
                    <a:pPr defTabSz="914400">
                      <a:defRPr lang="zh-CN" sz="1000" b="0" i="0" u="none" strike="noStrike" kern="1200" baseline="0">
                        <a:solidFill>
                          <a:schemeClr val="tx1"/>
                        </a:solidFill>
                        <a:latin typeface="+mn-lt"/>
                        <a:ea typeface="+mn-ea"/>
                        <a:cs typeface="+mn-cs"/>
                      </a:defRPr>
                    </a:pPr>
                    <a:r>
                      <a:t>47.8%</a:t>
                    </a:r>
                  </a:p>
                </c:rich>
              </c:tx>
              <c:dLblPos val="bestFi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[图.xlsx]图三!$A$2:$B$2</c:f>
              <c:strCache>
                <c:ptCount val="2"/>
                <c:pt idx="0">
                  <c:v>基本支出</c:v>
                </c:pt>
                <c:pt idx="1">
                  <c:v>项目支出</c:v>
                </c:pt>
              </c:strCache>
            </c:strRef>
          </c:cat>
          <c:val>
            <c:numRef>
              <c:f>[图.xlsx]图三!$A$3:$B$3</c:f>
              <c:numCache>
                <c:formatCode>0.00%</c:formatCode>
                <c:ptCount val="2"/>
                <c:pt idx="0">
                  <c:v>0.522</c:v>
                </c:pt>
                <c:pt idx="1">
                  <c:v>0.478</c:v>
                </c:pt>
              </c:numCache>
            </c:numRef>
          </c:val>
        </c:ser>
        <c:dLbls>
          <c:showLegendKey val="0"/>
          <c:showVal val="1"/>
          <c:showCatName val="0"/>
          <c:showSerName val="0"/>
          <c:showPercent val="0"/>
          <c:showBubbleSize val="0"/>
          <c:showLeaderLines val="1"/>
        </c:dLbls>
        <c:firstSliceAng val="15"/>
      </c:pieChart>
      <c:spPr>
        <a:noFill/>
        <a:ln>
          <a:noFill/>
        </a:ln>
        <a:effectLst/>
      </c:spPr>
    </c:plotArea>
    <c:legend>
      <c:legendPos val="r"/>
      <c:layout>
        <c:manualLayout>
          <c:xMode val="edge"/>
          <c:yMode val="edge"/>
          <c:x val="0.762459755030622"/>
          <c:y val="0.597995771361913"/>
          <c:w val="0.186845800524934"/>
          <c:h val="0.1674343832021"/>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668853893263"/>
          <c:y val="0.0514005540974045"/>
          <c:w val="0.587929790026247"/>
          <c:h val="0.824965368912218"/>
        </c:manualLayout>
      </c:layout>
      <c:barChart>
        <c:barDir val="col"/>
        <c:grouping val="clustered"/>
        <c:varyColors val="0"/>
        <c:ser>
          <c:idx val="0"/>
          <c:order val="0"/>
          <c:invertIfNegative val="0"/>
          <c:dPt>
            <c:idx val="1"/>
            <c:invertIfNegative val="0"/>
            <c:bubble3D val="0"/>
            <c:spPr>
              <a:solidFill>
                <a:srgbClr val="C00000"/>
              </a:solidFill>
            </c:spPr>
          </c:dPt>
          <c:dLbls>
            <c:dLbl>
              <c:idx val="0"/>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en-US"/>
                      <a:t>1201</a:t>
                    </a:r>
                    <a:r>
                      <a:rPr altLang="en-US"/>
                      <a:t>.76</a:t>
                    </a:r>
                    <a:endParaRPr altLang="en-US"/>
                  </a:p>
                </c:rich>
              </c:tx>
              <c:dLblPos val="outEnd"/>
              <c:showLegendKey val="0"/>
              <c:showVal val="1"/>
              <c:showCatName val="0"/>
              <c:showSerName val="0"/>
              <c:showPercent val="0"/>
              <c:showBubbleSize val="0"/>
              <c:extLst>
                <c:ext xmlns:c15="http://schemas.microsoft.com/office/drawing/2012/chart" uri="{CE6537A1-D6FC-4f65-9D91-7224C49458BB}"/>
              </c:extLst>
            </c:dLbl>
            <c:dLbl>
              <c:idx val="1"/>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en-US"/>
                      <a:t>1064</a:t>
                    </a:r>
                    <a:r>
                      <a:rPr lang="en-US" altLang="zh-CN"/>
                      <a:t>.54</a:t>
                    </a:r>
                    <a:endParaRPr altLang="en-US"/>
                  </a:p>
                </c:rich>
              </c:tx>
              <c:dLblPos val="outEnd"/>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'[图.xlsx]图4 '!$A$1:$B$1</c:f>
              <c:strCache>
                <c:ptCount val="2"/>
                <c:pt idx="0">
                  <c:v>2020年</c:v>
                </c:pt>
                <c:pt idx="1">
                  <c:v>2021年</c:v>
                </c:pt>
              </c:strCache>
            </c:strRef>
          </c:cat>
          <c:val>
            <c:numRef>
              <c:f>'[图.xlsx]图4 '!$A$2:$B$2</c:f>
              <c:numCache>
                <c:formatCode>General</c:formatCode>
                <c:ptCount val="2"/>
                <c:pt idx="0">
                  <c:v>2720.76</c:v>
                </c:pt>
                <c:pt idx="1">
                  <c:v>2395.95</c:v>
                </c:pt>
              </c:numCache>
            </c:numRef>
          </c:val>
        </c:ser>
        <c:dLbls>
          <c:showLegendKey val="0"/>
          <c:showVal val="1"/>
          <c:showCatName val="0"/>
          <c:showSerName val="0"/>
          <c:showPercent val="0"/>
          <c:showBubbleSize val="0"/>
        </c:dLbls>
        <c:gapWidth val="150"/>
        <c:axId val="275372672"/>
        <c:axId val="275482496"/>
      </c:barChart>
      <c:catAx>
        <c:axId val="275372672"/>
        <c:scaling>
          <c:orientation val="minMax"/>
        </c:scaling>
        <c:delete val="0"/>
        <c:axPos val="b"/>
        <c:title>
          <c:tx>
            <c:rich>
              <a:bodyPr rot="0" spcFirstLastPara="0" vertOverflow="ellipsis" vert="horz" wrap="square" anchor="ctr" anchorCtr="1"/>
              <a:lstStyle/>
              <a:p>
                <a:pPr defTabSz="914400">
                  <a:defRPr lang="zh-CN" sz="1000" b="1" i="0" u="none" strike="noStrike" kern="1200" baseline="0">
                    <a:solidFill>
                      <a:schemeClr val="tx1"/>
                    </a:solidFill>
                    <a:latin typeface="+mn-lt"/>
                    <a:ea typeface="+mn-ea"/>
                    <a:cs typeface="+mn-cs"/>
                  </a:defRPr>
                </a:pPr>
                <a:r>
                  <a:rPr b="0"/>
                  <a:t>单位：万元</a:t>
                </a:r>
                <a:endParaRPr b="0"/>
              </a:p>
            </c:rich>
          </c:tx>
          <c:layout>
            <c:manualLayout>
              <c:xMode val="edge"/>
              <c:yMode val="edge"/>
              <c:x val="0.773254218652849"/>
              <c:y val="0.095920138888889"/>
            </c:manualLayout>
          </c:layout>
          <c:overlay val="0"/>
        </c:title>
        <c:majorTickMark val="out"/>
        <c:minorTickMark val="none"/>
        <c:tickLblPos val="nextTo"/>
        <c:txPr>
          <a:bodyPr rot="-60000000" spcFirstLastPara="0" vertOverflow="ellipsis" vert="horz" wrap="square" anchor="ctr" anchorCtr="1"/>
          <a:lstStyle/>
          <a:p>
            <a:pPr>
              <a:defRPr lang="zh-CN" sz="600" b="0" i="0" u="none" strike="noStrike" kern="1200" baseline="0">
                <a:solidFill>
                  <a:schemeClr val="tx1"/>
                </a:solidFill>
                <a:latin typeface="+mn-lt"/>
                <a:ea typeface="+mn-ea"/>
                <a:cs typeface="+mn-cs"/>
              </a:defRPr>
            </a:pPr>
          </a:p>
        </c:txPr>
        <c:crossAx val="275482496"/>
        <c:crosses val="autoZero"/>
        <c:auto val="1"/>
        <c:lblAlgn val="ctr"/>
        <c:lblOffset val="100"/>
        <c:noMultiLvlLbl val="0"/>
      </c:catAx>
      <c:valAx>
        <c:axId val="275482496"/>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275372672"/>
        <c:crosses val="autoZero"/>
        <c:crossBetween val="between"/>
      </c:valAx>
    </c:plotArea>
    <c:legend>
      <c:legendPos val="r"/>
      <c:layout>
        <c:manualLayout>
          <c:xMode val="edge"/>
          <c:yMode val="edge"/>
          <c:x val="0.763154199475066"/>
          <c:y val="0.360343394575678"/>
          <c:w val="0.220179133858268"/>
          <c:h val="0.279313210848644"/>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9668853893263"/>
          <c:y val="0.0514005540974045"/>
          <c:w val="0.587929790026247"/>
          <c:h val="0.824965368912218"/>
        </c:manualLayout>
      </c:layout>
      <c:barChart>
        <c:barDir val="col"/>
        <c:grouping val="clustered"/>
        <c:varyColors val="0"/>
        <c:ser>
          <c:idx val="0"/>
          <c:order val="0"/>
          <c:invertIfNegative val="0"/>
          <c:dPt>
            <c:idx val="1"/>
            <c:invertIfNegative val="0"/>
            <c:bubble3D val="0"/>
            <c:spPr>
              <a:solidFill>
                <a:srgbClr val="C00000"/>
              </a:solidFill>
            </c:spPr>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ext>
            </c:extLst>
          </c:dLbls>
          <c:cat>
            <c:strRef>
              <c:f>'图4 '!$A$1:$B$1</c:f>
              <c:strCache>
                <c:ptCount val="2"/>
                <c:pt idx="0">
                  <c:v>2020年</c:v>
                </c:pt>
                <c:pt idx="1">
                  <c:v>2021年</c:v>
                </c:pt>
              </c:strCache>
            </c:strRef>
          </c:cat>
          <c:val>
            <c:numRef>
              <c:f>'图4 '!$A$2:$B$2</c:f>
              <c:numCache>
                <c:formatCode>General</c:formatCode>
                <c:ptCount val="2"/>
                <c:pt idx="0">
                  <c:v>1055.93</c:v>
                </c:pt>
                <c:pt idx="1">
                  <c:v>1019.54</c:v>
                </c:pt>
              </c:numCache>
            </c:numRef>
          </c:val>
        </c:ser>
        <c:dLbls>
          <c:showLegendKey val="0"/>
          <c:showVal val="1"/>
          <c:showCatName val="0"/>
          <c:showSerName val="0"/>
          <c:showPercent val="0"/>
          <c:showBubbleSize val="0"/>
        </c:dLbls>
        <c:gapWidth val="150"/>
        <c:axId val="278931328"/>
        <c:axId val="279602304"/>
      </c:barChart>
      <c:catAx>
        <c:axId val="278931328"/>
        <c:scaling>
          <c:orientation val="minMax"/>
        </c:scaling>
        <c:delete val="0"/>
        <c:axPos val="b"/>
        <c:majorTickMark val="out"/>
        <c:minorTickMark val="none"/>
        <c:tickLblPos val="nextTo"/>
        <c:txPr>
          <a:bodyPr rot="-60000000" spcFirstLastPara="0" vertOverflow="ellipsis" vert="horz" wrap="square" anchor="ctr" anchorCtr="1"/>
          <a:lstStyle/>
          <a:p>
            <a:pPr>
              <a:defRPr lang="zh-CN" sz="600" b="0" i="0" u="none" strike="noStrike" kern="1200" baseline="0">
                <a:solidFill>
                  <a:schemeClr val="tx1"/>
                </a:solidFill>
                <a:latin typeface="+mn-lt"/>
                <a:ea typeface="+mn-ea"/>
                <a:cs typeface="+mn-cs"/>
              </a:defRPr>
            </a:pPr>
          </a:p>
        </c:txPr>
        <c:crossAx val="279602304"/>
        <c:crosses val="autoZero"/>
        <c:auto val="1"/>
        <c:lblAlgn val="ctr"/>
        <c:lblOffset val="100"/>
        <c:noMultiLvlLbl val="0"/>
      </c:catAx>
      <c:valAx>
        <c:axId val="279602304"/>
        <c:scaling>
          <c:orientation val="minMax"/>
        </c:scaling>
        <c:delete val="0"/>
        <c:axPos val="l"/>
        <c:majorGridlines/>
        <c:numFmt formatCode="General" sourceLinked="1"/>
        <c:majorTickMark val="out"/>
        <c:minorTickMark val="none"/>
        <c:tickLblPos val="nextTo"/>
        <c:txPr>
          <a:bodyPr rot="-6000000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crossAx val="278931328"/>
        <c:crosses val="autoZero"/>
        <c:crossBetween val="between"/>
      </c:valAx>
    </c:plotArea>
    <c:legend>
      <c:legendPos val="r"/>
      <c:layout>
        <c:manualLayout>
          <c:xMode val="edge"/>
          <c:yMode val="edge"/>
          <c:x val="0.763154199475066"/>
          <c:y val="0.360343394575678"/>
          <c:w val="0.220179133858268"/>
          <c:h val="0.279313210848644"/>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userShapes r:id="rId2"/>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rPr sz="1400" b="0"/>
              <a:t>单位：万元</a:t>
            </a:r>
            <a:endParaRPr sz="1400" b="0"/>
          </a:p>
        </c:rich>
      </c:tx>
      <c:layout>
        <c:manualLayout>
          <c:xMode val="edge"/>
          <c:yMode val="edge"/>
          <c:x val="0.683611532625191"/>
          <c:y val="0.0394736842105263"/>
        </c:manualLayout>
      </c:layout>
      <c:overlay val="0"/>
    </c:title>
    <c:autoTitleDeleted val="0"/>
    <c:plotArea>
      <c:layout/>
      <c:pieChart>
        <c:varyColors val="1"/>
        <c:ser>
          <c:idx val="0"/>
          <c:order val="0"/>
          <c:explosion val="0"/>
          <c:dPt>
            <c:idx val="0"/>
            <c:bubble3D val="0"/>
            <c:spPr>
              <a:solidFill>
                <a:schemeClr val="tx2">
                  <a:lumMod val="40000"/>
                  <a:lumOff val="60000"/>
                </a:schemeClr>
              </a:solidFill>
            </c:spPr>
          </c:dPt>
          <c:dPt>
            <c:idx val="1"/>
            <c:bubble3D val="0"/>
          </c:dPt>
          <c:dPt>
            <c:idx val="2"/>
            <c:bubble3D val="0"/>
          </c:dPt>
          <c:dPt>
            <c:idx val="3"/>
            <c:bubble3D val="0"/>
          </c:dPt>
          <c:dPt>
            <c:idx val="4"/>
            <c:bubble3D val="0"/>
          </c:dPt>
          <c:dPt>
            <c:idx val="5"/>
            <c:bubble3D val="0"/>
          </c:dPt>
          <c:dPt>
            <c:idx val="6"/>
            <c:bubble3D val="0"/>
          </c:dPt>
          <c:dPt>
            <c:idx val="7"/>
            <c:bubble3D val="0"/>
          </c:dPt>
          <c:dPt>
            <c:idx val="8"/>
            <c:bubble3D val="0"/>
          </c:dPt>
          <c:dLbls>
            <c:dLbl>
              <c:idx val="0"/>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en-US"/>
                      <a:t>349</a:t>
                    </a:r>
                    <a:r>
                      <a:rPr lang="en-US" altLang="zh-CN"/>
                      <a:t>.61</a:t>
                    </a:r>
                    <a:endParaRPr altLang="en-US"/>
                  </a:p>
                </c:rich>
              </c:tx>
              <c:dLblPos val="bestFit"/>
              <c:showLegendKey val="0"/>
              <c:showVal val="1"/>
              <c:showCatName val="0"/>
              <c:showSerName val="0"/>
              <c:showPercent val="0"/>
              <c:showBubbleSize val="0"/>
              <c:extLst>
                <c:ext xmlns:c15="http://schemas.microsoft.com/office/drawing/2012/chart" uri="{CE6537A1-D6FC-4f65-9D91-7224C49458BB}"/>
              </c:extLst>
            </c:dLbl>
            <c:dLbl>
              <c:idx val="1"/>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en-US"/>
                      <a:t>136</a:t>
                    </a:r>
                    <a:r>
                      <a:rPr lang="en-US" altLang="zh-CN"/>
                      <a:t>.22</a:t>
                    </a:r>
                    <a:endParaRPr altLang="en-US"/>
                  </a:p>
                </c:rich>
              </c:tx>
              <c:dLblPos val="bestFit"/>
              <c:showLegendKey val="0"/>
              <c:showVal val="1"/>
              <c:showCatName val="0"/>
              <c:showSerName val="0"/>
              <c:showPercent val="0"/>
              <c:showBubbleSize val="0"/>
              <c:extLst>
                <c:ext xmlns:c15="http://schemas.microsoft.com/office/drawing/2012/chart" uri="{CE6537A1-D6FC-4f65-9D91-7224C49458BB}"/>
              </c:extLst>
            </c:dLbl>
            <c:dLbl>
              <c:idx val="2"/>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en-US"/>
                      <a:t>18</a:t>
                    </a:r>
                    <a:r>
                      <a:rPr lang="en-US" altLang="zh-CN"/>
                      <a:t>.07</a:t>
                    </a:r>
                    <a:endParaRPr altLang="en-US"/>
                  </a:p>
                </c:rich>
              </c:tx>
              <c:dLblPos val="bestFit"/>
              <c:showLegendKey val="0"/>
              <c:showVal val="1"/>
              <c:showCatName val="0"/>
              <c:showSerName val="0"/>
              <c:showPercent val="0"/>
              <c:showBubbleSize val="0"/>
              <c:extLst>
                <c:ext xmlns:c15="http://schemas.microsoft.com/office/drawing/2012/chart" uri="{CE6537A1-D6FC-4f65-9D91-7224C49458BB}"/>
              </c:extLst>
            </c:dLbl>
            <c:dLbl>
              <c:idx val="3"/>
              <c:delete val="1"/>
            </c:dLbl>
            <c:dLbl>
              <c:idx val="4"/>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en-US"/>
                      <a:t>444</a:t>
                    </a:r>
                    <a:r>
                      <a:rPr lang="en-US" altLang="zh-CN"/>
                      <a:t>.32</a:t>
                    </a:r>
                    <a:endParaRPr altLang="en-US"/>
                  </a:p>
                </c:rich>
              </c:tx>
              <c:dLblPos val="bestFit"/>
              <c:showLegendKey val="0"/>
              <c:showVal val="1"/>
              <c:showCatName val="0"/>
              <c:showSerName val="0"/>
              <c:showPercent val="0"/>
              <c:showBubbleSize val="0"/>
              <c:extLst>
                <c:ext xmlns:c15="http://schemas.microsoft.com/office/drawing/2012/chart" uri="{CE6537A1-D6FC-4f65-9D91-7224C49458BB}"/>
              </c:extLst>
            </c:dLbl>
            <c:dLbl>
              <c:idx val="5"/>
              <c:layout>
                <c:manualLayout>
                  <c:x val="-0.0122075207494274"/>
                  <c:y val="0.0158431499099206"/>
                </c:manualLayout>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en-US"/>
                      <a:t>20</a:t>
                    </a:r>
                    <a:r>
                      <a:rPr lang="en-US" altLang="zh-CN"/>
                      <a:t>.79</a:t>
                    </a:r>
                    <a:endParaRPr altLang="en-US"/>
                  </a:p>
                </c:rich>
              </c:tx>
              <c:dLblPos val="bestFit"/>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0.0125810844752725"/>
                  <c:y val="-0.014734913810112"/>
                </c:manualLayout>
              </c:layout>
              <c:tx>
                <c:rich>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r>
                      <a:rPr lang="en-US" altLang="en-US"/>
                      <a:t>40</a:t>
                    </a:r>
                    <a:r>
                      <a:rPr lang="en-US" altLang="zh-CN"/>
                      <a:t>.53</a:t>
                    </a:r>
                    <a:endParaRPr altLang="en-US"/>
                  </a:p>
                </c:rich>
              </c:tx>
              <c:dLblPos val="bestFit"/>
              <c:showLegendKey val="0"/>
              <c:showVal val="1"/>
              <c:showCatName val="0"/>
              <c:showSerName val="0"/>
              <c:showPercent val="0"/>
              <c:showBubbleSize val="0"/>
              <c:extLst>
                <c:ext xmlns:c15="http://schemas.microsoft.com/office/drawing/2012/chart" uri="{CE6537A1-D6FC-4f65-9D91-7224C49458BB}">
                  <c15:layout/>
                </c:ext>
              </c:extLst>
            </c:dLbl>
            <c:dLbl>
              <c:idx val="7"/>
              <c:delete val="1"/>
            </c:dLbl>
            <c:dLbl>
              <c:idx val="8"/>
              <c:layout>
                <c:manualLayout>
                  <c:x val="0.0181567443509688"/>
                  <c:y val="0.0243479562059266"/>
                </c:manualLayout>
              </c:layout>
              <c:dLblPos val="bestFi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[图.xlsx]图6!$A$2:$A$10</c:f>
              <c:strCache>
                <c:ptCount val="9"/>
                <c:pt idx="0">
                  <c:v>一般公共服务（类）支出</c:v>
                </c:pt>
                <c:pt idx="1">
                  <c:v>社会保障和就业（类）支出</c:v>
                </c:pt>
                <c:pt idx="2">
                  <c:v>文化体育与传媒支出（类）支出</c:v>
                </c:pt>
                <c:pt idx="3">
                  <c:v>城乡社区（类）支出</c:v>
                </c:pt>
                <c:pt idx="4">
                  <c:v>农林水（类）支出</c:v>
                </c:pt>
                <c:pt idx="5">
                  <c:v>卫生健康支出</c:v>
                </c:pt>
                <c:pt idx="6">
                  <c:v>住房保障支出</c:v>
                </c:pt>
                <c:pt idx="7">
                  <c:v>节能环保支出</c:v>
                </c:pt>
                <c:pt idx="8">
                  <c:v>灾害防治及应急管理</c:v>
                </c:pt>
              </c:strCache>
            </c:strRef>
          </c:cat>
          <c:val>
            <c:numRef>
              <c:f>[图.xlsx]图6!$B$2:$B$10</c:f>
              <c:numCache>
                <c:formatCode>General</c:formatCode>
                <c:ptCount val="9"/>
                <c:pt idx="0">
                  <c:v>671.36</c:v>
                </c:pt>
                <c:pt idx="1">
                  <c:v>219.39</c:v>
                </c:pt>
                <c:pt idx="2">
                  <c:v>61.6</c:v>
                </c:pt>
                <c:pt idx="3">
                  <c:v>80.44</c:v>
                </c:pt>
                <c:pt idx="4">
                  <c:v>1176.94</c:v>
                </c:pt>
                <c:pt idx="5">
                  <c:v>44.51</c:v>
                </c:pt>
                <c:pt idx="6">
                  <c:v>84.56</c:v>
                </c:pt>
                <c:pt idx="7">
                  <c:v>5</c:v>
                </c:pt>
                <c:pt idx="8">
                  <c:v>10</c:v>
                </c:pt>
              </c:numCache>
            </c:numRef>
          </c:val>
        </c:ser>
        <c:dLbls>
          <c:showLegendKey val="0"/>
          <c:showVal val="1"/>
          <c:showCatName val="0"/>
          <c:showSerName val="0"/>
          <c:showPercent val="0"/>
          <c:showBubbleSize val="0"/>
          <c:showLeaderLines val="1"/>
        </c:dLbls>
        <c:firstSliceAng val="15"/>
      </c:pieChart>
      <c:spPr>
        <a:noFill/>
        <a:ln>
          <a:noFill/>
        </a:ln>
        <a:effectLst/>
      </c:spPr>
    </c:plotArea>
    <c:legend>
      <c:legendPos val="r"/>
      <c:legendEntry>
        <c:idx val="3"/>
        <c:delete val="1"/>
      </c:legendEntry>
      <c:layout>
        <c:manualLayout>
          <c:xMode val="edge"/>
          <c:yMode val="edge"/>
          <c:x val="0.654527061203844"/>
          <c:y val="0.163651315789474"/>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zero"/>
    <c:showDLblsOverMax val="0"/>
  </c:chart>
  <c:txPr>
    <a:bodyPr/>
    <a:lstStyle/>
    <a:p>
      <a:pPr>
        <a:defRPr lang="zh-CN"/>
      </a:pPr>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
        <c:rich>
          <a:bodyPr/>
          <a:lstStyle/>
          <a:p>
            <a:pPr>
              <a:defRPr/>
            </a:pPr>
          </a:p>
        </c:rich>
      </c:tx>
    </c:title>
    <c:autoTitleDeleted val="0"/>
    <c:plotArea>
      <c:layout>
        <c:manualLayout>
          <c:layoutTarget val="inner"/>
          <c:xMode val="edge"/>
          <c:yMode val="edge"/>
          <c:x val="0.08827"/>
          <c:y val="0.166626666666667"/>
          <c:w val="0.47806"/>
          <c:h val="0.637413333333333"/>
        </c:manualLayout>
      </c:layout>
      <c:pieChart>
        <c:varyColors val="1"/>
        <c:ser>
          <c:idx val="0"/>
          <c:order val="0"/>
          <c:tx>
            <c:strRef>
              <c:f>Sheet1!$B$1</c:f>
              <c:strCache>
                <c:ptCount val="1"/>
                <c:pt idx="0">
                  <c:v>列1</c:v>
                </c:pt>
              </c:strCache>
            </c:strRef>
          </c:tx>
          <c:explosion val="0"/>
          <c:dPt>
            <c:idx val="0"/>
            <c:bubble3D val="0"/>
            <c:spPr>
              <a:solidFill>
                <a:schemeClr val="accent1"/>
              </a:solidFill>
              <a:ln w="19050">
                <a:solidFill>
                  <a:schemeClr val="lt1"/>
                </a:solidFill>
              </a:ln>
              <a:effectLst/>
            </c:spPr>
          </c:dPt>
          <c:dPt>
            <c:idx val="1"/>
            <c:bubble3D val="0"/>
            <c:spPr>
              <a:solidFill>
                <a:schemeClr val="accent2"/>
              </a:solidFill>
              <a:ln w="19050">
                <a:solidFill>
                  <a:schemeClr val="lt1"/>
                </a:solidFill>
              </a:ln>
              <a:effectLst/>
            </c:spPr>
          </c:dPt>
          <c:dPt>
            <c:idx val="2"/>
            <c:bubble3D val="0"/>
            <c:spPr>
              <a:solidFill>
                <a:schemeClr val="accent3"/>
              </a:solidFill>
              <a:ln w="19050">
                <a:solidFill>
                  <a:schemeClr val="lt1"/>
                </a:solidFill>
              </a:ln>
              <a:effectLst/>
            </c:spPr>
          </c:dPt>
          <c:dLbls>
            <c:spPr>
              <a:no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0"/>
            <c:showCatName val="0"/>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prstDash val="solid"/>
                      <a:round/>
                    </a:ln>
                    <a:effectLst/>
                  </c:spPr>
                </c15:leaderLines>
              </c:ext>
            </c:extLst>
          </c:dLbls>
          <c:cat>
            <c:strRef>
              <c:f>Sheet1!$A$2:$A$4</c:f>
              <c:strCache>
                <c:ptCount val="3"/>
                <c:pt idx="0">
                  <c:v>因公出国（境）费用支出</c:v>
                </c:pt>
                <c:pt idx="1">
                  <c:v>公务用车购置及运行维护费支出</c:v>
                </c:pt>
                <c:pt idx="2">
                  <c:v>公务接待费支出</c:v>
                </c:pt>
              </c:strCache>
            </c:strRef>
          </c:cat>
          <c:val>
            <c:numRef>
              <c:f>Sheet1!$B$2:$B$4</c:f>
              <c:numCache>
                <c:formatCode>General</c:formatCode>
                <c:ptCount val="3"/>
                <c:pt idx="2">
                  <c:v>2.49</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manualLayout>
          <c:xMode val="edge"/>
          <c:yMode val="edge"/>
          <c:x val="0.765125"/>
          <c:y val="0.193333333333333"/>
          <c:w val="0.20825"/>
          <c:h val="0.609666666666667"/>
        </c:manualLayout>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chart>
  <c:spPr>
    <a:solidFill>
      <a:schemeClr val="bg1"/>
    </a:solidFill>
    <a:ln w="9525" cap="flat" cmpd="sng" algn="ctr">
      <a:solidFill>
        <a:schemeClr val="tx1">
          <a:lumMod val="15000"/>
          <a:lumOff val="85000"/>
        </a:schemeClr>
      </a:solidFill>
      <a:prstDash val="solid"/>
      <a:round/>
    </a:ln>
    <a:effectLst/>
  </c:spPr>
  <c:txPr>
    <a:bodyPr/>
    <a:lstStyle/>
    <a:p>
      <a:pPr>
        <a:defRPr lang="zh-CN"/>
      </a:pPr>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cdr:x>
      <cdr:y>1</cdr:y>
    </cdr:from>
    <cdr:to>
      <cdr:x>1</cdr:x>
      <cdr:y>1</cdr:y>
    </cdr:to>
    <cdr:sp>
      <cdr:nvSpPr>
        <cdr:cNvPr id="2" name="直接连接符 1"/>
        <cdr:cNvSpPr/>
      </cdr:nvSpPr>
      <cdr:spPr xmlns:a="http://schemas.openxmlformats.org/drawingml/2006/main">
        <a:xfrm xmlns:a="http://schemas.openxmlformats.org/drawingml/2006/main">
          <a:off x="0" y="2762250"/>
          <a:ext cx="4648200" cy="0"/>
        </a:xfrm>
        <a:prstGeom xmlns:a="http://schemas.openxmlformats.org/drawingml/2006/main" prst="line">
          <a:avLst/>
        </a:prstGeom>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xmlns:a="http://schemas.openxmlformats.org/drawingml/2006/main">
        <a:bodyPr vertOverflow="clip" vert="horz" wrap="none" lIns="45720" tIns="45720" rIns="45720" bIns="45720" anchor="t" anchorCtr="0">
          <a:normAutofit/>
        </a:bodyPr>
        <a:lstStyle/>
        <a:p>
          <a:endParaRPr lang="zh-CN"/>
        </a:p>
      </cdr:txBody>
    </cdr:sp>
  </cdr:relSizeAnchor>
  <cdr:relSizeAnchor xmlns:cdr="http://schemas.openxmlformats.org/drawingml/2006/chartDrawing">
    <cdr:from>
      <cdr:x>0</cdr:x>
      <cdr:y>0</cdr:y>
    </cdr:from>
    <cdr:to>
      <cdr:x>0</cdr:x>
      <cdr:y>0</cdr:y>
    </cdr:to>
    <cdr:sp>
      <cdr:nvSpPr>
        <cdr:cNvPr id="3" name="直接连接符 2"/>
        <cdr:cNvSpPr/>
      </cdr:nvSpPr>
      <cdr:spPr xmlns:a="http://schemas.openxmlformats.org/drawingml/2006/main">
        <a:xfrm xmlns:a="http://schemas.openxmlformats.org/drawingml/2006/main">
          <a:off x="-1457325" y="-923925"/>
          <a:ext cx="0" cy="0"/>
        </a:xfrm>
        <a:prstGeom xmlns:a="http://schemas.openxmlformats.org/drawingml/2006/main" prst="line">
          <a:avLst/>
        </a:prstGeom>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xmlns:a="http://schemas.openxmlformats.org/drawingml/2006/main">
        <a:bodyPr vertOverflow="clip" vert="horz" wrap="none" lIns="45720" tIns="45720" rIns="45720" bIns="45720" anchor="t" anchorCtr="0">
          <a:normAutofit/>
        </a:bodyPr>
        <a:lstStyle/>
        <a:p>
          <a:endParaRPr lang="zh-CN"/>
        </a:p>
      </cdr:txBody>
    </cdr:sp>
  </cdr:relSizeAnchor>
  <cdr:relSizeAnchor xmlns:cdr="http://schemas.openxmlformats.org/drawingml/2006/chartDrawing">
    <cdr:from>
      <cdr:x>0</cdr:x>
      <cdr:y>1</cdr:y>
    </cdr:from>
    <cdr:to>
      <cdr:x>1</cdr:x>
      <cdr:y>1</cdr:y>
    </cdr:to>
    <cdr:sp>
      <cdr:nvSpPr>
        <cdr:cNvPr id="4" name="直接连接符 3"/>
        <cdr:cNvSpPr/>
      </cdr:nvSpPr>
      <cdr:spPr xmlns:a="http://schemas.openxmlformats.org/drawingml/2006/main">
        <a:xfrm xmlns:a="http://schemas.openxmlformats.org/drawingml/2006/main">
          <a:off x="0" y="2762250"/>
          <a:ext cx="4648200" cy="0"/>
        </a:xfrm>
        <a:prstGeom xmlns:a="http://schemas.openxmlformats.org/drawingml/2006/main" prst="line">
          <a:avLst/>
        </a:prstGeom>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xmlns:a="http://schemas.openxmlformats.org/drawingml/2006/main">
        <a:bodyPr vertOverflow="clip" vert="horz" wrap="none" lIns="45720" tIns="45720" rIns="45720" bIns="45720" anchor="t" anchorCtr="0">
          <a:normAutofit/>
        </a:bodyPr>
        <a:lstStyle/>
        <a:p>
          <a:endParaRPr lang="zh-CN"/>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61D1D0C-1FAD-45F6-B13B-E325928AA78E}">
  <ds:schemaRefs/>
</ds:datastoreItem>
</file>

<file path=docProps/app.xml><?xml version="1.0" encoding="utf-8"?>
<Properties xmlns="http://schemas.openxmlformats.org/officeDocument/2006/extended-properties" xmlns:vt="http://schemas.openxmlformats.org/officeDocument/2006/docPropsVTypes">
  <Template>Normal.dotm</Template>
  <Company>四川省财政厅</Company>
  <Pages>53</Pages>
  <Words>20538</Words>
  <Characters>21905</Characters>
  <Lines>181</Lines>
  <Paragraphs>51</Paragraphs>
  <TotalTime>4</TotalTime>
  <ScaleCrop>false</ScaleCrop>
  <LinksUpToDate>false</LinksUpToDate>
  <CharactersWithSpaces>22057</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2020-08-05T01:49:00Z</dcterms:created>
  <dc:creator>曹颖</dc:creator>
  <cp:lastModifiedBy>TFBOYS的姐姐不能认输</cp:lastModifiedBy>
  <cp:lastPrinted>2022-08-08T09:11:00Z</cp:lastPrinted>
  <dcterms:modified xsi:type="dcterms:W3CDTF">2022-09-28T02:13:38Z</dcterms:modified>
  <dc:title>四川省***</dc:title>
  <cp:revision>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73A0E77E9AEE4520882EAEAA9CE6EDE7</vt:lpwstr>
  </property>
</Properties>
</file>