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sz w:val="36"/>
          <w:szCs w:val="36"/>
          <w:lang w:val="en-US" w:eastAsia="zh-CN"/>
        </w:rPr>
      </w:pPr>
      <w:bookmarkStart w:id="0" w:name="_GoBack"/>
      <w:r>
        <w:rPr>
          <w:rFonts w:hint="eastAsia" w:ascii="方正小标宋简体" w:hAnsi="方正小标宋简体" w:eastAsia="方正小标宋简体" w:cs="方正小标宋简体"/>
          <w:sz w:val="36"/>
          <w:szCs w:val="36"/>
          <w:lang w:val="en-US" w:eastAsia="zh-CN"/>
        </w:rPr>
        <w:t>苍溪县亭子镇清河村2026年特色旅居村以工代赈</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sz w:val="36"/>
          <w:szCs w:val="36"/>
          <w:lang w:val="en-US" w:eastAsia="zh-CN"/>
        </w:rPr>
        <w:t>项目</w:t>
      </w:r>
      <w:r>
        <w:rPr>
          <w:rFonts w:hint="eastAsia" w:ascii="方正小标宋简体" w:hAnsi="方正小标宋简体" w:eastAsia="方正小标宋简体" w:cs="方正小标宋简体"/>
          <w:sz w:val="36"/>
          <w:szCs w:val="36"/>
          <w:lang w:eastAsia="zh-CN"/>
        </w:rPr>
        <w:t>主材报价表</w:t>
      </w:r>
    </w:p>
    <w:bookmarkEnd w:id="0"/>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center"/>
        <w:textAlignment w:val="auto"/>
        <w:rPr>
          <w:rFonts w:hint="eastAsia" w:ascii="方正小标宋简体" w:hAnsi="方正小标宋简体" w:eastAsia="方正小标宋简体" w:cs="方正小标宋简体"/>
          <w:b w:val="0"/>
          <w:bCs w:val="0"/>
          <w:sz w:val="36"/>
          <w:szCs w:val="36"/>
          <w:lang w:eastAsia="zh-CN"/>
        </w:rPr>
      </w:pPr>
    </w:p>
    <w:tbl>
      <w:tblPr>
        <w:tblStyle w:val="2"/>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286"/>
        <w:gridCol w:w="1079"/>
        <w:gridCol w:w="915"/>
        <w:gridCol w:w="645"/>
        <w:gridCol w:w="886"/>
        <w:gridCol w:w="659"/>
        <w:gridCol w:w="1005"/>
        <w:gridCol w:w="945"/>
        <w:gridCol w:w="2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01" w:hRule="atLeast"/>
          <w:jc w:val="center"/>
        </w:trPr>
        <w:tc>
          <w:tcPr>
            <w:tcW w:w="1286" w:type="dxa"/>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项目名称</w:t>
            </w:r>
          </w:p>
        </w:tc>
        <w:tc>
          <w:tcPr>
            <w:tcW w:w="8191" w:type="dxa"/>
            <w:gridSpan w:val="8"/>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lang w:val="en-US"/>
              </w:rPr>
            </w:pPr>
            <w:r>
              <w:rPr>
                <w:rFonts w:hint="eastAsia" w:asciiTheme="majorEastAsia" w:hAnsiTheme="majorEastAsia" w:eastAsiaTheme="majorEastAsia" w:cstheme="majorEastAsia"/>
                <w:i w:val="0"/>
                <w:iCs w:val="0"/>
                <w:color w:val="000000"/>
                <w:sz w:val="21"/>
                <w:szCs w:val="21"/>
                <w:u w:val="none"/>
                <w:lang w:val="en-US" w:eastAsia="zh-CN"/>
              </w:rPr>
              <w:t>苍溪县亭子镇清河村2026年特色旅居村以工代赈项目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2" w:hRule="atLeast"/>
          <w:jc w:val="center"/>
        </w:trPr>
        <w:tc>
          <w:tcPr>
            <w:tcW w:w="1286" w:type="dxa"/>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报价时间</w:t>
            </w:r>
          </w:p>
        </w:tc>
        <w:tc>
          <w:tcPr>
            <w:tcW w:w="2639" w:type="dxa"/>
            <w:gridSpan w:val="3"/>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rPr>
            </w:pPr>
          </w:p>
        </w:tc>
        <w:tc>
          <w:tcPr>
            <w:tcW w:w="1545" w:type="dxa"/>
            <w:gridSpan w:val="2"/>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报价单位</w:t>
            </w:r>
          </w:p>
        </w:tc>
        <w:tc>
          <w:tcPr>
            <w:tcW w:w="4007" w:type="dxa"/>
            <w:gridSpan w:val="3"/>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2" w:hRule="atLeast"/>
          <w:jc w:val="center"/>
        </w:trPr>
        <w:tc>
          <w:tcPr>
            <w:tcW w:w="1286" w:type="dxa"/>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联 系 人</w:t>
            </w:r>
          </w:p>
        </w:tc>
        <w:tc>
          <w:tcPr>
            <w:tcW w:w="2639" w:type="dxa"/>
            <w:gridSpan w:val="3"/>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lang w:val="en-US" w:eastAsia="zh-CN"/>
              </w:rPr>
            </w:pPr>
          </w:p>
        </w:tc>
        <w:tc>
          <w:tcPr>
            <w:tcW w:w="1545" w:type="dxa"/>
            <w:gridSpan w:val="2"/>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联系电话</w:t>
            </w:r>
          </w:p>
        </w:tc>
        <w:tc>
          <w:tcPr>
            <w:tcW w:w="4007" w:type="dxa"/>
            <w:gridSpan w:val="3"/>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2" w:hRule="atLeast"/>
          <w:jc w:val="center"/>
        </w:trPr>
        <w:tc>
          <w:tcPr>
            <w:tcW w:w="9477" w:type="dxa"/>
            <w:gridSpan w:val="9"/>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auto"/>
                <w:kern w:val="0"/>
                <w:sz w:val="21"/>
                <w:szCs w:val="21"/>
                <w:u w:val="none"/>
                <w:lang w:val="en-US" w:eastAsia="zh-CN" w:bidi="ar"/>
              </w:rPr>
              <w:t>采购、租赁类别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7" w:hRule="atLeast"/>
          <w:jc w:val="center"/>
        </w:trPr>
        <w:tc>
          <w:tcPr>
            <w:tcW w:w="1286" w:type="dxa"/>
            <w:vMerge w:val="restart"/>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材料名称</w:t>
            </w:r>
          </w:p>
        </w:tc>
        <w:tc>
          <w:tcPr>
            <w:tcW w:w="1079" w:type="dxa"/>
            <w:vMerge w:val="restart"/>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规格型号</w:t>
            </w:r>
          </w:p>
        </w:tc>
        <w:tc>
          <w:tcPr>
            <w:tcW w:w="915" w:type="dxa"/>
            <w:vMerge w:val="restar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ajorEastAsia" w:hAnsiTheme="majorEastAsia" w:eastAsiaTheme="majorEastAsia" w:cstheme="majorEastAsia"/>
                <w:i w:val="0"/>
                <w:iCs w:val="0"/>
                <w:color w:val="000000"/>
                <w:kern w:val="0"/>
                <w:sz w:val="21"/>
                <w:szCs w:val="21"/>
                <w:u w:val="none"/>
                <w:lang w:val="en-US" w:eastAsia="zh-CN" w:bidi="ar"/>
              </w:rPr>
            </w:pPr>
            <w:r>
              <w:rPr>
                <w:rFonts w:hint="eastAsia" w:asciiTheme="majorEastAsia" w:hAnsiTheme="majorEastAsia" w:eastAsiaTheme="majorEastAsia" w:cstheme="majorEastAsia"/>
                <w:i w:val="0"/>
                <w:iCs w:val="0"/>
                <w:color w:val="000000"/>
                <w:kern w:val="0"/>
                <w:sz w:val="21"/>
                <w:szCs w:val="21"/>
                <w:u w:val="none"/>
                <w:lang w:val="en-US" w:eastAsia="zh-CN" w:bidi="ar"/>
              </w:rPr>
              <w:t>预估</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数量</w:t>
            </w:r>
          </w:p>
        </w:tc>
        <w:tc>
          <w:tcPr>
            <w:tcW w:w="645" w:type="dxa"/>
            <w:vMerge w:val="restart"/>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单位</w:t>
            </w:r>
          </w:p>
        </w:tc>
        <w:tc>
          <w:tcPr>
            <w:tcW w:w="3495" w:type="dxa"/>
            <w:gridSpan w:val="4"/>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报价单价（元）</w:t>
            </w:r>
          </w:p>
        </w:tc>
        <w:tc>
          <w:tcPr>
            <w:tcW w:w="2057" w:type="dxa"/>
            <w:vMerge w:val="restart"/>
            <w:shd w:val="clear" w:color="auto" w:fill="auto"/>
            <w:vAlign w:val="center"/>
          </w:tcPr>
          <w:p>
            <w:pPr>
              <w:keepNext w:val="0"/>
              <w:keepLines w:val="0"/>
              <w:widowControl/>
              <w:suppressLineNumbers w:val="0"/>
              <w:jc w:val="center"/>
              <w:textAlignment w:val="center"/>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3" w:hRule="atLeast"/>
          <w:jc w:val="center"/>
        </w:trPr>
        <w:tc>
          <w:tcPr>
            <w:tcW w:w="1286" w:type="dxa"/>
            <w:vMerge w:val="continue"/>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rPr>
            </w:pPr>
          </w:p>
        </w:tc>
        <w:tc>
          <w:tcPr>
            <w:tcW w:w="1079" w:type="dxa"/>
            <w:vMerge w:val="continue"/>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rPr>
            </w:pPr>
          </w:p>
        </w:tc>
        <w:tc>
          <w:tcPr>
            <w:tcW w:w="915" w:type="dxa"/>
            <w:vMerge w:val="continue"/>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ajorEastAsia" w:hAnsiTheme="majorEastAsia" w:eastAsiaTheme="majorEastAsia" w:cstheme="majorEastAsia"/>
                <w:i w:val="0"/>
                <w:iCs w:val="0"/>
                <w:color w:val="000000"/>
                <w:sz w:val="21"/>
                <w:szCs w:val="21"/>
                <w:u w:val="none"/>
              </w:rPr>
            </w:pPr>
          </w:p>
        </w:tc>
        <w:tc>
          <w:tcPr>
            <w:tcW w:w="645" w:type="dxa"/>
            <w:vMerge w:val="continue"/>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rPr>
            </w:pPr>
          </w:p>
        </w:tc>
        <w:tc>
          <w:tcPr>
            <w:tcW w:w="886" w:type="dxa"/>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材料费</w:t>
            </w:r>
          </w:p>
        </w:tc>
        <w:tc>
          <w:tcPr>
            <w:tcW w:w="659" w:type="dxa"/>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运输费</w:t>
            </w:r>
          </w:p>
        </w:tc>
        <w:tc>
          <w:tcPr>
            <w:tcW w:w="1005" w:type="dxa"/>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运输车辆驾驶员工资</w:t>
            </w:r>
          </w:p>
        </w:tc>
        <w:tc>
          <w:tcPr>
            <w:tcW w:w="945" w:type="dxa"/>
            <w:shd w:val="clear" w:color="auto" w:fill="auto"/>
            <w:vAlign w:val="center"/>
          </w:tcPr>
          <w:p>
            <w:pPr>
              <w:keepNext w:val="0"/>
              <w:keepLines w:val="0"/>
              <w:widowControl/>
              <w:suppressLineNumbers w:val="0"/>
              <w:jc w:val="center"/>
              <w:textAlignment w:val="bottom"/>
              <w:rPr>
                <w:rFonts w:hint="eastAsia" w:asciiTheme="majorEastAsia" w:hAnsiTheme="majorEastAsia" w:eastAsiaTheme="majorEastAsia" w:cstheme="majorEastAsia"/>
                <w:i w:val="0"/>
                <w:iCs w:val="0"/>
                <w:color w:val="000000"/>
                <w:sz w:val="21"/>
                <w:szCs w:val="21"/>
                <w:u w:val="none"/>
              </w:rPr>
            </w:pPr>
            <w:r>
              <w:rPr>
                <w:rFonts w:hint="eastAsia" w:asciiTheme="majorEastAsia" w:hAnsiTheme="majorEastAsia" w:eastAsiaTheme="majorEastAsia" w:cstheme="majorEastAsia"/>
                <w:i w:val="0"/>
                <w:iCs w:val="0"/>
                <w:color w:val="000000"/>
                <w:kern w:val="0"/>
                <w:sz w:val="21"/>
                <w:szCs w:val="21"/>
                <w:u w:val="none"/>
                <w:lang w:val="en-US" w:eastAsia="zh-CN" w:bidi="ar"/>
              </w:rPr>
              <w:t>小计</w:t>
            </w:r>
          </w:p>
        </w:tc>
        <w:tc>
          <w:tcPr>
            <w:tcW w:w="2057" w:type="dxa"/>
            <w:vMerge w:val="continue"/>
            <w:shd w:val="clear" w:color="auto" w:fill="auto"/>
            <w:vAlign w:val="center"/>
          </w:tcPr>
          <w:p>
            <w:pPr>
              <w:jc w:val="center"/>
              <w:rPr>
                <w:rFonts w:hint="eastAsia" w:asciiTheme="majorEastAsia" w:hAnsiTheme="majorEastAsia" w:eastAsiaTheme="majorEastAsia" w:cstheme="majorEastAsia"/>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9" w:hRule="atLeast"/>
          <w:jc w:val="center"/>
        </w:trPr>
        <w:tc>
          <w:tcPr>
            <w:tcW w:w="1286"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砂</w:t>
            </w:r>
          </w:p>
        </w:tc>
        <w:tc>
          <w:tcPr>
            <w:tcW w:w="1079"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vertAlign w:val="baseline"/>
                <w:lang w:val="en-US" w:eastAsia="zh-CN"/>
              </w:rPr>
              <w:t>中砂</w:t>
            </w:r>
          </w:p>
        </w:tc>
        <w:tc>
          <w:tcPr>
            <w:tcW w:w="915"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Times New Roman" w:eastAsia="宋体" w:cs="Times New Roman"/>
                <w:i w:val="0"/>
                <w:iCs w:val="0"/>
                <w:color w:val="000000"/>
                <w:kern w:val="0"/>
                <w:sz w:val="18"/>
                <w:szCs w:val="18"/>
                <w:u w:val="none"/>
                <w:lang w:val="en-US" w:eastAsia="zh-CN" w:bidi="ar"/>
              </w:rPr>
              <w:t>5955</w:t>
            </w:r>
          </w:p>
        </w:tc>
        <w:tc>
          <w:tcPr>
            <w:tcW w:w="645"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Theme="majorEastAsia" w:hAnsiTheme="majorEastAsia" w:eastAsiaTheme="majorEastAsia" w:cstheme="majorEastAsia"/>
                <w:i w:val="0"/>
                <w:iCs w:val="0"/>
                <w:color w:val="000000"/>
                <w:sz w:val="18"/>
                <w:szCs w:val="18"/>
                <w:u w:val="none"/>
              </w:rPr>
            </w:pPr>
            <w:r>
              <w:rPr>
                <w:rFonts w:hint="eastAsia" w:ascii="宋体" w:hAnsi="宋体" w:eastAsia="宋体" w:cs="宋体"/>
                <w:color w:val="auto"/>
                <w:sz w:val="18"/>
                <w:szCs w:val="18"/>
                <w:highlight w:val="none"/>
                <w:vertAlign w:val="baseline"/>
                <w:lang w:val="en-US" w:eastAsia="zh-CN"/>
              </w:rPr>
              <w:t>吨</w:t>
            </w:r>
          </w:p>
        </w:tc>
        <w:tc>
          <w:tcPr>
            <w:tcW w:w="886" w:type="dxa"/>
            <w:shd w:val="clear" w:color="auto" w:fill="auto"/>
            <w:vAlign w:val="center"/>
          </w:tcPr>
          <w:p>
            <w:pPr>
              <w:jc w:val="center"/>
              <w:rPr>
                <w:rFonts w:hint="eastAsia" w:asciiTheme="majorEastAsia" w:hAnsiTheme="majorEastAsia" w:eastAsiaTheme="majorEastAsia" w:cstheme="majorEastAsia"/>
                <w:i w:val="0"/>
                <w:iCs w:val="0"/>
                <w:color w:val="000000"/>
                <w:sz w:val="18"/>
                <w:szCs w:val="18"/>
                <w:highlight w:val="none"/>
                <w:u w:val="none"/>
              </w:rPr>
            </w:pPr>
          </w:p>
        </w:tc>
        <w:tc>
          <w:tcPr>
            <w:tcW w:w="659" w:type="dxa"/>
            <w:shd w:val="clear" w:color="auto" w:fill="auto"/>
            <w:vAlign w:val="center"/>
          </w:tcPr>
          <w:p>
            <w:pPr>
              <w:jc w:val="center"/>
              <w:rPr>
                <w:rFonts w:hint="eastAsia" w:asciiTheme="majorEastAsia" w:hAnsiTheme="majorEastAsia" w:eastAsiaTheme="majorEastAsia" w:cstheme="majorEastAsia"/>
                <w:i w:val="0"/>
                <w:iCs w:val="0"/>
                <w:color w:val="000000"/>
                <w:sz w:val="18"/>
                <w:szCs w:val="18"/>
                <w:highlight w:val="none"/>
                <w:u w:val="none"/>
              </w:rPr>
            </w:pPr>
          </w:p>
        </w:tc>
        <w:tc>
          <w:tcPr>
            <w:tcW w:w="1005" w:type="dxa"/>
            <w:shd w:val="clear" w:color="auto" w:fill="auto"/>
            <w:vAlign w:val="center"/>
          </w:tcPr>
          <w:p>
            <w:pPr>
              <w:jc w:val="center"/>
              <w:rPr>
                <w:rFonts w:hint="default" w:asciiTheme="majorEastAsia" w:hAnsiTheme="majorEastAsia" w:eastAsiaTheme="majorEastAsia" w:cstheme="majorEastAsia"/>
                <w:i w:val="0"/>
                <w:iCs w:val="0"/>
                <w:color w:val="000000"/>
                <w:sz w:val="18"/>
                <w:szCs w:val="18"/>
                <w:highlight w:val="none"/>
                <w:u w:val="none"/>
                <w:lang w:val="en-US" w:eastAsia="zh-CN"/>
              </w:rPr>
            </w:pPr>
            <w:r>
              <w:rPr>
                <w:rFonts w:hint="eastAsia" w:asciiTheme="majorEastAsia" w:hAnsiTheme="majorEastAsia" w:eastAsiaTheme="majorEastAsia" w:cstheme="majorEastAsia"/>
                <w:i w:val="0"/>
                <w:iCs w:val="0"/>
                <w:color w:val="000000"/>
                <w:sz w:val="18"/>
                <w:szCs w:val="18"/>
                <w:highlight w:val="none"/>
                <w:u w:val="none"/>
                <w:lang w:val="en-US" w:eastAsia="zh-CN"/>
              </w:rPr>
              <w:t>6元/吨</w:t>
            </w:r>
          </w:p>
        </w:tc>
        <w:tc>
          <w:tcPr>
            <w:tcW w:w="945" w:type="dxa"/>
            <w:shd w:val="clear" w:color="auto" w:fill="auto"/>
            <w:vAlign w:val="center"/>
          </w:tcPr>
          <w:p>
            <w:pPr>
              <w:jc w:val="center"/>
              <w:rPr>
                <w:rFonts w:hint="eastAsia" w:asciiTheme="majorEastAsia" w:hAnsiTheme="majorEastAsia" w:eastAsiaTheme="majorEastAsia" w:cstheme="majorEastAsia"/>
                <w:i w:val="0"/>
                <w:iCs w:val="0"/>
                <w:color w:val="000000"/>
                <w:sz w:val="18"/>
                <w:szCs w:val="18"/>
                <w:u w:val="none"/>
              </w:rPr>
            </w:pPr>
          </w:p>
        </w:tc>
        <w:tc>
          <w:tcPr>
            <w:tcW w:w="2057" w:type="dxa"/>
            <w:shd w:val="clear" w:color="auto" w:fill="auto"/>
            <w:vAlign w:val="center"/>
          </w:tcPr>
          <w:p>
            <w:pPr>
              <w:jc w:val="both"/>
              <w:rPr>
                <w:rFonts w:hint="default" w:asciiTheme="majorEastAsia" w:hAnsiTheme="majorEastAsia" w:eastAsiaTheme="majorEastAsia" w:cstheme="majorEastAsia"/>
                <w:i w:val="0"/>
                <w:iCs w:val="0"/>
                <w:color w:val="000000"/>
                <w:sz w:val="18"/>
                <w:szCs w:val="18"/>
                <w:u w:val="none"/>
                <w:lang w:val="en-US" w:eastAsia="zh-CN"/>
              </w:rPr>
            </w:pPr>
            <w:r>
              <w:rPr>
                <w:rFonts w:hint="eastAsia" w:ascii="宋体" w:hAnsi="宋体" w:eastAsia="宋体" w:cs="宋体"/>
                <w:color w:val="auto"/>
                <w:sz w:val="18"/>
                <w:szCs w:val="18"/>
                <w:highlight w:val="none"/>
                <w:vertAlign w:val="baseline"/>
                <w:lang w:eastAsia="zh-CN"/>
              </w:rPr>
              <w:t>山料□或河料□，</w:t>
            </w:r>
            <w:r>
              <w:rPr>
                <w:rFonts w:hint="eastAsia" w:asciiTheme="majorEastAsia" w:hAnsiTheme="majorEastAsia" w:eastAsiaTheme="majorEastAsia" w:cstheme="majorEastAsia"/>
                <w:i w:val="0"/>
                <w:iCs w:val="0"/>
                <w:color w:val="000000"/>
                <w:sz w:val="18"/>
                <w:szCs w:val="18"/>
                <w:u w:val="none"/>
                <w:lang w:val="en-US" w:eastAsia="zh-CN"/>
              </w:rPr>
              <w:t>1立方米=</w:t>
            </w:r>
            <w:r>
              <w:rPr>
                <w:rFonts w:hint="eastAsia" w:asciiTheme="majorEastAsia" w:hAnsiTheme="majorEastAsia" w:eastAsiaTheme="majorEastAsia" w:cstheme="majorEastAsia"/>
                <w:i w:val="0"/>
                <w:iCs w:val="0"/>
                <w:color w:val="000000"/>
                <w:sz w:val="18"/>
                <w:szCs w:val="18"/>
                <w:u w:val="single"/>
                <w:lang w:val="en-US" w:eastAsia="zh-CN"/>
              </w:rPr>
              <w:t xml:space="preserve">    </w:t>
            </w:r>
            <w:r>
              <w:rPr>
                <w:rFonts w:hint="eastAsia" w:asciiTheme="majorEastAsia" w:hAnsiTheme="majorEastAsia" w:eastAsiaTheme="majorEastAsia" w:cstheme="majorEastAsia"/>
                <w:i w:val="0"/>
                <w:iCs w:val="0"/>
                <w:color w:val="000000"/>
                <w:sz w:val="18"/>
                <w:szCs w:val="18"/>
                <w:u w:val="none"/>
                <w:lang w:val="en-US" w:eastAsia="zh-CN"/>
              </w:rPr>
              <w:t>吨， 含水量</w:t>
            </w:r>
            <w:r>
              <w:rPr>
                <w:rFonts w:hint="eastAsia" w:asciiTheme="majorEastAsia" w:hAnsiTheme="majorEastAsia" w:eastAsiaTheme="majorEastAsia" w:cstheme="majorEastAsia"/>
                <w:i w:val="0"/>
                <w:iCs w:val="0"/>
                <w:color w:val="000000"/>
                <w:sz w:val="18"/>
                <w:szCs w:val="18"/>
                <w:u w:val="single"/>
                <w:lang w:val="en-US" w:eastAsia="zh-CN"/>
              </w:rPr>
              <w:t xml:space="preserve">   </w:t>
            </w:r>
            <w:r>
              <w:rPr>
                <w:rFonts w:hint="eastAsia" w:asciiTheme="majorEastAsia" w:hAnsiTheme="majorEastAsia" w:eastAsiaTheme="majorEastAsia" w:cstheme="majorEastAsia"/>
                <w:i w:val="0"/>
                <w:iCs w:val="0"/>
                <w:color w:val="000000"/>
                <w:sz w:val="18"/>
                <w:szCs w:val="18"/>
                <w:u w:val="none"/>
                <w:lang w:val="en-US" w:eastAsia="zh-CN"/>
              </w:rPr>
              <w:t>%， 含泥量不超过5%。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3" w:hRule="atLeast"/>
          <w:jc w:val="center"/>
        </w:trPr>
        <w:tc>
          <w:tcPr>
            <w:tcW w:w="1286"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default"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碎石</w:t>
            </w:r>
          </w:p>
        </w:tc>
        <w:tc>
          <w:tcPr>
            <w:tcW w:w="1079"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宋体" w:eastAsia="宋体" w:cs="宋体"/>
                <w:color w:val="auto"/>
                <w:sz w:val="18"/>
                <w:szCs w:val="18"/>
                <w:highlight w:val="none"/>
              </w:rPr>
              <w:t>2</w:t>
            </w:r>
            <w:r>
              <w:rPr>
                <w:rFonts w:hint="eastAsia" w:ascii="宋体" w:hAnsi="宋体" w:eastAsia="宋体" w:cs="宋体"/>
                <w:color w:val="auto"/>
                <w:sz w:val="18"/>
                <w:szCs w:val="18"/>
                <w:highlight w:val="none"/>
                <w:lang w:eastAsia="zh-CN"/>
              </w:rPr>
              <w:t>—</w:t>
            </w:r>
            <w:r>
              <w:rPr>
                <w:rFonts w:hint="eastAsia" w:ascii="宋体" w:hAnsi="宋体" w:eastAsia="宋体" w:cs="宋体"/>
                <w:color w:val="auto"/>
                <w:sz w:val="18"/>
                <w:szCs w:val="18"/>
                <w:highlight w:val="none"/>
              </w:rPr>
              <w:t>4cm</w:t>
            </w:r>
          </w:p>
        </w:tc>
        <w:tc>
          <w:tcPr>
            <w:tcW w:w="915"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auto"/>
                <w:kern w:val="2"/>
                <w:sz w:val="18"/>
                <w:szCs w:val="18"/>
                <w:highlight w:val="none"/>
                <w:vertAlign w:val="baseline"/>
                <w:lang w:val="en-US" w:eastAsia="zh-CN" w:bidi="ar-SA"/>
              </w:rPr>
            </w:pPr>
            <w:r>
              <w:rPr>
                <w:rFonts w:hint="eastAsia" w:ascii="宋体" w:hAnsi="Times New Roman" w:eastAsia="宋体" w:cs="Times New Roman"/>
                <w:i w:val="0"/>
                <w:iCs w:val="0"/>
                <w:color w:val="000000"/>
                <w:kern w:val="0"/>
                <w:sz w:val="18"/>
                <w:szCs w:val="18"/>
                <w:u w:val="none"/>
                <w:lang w:val="en-US" w:eastAsia="zh-CN" w:bidi="ar"/>
              </w:rPr>
              <w:t>11330.5</w:t>
            </w:r>
          </w:p>
        </w:tc>
        <w:tc>
          <w:tcPr>
            <w:tcW w:w="645" w:type="dxa"/>
            <w:shd w:val="clear" w:color="auto" w:fill="auto"/>
            <w:vAlign w:val="center"/>
          </w:tcPr>
          <w:p>
            <w:pPr>
              <w:keepNext w:val="0"/>
              <w:keepLines w:val="0"/>
              <w:pageBreakBefore w:val="0"/>
              <w:widowControl w:val="0"/>
              <w:kinsoku/>
              <w:wordWrap/>
              <w:overflowPunct/>
              <w:topLinePunct w:val="0"/>
              <w:bidi w:val="0"/>
              <w:snapToGrid/>
              <w:spacing w:line="300" w:lineRule="exact"/>
              <w:jc w:val="center"/>
              <w:textAlignment w:val="auto"/>
              <w:rPr>
                <w:rFonts w:hint="eastAsia" w:ascii="宋体" w:hAnsi="宋体" w:eastAsia="宋体" w:cs="宋体"/>
                <w:color w:val="auto"/>
                <w:sz w:val="18"/>
                <w:szCs w:val="18"/>
                <w:highlight w:val="none"/>
                <w:vertAlign w:val="baseline"/>
                <w:lang w:val="en-US" w:eastAsia="zh-CN"/>
              </w:rPr>
            </w:pPr>
            <w:r>
              <w:rPr>
                <w:rFonts w:hint="eastAsia" w:ascii="宋体" w:hAnsi="宋体" w:eastAsia="宋体" w:cs="宋体"/>
                <w:color w:val="auto"/>
                <w:sz w:val="18"/>
                <w:szCs w:val="18"/>
                <w:highlight w:val="none"/>
                <w:vertAlign w:val="baseline"/>
                <w:lang w:val="en-US" w:eastAsia="zh-CN"/>
              </w:rPr>
              <w:t>吨</w:t>
            </w:r>
          </w:p>
        </w:tc>
        <w:tc>
          <w:tcPr>
            <w:tcW w:w="886" w:type="dxa"/>
            <w:shd w:val="clear" w:color="auto" w:fill="auto"/>
            <w:vAlign w:val="center"/>
          </w:tcPr>
          <w:p>
            <w:pPr>
              <w:jc w:val="center"/>
              <w:rPr>
                <w:rFonts w:hint="eastAsia" w:asciiTheme="majorEastAsia" w:hAnsiTheme="majorEastAsia" w:eastAsiaTheme="majorEastAsia" w:cstheme="majorEastAsia"/>
                <w:i w:val="0"/>
                <w:iCs w:val="0"/>
                <w:color w:val="000000"/>
                <w:sz w:val="18"/>
                <w:szCs w:val="18"/>
                <w:highlight w:val="none"/>
                <w:u w:val="none"/>
              </w:rPr>
            </w:pPr>
          </w:p>
        </w:tc>
        <w:tc>
          <w:tcPr>
            <w:tcW w:w="659" w:type="dxa"/>
            <w:shd w:val="clear" w:color="auto" w:fill="auto"/>
            <w:vAlign w:val="center"/>
          </w:tcPr>
          <w:p>
            <w:pPr>
              <w:jc w:val="center"/>
              <w:rPr>
                <w:rFonts w:hint="eastAsia" w:asciiTheme="majorEastAsia" w:hAnsiTheme="majorEastAsia" w:eastAsiaTheme="majorEastAsia" w:cstheme="majorEastAsia"/>
                <w:i w:val="0"/>
                <w:iCs w:val="0"/>
                <w:color w:val="000000"/>
                <w:sz w:val="18"/>
                <w:szCs w:val="18"/>
                <w:highlight w:val="none"/>
                <w:u w:val="none"/>
              </w:rPr>
            </w:pPr>
          </w:p>
        </w:tc>
        <w:tc>
          <w:tcPr>
            <w:tcW w:w="1005" w:type="dxa"/>
            <w:shd w:val="clear" w:color="auto" w:fill="auto"/>
            <w:vAlign w:val="center"/>
          </w:tcPr>
          <w:p>
            <w:pPr>
              <w:jc w:val="center"/>
              <w:rPr>
                <w:rFonts w:hint="eastAsia" w:asciiTheme="majorEastAsia" w:hAnsiTheme="majorEastAsia" w:eastAsiaTheme="majorEastAsia" w:cstheme="majorEastAsia"/>
                <w:i w:val="0"/>
                <w:iCs w:val="0"/>
                <w:color w:val="000000"/>
                <w:kern w:val="2"/>
                <w:sz w:val="18"/>
                <w:szCs w:val="18"/>
                <w:highlight w:val="none"/>
                <w:u w:val="none"/>
                <w:lang w:val="en-US" w:eastAsia="zh-CN" w:bidi="ar-SA"/>
              </w:rPr>
            </w:pPr>
            <w:r>
              <w:rPr>
                <w:rFonts w:hint="eastAsia" w:asciiTheme="majorEastAsia" w:hAnsiTheme="majorEastAsia" w:eastAsiaTheme="majorEastAsia" w:cstheme="majorEastAsia"/>
                <w:i w:val="0"/>
                <w:iCs w:val="0"/>
                <w:color w:val="000000"/>
                <w:sz w:val="18"/>
                <w:szCs w:val="18"/>
                <w:highlight w:val="none"/>
                <w:u w:val="none"/>
                <w:lang w:val="en-US" w:eastAsia="zh-CN"/>
              </w:rPr>
              <w:t>6元/吨</w:t>
            </w:r>
          </w:p>
        </w:tc>
        <w:tc>
          <w:tcPr>
            <w:tcW w:w="945" w:type="dxa"/>
            <w:shd w:val="clear" w:color="auto" w:fill="auto"/>
            <w:vAlign w:val="center"/>
          </w:tcPr>
          <w:p>
            <w:pPr>
              <w:jc w:val="center"/>
              <w:rPr>
                <w:rFonts w:hint="eastAsia" w:asciiTheme="majorEastAsia" w:hAnsiTheme="majorEastAsia" w:eastAsiaTheme="majorEastAsia" w:cstheme="majorEastAsia"/>
                <w:i w:val="0"/>
                <w:iCs w:val="0"/>
                <w:color w:val="000000"/>
                <w:sz w:val="18"/>
                <w:szCs w:val="18"/>
                <w:u w:val="none"/>
              </w:rPr>
            </w:pPr>
          </w:p>
        </w:tc>
        <w:tc>
          <w:tcPr>
            <w:tcW w:w="2057" w:type="dxa"/>
            <w:shd w:val="clear" w:color="auto" w:fill="auto"/>
            <w:vAlign w:val="center"/>
          </w:tcPr>
          <w:p>
            <w:pPr>
              <w:jc w:val="center"/>
              <w:rPr>
                <w:rFonts w:hint="eastAsia" w:asciiTheme="majorEastAsia" w:hAnsiTheme="majorEastAsia" w:eastAsiaTheme="majorEastAsia" w:cstheme="majorEastAsia"/>
                <w:i w:val="0"/>
                <w:iCs w:val="0"/>
                <w:color w:val="000000"/>
                <w:sz w:val="18"/>
                <w:szCs w:val="18"/>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5" w:hRule="atLeast"/>
          <w:jc w:val="center"/>
        </w:trPr>
        <w:tc>
          <w:tcPr>
            <w:tcW w:w="1286"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特别</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说明</w:t>
            </w:r>
          </w:p>
        </w:tc>
        <w:tc>
          <w:tcPr>
            <w:tcW w:w="8191" w:type="dxa"/>
            <w:gridSpan w:val="8"/>
            <w:shd w:val="clear" w:color="auto" w:fill="auto"/>
            <w:vAlign w:val="center"/>
          </w:tcPr>
          <w:p>
            <w:pPr>
              <w:keepNext w:val="0"/>
              <w:keepLines w:val="0"/>
              <w:widowControl/>
              <w:suppressLineNumbers w:val="0"/>
              <w:ind w:firstLine="180" w:firstLineChars="100"/>
              <w:jc w:val="both"/>
              <w:textAlignment w:val="bottom"/>
              <w:rPr>
                <w:rFonts w:hint="eastAsia"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1.报价表主要填写材料价、运输车辆费用，运输车辆驾驶员工资标准已通过定人定岗定酬方案明确并填写在报价表中，请在汇总“小计”总价时，一并计入。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286" w:type="dxa"/>
            <w:vMerge w:val="continue"/>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191" w:type="dxa"/>
            <w:gridSpan w:val="8"/>
            <w:shd w:val="clear" w:color="auto" w:fill="auto"/>
            <w:vAlign w:val="center"/>
          </w:tcPr>
          <w:p>
            <w:pPr>
              <w:keepNext w:val="0"/>
              <w:keepLines w:val="0"/>
              <w:widowControl/>
              <w:suppressLineNumbers w:val="0"/>
              <w:ind w:firstLine="180" w:firstLineChars="100"/>
              <w:jc w:val="both"/>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2.所有材料除人工费外，出厂价及运输费均包含税费等费用。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jc w:val="center"/>
        </w:trPr>
        <w:tc>
          <w:tcPr>
            <w:tcW w:w="1286" w:type="dxa"/>
            <w:vMerge w:val="continue"/>
            <w:shd w:val="clear" w:color="auto" w:fill="auto"/>
            <w:noWrap/>
            <w:vAlign w:val="center"/>
          </w:tcPr>
          <w:p>
            <w:pPr>
              <w:jc w:val="center"/>
              <w:rPr>
                <w:rFonts w:hint="eastAsia" w:ascii="宋体" w:hAnsi="宋体" w:eastAsia="宋体" w:cs="宋体"/>
                <w:i w:val="0"/>
                <w:iCs w:val="0"/>
                <w:color w:val="000000"/>
                <w:sz w:val="21"/>
                <w:szCs w:val="21"/>
                <w:u w:val="none"/>
              </w:rPr>
            </w:pPr>
          </w:p>
        </w:tc>
        <w:tc>
          <w:tcPr>
            <w:tcW w:w="8191" w:type="dxa"/>
            <w:gridSpan w:val="8"/>
            <w:shd w:val="clear" w:color="auto" w:fill="auto"/>
            <w:vAlign w:val="center"/>
          </w:tcPr>
          <w:p>
            <w:pPr>
              <w:keepNext w:val="0"/>
              <w:keepLines w:val="0"/>
              <w:widowControl/>
              <w:suppressLineNumbers w:val="0"/>
              <w:ind w:firstLine="180" w:firstLineChars="100"/>
              <w:jc w:val="both"/>
              <w:textAlignment w:val="bottom"/>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3.采购数量为预估数量，作为报价方参考，最终用量按照实际用量及验收结算的数量为准，具体事宜按照合同约定执行，但为防止结算审计等风险，在实际供货时，若项目村超出预估数量，请主动对接县发改局，严防无资金来源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286"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询价比价</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人员签字</w:t>
            </w:r>
          </w:p>
        </w:tc>
        <w:tc>
          <w:tcPr>
            <w:tcW w:w="8191" w:type="dxa"/>
            <w:gridSpan w:val="8"/>
            <w:shd w:val="clear" w:color="auto" w:fill="auto"/>
            <w:noWrap/>
            <w:vAlign w:val="center"/>
          </w:tcPr>
          <w:p>
            <w:pPr>
              <w:rPr>
                <w:rFonts w:hint="eastAsia" w:ascii="宋体" w:hAnsi="宋体" w:eastAsia="宋体" w:cs="宋体"/>
                <w:i w:val="0"/>
                <w:iCs w:val="0"/>
                <w:color w:val="000000"/>
                <w:sz w:val="21"/>
                <w:szCs w:val="21"/>
                <w:u w:val="none"/>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AFF" w:usb1="C00078FB" w:usb2="0000002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EBFFC7A"/>
    <w:rsid w:val="9EBFF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2026-08-12T11:51:00Z</dcterms:created>
  <dc:creator>user</dc:creator>
  <cp:lastModifiedBy>user</cp:lastModifiedBy>
  <dcterms:modified xsi:type="dcterms:W3CDTF">2026-08-12T11:52:23Z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