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100" w:afterLines="200" w:line="60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苍溪县陵江第三幼儿园</w:t>
      </w:r>
      <w:r>
        <w:rPr>
          <w:rFonts w:hint="eastAsia" w:ascii="方正小标宋简体" w:hAnsi="方正小标宋简体" w:eastAsia="方正小标宋简体" w:cs="方正小标宋简体"/>
          <w:kern w:val="0"/>
          <w:sz w:val="44"/>
          <w:szCs w:val="44"/>
        </w:rPr>
        <w:br w:type="textWrapping"/>
      </w:r>
      <w:r>
        <w:rPr>
          <w:rFonts w:hint="eastAsia" w:ascii="方正小标宋简体" w:hAnsi="方正小标宋简体" w:eastAsia="方正小标宋简体" w:cs="方正小标宋简体"/>
          <w:kern w:val="0"/>
          <w:sz w:val="44"/>
          <w:szCs w:val="44"/>
        </w:rPr>
        <w:t>2017</w:t>
      </w:r>
      <w:r>
        <w:rPr>
          <w:rFonts w:hint="eastAsia" w:ascii="方正小标宋简体" w:hAnsi="方正小标宋简体" w:eastAsia="方正小标宋简体" w:cs="方正小标宋简体"/>
          <w:kern w:val="0"/>
          <w:sz w:val="44"/>
          <w:szCs w:val="44"/>
        </w:rPr>
        <w:t>年部门预算编制说明</w:t>
      </w:r>
    </w:p>
    <w:p>
      <w:pPr>
        <w:widowControl/>
        <w:spacing w:line="600" w:lineRule="exact"/>
        <w:ind w:firstLine="31680" w:firstLineChars="200"/>
        <w:rPr>
          <w:rFonts w:hint="eastAsia" w:ascii="黑体" w:hAnsi="黑体" w:eastAsia="黑体" w:cs="黑体"/>
          <w:kern w:val="0"/>
          <w:sz w:val="32"/>
          <w:szCs w:val="32"/>
        </w:rPr>
      </w:pPr>
      <w:r>
        <w:rPr>
          <w:rFonts w:hint="eastAsia" w:ascii="黑体" w:hAnsi="黑体" w:eastAsia="黑体" w:cs="黑体"/>
          <w:kern w:val="0"/>
          <w:sz w:val="32"/>
          <w:szCs w:val="32"/>
        </w:rPr>
        <w:t>一、基本职能及主要工作</w:t>
      </w:r>
    </w:p>
    <w:p>
      <w:pPr>
        <w:widowControl/>
        <w:spacing w:line="600" w:lineRule="exact"/>
        <w:ind w:firstLine="31680" w:firstLineChars="200"/>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（一）苍溪县陵江第三幼儿园职能简介</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全面贯彻党的教育方针，加强教师队伍建设，教书育人，提高教育教学质量，办人民满意的教育。</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实施义务教育均衡发展，创新教育教学手段，加强教学研究，树立学校品牌。</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积极参加社会实践活动，努力做好教育扶贫工作，关爱他人，回报社会。</w:t>
      </w:r>
    </w:p>
    <w:p>
      <w:pPr>
        <w:widowControl/>
        <w:spacing w:line="600" w:lineRule="exact"/>
        <w:ind w:firstLine="31680" w:firstLineChars="200"/>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（二）苍溪县陵江第三幼儿园2017年重点工作</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一是</w:t>
      </w:r>
      <w:r>
        <w:rPr>
          <w:rFonts w:hint="eastAsia" w:ascii="仿宋_GB2312" w:hAnsi="仿宋_GB2312" w:eastAsia="仿宋_GB2312" w:cs="仿宋_GB2312"/>
          <w:bCs/>
          <w:kern w:val="0"/>
          <w:sz w:val="32"/>
          <w:szCs w:val="32"/>
        </w:rPr>
        <w:t>狠抓师德师风建设，提高教师的素质。二是</w:t>
      </w:r>
      <w:r>
        <w:rPr>
          <w:rFonts w:hint="eastAsia" w:ascii="仿宋_GB2312" w:hAnsi="仿宋_GB2312" w:eastAsia="仿宋_GB2312" w:cs="仿宋_GB2312"/>
          <w:kern w:val="0"/>
          <w:sz w:val="32"/>
          <w:szCs w:val="32"/>
        </w:rPr>
        <w:t>强化教学常规管理，提高教学质量。</w:t>
      </w:r>
      <w:r>
        <w:rPr>
          <w:rFonts w:hint="eastAsia" w:ascii="仿宋_GB2312" w:hAnsi="仿宋_GB2312" w:eastAsia="仿宋_GB2312" w:cs="仿宋_GB2312"/>
          <w:b/>
          <w:kern w:val="0"/>
          <w:sz w:val="32"/>
          <w:szCs w:val="32"/>
        </w:rPr>
        <w:t>三是</w:t>
      </w:r>
      <w:r>
        <w:rPr>
          <w:rFonts w:hint="eastAsia" w:ascii="仿宋_GB2312" w:hAnsi="仿宋_GB2312" w:eastAsia="仿宋_GB2312" w:cs="仿宋_GB2312"/>
          <w:kern w:val="0"/>
          <w:sz w:val="32"/>
          <w:szCs w:val="32"/>
        </w:rPr>
        <w:t>继续做好精准扶贫工作，帮扶落到实处。</w:t>
      </w:r>
      <w:r>
        <w:rPr>
          <w:rFonts w:hint="eastAsia" w:ascii="仿宋_GB2312" w:hAnsi="仿宋_GB2312" w:eastAsia="仿宋_GB2312" w:cs="仿宋_GB2312"/>
          <w:b/>
          <w:kern w:val="0"/>
          <w:sz w:val="32"/>
          <w:szCs w:val="32"/>
        </w:rPr>
        <w:t>四是</w:t>
      </w:r>
      <w:r>
        <w:rPr>
          <w:rFonts w:hint="eastAsia" w:ascii="仿宋_GB2312" w:hAnsi="仿宋_GB2312" w:eastAsia="仿宋_GB2312" w:cs="仿宋_GB2312"/>
          <w:kern w:val="0"/>
          <w:sz w:val="32"/>
          <w:szCs w:val="32"/>
        </w:rPr>
        <w:t>积极组织教师学生参加社会实践活动。五是完善学校硬件设施建设，软件资料的归类整理。</w:t>
      </w:r>
    </w:p>
    <w:p>
      <w:pPr>
        <w:widowControl/>
        <w:spacing w:line="600" w:lineRule="exact"/>
        <w:ind w:firstLine="31680" w:firstLineChars="200"/>
        <w:rPr>
          <w:rFonts w:hint="eastAsia" w:ascii="黑体" w:hAnsi="黑体" w:eastAsia="黑体" w:cs="黑体"/>
          <w:kern w:val="0"/>
          <w:sz w:val="32"/>
          <w:szCs w:val="32"/>
        </w:rPr>
      </w:pPr>
      <w:r>
        <w:rPr>
          <w:rFonts w:hint="eastAsia" w:ascii="黑体" w:hAnsi="黑体" w:eastAsia="黑体" w:cs="黑体"/>
          <w:kern w:val="0"/>
          <w:sz w:val="32"/>
          <w:szCs w:val="32"/>
        </w:rPr>
        <w:t>二、部门预算单位构成</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苍溪县</w:t>
      </w:r>
      <w:r>
        <w:rPr>
          <w:rFonts w:hint="eastAsia" w:ascii="仿宋_GB2312" w:hAnsi="仿宋_GB2312" w:eastAsia="仿宋_GB2312" w:cs="仿宋_GB2312"/>
          <w:kern w:val="0"/>
          <w:sz w:val="32"/>
          <w:szCs w:val="32"/>
        </w:rPr>
        <w:t>陵江第三幼儿园</w:t>
      </w:r>
      <w:r>
        <w:rPr>
          <w:rFonts w:hint="eastAsia" w:ascii="仿宋_GB2312" w:hAnsi="仿宋_GB2312" w:eastAsia="仿宋_GB2312" w:cs="仿宋_GB2312"/>
          <w:kern w:val="0"/>
          <w:sz w:val="32"/>
          <w:szCs w:val="32"/>
        </w:rPr>
        <w:t>属一级预算单位，事业单位</w:t>
      </w:r>
      <w:r>
        <w:rPr>
          <w:rFonts w:hint="eastAsia" w:ascii="仿宋_GB2312" w:hAnsi="仿宋_GB2312" w:eastAsia="仿宋_GB2312" w:cs="仿宋_GB2312"/>
          <w:kern w:val="0"/>
          <w:sz w:val="32"/>
          <w:szCs w:val="32"/>
        </w:rPr>
        <w:t>。</w:t>
      </w:r>
    </w:p>
    <w:p>
      <w:pPr>
        <w:widowControl/>
        <w:spacing w:line="600" w:lineRule="exact"/>
        <w:ind w:firstLine="31680" w:firstLineChars="200"/>
        <w:rPr>
          <w:rFonts w:hint="eastAsia" w:ascii="黑体" w:hAnsi="黑体" w:eastAsia="黑体" w:cs="黑体"/>
          <w:kern w:val="0"/>
          <w:sz w:val="32"/>
          <w:szCs w:val="32"/>
        </w:rPr>
      </w:pPr>
      <w:r>
        <w:rPr>
          <w:rFonts w:hint="eastAsia" w:ascii="黑体" w:hAnsi="黑体" w:eastAsia="黑体" w:cs="黑体"/>
          <w:kern w:val="0"/>
          <w:sz w:val="32"/>
          <w:szCs w:val="32"/>
        </w:rPr>
        <w:t>三、收支预算情况说明</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按照综合预算的原则，苍溪县</w:t>
      </w:r>
      <w:r>
        <w:rPr>
          <w:rFonts w:hint="eastAsia" w:ascii="仿宋_GB2312" w:hAnsi="仿宋_GB2312" w:eastAsia="仿宋_GB2312" w:cs="仿宋_GB2312"/>
          <w:kern w:val="0"/>
          <w:sz w:val="32"/>
          <w:szCs w:val="32"/>
        </w:rPr>
        <w:t>陵江第三幼儿园</w:t>
      </w:r>
      <w:r>
        <w:rPr>
          <w:rFonts w:hint="eastAsia" w:ascii="仿宋_GB2312" w:hAnsi="仿宋_GB2312" w:eastAsia="仿宋_GB2312" w:cs="仿宋_GB2312"/>
          <w:kern w:val="0"/>
          <w:sz w:val="32"/>
          <w:szCs w:val="32"/>
        </w:rPr>
        <w:t>所有收入和支出均纳入部门预算管理。收入包括：财政经费拨款收入、部门其它自有收入；支出包括：教育支出、社会保障和就业支出、医疗卫生与计划生育支出、住房保障支出。苍溪县</w:t>
      </w:r>
      <w:r>
        <w:rPr>
          <w:rFonts w:hint="eastAsia" w:ascii="仿宋_GB2312" w:hAnsi="仿宋_GB2312" w:eastAsia="仿宋_GB2312" w:cs="仿宋_GB2312"/>
          <w:kern w:val="0"/>
          <w:sz w:val="32"/>
          <w:szCs w:val="32"/>
        </w:rPr>
        <w:t>陵江第三幼儿园</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年收支总预算</w:t>
      </w:r>
      <w:r>
        <w:rPr>
          <w:rFonts w:hint="eastAsia" w:ascii="仿宋_GB2312" w:hAnsi="仿宋_GB2312" w:eastAsia="仿宋_GB2312" w:cs="仿宋_GB2312"/>
          <w:kern w:val="0"/>
          <w:sz w:val="32"/>
          <w:szCs w:val="32"/>
        </w:rPr>
        <w:t>213.77</w:t>
      </w:r>
      <w:r>
        <w:rPr>
          <w:rFonts w:hint="eastAsia" w:ascii="仿宋_GB2312" w:hAnsi="仿宋_GB2312" w:eastAsia="仿宋_GB2312" w:cs="仿宋_GB2312"/>
          <w:kern w:val="0"/>
          <w:sz w:val="32"/>
          <w:szCs w:val="32"/>
        </w:rPr>
        <w:t>万元。</w:t>
      </w:r>
    </w:p>
    <w:p>
      <w:pPr>
        <w:widowControl/>
        <w:spacing w:line="600" w:lineRule="exact"/>
        <w:ind w:firstLine="31680" w:firstLineChars="200"/>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（一）收入预算情况</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苍溪县</w:t>
      </w:r>
      <w:r>
        <w:rPr>
          <w:rFonts w:hint="eastAsia" w:ascii="仿宋_GB2312" w:hAnsi="仿宋_GB2312" w:eastAsia="仿宋_GB2312" w:cs="仿宋_GB2312"/>
          <w:kern w:val="0"/>
          <w:sz w:val="32"/>
          <w:szCs w:val="32"/>
        </w:rPr>
        <w:t>陵江第三幼儿园</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年收入预算</w:t>
      </w:r>
      <w:r>
        <w:rPr>
          <w:rFonts w:hint="eastAsia" w:ascii="仿宋_GB2312" w:hAnsi="仿宋_GB2312" w:eastAsia="仿宋_GB2312" w:cs="仿宋_GB2312"/>
          <w:kern w:val="0"/>
          <w:sz w:val="32"/>
          <w:szCs w:val="32"/>
        </w:rPr>
        <w:t>213.77</w:t>
      </w:r>
      <w:r>
        <w:rPr>
          <w:rFonts w:hint="eastAsia" w:ascii="仿宋_GB2312" w:hAnsi="仿宋_GB2312" w:eastAsia="仿宋_GB2312" w:cs="仿宋_GB2312"/>
          <w:kern w:val="0"/>
          <w:sz w:val="32"/>
          <w:szCs w:val="32"/>
        </w:rPr>
        <w:t>万元，其中：财政经费拨款收入</w:t>
      </w:r>
      <w:r>
        <w:rPr>
          <w:rFonts w:hint="eastAsia" w:ascii="仿宋_GB2312" w:hAnsi="仿宋_GB2312" w:eastAsia="仿宋_GB2312" w:cs="仿宋_GB2312"/>
          <w:kern w:val="0"/>
          <w:sz w:val="32"/>
          <w:szCs w:val="32"/>
        </w:rPr>
        <w:t>213.77</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100%</w:t>
      </w:r>
      <w:r>
        <w:rPr>
          <w:rFonts w:hint="eastAsia" w:ascii="仿宋_GB2312" w:hAnsi="仿宋_GB2312" w:eastAsia="仿宋_GB2312" w:cs="仿宋_GB2312"/>
          <w:kern w:val="0"/>
          <w:sz w:val="32"/>
          <w:szCs w:val="32"/>
        </w:rPr>
        <w:t>。</w:t>
      </w:r>
    </w:p>
    <w:p>
      <w:pPr>
        <w:widowControl/>
        <w:spacing w:line="600" w:lineRule="exact"/>
        <w:ind w:firstLine="31680" w:firstLineChars="200"/>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（二）支出预算情况</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苍溪县陵江第三幼儿园</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年支出预算</w:t>
      </w:r>
      <w:r>
        <w:rPr>
          <w:rFonts w:hint="eastAsia" w:ascii="仿宋_GB2312" w:hAnsi="仿宋_GB2312" w:eastAsia="仿宋_GB2312" w:cs="仿宋_GB2312"/>
          <w:kern w:val="0"/>
          <w:sz w:val="32"/>
          <w:szCs w:val="32"/>
        </w:rPr>
        <w:t>213.77</w:t>
      </w:r>
      <w:r>
        <w:rPr>
          <w:rFonts w:hint="eastAsia" w:ascii="仿宋_GB2312" w:hAnsi="仿宋_GB2312" w:eastAsia="仿宋_GB2312" w:cs="仿宋_GB2312"/>
          <w:kern w:val="0"/>
          <w:sz w:val="32"/>
          <w:szCs w:val="32"/>
        </w:rPr>
        <w:t>万元，其中：基本支出</w:t>
      </w:r>
      <w:r>
        <w:rPr>
          <w:rFonts w:hint="eastAsia" w:ascii="仿宋_GB2312" w:hAnsi="仿宋_GB2312" w:eastAsia="仿宋_GB2312" w:cs="仿宋_GB2312"/>
          <w:kern w:val="0"/>
          <w:sz w:val="32"/>
          <w:szCs w:val="32"/>
        </w:rPr>
        <w:t>213.77</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100%</w:t>
      </w:r>
      <w:r>
        <w:rPr>
          <w:rFonts w:hint="eastAsia" w:ascii="仿宋_GB2312" w:hAnsi="仿宋_GB2312" w:eastAsia="仿宋_GB2312" w:cs="仿宋_GB2312"/>
          <w:kern w:val="0"/>
          <w:sz w:val="32"/>
          <w:szCs w:val="32"/>
        </w:rPr>
        <w:t>。</w:t>
      </w:r>
    </w:p>
    <w:p>
      <w:pPr>
        <w:widowControl/>
        <w:spacing w:line="600" w:lineRule="exact"/>
        <w:ind w:firstLine="31680" w:firstLineChars="200"/>
        <w:rPr>
          <w:rFonts w:hint="eastAsia" w:ascii="黑体" w:hAnsi="黑体" w:eastAsia="黑体" w:cs="黑体"/>
          <w:kern w:val="0"/>
          <w:sz w:val="32"/>
          <w:szCs w:val="32"/>
        </w:rPr>
      </w:pPr>
      <w:r>
        <w:rPr>
          <w:rFonts w:hint="eastAsia" w:ascii="黑体" w:hAnsi="黑体" w:eastAsia="黑体" w:cs="黑体"/>
          <w:kern w:val="0"/>
          <w:sz w:val="32"/>
          <w:szCs w:val="32"/>
        </w:rPr>
        <w:t>四、财政拨款收支预算情况说明</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苍溪县陵江第三幼儿园</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年财政拨款收支总预算</w:t>
      </w:r>
      <w:r>
        <w:rPr>
          <w:rFonts w:hint="eastAsia" w:ascii="仿宋_GB2312" w:hAnsi="仿宋_GB2312" w:eastAsia="仿宋_GB2312" w:cs="仿宋_GB2312"/>
          <w:kern w:val="0"/>
          <w:sz w:val="32"/>
          <w:szCs w:val="32"/>
        </w:rPr>
        <w:t>213.77</w:t>
      </w:r>
      <w:r>
        <w:rPr>
          <w:rFonts w:hint="eastAsia" w:ascii="仿宋_GB2312" w:hAnsi="仿宋_GB2312" w:eastAsia="仿宋_GB2312" w:cs="仿宋_GB2312"/>
          <w:kern w:val="0"/>
          <w:sz w:val="32"/>
          <w:szCs w:val="32"/>
        </w:rPr>
        <w:t>万元。收入包括：财政经费拨款收入</w:t>
      </w:r>
      <w:r>
        <w:rPr>
          <w:rFonts w:hint="eastAsia" w:ascii="仿宋_GB2312" w:hAnsi="仿宋_GB2312" w:eastAsia="仿宋_GB2312" w:cs="仿宋_GB2312"/>
          <w:kern w:val="0"/>
          <w:sz w:val="32"/>
          <w:szCs w:val="32"/>
        </w:rPr>
        <w:t>213.77</w:t>
      </w:r>
      <w:r>
        <w:rPr>
          <w:rFonts w:hint="eastAsia" w:ascii="仿宋_GB2312" w:hAnsi="仿宋_GB2312" w:eastAsia="仿宋_GB2312" w:cs="仿宋_GB2312"/>
          <w:kern w:val="0"/>
          <w:sz w:val="32"/>
          <w:szCs w:val="32"/>
        </w:rPr>
        <w:t>万元；支出包括：教育支出</w:t>
      </w:r>
      <w:r>
        <w:rPr>
          <w:rFonts w:hint="eastAsia" w:ascii="仿宋_GB2312" w:hAnsi="仿宋_GB2312" w:eastAsia="仿宋_GB2312" w:cs="仿宋_GB2312"/>
          <w:kern w:val="0"/>
          <w:sz w:val="32"/>
          <w:szCs w:val="32"/>
        </w:rPr>
        <w:t>180.41</w:t>
      </w:r>
      <w:r>
        <w:rPr>
          <w:rFonts w:hint="eastAsia" w:ascii="仿宋_GB2312" w:hAnsi="仿宋_GB2312" w:eastAsia="仿宋_GB2312" w:cs="仿宋_GB2312"/>
          <w:kern w:val="0"/>
          <w:sz w:val="32"/>
          <w:szCs w:val="32"/>
        </w:rPr>
        <w:t>万元、社会保障和就业支出</w:t>
      </w:r>
      <w:r>
        <w:rPr>
          <w:rFonts w:hint="eastAsia" w:ascii="仿宋_GB2312" w:hAnsi="仿宋_GB2312" w:eastAsia="仿宋_GB2312" w:cs="仿宋_GB2312"/>
          <w:kern w:val="0"/>
          <w:sz w:val="32"/>
          <w:szCs w:val="32"/>
        </w:rPr>
        <w:t>18.71</w:t>
      </w:r>
      <w:r>
        <w:rPr>
          <w:rFonts w:hint="eastAsia" w:ascii="仿宋_GB2312" w:hAnsi="仿宋_GB2312" w:eastAsia="仿宋_GB2312" w:cs="仿宋_GB2312"/>
          <w:kern w:val="0"/>
          <w:sz w:val="32"/>
          <w:szCs w:val="32"/>
        </w:rPr>
        <w:t>万元、医疗卫生与计划生育支出</w:t>
      </w:r>
      <w:r>
        <w:rPr>
          <w:rFonts w:hint="eastAsia" w:ascii="仿宋_GB2312" w:hAnsi="仿宋_GB2312" w:eastAsia="仿宋_GB2312" w:cs="仿宋_GB2312"/>
          <w:kern w:val="0"/>
          <w:sz w:val="32"/>
          <w:szCs w:val="32"/>
        </w:rPr>
        <w:t>7.16</w:t>
      </w:r>
      <w:r>
        <w:rPr>
          <w:rFonts w:hint="eastAsia" w:ascii="仿宋_GB2312" w:hAnsi="仿宋_GB2312" w:eastAsia="仿宋_GB2312" w:cs="仿宋_GB2312"/>
          <w:kern w:val="0"/>
          <w:sz w:val="32"/>
          <w:szCs w:val="32"/>
        </w:rPr>
        <w:t>万元、住房保障支出</w:t>
      </w:r>
      <w:r>
        <w:rPr>
          <w:rFonts w:hint="eastAsia" w:ascii="仿宋_GB2312" w:hAnsi="仿宋_GB2312" w:eastAsia="仿宋_GB2312" w:cs="仿宋_GB2312"/>
          <w:kern w:val="0"/>
          <w:sz w:val="32"/>
          <w:szCs w:val="32"/>
        </w:rPr>
        <w:t>7.48</w:t>
      </w:r>
      <w:r>
        <w:rPr>
          <w:rFonts w:hint="eastAsia" w:ascii="仿宋_GB2312" w:hAnsi="仿宋_GB2312" w:eastAsia="仿宋_GB2312" w:cs="仿宋_GB2312"/>
          <w:kern w:val="0"/>
          <w:sz w:val="32"/>
          <w:szCs w:val="32"/>
        </w:rPr>
        <w:t>万元。</w:t>
      </w:r>
    </w:p>
    <w:p>
      <w:pPr>
        <w:widowControl/>
        <w:spacing w:line="600" w:lineRule="exact"/>
        <w:ind w:firstLine="31680" w:firstLineChars="200"/>
        <w:rPr>
          <w:rFonts w:hint="eastAsia" w:ascii="黑体" w:hAnsi="黑体" w:eastAsia="黑体" w:cs="黑体"/>
          <w:kern w:val="0"/>
          <w:sz w:val="32"/>
          <w:szCs w:val="32"/>
        </w:rPr>
      </w:pPr>
      <w:r>
        <w:rPr>
          <w:rFonts w:hint="eastAsia" w:ascii="黑体" w:hAnsi="黑体" w:eastAsia="黑体" w:cs="黑体"/>
          <w:kern w:val="0"/>
          <w:sz w:val="32"/>
          <w:szCs w:val="32"/>
        </w:rPr>
        <w:t>五、一般公共预算当年拨款情况说明</w:t>
      </w:r>
    </w:p>
    <w:p>
      <w:pPr>
        <w:widowControl/>
        <w:spacing w:line="600" w:lineRule="exact"/>
        <w:ind w:firstLine="31680" w:firstLineChars="200"/>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（一）一般公共预算当年拨款规模变化情况</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苍溪县陵江第三幼儿园</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年一般公共预算当年拨款</w:t>
      </w:r>
      <w:r>
        <w:rPr>
          <w:rFonts w:hint="eastAsia" w:ascii="仿宋_GB2312" w:hAnsi="仿宋_GB2312" w:eastAsia="仿宋_GB2312" w:cs="仿宋_GB2312"/>
          <w:kern w:val="0"/>
          <w:sz w:val="32"/>
          <w:szCs w:val="32"/>
        </w:rPr>
        <w:t>213.77</w:t>
      </w:r>
      <w:r>
        <w:rPr>
          <w:rFonts w:hint="eastAsia" w:ascii="仿宋_GB2312" w:hAnsi="仿宋_GB2312" w:eastAsia="仿宋_GB2312" w:cs="仿宋_GB2312"/>
          <w:kern w:val="0"/>
          <w:sz w:val="32"/>
          <w:szCs w:val="32"/>
        </w:rPr>
        <w:t>万元，比</w:t>
      </w:r>
      <w:r>
        <w:rPr>
          <w:rFonts w:hint="eastAsia" w:ascii="仿宋_GB2312" w:hAnsi="仿宋_GB2312" w:eastAsia="仿宋_GB2312" w:cs="仿宋_GB2312"/>
          <w:kern w:val="0"/>
          <w:sz w:val="32"/>
          <w:szCs w:val="32"/>
        </w:rPr>
        <w:t>2016</w:t>
      </w:r>
      <w:r>
        <w:rPr>
          <w:rFonts w:hint="eastAsia" w:ascii="仿宋_GB2312" w:hAnsi="仿宋_GB2312" w:eastAsia="仿宋_GB2312" w:cs="仿宋_GB2312"/>
          <w:kern w:val="0"/>
          <w:sz w:val="32"/>
          <w:szCs w:val="32"/>
        </w:rPr>
        <w:t>年预算数</w:t>
      </w:r>
      <w:r>
        <w:rPr>
          <w:rFonts w:hint="eastAsia" w:ascii="仿宋_GB2312" w:hAnsi="仿宋_GB2312" w:eastAsia="仿宋_GB2312" w:cs="仿宋_GB2312"/>
          <w:color w:val="FF0000"/>
          <w:kern w:val="0"/>
          <w:sz w:val="32"/>
          <w:szCs w:val="32"/>
        </w:rPr>
        <w:t>减少</w:t>
      </w:r>
      <w:r>
        <w:rPr>
          <w:rFonts w:hint="eastAsia" w:ascii="仿宋_GB2312" w:hAnsi="仿宋_GB2312" w:eastAsia="仿宋_GB2312" w:cs="仿宋_GB2312"/>
          <w:kern w:val="0"/>
          <w:sz w:val="32"/>
          <w:szCs w:val="32"/>
        </w:rPr>
        <w:t>27.95</w:t>
      </w:r>
      <w:r>
        <w:rPr>
          <w:rFonts w:hint="eastAsia" w:ascii="仿宋_GB2312" w:hAnsi="仿宋_GB2312" w:eastAsia="仿宋_GB2312" w:cs="仿宋_GB2312"/>
          <w:kern w:val="0"/>
          <w:sz w:val="32"/>
          <w:szCs w:val="32"/>
        </w:rPr>
        <w:t>万元。主要是</w:t>
      </w:r>
      <w:r>
        <w:rPr>
          <w:rFonts w:hint="eastAsia" w:ascii="仿宋_GB2312" w:hAnsi="仿宋_GB2312" w:eastAsia="仿宋_GB2312" w:cs="仿宋_GB2312"/>
          <w:color w:val="FF0000"/>
          <w:kern w:val="0"/>
          <w:sz w:val="32"/>
          <w:szCs w:val="32"/>
        </w:rPr>
        <w:t>公用经费减少</w:t>
      </w:r>
      <w:r>
        <w:rPr>
          <w:rFonts w:hint="eastAsia" w:ascii="仿宋_GB2312" w:hAnsi="仿宋_GB2312" w:eastAsia="仿宋_GB2312" w:cs="仿宋_GB2312"/>
          <w:kern w:val="0"/>
          <w:sz w:val="32"/>
          <w:szCs w:val="32"/>
        </w:rPr>
        <w:t>。</w:t>
      </w:r>
    </w:p>
    <w:p>
      <w:pPr>
        <w:widowControl/>
        <w:spacing w:line="600" w:lineRule="exact"/>
        <w:ind w:firstLine="31680" w:firstLineChars="200"/>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（二）一般公共预算当年拨款结构情况</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教育支出</w:t>
      </w:r>
      <w:r>
        <w:rPr>
          <w:rFonts w:hint="eastAsia" w:ascii="仿宋_GB2312" w:hAnsi="仿宋_GB2312" w:eastAsia="仿宋_GB2312" w:cs="仿宋_GB2312"/>
          <w:kern w:val="0"/>
          <w:sz w:val="32"/>
          <w:szCs w:val="32"/>
        </w:rPr>
        <w:t>180.41</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84.4%</w:t>
      </w:r>
      <w:r>
        <w:rPr>
          <w:rFonts w:hint="eastAsia" w:ascii="仿宋_GB2312" w:hAnsi="仿宋_GB2312" w:eastAsia="仿宋_GB2312" w:cs="仿宋_GB2312"/>
          <w:kern w:val="0"/>
          <w:sz w:val="32"/>
          <w:szCs w:val="32"/>
        </w:rPr>
        <w:t>；社会保障和就业支出</w:t>
      </w:r>
      <w:r>
        <w:rPr>
          <w:rFonts w:hint="eastAsia" w:ascii="仿宋_GB2312" w:hAnsi="仿宋_GB2312" w:eastAsia="仿宋_GB2312" w:cs="仿宋_GB2312"/>
          <w:kern w:val="0"/>
          <w:sz w:val="32"/>
          <w:szCs w:val="32"/>
        </w:rPr>
        <w:t>18.71</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8.8%</w:t>
      </w:r>
      <w:r>
        <w:rPr>
          <w:rFonts w:hint="eastAsia" w:ascii="仿宋_GB2312" w:hAnsi="仿宋_GB2312" w:eastAsia="仿宋_GB2312" w:cs="仿宋_GB2312"/>
          <w:kern w:val="0"/>
          <w:sz w:val="32"/>
          <w:szCs w:val="32"/>
        </w:rPr>
        <w:t>；医疗卫生与计划生育支出</w:t>
      </w:r>
      <w:r>
        <w:rPr>
          <w:rFonts w:hint="eastAsia" w:ascii="仿宋_GB2312" w:hAnsi="仿宋_GB2312" w:eastAsia="仿宋_GB2312" w:cs="仿宋_GB2312"/>
          <w:kern w:val="0"/>
          <w:sz w:val="32"/>
          <w:szCs w:val="32"/>
        </w:rPr>
        <w:t>7.16</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3.3%</w:t>
      </w:r>
      <w:r>
        <w:rPr>
          <w:rFonts w:hint="eastAsia" w:ascii="仿宋_GB2312" w:hAnsi="仿宋_GB2312" w:eastAsia="仿宋_GB2312" w:cs="仿宋_GB2312"/>
          <w:kern w:val="0"/>
          <w:sz w:val="32"/>
          <w:szCs w:val="32"/>
        </w:rPr>
        <w:t>；住房保障支出</w:t>
      </w:r>
      <w:r>
        <w:rPr>
          <w:rFonts w:hint="eastAsia" w:ascii="仿宋_GB2312" w:hAnsi="仿宋_GB2312" w:eastAsia="仿宋_GB2312" w:cs="仿宋_GB2312"/>
          <w:kern w:val="0"/>
          <w:sz w:val="32"/>
          <w:szCs w:val="32"/>
        </w:rPr>
        <w:t>7.48</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3.5%</w:t>
      </w:r>
      <w:r>
        <w:rPr>
          <w:rFonts w:hint="eastAsia" w:ascii="仿宋_GB2312" w:hAnsi="仿宋_GB2312" w:eastAsia="仿宋_GB2312" w:cs="仿宋_GB2312"/>
          <w:kern w:val="0"/>
          <w:sz w:val="32"/>
          <w:szCs w:val="32"/>
        </w:rPr>
        <w:t>。</w:t>
      </w:r>
    </w:p>
    <w:p>
      <w:pPr>
        <w:widowControl/>
        <w:spacing w:line="600" w:lineRule="exact"/>
        <w:ind w:firstLine="31680" w:firstLineChars="200"/>
        <w:rPr>
          <w:rFonts w:hint="eastAsia" w:ascii="黑体" w:hAnsi="黑体" w:eastAsia="黑体" w:cs="黑体"/>
          <w:kern w:val="0"/>
          <w:sz w:val="32"/>
          <w:szCs w:val="32"/>
        </w:rPr>
      </w:pPr>
      <w:r>
        <w:rPr>
          <w:rFonts w:hint="eastAsia" w:ascii="黑体" w:hAnsi="黑体" w:eastAsia="黑体" w:cs="黑体"/>
          <w:kern w:val="0"/>
          <w:sz w:val="32"/>
          <w:szCs w:val="32"/>
        </w:rPr>
        <w:t>六、一般公共预算基本支出情况说明</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苍溪县陵江第三幼儿园</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年一般公共预算基本支出</w:t>
      </w:r>
      <w:r>
        <w:rPr>
          <w:rFonts w:hint="eastAsia" w:ascii="仿宋_GB2312" w:hAnsi="仿宋_GB2312" w:eastAsia="仿宋_GB2312" w:cs="仿宋_GB2312"/>
          <w:kern w:val="0"/>
          <w:sz w:val="32"/>
          <w:szCs w:val="32"/>
        </w:rPr>
        <w:t>213.77</w:t>
      </w:r>
      <w:r>
        <w:rPr>
          <w:rFonts w:hint="eastAsia" w:ascii="仿宋_GB2312" w:hAnsi="仿宋_GB2312" w:eastAsia="仿宋_GB2312" w:cs="仿宋_GB2312"/>
          <w:kern w:val="0"/>
          <w:sz w:val="32"/>
          <w:szCs w:val="32"/>
        </w:rPr>
        <w:t>万元，其中：人员经费</w:t>
      </w:r>
      <w:r>
        <w:rPr>
          <w:rFonts w:hint="eastAsia" w:ascii="仿宋_GB2312" w:hAnsi="仿宋_GB2312" w:eastAsia="仿宋_GB2312" w:cs="仿宋_GB2312"/>
          <w:kern w:val="0"/>
          <w:sz w:val="32"/>
          <w:szCs w:val="32"/>
        </w:rPr>
        <w:t>211.75</w:t>
      </w:r>
      <w:r>
        <w:rPr>
          <w:rFonts w:hint="eastAsia" w:ascii="仿宋_GB2312" w:hAnsi="仿宋_GB2312" w:eastAsia="仿宋_GB2312" w:cs="仿宋_GB2312"/>
          <w:kern w:val="0"/>
          <w:sz w:val="32"/>
          <w:szCs w:val="32"/>
        </w:rPr>
        <w:t>万元，主要包括</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基本工资、津贴补贴、奖金、其他社会保险缴费、绩效工资、机关事业单位基本养老保险缴费、其他工资福利支出、离休费、抚恤金、生活补贴、医疗费、助学金、奖励金、住房公积金、其他对个人和家庭的补助支出。</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公用经费</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rPr>
        <w:t>万元，主要包括：办公费、印刷费、水费、电费、邮电费、物业管理费、差旅费、维修（护）费、培训费、专用材料费、工会经费、其他商品和服务支出。</w:t>
      </w:r>
    </w:p>
    <w:p>
      <w:pPr>
        <w:widowControl/>
        <w:spacing w:line="600" w:lineRule="exact"/>
        <w:ind w:firstLine="31680" w:firstLineChars="200"/>
        <w:rPr>
          <w:rFonts w:hint="eastAsia" w:ascii="黑体" w:hAnsi="黑体" w:eastAsia="黑体" w:cs="黑体"/>
          <w:kern w:val="0"/>
          <w:sz w:val="32"/>
          <w:szCs w:val="32"/>
        </w:rPr>
      </w:pPr>
      <w:r>
        <w:rPr>
          <w:rFonts w:hint="eastAsia" w:ascii="黑体" w:hAnsi="黑体" w:eastAsia="黑体" w:cs="黑体"/>
          <w:kern w:val="0"/>
          <w:sz w:val="32"/>
          <w:szCs w:val="32"/>
        </w:rPr>
        <w:t>七、“三公”经费财政拨款预算安排情况说明</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苍溪县陵江第三幼儿园</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年“三公”经费财政拨款预算数</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万元，其中：因公出国（境）经费</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万元，公务接待费</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万元，公务用车购置及运行维护费</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w:t>
      </w:r>
    </w:p>
    <w:p>
      <w:pPr>
        <w:widowControl/>
        <w:spacing w:line="600" w:lineRule="exact"/>
        <w:ind w:firstLine="31680" w:firstLineChars="200"/>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（一）因公出国（境）经费未安排预算。</w:t>
      </w:r>
    </w:p>
    <w:p>
      <w:pPr>
        <w:widowControl/>
        <w:spacing w:line="600" w:lineRule="exact"/>
        <w:ind w:firstLine="31680" w:firstLineChars="200"/>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（二）公务接待费未安排预算。</w:t>
      </w:r>
    </w:p>
    <w:p>
      <w:pPr>
        <w:widowControl/>
        <w:spacing w:line="600" w:lineRule="exact"/>
        <w:ind w:firstLine="31680" w:firstLineChars="200"/>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（三）公务用车购置及运行维护费未安排预算。</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年未安排公务用车购置费。</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年安排公务用车运行维护费</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w:t>
      </w:r>
    </w:p>
    <w:p>
      <w:pPr>
        <w:widowControl/>
        <w:spacing w:line="600" w:lineRule="exact"/>
        <w:ind w:firstLine="31680" w:firstLineChars="200"/>
        <w:rPr>
          <w:rFonts w:hint="eastAsia" w:ascii="黑体" w:hAnsi="黑体" w:eastAsia="黑体" w:cs="黑体"/>
          <w:kern w:val="0"/>
          <w:sz w:val="32"/>
          <w:szCs w:val="32"/>
        </w:rPr>
      </w:pPr>
      <w:r>
        <w:rPr>
          <w:rFonts w:hint="eastAsia" w:ascii="黑体" w:hAnsi="黑体" w:eastAsia="黑体" w:cs="黑体"/>
          <w:kern w:val="0"/>
          <w:sz w:val="32"/>
          <w:szCs w:val="32"/>
        </w:rPr>
        <w:t>八、政府性基金预算支出情况说明</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苍溪县陵江第三幼儿园</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年没有使用政府性基金预算拨款安排的支出。</w:t>
      </w:r>
    </w:p>
    <w:p>
      <w:pPr>
        <w:widowControl/>
        <w:numPr>
          <w:ilvl w:val="0"/>
          <w:numId w:val="1"/>
        </w:numPr>
        <w:spacing w:line="600" w:lineRule="exact"/>
        <w:ind w:firstLine="31680" w:firstLineChars="200"/>
        <w:rPr>
          <w:rFonts w:hint="eastAsia" w:ascii="黑体" w:hAnsi="黑体" w:eastAsia="黑体" w:cs="黑体"/>
          <w:kern w:val="0"/>
          <w:sz w:val="32"/>
          <w:szCs w:val="32"/>
        </w:rPr>
      </w:pPr>
      <w:r>
        <w:rPr>
          <w:rFonts w:hint="eastAsia" w:ascii="黑体" w:hAnsi="黑体" w:eastAsia="黑体" w:cs="黑体"/>
          <w:kern w:val="0"/>
          <w:sz w:val="32"/>
          <w:szCs w:val="32"/>
        </w:rPr>
        <w:t>其他重要事项的情况说明</w:t>
      </w:r>
    </w:p>
    <w:p>
      <w:pPr>
        <w:widowControl/>
        <w:numPr>
          <w:numId w:val="0"/>
        </w:numPr>
        <w:spacing w:line="600" w:lineRule="exact"/>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lang w:val="en-US" w:eastAsia="zh-CN"/>
        </w:rPr>
        <w:t xml:space="preserve">    </w:t>
      </w:r>
      <w:r>
        <w:rPr>
          <w:rFonts w:hint="eastAsia" w:ascii="楷体_GB2312" w:hAnsi="楷体_GB2312" w:eastAsia="楷体_GB2312" w:cs="楷体_GB2312"/>
          <w:b w:val="0"/>
          <w:bCs/>
          <w:kern w:val="0"/>
          <w:sz w:val="32"/>
          <w:szCs w:val="32"/>
        </w:rPr>
        <w:t>（一）机关运行经费</w:t>
      </w:r>
    </w:p>
    <w:p>
      <w:pPr>
        <w:widowControl/>
        <w:spacing w:line="600" w:lineRule="exac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年，无机关运行经费。</w:t>
      </w: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楷体_GB2312" w:hAnsi="楷体_GB2312" w:eastAsia="楷体_GB2312" w:cs="楷体_GB2312"/>
          <w:b w:val="0"/>
          <w:bCs/>
          <w:kern w:val="0"/>
          <w:sz w:val="32"/>
          <w:szCs w:val="32"/>
        </w:rPr>
        <w:t>（二）国有资产占有使用情况</w:t>
      </w:r>
    </w:p>
    <w:p>
      <w:pPr>
        <w:widowControl/>
        <w:spacing w:line="600" w:lineRule="exac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截至</w:t>
      </w:r>
      <w:r>
        <w:rPr>
          <w:rFonts w:hint="eastAsia" w:ascii="仿宋_GB2312" w:hAnsi="仿宋_GB2312" w:eastAsia="仿宋_GB2312" w:cs="仿宋_GB2312"/>
          <w:kern w:val="0"/>
          <w:sz w:val="32"/>
          <w:szCs w:val="32"/>
        </w:rPr>
        <w:t>2016</w:t>
      </w:r>
      <w:r>
        <w:rPr>
          <w:rFonts w:hint="eastAsia" w:ascii="仿宋_GB2312" w:hAnsi="仿宋_GB2312" w:eastAsia="仿宋_GB2312" w:cs="仿宋_GB2312"/>
          <w:kern w:val="0"/>
          <w:sz w:val="32"/>
          <w:szCs w:val="32"/>
        </w:rPr>
        <w:t>年底，苍溪县陵江第三幼儿园共有车辆</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辆。</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年部门预算未安排购置车辆及单位价值</w:t>
      </w:r>
      <w:r>
        <w:rPr>
          <w:rFonts w:hint="eastAsia" w:ascii="仿宋_GB2312" w:hAnsi="仿宋_GB2312" w:eastAsia="仿宋_GB2312" w:cs="仿宋_GB2312"/>
          <w:kern w:val="0"/>
          <w:sz w:val="32"/>
          <w:szCs w:val="32"/>
        </w:rPr>
        <w:t>200</w:t>
      </w:r>
      <w:r>
        <w:rPr>
          <w:rFonts w:hint="eastAsia" w:ascii="仿宋_GB2312" w:hAnsi="仿宋_GB2312" w:eastAsia="仿宋_GB2312" w:cs="仿宋_GB2312"/>
          <w:kern w:val="0"/>
          <w:sz w:val="32"/>
          <w:szCs w:val="32"/>
        </w:rPr>
        <w:t>万元以上大型设备。</w:t>
      </w:r>
    </w:p>
    <w:p>
      <w:pPr>
        <w:widowControl/>
        <w:spacing w:line="600" w:lineRule="exact"/>
        <w:ind w:firstLine="31680" w:firstLineChars="200"/>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（三）绩效目标设置情况</w:t>
      </w:r>
    </w:p>
    <w:p>
      <w:pPr>
        <w:widowControl/>
        <w:spacing w:line="600" w:lineRule="exac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年苍溪县陵江第三幼儿园部门通用项目和专用项目均按要求实行绩效目标管理，涉及一般</w:t>
      </w:r>
      <w:bookmarkStart w:id="0" w:name="_GoBack"/>
      <w:bookmarkEnd w:id="0"/>
      <w:r>
        <w:rPr>
          <w:rFonts w:hint="eastAsia" w:ascii="仿宋_GB2312" w:hAnsi="仿宋_GB2312" w:eastAsia="仿宋_GB2312" w:cs="仿宋_GB2312"/>
          <w:kern w:val="0"/>
          <w:sz w:val="32"/>
          <w:szCs w:val="32"/>
        </w:rPr>
        <w:t>公共预算当年拨款</w:t>
      </w:r>
      <w:r>
        <w:rPr>
          <w:rFonts w:hint="eastAsia" w:ascii="仿宋_GB2312" w:hAnsi="仿宋_GB2312" w:eastAsia="仿宋_GB2312" w:cs="仿宋_GB2312"/>
          <w:color w:val="FF0000"/>
          <w:kern w:val="0"/>
          <w:sz w:val="32"/>
          <w:szCs w:val="32"/>
        </w:rPr>
        <w:t>（一般公共预算项目支出预算数）</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w:t>
      </w:r>
    </w:p>
    <w:p>
      <w:pPr>
        <w:widowControl/>
        <w:spacing w:line="600" w:lineRule="exact"/>
        <w:ind w:firstLine="31680" w:firstLineChars="200"/>
        <w:rPr>
          <w:rFonts w:hint="eastAsia" w:ascii="仿宋_GB2312" w:hAnsi="仿宋_GB2312" w:eastAsia="仿宋_GB2312" w:cs="仿宋_GB2312"/>
          <w:kern w:val="0"/>
          <w:sz w:val="32"/>
          <w:szCs w:val="32"/>
        </w:rPr>
      </w:pPr>
    </w:p>
    <w:p>
      <w:pPr>
        <w:widowControl/>
        <w:spacing w:line="600" w:lineRule="exact"/>
        <w:ind w:firstLine="31680" w:firstLineChars="200"/>
        <w:rPr>
          <w:rFonts w:hint="eastAsia" w:ascii="仿宋_GB2312" w:hAnsi="仿宋_GB2312" w:eastAsia="仿宋_GB2312" w:cs="仿宋_GB2312"/>
          <w:kern w:val="0"/>
          <w:sz w:val="32"/>
          <w:szCs w:val="32"/>
        </w:rPr>
      </w:pPr>
    </w:p>
    <w:p>
      <w:pPr>
        <w:widowControl/>
        <w:spacing w:line="600" w:lineRule="exact"/>
        <w:ind w:firstLine="3168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附件：表1.部门收支总表</w:t>
      </w:r>
    </w:p>
    <w:p>
      <w:pPr>
        <w:widowControl/>
        <w:spacing w:line="600" w:lineRule="exact"/>
        <w:ind w:firstLine="31680" w:firstLineChars="516"/>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表1-1.部门收入总表</w:t>
      </w:r>
    </w:p>
    <w:p>
      <w:pPr>
        <w:widowControl/>
        <w:spacing w:line="600" w:lineRule="exact"/>
        <w:ind w:firstLine="31680" w:firstLineChars="516"/>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表1-2.部门支出总表</w:t>
      </w:r>
    </w:p>
    <w:p>
      <w:pPr>
        <w:widowControl/>
        <w:spacing w:line="600" w:lineRule="exact"/>
        <w:ind w:firstLine="31680" w:firstLineChars="516"/>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表2.财政拨款收支预算总表</w:t>
      </w:r>
    </w:p>
    <w:p>
      <w:pPr>
        <w:widowControl/>
        <w:spacing w:line="600" w:lineRule="exact"/>
        <w:ind w:firstLine="31680" w:firstLineChars="516"/>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表3.一般公共预算支出预算表</w:t>
      </w:r>
    </w:p>
    <w:p>
      <w:pPr>
        <w:widowControl/>
        <w:spacing w:line="600" w:lineRule="exact"/>
        <w:ind w:firstLine="31680" w:firstLineChars="516"/>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表3-1.一般公共预算基本支出预算表</w:t>
      </w:r>
    </w:p>
    <w:p>
      <w:pPr>
        <w:widowControl/>
        <w:spacing w:line="600" w:lineRule="exact"/>
        <w:ind w:firstLine="31680" w:firstLineChars="516"/>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表3-2.一般公共预算项目支出预算表</w:t>
      </w:r>
    </w:p>
    <w:p>
      <w:pPr>
        <w:widowControl/>
        <w:spacing w:line="600" w:lineRule="exact"/>
        <w:ind w:firstLine="31680" w:firstLineChars="516"/>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表3-3.一般公共预算“三公”经费支出预算表</w:t>
      </w:r>
    </w:p>
    <w:p>
      <w:pPr>
        <w:widowControl/>
        <w:spacing w:line="600" w:lineRule="exact"/>
        <w:ind w:firstLine="31680" w:firstLineChars="516"/>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表4.政府性基金支出预算表</w:t>
      </w:r>
    </w:p>
    <w:p>
      <w:pPr>
        <w:widowControl/>
        <w:spacing w:line="600" w:lineRule="exact"/>
        <w:ind w:firstLine="31680" w:firstLineChars="516"/>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表4-1.政府性基金预算“三公”经费支出预算</w:t>
      </w:r>
    </w:p>
    <w:p>
      <w:pPr>
        <w:widowControl/>
        <w:spacing w:line="600" w:lineRule="exact"/>
        <w:ind w:firstLine="31680" w:firstLineChars="516"/>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表5.国有资本经营预算支出预算表</w:t>
      </w:r>
    </w:p>
    <w:sectPr>
      <w:footerReference r:id="rId3" w:type="default"/>
      <w:pgSz w:w="11906" w:h="16838"/>
      <w:pgMar w:top="2098" w:right="1474" w:bottom="1985" w:left="1588" w:header="851" w:footer="1276"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楷体">
    <w:altName w:val="楷体_GB2312"/>
    <w:panose1 w:val="02010609060101010101"/>
    <w:charset w:val="86"/>
    <w:family w:val="modern"/>
    <w:pitch w:val="default"/>
    <w:sig w:usb0="00000000" w:usb1="00000000" w:usb2="00000016" w:usb3="00000000" w:csb0="00040001" w:csb1="00000000"/>
  </w:font>
  <w:font w:name="新宋体">
    <w:panose1 w:val="02010609030101010101"/>
    <w:charset w:val="86"/>
    <w:family w:val="auto"/>
    <w:pitch w:val="default"/>
    <w:sig w:usb0="00000003" w:usb1="080E0000" w:usb2="00000000"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t xml:space="preserve">— </w:t>
    </w:r>
    <w:r>
      <w:fldChar w:fldCharType="begin"/>
    </w:r>
    <w:r>
      <w:instrText xml:space="preserve"> PAGE   \* MERGEFORMAT </w:instrText>
    </w:r>
    <w:r>
      <w:fldChar w:fldCharType="separate"/>
    </w:r>
    <w:r>
      <w:rPr>
        <w:lang w:val="zh-CN"/>
      </w:rPr>
      <w:t>3</w:t>
    </w:r>
    <w:r>
      <w:rPr>
        <w:lang w:val="zh-CN"/>
      </w:rPr>
      <w:fldChar w:fldCharType="end"/>
    </w:r>
    <w: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CF65D"/>
    <w:multiLevelType w:val="singleLevel"/>
    <w:tmpl w:val="58DCF65D"/>
    <w:lvl w:ilvl="0" w:tentative="0">
      <w:start w:val="9"/>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0E88"/>
    <w:rsid w:val="000D5994"/>
    <w:rsid w:val="000E314B"/>
    <w:rsid w:val="000E594B"/>
    <w:rsid w:val="000E6320"/>
    <w:rsid w:val="00105B9B"/>
    <w:rsid w:val="00130D2F"/>
    <w:rsid w:val="00150E19"/>
    <w:rsid w:val="00164576"/>
    <w:rsid w:val="0019092B"/>
    <w:rsid w:val="001B422D"/>
    <w:rsid w:val="001C5397"/>
    <w:rsid w:val="001D4771"/>
    <w:rsid w:val="002108FD"/>
    <w:rsid w:val="0022317E"/>
    <w:rsid w:val="002260D8"/>
    <w:rsid w:val="00261A3B"/>
    <w:rsid w:val="00293DE2"/>
    <w:rsid w:val="002A39B7"/>
    <w:rsid w:val="002A6940"/>
    <w:rsid w:val="002B42BE"/>
    <w:rsid w:val="002E190E"/>
    <w:rsid w:val="002F701F"/>
    <w:rsid w:val="00351C15"/>
    <w:rsid w:val="00357A8B"/>
    <w:rsid w:val="0037247A"/>
    <w:rsid w:val="003A68ED"/>
    <w:rsid w:val="003A78B8"/>
    <w:rsid w:val="003F32DE"/>
    <w:rsid w:val="003F33B7"/>
    <w:rsid w:val="00403E47"/>
    <w:rsid w:val="0040560F"/>
    <w:rsid w:val="00416D4A"/>
    <w:rsid w:val="00421140"/>
    <w:rsid w:val="00475D7F"/>
    <w:rsid w:val="00495208"/>
    <w:rsid w:val="00495EEE"/>
    <w:rsid w:val="00497904"/>
    <w:rsid w:val="004C278D"/>
    <w:rsid w:val="004C6065"/>
    <w:rsid w:val="004D1D95"/>
    <w:rsid w:val="004E734B"/>
    <w:rsid w:val="0050398A"/>
    <w:rsid w:val="005161F3"/>
    <w:rsid w:val="00530073"/>
    <w:rsid w:val="005421A8"/>
    <w:rsid w:val="00544D52"/>
    <w:rsid w:val="00553374"/>
    <w:rsid w:val="00570280"/>
    <w:rsid w:val="005C6E73"/>
    <w:rsid w:val="005D1A50"/>
    <w:rsid w:val="005D7611"/>
    <w:rsid w:val="005E7D99"/>
    <w:rsid w:val="00602703"/>
    <w:rsid w:val="00623990"/>
    <w:rsid w:val="00624E28"/>
    <w:rsid w:val="00636BB1"/>
    <w:rsid w:val="006373C9"/>
    <w:rsid w:val="006C4EB9"/>
    <w:rsid w:val="007051D9"/>
    <w:rsid w:val="0070677D"/>
    <w:rsid w:val="00710604"/>
    <w:rsid w:val="00723289"/>
    <w:rsid w:val="00760A9C"/>
    <w:rsid w:val="00784CB7"/>
    <w:rsid w:val="007936D7"/>
    <w:rsid w:val="007B0EE2"/>
    <w:rsid w:val="007E629E"/>
    <w:rsid w:val="00813616"/>
    <w:rsid w:val="008407CB"/>
    <w:rsid w:val="00881A26"/>
    <w:rsid w:val="008B27F3"/>
    <w:rsid w:val="008C786F"/>
    <w:rsid w:val="008F2A5E"/>
    <w:rsid w:val="00900730"/>
    <w:rsid w:val="009046BF"/>
    <w:rsid w:val="00943A78"/>
    <w:rsid w:val="009636AD"/>
    <w:rsid w:val="00984615"/>
    <w:rsid w:val="009868B3"/>
    <w:rsid w:val="009B7432"/>
    <w:rsid w:val="009F5BF3"/>
    <w:rsid w:val="00A10747"/>
    <w:rsid w:val="00A4617A"/>
    <w:rsid w:val="00A47B5C"/>
    <w:rsid w:val="00A81429"/>
    <w:rsid w:val="00A85073"/>
    <w:rsid w:val="00A86172"/>
    <w:rsid w:val="00A90A25"/>
    <w:rsid w:val="00AA36D6"/>
    <w:rsid w:val="00AC2FF7"/>
    <w:rsid w:val="00AC4F79"/>
    <w:rsid w:val="00B0584F"/>
    <w:rsid w:val="00B20850"/>
    <w:rsid w:val="00B20BFC"/>
    <w:rsid w:val="00B32895"/>
    <w:rsid w:val="00B35292"/>
    <w:rsid w:val="00B468E3"/>
    <w:rsid w:val="00B56AD4"/>
    <w:rsid w:val="00BA4A04"/>
    <w:rsid w:val="00BA5251"/>
    <w:rsid w:val="00BA70BE"/>
    <w:rsid w:val="00BB36D5"/>
    <w:rsid w:val="00BC412F"/>
    <w:rsid w:val="00BD7302"/>
    <w:rsid w:val="00C00888"/>
    <w:rsid w:val="00C64BDF"/>
    <w:rsid w:val="00C97F72"/>
    <w:rsid w:val="00CD379E"/>
    <w:rsid w:val="00CD3E87"/>
    <w:rsid w:val="00CE71AC"/>
    <w:rsid w:val="00CF044C"/>
    <w:rsid w:val="00D03F5B"/>
    <w:rsid w:val="00D34670"/>
    <w:rsid w:val="00D370C0"/>
    <w:rsid w:val="00D4020A"/>
    <w:rsid w:val="00D458EC"/>
    <w:rsid w:val="00D53062"/>
    <w:rsid w:val="00D53EBA"/>
    <w:rsid w:val="00D769B9"/>
    <w:rsid w:val="00DE20A9"/>
    <w:rsid w:val="00E10086"/>
    <w:rsid w:val="00E33366"/>
    <w:rsid w:val="00E3449A"/>
    <w:rsid w:val="00E450F2"/>
    <w:rsid w:val="00EC0E88"/>
    <w:rsid w:val="00F12687"/>
    <w:rsid w:val="00F46F5D"/>
    <w:rsid w:val="00F53363"/>
    <w:rsid w:val="00F763D4"/>
    <w:rsid w:val="00F8182A"/>
    <w:rsid w:val="00FA1349"/>
    <w:rsid w:val="00FA590C"/>
    <w:rsid w:val="00FB61D6"/>
    <w:rsid w:val="00FC0681"/>
    <w:rsid w:val="00FD523A"/>
    <w:rsid w:val="00FE06AE"/>
    <w:rsid w:val="00FF19EF"/>
    <w:rsid w:val="16C05B5C"/>
    <w:rsid w:val="1D805BF0"/>
    <w:rsid w:val="53D23BC9"/>
    <w:rsid w:val="65422187"/>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99"/>
    <w:rPr>
      <w:rFonts w:cs="Times New Roman"/>
      <w:b/>
      <w:bCs/>
    </w:rPr>
  </w:style>
  <w:style w:type="character" w:customStyle="1" w:styleId="7">
    <w:name w:val="Footer Char"/>
    <w:basedOn w:val="4"/>
    <w:link w:val="2"/>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 w:type="paragraph" w:customStyle="1" w:styleId="9">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苍溪县智新商贸发展有限公司</Company>
  <Pages>5</Pages>
  <Words>269</Words>
  <Characters>1539</Characters>
  <Lines>0</Lines>
  <Paragraphs>0</Paragraphs>
  <TotalTime>0</TotalTime>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2017-03-23T01:43:00Z</dcterms:created>
  <dc:creator>SkyUser</dc:creator>
  <cp:lastModifiedBy>Administrator</cp:lastModifiedBy>
  <cp:lastPrinted>2017-03-23T01:10:00Z</cp:lastPrinted>
  <dcterms:modified xsi:type="dcterms:W3CDTF">2017-03-30T12:09:50Z</dcterms:modified>
  <dc:title>苍溪县云峰镇初级中学校</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