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F92" w:rsidRPr="00C121C2" w:rsidRDefault="00411599">
      <w:pPr>
        <w:spacing w:line="600" w:lineRule="exact"/>
        <w:jc w:val="center"/>
        <w:rPr>
          <w:rFonts w:ascii="文鼎大标宋简" w:eastAsia="文鼎大标宋简" w:hAnsi="黑体" w:cs="黑体" w:hint="eastAsia"/>
          <w:color w:val="000000"/>
          <w:sz w:val="44"/>
          <w:szCs w:val="44"/>
        </w:rPr>
      </w:pPr>
      <w:r w:rsidRPr="00C121C2">
        <w:rPr>
          <w:rFonts w:ascii="文鼎大标宋简" w:eastAsia="文鼎大标宋简" w:hAnsi="黑体" w:cs="黑体" w:hint="eastAsia"/>
          <w:color w:val="000000"/>
          <w:sz w:val="44"/>
          <w:szCs w:val="44"/>
        </w:rPr>
        <w:t>苍溪县房地产管理局</w:t>
      </w:r>
    </w:p>
    <w:p w:rsidR="004F2F92" w:rsidRPr="00C121C2" w:rsidRDefault="00411599">
      <w:pPr>
        <w:spacing w:line="600" w:lineRule="exact"/>
        <w:jc w:val="center"/>
        <w:rPr>
          <w:rFonts w:ascii="文鼎大标宋简" w:eastAsia="文鼎大标宋简" w:hAnsi="黑体" w:cs="黑体" w:hint="eastAsia"/>
          <w:color w:val="000000"/>
          <w:sz w:val="44"/>
          <w:szCs w:val="44"/>
        </w:rPr>
      </w:pPr>
      <w:r w:rsidRPr="00C121C2">
        <w:rPr>
          <w:rFonts w:ascii="文鼎大标宋简" w:eastAsia="文鼎大标宋简" w:hAnsi="黑体" w:cs="黑体" w:hint="eastAsia"/>
          <w:color w:val="000000"/>
          <w:sz w:val="44"/>
          <w:szCs w:val="44"/>
        </w:rPr>
        <w:t>2017年部门决算编制说明</w:t>
      </w:r>
    </w:p>
    <w:p w:rsidR="004F2F92" w:rsidRDefault="004F2F92">
      <w:pPr>
        <w:spacing w:line="600" w:lineRule="exact"/>
        <w:jc w:val="center"/>
        <w:rPr>
          <w:rFonts w:ascii="宋体" w:hAnsi="宋体"/>
          <w:b/>
          <w:color w:val="000000"/>
          <w:sz w:val="44"/>
          <w:szCs w:val="44"/>
        </w:rPr>
      </w:pPr>
    </w:p>
    <w:p w:rsidR="004F2F92" w:rsidRPr="00D17439" w:rsidRDefault="00411599" w:rsidP="00D17439">
      <w:pPr>
        <w:spacing w:line="550" w:lineRule="exact"/>
        <w:ind w:firstLineChars="200" w:firstLine="640"/>
        <w:rPr>
          <w:rFonts w:ascii="黑体" w:eastAsia="黑体" w:hAnsi="宋体" w:cs="宋体" w:hint="eastAsia"/>
          <w:bCs/>
          <w:color w:val="000000"/>
          <w:sz w:val="32"/>
          <w:szCs w:val="32"/>
        </w:rPr>
      </w:pPr>
      <w:r w:rsidRPr="00D17439">
        <w:rPr>
          <w:rFonts w:ascii="黑体" w:eastAsia="黑体" w:hAnsi="宋体" w:cs="宋体" w:hint="eastAsia"/>
          <w:bCs/>
          <w:color w:val="000000"/>
          <w:sz w:val="32"/>
          <w:szCs w:val="32"/>
        </w:rPr>
        <w:t>一、基本职能及主要工作</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（一）主要职能</w:t>
      </w:r>
    </w:p>
    <w:p w:rsidR="004F2F92" w:rsidRDefault="00411599" w:rsidP="00C121C2">
      <w:pPr>
        <w:widowControl/>
        <w:spacing w:line="550" w:lineRule="exact"/>
        <w:ind w:firstLineChars="200" w:firstLine="640"/>
        <w:textAlignment w:val="baseline"/>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贯彻执行房地产市场管理的政策和法律法规；负责房地产交易管理、存量房买卖合同网签备案管理；负责商品房预售管理、商品房买卖合同网签备案管理、商品房预售资金监管；负责房地产开发经营活动的监督管理；负责房地产开发项目资本金的监督管理；负责房地产中介机构的监督管理；负责物业管理活动的监督管理、指导和监督住宅维修资金的缴存、管理和使用；负责商品房屋租赁的监督管理；负责城市房屋白蚁防治的监督管理；负责城镇既有房屋使用安全的监督检查，督促有关责任人对危险房屋进行治理。</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（二）2017年重点工作完成情况</w:t>
      </w:r>
    </w:p>
    <w:p w:rsidR="004F2F92" w:rsidRDefault="00411599" w:rsidP="0028391C">
      <w:pPr>
        <w:spacing w:line="54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一是加强房屋交易管理。全年共办理《商品房买卖合同》登记备案3183件，交易面积31.43万平方米；办理《存量房买卖合同》登记备案452件。</w:t>
      </w:r>
      <w:r>
        <w:rPr>
          <w:rFonts w:ascii="仿宋_GB2312" w:eastAsia="仿宋_GB2312" w:hAnsi="仿宋_GB2312" w:cs="仿宋_GB2312" w:hint="eastAsia"/>
          <w:spacing w:val="-14"/>
          <w:sz w:val="32"/>
          <w:szCs w:val="32"/>
        </w:rPr>
        <w:t>二是</w:t>
      </w:r>
      <w:r>
        <w:rPr>
          <w:rFonts w:ascii="仿宋_GB2312" w:eastAsia="仿宋_GB2312" w:hAnsi="仿宋_GB2312" w:cs="仿宋_GB2312" w:hint="eastAsia"/>
          <w:sz w:val="32"/>
          <w:szCs w:val="32"/>
        </w:rPr>
        <w:t>加强商品房预售管理。依法核发房地产开发项目《商品房预售许可证》，督促开发企业及时将商品房买卖合同进行登记备案，备案率达100%；全年完成商品房去库存34.08万平方米。</w:t>
      </w:r>
      <w:r>
        <w:rPr>
          <w:rFonts w:ascii="仿宋_GB2312" w:eastAsia="仿宋_GB2312" w:hAnsi="仿宋_GB2312" w:cs="仿宋_GB2312" w:hint="eastAsia"/>
          <w:spacing w:val="-14"/>
          <w:sz w:val="32"/>
          <w:szCs w:val="32"/>
        </w:rPr>
        <w:t>三是加强房地产市场监管。</w:t>
      </w:r>
      <w:r>
        <w:rPr>
          <w:rFonts w:ascii="仿宋_GB2312" w:eastAsia="仿宋_GB2312" w:hAnsi="仿宋_GB2312" w:cs="仿宋_GB2312" w:hint="eastAsia"/>
          <w:sz w:val="32"/>
          <w:szCs w:val="32"/>
        </w:rPr>
        <w:t>四是加强物业服务企业管理。五是加强商品房预售资金和房屋共用部位共用设施设备维修资金监管。六是加强既有房屋安全管理。出台《关于加强全县既有房屋使用安全管理的通知》等规定。七是加强房地产开</w:t>
      </w:r>
      <w:r>
        <w:rPr>
          <w:rFonts w:ascii="仿宋_GB2312" w:eastAsia="仿宋_GB2312" w:hAnsi="仿宋_GB2312" w:cs="仿宋_GB2312" w:hint="eastAsia"/>
          <w:sz w:val="32"/>
          <w:szCs w:val="32"/>
        </w:rPr>
        <w:lastRenderedPageBreak/>
        <w:t>发投资工作。</w:t>
      </w:r>
    </w:p>
    <w:p w:rsidR="004F2F92" w:rsidRPr="00D17439" w:rsidRDefault="00411599" w:rsidP="0028391C">
      <w:pPr>
        <w:spacing w:line="540" w:lineRule="exact"/>
        <w:ind w:firstLineChars="200" w:firstLine="640"/>
        <w:rPr>
          <w:rFonts w:ascii="黑体" w:eastAsia="黑体" w:hAnsi="宋体" w:cs="宋体"/>
          <w:bCs/>
          <w:color w:val="000000"/>
          <w:sz w:val="32"/>
          <w:szCs w:val="32"/>
        </w:rPr>
      </w:pPr>
      <w:r w:rsidRPr="00D17439">
        <w:rPr>
          <w:rFonts w:ascii="黑体" w:eastAsia="黑体" w:hAnsi="宋体" w:cs="宋体" w:hint="eastAsia"/>
          <w:bCs/>
          <w:color w:val="000000"/>
          <w:sz w:val="32"/>
          <w:szCs w:val="32"/>
        </w:rPr>
        <w:t>二、部门概况</w:t>
      </w:r>
    </w:p>
    <w:p w:rsidR="004F2F92" w:rsidRDefault="00411599" w:rsidP="0028391C">
      <w:pPr>
        <w:pStyle w:val="a3"/>
        <w:adjustRightInd w:val="0"/>
        <w:snapToGrid w:val="0"/>
        <w:spacing w:before="95" w:line="540" w:lineRule="exact"/>
        <w:ind w:firstLineChars="200" w:firstLine="640"/>
        <w:rPr>
          <w:color w:val="000000"/>
          <w:sz w:val="32"/>
          <w:szCs w:val="32"/>
        </w:rPr>
      </w:pPr>
      <w:r>
        <w:rPr>
          <w:rFonts w:hint="eastAsia"/>
          <w:color w:val="000000"/>
          <w:sz w:val="32"/>
          <w:szCs w:val="32"/>
        </w:rPr>
        <w:t>苍溪县房地产管理局（以下简称“本部门”）下属二级单位0个，其中行政单位0个，参照公务员法管理的事业单位</w:t>
      </w:r>
      <w:r>
        <w:rPr>
          <w:rFonts w:hint="eastAsia"/>
          <w:bCs/>
          <w:color w:val="000000"/>
          <w:sz w:val="32"/>
          <w:szCs w:val="32"/>
        </w:rPr>
        <w:t>0</w:t>
      </w:r>
      <w:r>
        <w:rPr>
          <w:rFonts w:hint="eastAsia"/>
          <w:color w:val="000000"/>
          <w:sz w:val="32"/>
          <w:szCs w:val="32"/>
        </w:rPr>
        <w:t>个，其他事业单位0个。</w:t>
      </w:r>
    </w:p>
    <w:p w:rsidR="004F2F92" w:rsidRPr="00D17439" w:rsidRDefault="00411599" w:rsidP="00D17439">
      <w:pPr>
        <w:spacing w:line="550" w:lineRule="exact"/>
        <w:ind w:firstLineChars="200" w:firstLine="640"/>
        <w:rPr>
          <w:rFonts w:ascii="黑体" w:eastAsia="黑体" w:hAnsi="宋体" w:cs="宋体"/>
          <w:bCs/>
          <w:color w:val="000000"/>
          <w:sz w:val="32"/>
          <w:szCs w:val="32"/>
        </w:rPr>
      </w:pPr>
      <w:r w:rsidRPr="00D17439">
        <w:rPr>
          <w:rFonts w:ascii="黑体" w:eastAsia="黑体" w:hAnsi="宋体" w:cs="宋体" w:hint="eastAsia"/>
          <w:bCs/>
          <w:color w:val="000000"/>
          <w:sz w:val="32"/>
          <w:szCs w:val="32"/>
        </w:rPr>
        <w:t>三、收支决算总体情况</w:t>
      </w:r>
    </w:p>
    <w:p w:rsidR="004F2F92" w:rsidRDefault="00411599" w:rsidP="0028391C">
      <w:pPr>
        <w:spacing w:line="540" w:lineRule="exact"/>
        <w:ind w:firstLineChars="200" w:firstLine="640"/>
        <w:rPr>
          <w:rFonts w:ascii="仿宋_GB2312" w:eastAsia="仿宋_GB2312"/>
          <w:sz w:val="32"/>
          <w:szCs w:val="32"/>
        </w:rPr>
      </w:pPr>
      <w:r>
        <w:rPr>
          <w:rFonts w:ascii="仿宋_GB2312" w:eastAsia="仿宋_GB2312" w:hint="eastAsia"/>
          <w:sz w:val="32"/>
          <w:szCs w:val="32"/>
        </w:rPr>
        <w:t>2017年本部门本年收入合计354.89万元，其中：一般公共预算财政拨款收入354.89万元，占100%；政府性基金预算财政拨款收入0万元，占0%；国有资本经营预算财政拨款收入0万元，占0%；事业收入0万元，占0%；经营收入0万元，占0%；附属单位上缴收入0万元，占0%；其他收入0万元，占0%。本年收入较上年度增加42.72万元，增长13.68%，增加</w:t>
      </w:r>
      <w:r>
        <w:rPr>
          <w:rStyle w:val="a6"/>
          <w:rFonts w:ascii="仿宋_GB2312" w:eastAsia="仿宋_GB2312" w:hint="eastAsia"/>
          <w:b w:val="0"/>
          <w:sz w:val="32"/>
          <w:szCs w:val="32"/>
        </w:rPr>
        <w:t>主要原因是财政拨入房地产市场监管专用经费增加</w:t>
      </w:r>
      <w:r>
        <w:rPr>
          <w:rFonts w:ascii="仿宋_GB2312" w:eastAsia="仿宋_GB2312" w:hint="eastAsia"/>
          <w:sz w:val="32"/>
          <w:szCs w:val="32"/>
        </w:rPr>
        <w:t>。</w:t>
      </w:r>
    </w:p>
    <w:p w:rsidR="004F2F92" w:rsidRDefault="00411599" w:rsidP="0028391C">
      <w:pPr>
        <w:spacing w:line="540" w:lineRule="exact"/>
        <w:ind w:firstLineChars="200" w:firstLine="640"/>
        <w:rPr>
          <w:rFonts w:ascii="仿宋_GB2312" w:eastAsia="仿宋_GB2312"/>
          <w:sz w:val="32"/>
          <w:szCs w:val="32"/>
        </w:rPr>
      </w:pPr>
      <w:r>
        <w:rPr>
          <w:rFonts w:ascii="仿宋_GB2312" w:eastAsia="仿宋_GB2312" w:hint="eastAsia"/>
          <w:sz w:val="32"/>
          <w:szCs w:val="32"/>
        </w:rPr>
        <w:t>2017年本部门本年支出合计437.88万元，其中：基本支出364.69万元，占83.29%；项目支出73.19万元，占16.71%；上缴上级支出0万元，占0%；经营支出0万元，占0%；对附属单位补助支出0万元，占0%。本年支出较上年度增加161.53万元，增长58.45%，增加</w:t>
      </w:r>
      <w:r>
        <w:rPr>
          <w:rStyle w:val="a6"/>
          <w:rFonts w:ascii="仿宋_GB2312" w:eastAsia="仿宋_GB2312" w:hint="eastAsia"/>
          <w:b w:val="0"/>
          <w:sz w:val="32"/>
          <w:szCs w:val="32"/>
        </w:rPr>
        <w:t>主要原因是2016年部分项目未办理决算，纳入2017年度支付，同时当年专项监管支出增加</w:t>
      </w:r>
      <w:r>
        <w:rPr>
          <w:rFonts w:ascii="仿宋_GB2312" w:eastAsia="仿宋_GB2312" w:hint="eastAsia"/>
          <w:sz w:val="32"/>
          <w:szCs w:val="32"/>
        </w:rPr>
        <w:t>。</w:t>
      </w:r>
    </w:p>
    <w:p w:rsidR="004F2F92" w:rsidRDefault="00411599" w:rsidP="00C121C2">
      <w:pPr>
        <w:spacing w:line="550" w:lineRule="exact"/>
        <w:ind w:firstLineChars="200" w:firstLine="640"/>
        <w:rPr>
          <w:rFonts w:ascii="仿宋_GB2312" w:eastAsia="仿宋_GB2312"/>
          <w:color w:val="000000"/>
          <w:sz w:val="32"/>
          <w:szCs w:val="32"/>
        </w:rPr>
      </w:pPr>
      <w:r>
        <w:rPr>
          <w:rFonts w:ascii="黑体" w:eastAsia="黑体" w:hint="eastAsia"/>
          <w:color w:val="000000"/>
          <w:sz w:val="32"/>
          <w:szCs w:val="32"/>
        </w:rPr>
        <w:t>四、财政拨款收入支出决算总体情况说明</w:t>
      </w:r>
    </w:p>
    <w:p w:rsidR="004F2F92" w:rsidRDefault="00411599" w:rsidP="0028391C">
      <w:pPr>
        <w:spacing w:line="54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2017年度本部门财政拨款收入总计484.69万元、财政拨款支出总计484.69万元。与2016年相比，财政拨款收入增加113.61万元，增长30.62%、财政拨款支出总计增加113.61万元，增长30.62%。</w:t>
      </w:r>
    </w:p>
    <w:p w:rsidR="004F2F92" w:rsidRPr="00D17439" w:rsidRDefault="00411599" w:rsidP="00C121C2">
      <w:pPr>
        <w:spacing w:line="550" w:lineRule="exact"/>
        <w:ind w:firstLineChars="200" w:firstLine="640"/>
        <w:rPr>
          <w:rFonts w:ascii="黑体" w:eastAsia="黑体" w:hAnsi="宋体" w:cs="宋体"/>
          <w:bCs/>
          <w:color w:val="000000"/>
          <w:sz w:val="32"/>
          <w:szCs w:val="32"/>
        </w:rPr>
      </w:pPr>
      <w:r w:rsidRPr="00D17439">
        <w:rPr>
          <w:rFonts w:ascii="黑体" w:eastAsia="黑体" w:hAnsi="宋体" w:cs="宋体" w:hint="eastAsia"/>
          <w:bCs/>
          <w:color w:val="000000"/>
          <w:sz w:val="32"/>
          <w:szCs w:val="32"/>
        </w:rPr>
        <w:lastRenderedPageBreak/>
        <w:t>五、一般公共预算财政拨款支出决算情况说明</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（一）一般公共预算财政拨款支出决算总体情况</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2017年度本部门一般公共预算财政拨款支出437.88万元，占本年支出合计的100%。与2016年相比，一般公共预算财政拨款增加172.68万元，增长65.11%。</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（二）一般公共预算财政拨款支出决算结构情况</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2017年本部门一般公共预算财政拨款支出437.88万元，主要用于以下方面:社会保障和就业支出28.46万元，占6.5%；医疗卫生支出10.67万元，占2.44%；城乡社区支出387.37万元，占88.46%；住房保障支出11.38万元，占2.6%。</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（三）一般公共预算财政拨款支出决算具体情况</w:t>
      </w:r>
    </w:p>
    <w:p w:rsidR="004F2F92" w:rsidRPr="0028391C" w:rsidRDefault="00411599" w:rsidP="0028391C">
      <w:pPr>
        <w:spacing w:line="550" w:lineRule="exact"/>
        <w:ind w:firstLineChars="200" w:firstLine="640"/>
        <w:rPr>
          <w:rFonts w:ascii="仿宋_GB2312" w:eastAsia="仿宋_GB2312" w:hint="eastAsia"/>
          <w:color w:val="000000"/>
          <w:sz w:val="32"/>
          <w:szCs w:val="32"/>
        </w:rPr>
      </w:pPr>
      <w:r w:rsidRPr="0028391C">
        <w:rPr>
          <w:rFonts w:ascii="仿宋_GB2312" w:eastAsia="仿宋_GB2312" w:hint="eastAsia"/>
          <w:bCs/>
          <w:sz w:val="32"/>
          <w:szCs w:val="32"/>
        </w:rPr>
        <w:t>1.社会保障和就业（类）行政事业单位离退休（款）机关事业单位基本养老保险缴费支出（项）: 支出决算为28.46万元，完成预算100%，决算数与预算数一致。</w:t>
      </w:r>
    </w:p>
    <w:p w:rsidR="004F2F92" w:rsidRPr="0028391C" w:rsidRDefault="00411599" w:rsidP="0028391C">
      <w:pPr>
        <w:spacing w:line="550" w:lineRule="exact"/>
        <w:ind w:firstLineChars="200" w:firstLine="640"/>
        <w:rPr>
          <w:rFonts w:ascii="仿宋_GB2312" w:eastAsia="仿宋_GB2312" w:hint="eastAsia"/>
          <w:color w:val="000000"/>
          <w:sz w:val="32"/>
          <w:szCs w:val="32"/>
        </w:rPr>
      </w:pPr>
      <w:r w:rsidRPr="0028391C">
        <w:rPr>
          <w:rFonts w:ascii="仿宋_GB2312" w:eastAsia="仿宋_GB2312" w:hint="eastAsia"/>
          <w:bCs/>
          <w:sz w:val="32"/>
          <w:szCs w:val="32"/>
        </w:rPr>
        <w:t>2.医疗卫生与计划生育（类）医疗保障（款）事业单位医疗（项）:支出决算为10.67万元，完成预算100%，决算数与预算数一致。</w:t>
      </w:r>
    </w:p>
    <w:p w:rsidR="004F2F92" w:rsidRPr="0028391C" w:rsidRDefault="00411599" w:rsidP="0028391C">
      <w:pPr>
        <w:spacing w:line="550" w:lineRule="exact"/>
        <w:ind w:firstLineChars="200" w:firstLine="640"/>
        <w:rPr>
          <w:rFonts w:ascii="仿宋_GB2312" w:eastAsia="仿宋_GB2312" w:hint="eastAsia"/>
          <w:bCs/>
          <w:sz w:val="32"/>
          <w:szCs w:val="32"/>
        </w:rPr>
      </w:pPr>
      <w:r w:rsidRPr="0028391C">
        <w:rPr>
          <w:rFonts w:ascii="仿宋_GB2312" w:eastAsia="仿宋_GB2312" w:hint="eastAsia"/>
          <w:bCs/>
          <w:sz w:val="32"/>
          <w:szCs w:val="32"/>
        </w:rPr>
        <w:t>3.城乡社区支出（类）医疗保障（款）城乡社区管理事务（项）:支出决算为387.37万元，完成预算89.22%，决算数小于预算数的主要原因是部分项目正在办理财务决算。</w:t>
      </w:r>
    </w:p>
    <w:p w:rsidR="004F2F92" w:rsidRDefault="00411599" w:rsidP="0028391C">
      <w:pPr>
        <w:spacing w:line="550" w:lineRule="exact"/>
        <w:ind w:firstLineChars="200" w:firstLine="640"/>
        <w:rPr>
          <w:rFonts w:ascii="仿宋_GB2312" w:eastAsia="仿宋_GB2312"/>
          <w:color w:val="000000"/>
          <w:sz w:val="32"/>
          <w:szCs w:val="32"/>
        </w:rPr>
      </w:pPr>
      <w:r w:rsidRPr="0028391C">
        <w:rPr>
          <w:rFonts w:ascii="仿宋_GB2312" w:eastAsia="仿宋_GB2312" w:hint="eastAsia"/>
          <w:bCs/>
          <w:sz w:val="32"/>
          <w:szCs w:val="32"/>
        </w:rPr>
        <w:t>4.住房保障支出（类）住房改革支出（款）住房公积金（项）:</w:t>
      </w:r>
      <w:r>
        <w:rPr>
          <w:rStyle w:val="a6"/>
          <w:rFonts w:ascii="仿宋_GB2312" w:eastAsia="仿宋_GB2312" w:hint="eastAsia"/>
          <w:b w:val="0"/>
          <w:color w:val="000000"/>
          <w:sz w:val="32"/>
          <w:szCs w:val="32"/>
        </w:rPr>
        <w:t>支出决算为11.38万元，完成预算100%，决算数与预算数一致。</w:t>
      </w:r>
    </w:p>
    <w:p w:rsidR="004F2F92" w:rsidRDefault="00411599" w:rsidP="00C121C2">
      <w:pPr>
        <w:spacing w:line="550" w:lineRule="exact"/>
        <w:ind w:firstLineChars="200" w:firstLine="640"/>
        <w:rPr>
          <w:rFonts w:ascii="黑体" w:eastAsia="黑体"/>
          <w:color w:val="000000"/>
          <w:sz w:val="32"/>
          <w:szCs w:val="32"/>
        </w:rPr>
      </w:pPr>
      <w:r>
        <w:rPr>
          <w:rFonts w:ascii="黑体" w:eastAsia="黑体" w:hint="eastAsia"/>
          <w:color w:val="000000"/>
          <w:sz w:val="32"/>
          <w:szCs w:val="32"/>
        </w:rPr>
        <w:t>六、一般公共预算财政拨款基本支出决算情况说明</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2017年度本部门一般公共预算财政拨款基本支出364.69万</w:t>
      </w:r>
      <w:r>
        <w:rPr>
          <w:rFonts w:ascii="仿宋_GB2312" w:eastAsia="仿宋_GB2312" w:hint="eastAsia"/>
          <w:color w:val="000000"/>
          <w:sz w:val="32"/>
          <w:szCs w:val="32"/>
        </w:rPr>
        <w:lastRenderedPageBreak/>
        <w:t>元，其中：</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人员经费293.46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Pr>
          <w:rFonts w:ascii="仿宋_GB2312" w:eastAsia="仿宋_GB2312" w:hint="eastAsia"/>
          <w:color w:val="000000"/>
          <w:sz w:val="32"/>
          <w:szCs w:val="32"/>
        </w:rPr>
        <w:br/>
        <w:t xml:space="preserve">　　公用经费71.23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rsidR="004F2F92" w:rsidRDefault="00411599" w:rsidP="00C121C2">
      <w:pPr>
        <w:spacing w:line="550" w:lineRule="exact"/>
        <w:ind w:firstLineChars="200" w:firstLine="640"/>
        <w:rPr>
          <w:rFonts w:ascii="黑体" w:eastAsia="黑体"/>
          <w:color w:val="000000"/>
          <w:sz w:val="32"/>
          <w:szCs w:val="32"/>
        </w:rPr>
      </w:pPr>
      <w:r>
        <w:rPr>
          <w:rFonts w:ascii="黑体" w:eastAsia="黑体" w:hint="eastAsia"/>
          <w:color w:val="000000"/>
          <w:sz w:val="32"/>
          <w:szCs w:val="32"/>
        </w:rPr>
        <w:t>七、“三公”经费财政拨款支出决算情况说明</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（一）“三公”经费财政拨款支出决算总体情况说明</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2017年本部门“三公”经费财政拨款支出决算为3.83万元，完成预算63，83%，决算数小于预算数的主要原因是严格执行财经纪律，从严控制“三公经费支出”。</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（二）“三公”经费财政拨款支出决算具体情况说明</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2017年度本部门“三公”经费财政拨款支出决算中，因公出国（境）费支出决算0万元，占0%；公务用车购置及运行维护费支出决算3.73万元，占97.39%；公务接待费支出决算0.1万元，占2.61%。具体情况如下：</w:t>
      </w:r>
    </w:p>
    <w:p w:rsidR="004F2F92" w:rsidRDefault="00411599" w:rsidP="00C121C2">
      <w:pPr>
        <w:spacing w:line="55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1.因公出国（境）经费支出</w:t>
      </w:r>
      <w:r>
        <w:rPr>
          <w:rFonts w:ascii="仿宋_GB2312" w:eastAsia="仿宋_GB2312" w:hint="eastAsia"/>
          <w:color w:val="000000"/>
          <w:sz w:val="32"/>
          <w:szCs w:val="32"/>
        </w:rPr>
        <w:t>0万元。全年安排因公出国（境）</w:t>
      </w:r>
      <w:r>
        <w:rPr>
          <w:rFonts w:ascii="仿宋_GB2312" w:eastAsia="仿宋_GB2312" w:hint="eastAsia"/>
          <w:color w:val="000000"/>
          <w:sz w:val="32"/>
          <w:szCs w:val="32"/>
        </w:rPr>
        <w:lastRenderedPageBreak/>
        <w:t>团组0次，出国（境）0人。</w:t>
      </w:r>
    </w:p>
    <w:p w:rsidR="004F2F92" w:rsidRDefault="00411599" w:rsidP="00C121C2">
      <w:pPr>
        <w:spacing w:line="550" w:lineRule="exact"/>
        <w:ind w:firstLineChars="200" w:firstLine="640"/>
        <w:rPr>
          <w:rFonts w:ascii="仿宋_GB2312" w:eastAsia="仿宋_GB2312"/>
          <w:b/>
          <w:color w:val="000000"/>
          <w:sz w:val="32"/>
          <w:szCs w:val="32"/>
        </w:rPr>
      </w:pPr>
      <w:r>
        <w:rPr>
          <w:rFonts w:ascii="仿宋_GB2312" w:eastAsia="仿宋_GB2312" w:hint="eastAsia"/>
          <w:color w:val="000000"/>
          <w:sz w:val="32"/>
          <w:szCs w:val="32"/>
        </w:rPr>
        <w:t>因公出国（境）支出决算比2016年一致。</w:t>
      </w:r>
    </w:p>
    <w:p w:rsidR="004F2F92" w:rsidRDefault="00411599" w:rsidP="00C121C2">
      <w:pPr>
        <w:spacing w:line="55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2.公务用车购置及运行维护费支出</w:t>
      </w:r>
      <w:r>
        <w:rPr>
          <w:rFonts w:ascii="仿宋_GB2312" w:eastAsia="仿宋_GB2312" w:hint="eastAsia"/>
          <w:color w:val="000000"/>
          <w:sz w:val="32"/>
          <w:szCs w:val="32"/>
        </w:rPr>
        <w:t>3.73万元。其中：</w:t>
      </w:r>
    </w:p>
    <w:p w:rsidR="004F2F92" w:rsidRDefault="00411599" w:rsidP="00C121C2">
      <w:pPr>
        <w:spacing w:line="550" w:lineRule="exact"/>
        <w:ind w:firstLineChars="200" w:firstLine="643"/>
        <w:rPr>
          <w:rFonts w:ascii="仿宋_GB2312" w:eastAsia="仿宋_GB2312"/>
          <w:b/>
          <w:color w:val="000000"/>
          <w:sz w:val="32"/>
          <w:szCs w:val="32"/>
        </w:rPr>
      </w:pPr>
      <w:r>
        <w:rPr>
          <w:rFonts w:ascii="仿宋_GB2312" w:eastAsia="仿宋_GB2312" w:hint="eastAsia"/>
          <w:b/>
          <w:color w:val="000000"/>
          <w:sz w:val="32"/>
          <w:szCs w:val="32"/>
        </w:rPr>
        <w:t>公务用车购置支出</w:t>
      </w:r>
      <w:r>
        <w:rPr>
          <w:rFonts w:ascii="仿宋_GB2312" w:eastAsia="仿宋_GB2312" w:hint="eastAsia"/>
          <w:color w:val="000000"/>
          <w:sz w:val="32"/>
          <w:szCs w:val="32"/>
        </w:rPr>
        <w:t>0万元。全年按规定更新购置公务用车0辆，其中：轿车0辆、金额0万元，越野车0辆、金额0万元，载客汽车0辆、金额0万元。截至2017年12月底，单位共有公务用车2辆，其中：轿车2辆、越野车0辆、载客汽车0辆。</w:t>
      </w:r>
    </w:p>
    <w:p w:rsidR="004F2F92" w:rsidRDefault="00411599" w:rsidP="00C121C2">
      <w:pPr>
        <w:spacing w:line="55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公务用车运行维护费支出</w:t>
      </w:r>
      <w:r>
        <w:rPr>
          <w:rFonts w:ascii="仿宋_GB2312" w:eastAsia="仿宋_GB2312" w:hint="eastAsia"/>
          <w:color w:val="000000"/>
          <w:sz w:val="32"/>
          <w:szCs w:val="32"/>
        </w:rPr>
        <w:t>3.73万元。主要用于房产市场监管以及其他公务活动等所需的公务用车燃料费、维修费、过路过桥费、保险费等支出。</w:t>
      </w:r>
    </w:p>
    <w:p w:rsidR="004F2F92" w:rsidRDefault="00411599" w:rsidP="00C121C2">
      <w:pPr>
        <w:spacing w:line="550" w:lineRule="exact"/>
        <w:ind w:firstLineChars="200" w:firstLine="640"/>
        <w:rPr>
          <w:rFonts w:ascii="仿宋_GB2312" w:eastAsia="仿宋_GB2312"/>
          <w:b/>
          <w:color w:val="000000"/>
          <w:sz w:val="32"/>
          <w:szCs w:val="32"/>
        </w:rPr>
      </w:pPr>
      <w:r>
        <w:rPr>
          <w:rFonts w:ascii="仿宋_GB2312" w:eastAsia="仿宋_GB2312" w:hint="eastAsia"/>
          <w:color w:val="000000"/>
          <w:sz w:val="32"/>
          <w:szCs w:val="32"/>
        </w:rPr>
        <w:t>公务用车购置及运行维护费支出决算比2016年减少6.75万元，下降64.41%。主要原因是严格执行中央八项规定和财经纪律，从严加强公车管理。</w:t>
      </w:r>
    </w:p>
    <w:p w:rsidR="004F2F92" w:rsidRDefault="00411599" w:rsidP="00C121C2">
      <w:pPr>
        <w:spacing w:line="55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3.公务接待费支出</w:t>
      </w:r>
      <w:r>
        <w:rPr>
          <w:rFonts w:ascii="仿宋_GB2312" w:eastAsia="仿宋_GB2312" w:hint="eastAsia"/>
          <w:color w:val="000000"/>
          <w:sz w:val="32"/>
          <w:szCs w:val="32"/>
        </w:rPr>
        <w:t>0.1万元。主要用于执行公务、开展业务活动开支的交通费、住宿费、用餐费等。国内公务接待4批次，15人次（不包括陪同人员），共计支出0.1万元，具体内容包括：本单位各类公务接待。其中：外事接待0批次，0人，共计支出0万元。</w:t>
      </w:r>
    </w:p>
    <w:p w:rsidR="004F2F92" w:rsidRDefault="00411599" w:rsidP="00C121C2">
      <w:pPr>
        <w:spacing w:line="550" w:lineRule="exact"/>
        <w:ind w:firstLineChars="200" w:firstLine="640"/>
        <w:rPr>
          <w:rFonts w:ascii="仿宋_GB2312" w:eastAsia="仿宋_GB2312"/>
          <w:b/>
          <w:color w:val="000000"/>
          <w:sz w:val="32"/>
          <w:szCs w:val="32"/>
        </w:rPr>
      </w:pPr>
      <w:r>
        <w:rPr>
          <w:rFonts w:ascii="仿宋_GB2312" w:eastAsia="仿宋_GB2312" w:hint="eastAsia"/>
          <w:color w:val="000000"/>
          <w:sz w:val="32"/>
          <w:szCs w:val="32"/>
        </w:rPr>
        <w:t>公务接待费支出决算比2016年减少2.9万元，下降96.67%。主要原因是严格执行财经经律，从严控制接待支出。</w:t>
      </w:r>
    </w:p>
    <w:p w:rsidR="004F2F92" w:rsidRDefault="00411599" w:rsidP="00C121C2">
      <w:pPr>
        <w:spacing w:line="550" w:lineRule="exact"/>
        <w:ind w:firstLineChars="200" w:firstLine="640"/>
        <w:rPr>
          <w:rFonts w:ascii="黑体" w:eastAsia="黑体"/>
          <w:color w:val="000000"/>
          <w:sz w:val="32"/>
          <w:szCs w:val="32"/>
        </w:rPr>
      </w:pPr>
      <w:r>
        <w:rPr>
          <w:rFonts w:ascii="黑体" w:eastAsia="黑体" w:hint="eastAsia"/>
          <w:color w:val="000000"/>
          <w:sz w:val="32"/>
          <w:szCs w:val="32"/>
        </w:rPr>
        <w:t>八、政府性基金预算支出决算情况说明</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2017年度本部门政府性基金预算拨款支出0万元。</w:t>
      </w:r>
    </w:p>
    <w:p w:rsidR="004F2F92" w:rsidRDefault="00411599" w:rsidP="00C121C2">
      <w:pPr>
        <w:spacing w:line="550" w:lineRule="exact"/>
        <w:ind w:firstLineChars="200" w:firstLine="640"/>
        <w:rPr>
          <w:rFonts w:ascii="黑体" w:eastAsia="黑体"/>
          <w:color w:val="000000"/>
          <w:sz w:val="32"/>
          <w:szCs w:val="32"/>
        </w:rPr>
      </w:pPr>
      <w:r>
        <w:rPr>
          <w:rFonts w:ascii="黑体" w:eastAsia="黑体" w:hint="eastAsia"/>
          <w:color w:val="000000"/>
          <w:sz w:val="32"/>
          <w:szCs w:val="32"/>
        </w:rPr>
        <w:t>九、国有资本经营预算支出决算情况说明</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2017年度本部门国有资本经营预算拨款支出0万元。</w:t>
      </w:r>
    </w:p>
    <w:p w:rsidR="004F2F92" w:rsidRDefault="00411599" w:rsidP="00C121C2">
      <w:pPr>
        <w:spacing w:line="550" w:lineRule="exact"/>
        <w:ind w:firstLineChars="200" w:firstLine="640"/>
        <w:rPr>
          <w:rFonts w:ascii="黑体" w:eastAsia="黑体"/>
          <w:color w:val="000000"/>
          <w:sz w:val="32"/>
          <w:szCs w:val="32"/>
        </w:rPr>
      </w:pPr>
      <w:r>
        <w:rPr>
          <w:rFonts w:ascii="黑体" w:eastAsia="黑体" w:hint="eastAsia"/>
          <w:color w:val="000000"/>
          <w:sz w:val="32"/>
          <w:szCs w:val="32"/>
        </w:rPr>
        <w:lastRenderedPageBreak/>
        <w:t>十、其他重要事项的情况说明</w:t>
      </w:r>
    </w:p>
    <w:p w:rsidR="004F2F92" w:rsidRPr="00D17439" w:rsidRDefault="00411599" w:rsidP="00D17439">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（一）机关运行经费支出情况</w:t>
      </w:r>
    </w:p>
    <w:p w:rsidR="004F2F92" w:rsidRDefault="00411599" w:rsidP="00C121C2">
      <w:pPr>
        <w:spacing w:line="55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2017年度，本部门机关运行经费支出0万元，与2016年决算数持平。</w:t>
      </w:r>
    </w:p>
    <w:p w:rsidR="004F2F92" w:rsidRPr="00D17439" w:rsidRDefault="00411599" w:rsidP="00C121C2">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（二）政府采购支出情况</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年度，本部门政府采购支出总额3.57万元，其中：政府采购货物支出3.57万元、政府采购工程支出0万元、政府采购服务支出0万元。主要用于办公设备采购。授予中小企业合同金额3.57万元，占政府采购支出总额的100%，其中：授予小微企业合同金额3.57万元，占政府采购支出总额的100%。</w:t>
      </w:r>
    </w:p>
    <w:p w:rsidR="004F2F92" w:rsidRPr="00D17439" w:rsidRDefault="00411599" w:rsidP="00C121C2">
      <w:pPr>
        <w:autoSpaceDE w:val="0"/>
        <w:autoSpaceDN w:val="0"/>
        <w:adjustRightInd w:val="0"/>
        <w:spacing w:line="550" w:lineRule="exact"/>
        <w:ind w:firstLineChars="200" w:firstLine="643"/>
        <w:rPr>
          <w:rFonts w:ascii="楷体_GB2312" w:eastAsia="楷体_GB2312"/>
          <w:b/>
          <w:color w:val="000000"/>
          <w:sz w:val="32"/>
          <w:szCs w:val="32"/>
        </w:rPr>
      </w:pPr>
      <w:r w:rsidRPr="00D17439">
        <w:rPr>
          <w:rFonts w:ascii="楷体_GB2312" w:eastAsia="楷体_GB2312" w:hint="eastAsia"/>
          <w:b/>
          <w:color w:val="000000"/>
          <w:sz w:val="32"/>
          <w:szCs w:val="32"/>
        </w:rPr>
        <w:t>（三）国有资产占有使用情况</w:t>
      </w:r>
    </w:p>
    <w:p w:rsidR="004F2F92" w:rsidRDefault="00411599" w:rsidP="00C121C2">
      <w:pPr>
        <w:autoSpaceDE w:val="0"/>
        <w:autoSpaceDN w:val="0"/>
        <w:adjustRightInd w:val="0"/>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截至2017年12月31日，本部门共有车辆2辆，其中：部级领导干部用车0辆、一般公务用车2辆、一般执法执勤用车0辆、特种专业技术用车0辆、其他用车0辆；单价50万元以上通用设备0台（套），单价100万元以上专用设备0台（套）。</w:t>
      </w:r>
    </w:p>
    <w:p w:rsidR="004F2F92" w:rsidRPr="00D17439" w:rsidRDefault="00411599" w:rsidP="00C121C2">
      <w:pPr>
        <w:autoSpaceDE w:val="0"/>
        <w:autoSpaceDN w:val="0"/>
        <w:adjustRightInd w:val="0"/>
        <w:spacing w:line="550" w:lineRule="exact"/>
        <w:ind w:firstLineChars="200" w:firstLine="643"/>
        <w:rPr>
          <w:rFonts w:ascii="楷体_GB2312" w:eastAsia="楷体_GB2312" w:hint="eastAsia"/>
          <w:b/>
          <w:color w:val="000000"/>
          <w:sz w:val="32"/>
          <w:szCs w:val="32"/>
        </w:rPr>
      </w:pPr>
      <w:r w:rsidRPr="00D17439">
        <w:rPr>
          <w:rFonts w:ascii="楷体_GB2312" w:eastAsia="楷体_GB2312" w:hint="eastAsia"/>
          <w:b/>
          <w:color w:val="000000"/>
          <w:sz w:val="32"/>
          <w:szCs w:val="32"/>
        </w:rPr>
        <w:t>（四）预算绩效情况</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1.绩效目标管理情况。</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按照预算绩效管理要求，本部门未对2017年一般公共预算项目支出开展了绩效目标管理。</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2.部门整体支出绩效自评开展情况。</w:t>
      </w:r>
    </w:p>
    <w:p w:rsidR="004F2F92" w:rsidRDefault="00411599" w:rsidP="00C121C2">
      <w:pPr>
        <w:spacing w:line="55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按照预算绩效管理要求，本部门未对2017年整体支出开展绩效自评。</w:t>
      </w:r>
    </w:p>
    <w:p w:rsidR="004F2F92" w:rsidRDefault="004F2F92" w:rsidP="00C121C2">
      <w:pPr>
        <w:spacing w:line="600" w:lineRule="atLeast"/>
        <w:ind w:firstLineChars="200" w:firstLine="643"/>
        <w:rPr>
          <w:rFonts w:ascii="仿宋_GB2312" w:eastAsia="仿宋_GB2312" w:hint="eastAsia"/>
          <w:b/>
          <w:color w:val="000000"/>
          <w:sz w:val="32"/>
          <w:szCs w:val="32"/>
        </w:rPr>
      </w:pPr>
    </w:p>
    <w:p w:rsidR="0028391C" w:rsidRDefault="0028391C" w:rsidP="00C121C2">
      <w:pPr>
        <w:spacing w:line="600" w:lineRule="atLeast"/>
        <w:ind w:firstLineChars="200" w:firstLine="643"/>
        <w:rPr>
          <w:rFonts w:ascii="仿宋_GB2312" w:eastAsia="仿宋_GB2312"/>
          <w:b/>
          <w:color w:val="000000"/>
          <w:sz w:val="32"/>
          <w:szCs w:val="32"/>
        </w:rPr>
      </w:pPr>
    </w:p>
    <w:p w:rsidR="004F2F92" w:rsidRDefault="00411599">
      <w:pPr>
        <w:jc w:val="center"/>
        <w:rPr>
          <w:rFonts w:ascii="黑体" w:eastAsia="黑体" w:hAnsi="黑体"/>
          <w:color w:val="000000"/>
          <w:sz w:val="32"/>
          <w:szCs w:val="32"/>
        </w:rPr>
      </w:pPr>
      <w:r>
        <w:rPr>
          <w:rFonts w:ascii="黑体" w:eastAsia="黑体" w:hAnsi="黑体" w:hint="eastAsia"/>
          <w:color w:val="000000"/>
          <w:sz w:val="32"/>
          <w:szCs w:val="32"/>
        </w:rPr>
        <w:lastRenderedPageBreak/>
        <w:t>2017年部门整体支出绩效评价得分表</w:t>
      </w:r>
    </w:p>
    <w:tbl>
      <w:tblPr>
        <w:tblW w:w="9223" w:type="dxa"/>
        <w:jc w:val="center"/>
        <w:tblInd w:w="-184" w:type="dxa"/>
        <w:tblLayout w:type="fixed"/>
        <w:tblLook w:val="04A0"/>
      </w:tblPr>
      <w:tblGrid>
        <w:gridCol w:w="1723"/>
        <w:gridCol w:w="2296"/>
        <w:gridCol w:w="3443"/>
        <w:gridCol w:w="1761"/>
      </w:tblGrid>
      <w:tr w:rsidR="004F2F92" w:rsidTr="00A96CFE">
        <w:trPr>
          <w:trHeight w:val="247"/>
          <w:jc w:val="center"/>
        </w:trPr>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rsidR="004F2F92" w:rsidRDefault="00411599">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一级指标</w:t>
            </w:r>
          </w:p>
        </w:tc>
        <w:tc>
          <w:tcPr>
            <w:tcW w:w="2296" w:type="dxa"/>
            <w:tcBorders>
              <w:top w:val="single" w:sz="4" w:space="0" w:color="auto"/>
              <w:left w:val="nil"/>
              <w:bottom w:val="single" w:sz="4" w:space="0" w:color="auto"/>
              <w:right w:val="single" w:sz="4" w:space="0" w:color="auto"/>
            </w:tcBorders>
            <w:shd w:val="clear" w:color="auto" w:fill="auto"/>
            <w:vAlign w:val="center"/>
          </w:tcPr>
          <w:p w:rsidR="004F2F92" w:rsidRDefault="00411599">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二级指标</w:t>
            </w:r>
          </w:p>
        </w:tc>
        <w:tc>
          <w:tcPr>
            <w:tcW w:w="3443" w:type="dxa"/>
            <w:tcBorders>
              <w:top w:val="single" w:sz="4" w:space="0" w:color="auto"/>
              <w:left w:val="nil"/>
              <w:bottom w:val="single" w:sz="4" w:space="0" w:color="auto"/>
              <w:right w:val="single" w:sz="4" w:space="0" w:color="auto"/>
            </w:tcBorders>
            <w:shd w:val="clear" w:color="auto" w:fill="auto"/>
            <w:vAlign w:val="center"/>
          </w:tcPr>
          <w:p w:rsidR="004F2F92" w:rsidRDefault="00411599">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三级指标</w:t>
            </w:r>
          </w:p>
        </w:tc>
        <w:tc>
          <w:tcPr>
            <w:tcW w:w="1761" w:type="dxa"/>
            <w:tcBorders>
              <w:top w:val="single" w:sz="4" w:space="0" w:color="auto"/>
              <w:left w:val="nil"/>
              <w:bottom w:val="single" w:sz="4" w:space="0" w:color="auto"/>
              <w:right w:val="single" w:sz="4" w:space="0" w:color="auto"/>
            </w:tcBorders>
          </w:tcPr>
          <w:p w:rsidR="004F2F92" w:rsidRDefault="00411599">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得分</w:t>
            </w:r>
          </w:p>
        </w:tc>
      </w:tr>
      <w:tr w:rsidR="004F2F92" w:rsidTr="00A96CFE">
        <w:trPr>
          <w:trHeight w:val="535"/>
          <w:jc w:val="center"/>
        </w:trPr>
        <w:tc>
          <w:tcPr>
            <w:tcW w:w="1723" w:type="dxa"/>
            <w:vMerge w:val="restart"/>
            <w:tcBorders>
              <w:top w:val="nil"/>
              <w:left w:val="single" w:sz="4" w:space="0" w:color="auto"/>
              <w:right w:val="single" w:sz="4" w:space="0" w:color="auto"/>
            </w:tcBorders>
            <w:shd w:val="clear" w:color="auto" w:fill="auto"/>
            <w:vAlign w:val="center"/>
          </w:tcPr>
          <w:p w:rsidR="004F2F92" w:rsidRDefault="00411599">
            <w:pPr>
              <w:widowControl/>
              <w:jc w:val="center"/>
              <w:rPr>
                <w:rFonts w:ascii="宋体" w:hAnsi="宋体" w:cs="宋体"/>
                <w:color w:val="000000"/>
                <w:kern w:val="0"/>
                <w:sz w:val="20"/>
                <w:szCs w:val="20"/>
              </w:rPr>
            </w:pPr>
            <w:r>
              <w:rPr>
                <w:rFonts w:ascii="宋体" w:hAnsi="宋体" w:cs="宋体" w:hint="eastAsia"/>
                <w:color w:val="000000"/>
                <w:kern w:val="0"/>
                <w:sz w:val="20"/>
                <w:szCs w:val="20"/>
              </w:rPr>
              <w:t>部门决策（25分）</w:t>
            </w: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center"/>
              <w:rPr>
                <w:rFonts w:ascii="宋体" w:hAnsi="宋体" w:cs="宋体"/>
                <w:color w:val="000000"/>
                <w:kern w:val="0"/>
                <w:sz w:val="20"/>
                <w:szCs w:val="20"/>
              </w:rPr>
            </w:pPr>
            <w:r>
              <w:rPr>
                <w:rFonts w:ascii="宋体" w:hAnsi="宋体" w:cs="宋体" w:hint="eastAsia"/>
                <w:color w:val="000000"/>
                <w:kern w:val="0"/>
                <w:sz w:val="20"/>
                <w:szCs w:val="20"/>
              </w:rPr>
              <w:t>目标任务（15分）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相关性（5分）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425"/>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明确性（5分）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432"/>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合理性（5分）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77"/>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center"/>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预算编制（10分）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测算依据（5分）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38"/>
          <w:jc w:val="center"/>
        </w:trPr>
        <w:tc>
          <w:tcPr>
            <w:tcW w:w="1723" w:type="dxa"/>
            <w:vMerge/>
            <w:tcBorders>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目标管理（5分）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491"/>
          <w:jc w:val="center"/>
        </w:trPr>
        <w:tc>
          <w:tcPr>
            <w:tcW w:w="1723" w:type="dxa"/>
            <w:vMerge w:val="restart"/>
            <w:tcBorders>
              <w:top w:val="nil"/>
              <w:left w:val="single" w:sz="4" w:space="0" w:color="auto"/>
              <w:right w:val="single" w:sz="4" w:space="0" w:color="auto"/>
            </w:tcBorders>
            <w:shd w:val="clear" w:color="auto" w:fill="auto"/>
            <w:vAlign w:val="center"/>
          </w:tcPr>
          <w:p w:rsidR="004F2F92" w:rsidRDefault="00411599">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综合管理（30分）</w:t>
            </w:r>
          </w:p>
        </w:tc>
        <w:tc>
          <w:tcPr>
            <w:tcW w:w="2296" w:type="dxa"/>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中期评估（2分）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执行中期评估（2分）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392"/>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绩效监控（5分）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预算执行进度监控（2分）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81"/>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绩效目标动态监控（3分）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42"/>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非税收入执收情况（2分）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非税收入征收情况（1分）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334"/>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非税收入上缴情况（1分）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95"/>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资产管理（6分）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资产管理信息化情况（2分）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42"/>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行政事业单位资产报告情况（2分）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363"/>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center"/>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资产管理与预算管理相结合（2分）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80"/>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center"/>
              <w:rPr>
                <w:rFonts w:ascii="宋体" w:hAnsi="宋体" w:cs="宋体"/>
                <w:color w:val="000000"/>
                <w:kern w:val="0"/>
                <w:sz w:val="20"/>
                <w:szCs w:val="20"/>
              </w:rPr>
            </w:pPr>
          </w:p>
        </w:tc>
        <w:tc>
          <w:tcPr>
            <w:tcW w:w="2296"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内控制度管理（2分）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内部控制度健全完整（2分）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27"/>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信息公开（8分）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预算公开（3分）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03"/>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决算公开（3分）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95"/>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绩效信息公开（2分）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417"/>
          <w:jc w:val="center"/>
        </w:trPr>
        <w:tc>
          <w:tcPr>
            <w:tcW w:w="1723" w:type="dxa"/>
            <w:vMerge/>
            <w:tcBorders>
              <w:left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绩效评价（5分）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绩效评价开展（2分）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131"/>
          <w:jc w:val="center"/>
        </w:trPr>
        <w:tc>
          <w:tcPr>
            <w:tcW w:w="1723" w:type="dxa"/>
            <w:vMerge/>
            <w:tcBorders>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评价结果应用（3分）</w:t>
            </w:r>
          </w:p>
        </w:tc>
        <w:tc>
          <w:tcPr>
            <w:tcW w:w="1761" w:type="dxa"/>
            <w:tcBorders>
              <w:top w:val="nil"/>
              <w:left w:val="nil"/>
              <w:bottom w:val="single" w:sz="4" w:space="0" w:color="auto"/>
              <w:right w:val="single" w:sz="4" w:space="0" w:color="auto"/>
            </w:tcBorders>
          </w:tcPr>
          <w:p w:rsidR="004F2F92" w:rsidRDefault="004F2F92">
            <w:pPr>
              <w:widowControl/>
              <w:jc w:val="left"/>
              <w:rPr>
                <w:rFonts w:ascii="宋体" w:hAnsi="宋体" w:cs="宋体"/>
                <w:color w:val="000000"/>
                <w:kern w:val="0"/>
                <w:sz w:val="20"/>
                <w:szCs w:val="20"/>
              </w:rPr>
            </w:pPr>
          </w:p>
        </w:tc>
      </w:tr>
      <w:tr w:rsidR="004F2F92" w:rsidTr="00A96CFE">
        <w:trPr>
          <w:trHeight w:val="238"/>
          <w:jc w:val="center"/>
        </w:trPr>
        <w:tc>
          <w:tcPr>
            <w:tcW w:w="1723" w:type="dxa"/>
            <w:vMerge w:val="restart"/>
            <w:tcBorders>
              <w:top w:val="nil"/>
              <w:left w:val="single" w:sz="4" w:space="0" w:color="auto"/>
              <w:right w:val="single" w:sz="4" w:space="0" w:color="auto"/>
            </w:tcBorders>
            <w:shd w:val="clear" w:color="auto" w:fill="auto"/>
            <w:vAlign w:val="center"/>
          </w:tcPr>
          <w:p w:rsidR="004F2F92" w:rsidRDefault="00411599">
            <w:pPr>
              <w:widowControl/>
              <w:jc w:val="center"/>
              <w:rPr>
                <w:rFonts w:ascii="宋体" w:hAnsi="宋体" w:cs="宋体"/>
                <w:color w:val="000000"/>
                <w:kern w:val="0"/>
                <w:sz w:val="20"/>
                <w:szCs w:val="20"/>
              </w:rPr>
            </w:pPr>
            <w:r>
              <w:rPr>
                <w:rFonts w:ascii="宋体" w:hAnsi="宋体" w:cs="宋体" w:hint="eastAsia"/>
                <w:color w:val="000000"/>
                <w:kern w:val="0"/>
                <w:sz w:val="20"/>
                <w:szCs w:val="20"/>
              </w:rPr>
              <w:t>部门绩效情况（45分）</w:t>
            </w: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履职成效（20分）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部门特性指标</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185"/>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F2F92" w:rsidP="00A96CFE">
            <w:pPr>
              <w:widowControl/>
              <w:jc w:val="left"/>
              <w:rPr>
                <w:rFonts w:ascii="宋体" w:hAnsi="宋体" w:cs="宋体"/>
                <w:color w:val="000000"/>
                <w:kern w:val="0"/>
                <w:sz w:val="20"/>
                <w:szCs w:val="20"/>
              </w:rPr>
            </w:pP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247"/>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F2F92" w:rsidP="00A96CFE">
            <w:pPr>
              <w:widowControl/>
              <w:jc w:val="left"/>
              <w:rPr>
                <w:rFonts w:ascii="宋体" w:hAnsi="宋体" w:cs="宋体"/>
                <w:color w:val="000000"/>
                <w:kern w:val="0"/>
                <w:sz w:val="20"/>
                <w:szCs w:val="20"/>
              </w:rPr>
            </w:pP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247"/>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F2F92" w:rsidP="00A96CFE">
            <w:pPr>
              <w:widowControl/>
              <w:jc w:val="left"/>
              <w:rPr>
                <w:rFonts w:ascii="宋体" w:hAnsi="宋体" w:cs="宋体"/>
                <w:color w:val="000000"/>
                <w:kern w:val="0"/>
                <w:sz w:val="20"/>
                <w:szCs w:val="20"/>
              </w:rPr>
            </w:pP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162"/>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val="restart"/>
            <w:tcBorders>
              <w:top w:val="nil"/>
              <w:left w:val="single" w:sz="4" w:space="0" w:color="auto"/>
              <w:bottom w:val="single" w:sz="4" w:space="0" w:color="auto"/>
              <w:right w:val="single" w:sz="4" w:space="0" w:color="auto"/>
            </w:tcBorders>
            <w:shd w:val="clear" w:color="auto" w:fill="auto"/>
            <w:vAlign w:val="center"/>
          </w:tcPr>
          <w:p w:rsidR="004F2F92" w:rsidRDefault="00411599">
            <w:pPr>
              <w:widowControl/>
              <w:jc w:val="left"/>
              <w:rPr>
                <w:rFonts w:ascii="宋体" w:hAnsi="宋体" w:cs="宋体"/>
                <w:color w:val="000000"/>
                <w:kern w:val="0"/>
                <w:sz w:val="20"/>
                <w:szCs w:val="20"/>
              </w:rPr>
            </w:pPr>
            <w:r>
              <w:rPr>
                <w:rFonts w:ascii="宋体" w:hAnsi="宋体" w:cs="宋体" w:hint="eastAsia"/>
                <w:color w:val="000000"/>
                <w:kern w:val="0"/>
                <w:sz w:val="20"/>
                <w:szCs w:val="20"/>
              </w:rPr>
              <w:t>可持续发展能力（15分）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重点改革（重点工作）完成情况（5分）</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329"/>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科技（制度、方法、机制等）创新（5分）</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396"/>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tcBorders>
              <w:top w:val="nil"/>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人才培养（5分）</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444"/>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val="restart"/>
            <w:tcBorders>
              <w:top w:val="nil"/>
              <w:left w:val="single" w:sz="4" w:space="0" w:color="auto"/>
              <w:right w:val="single" w:sz="4" w:space="0" w:color="auto"/>
            </w:tcBorders>
            <w:shd w:val="clear" w:color="auto" w:fill="auto"/>
            <w:vAlign w:val="center"/>
          </w:tcPr>
          <w:p w:rsidR="004F2F92" w:rsidRDefault="00411599">
            <w:pPr>
              <w:widowControl/>
              <w:jc w:val="center"/>
              <w:rPr>
                <w:rFonts w:ascii="宋体" w:hAnsi="宋体" w:cs="宋体"/>
                <w:color w:val="000000"/>
                <w:kern w:val="0"/>
                <w:sz w:val="20"/>
                <w:szCs w:val="20"/>
              </w:rPr>
            </w:pPr>
            <w:r>
              <w:rPr>
                <w:rFonts w:ascii="宋体" w:hAnsi="宋体" w:cs="宋体" w:hint="eastAsia"/>
                <w:color w:val="000000"/>
                <w:kern w:val="0"/>
                <w:sz w:val="20"/>
                <w:szCs w:val="20"/>
              </w:rPr>
              <w:t>满意度（10分）</w:t>
            </w: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协作部门满意度（3分）</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407"/>
          <w:jc w:val="center"/>
        </w:trPr>
        <w:tc>
          <w:tcPr>
            <w:tcW w:w="1723"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2296" w:type="dxa"/>
            <w:vMerge/>
            <w:tcBorders>
              <w:left w:val="single" w:sz="4" w:space="0" w:color="auto"/>
              <w:right w:val="single" w:sz="4" w:space="0" w:color="auto"/>
            </w:tcBorders>
            <w:shd w:val="clear" w:color="auto" w:fill="auto"/>
            <w:vAlign w:val="center"/>
          </w:tcPr>
          <w:p w:rsidR="004F2F92" w:rsidRDefault="004F2F92">
            <w:pPr>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管理对象满意度（3分）</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4F2F92" w:rsidTr="00A96CFE">
        <w:trPr>
          <w:trHeight w:val="423"/>
          <w:jc w:val="center"/>
        </w:trPr>
        <w:tc>
          <w:tcPr>
            <w:tcW w:w="1723" w:type="dxa"/>
            <w:vMerge/>
            <w:tcBorders>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2296" w:type="dxa"/>
            <w:vMerge/>
            <w:tcBorders>
              <w:left w:val="single" w:sz="4" w:space="0" w:color="auto"/>
              <w:bottom w:val="single" w:sz="4" w:space="0" w:color="auto"/>
              <w:right w:val="single" w:sz="4" w:space="0" w:color="auto"/>
            </w:tcBorders>
            <w:shd w:val="clear" w:color="auto" w:fill="auto"/>
            <w:vAlign w:val="center"/>
          </w:tcPr>
          <w:p w:rsidR="004F2F92" w:rsidRDefault="004F2F9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4F2F92" w:rsidRDefault="00411599" w:rsidP="00A96CFE">
            <w:pPr>
              <w:widowControl/>
              <w:jc w:val="left"/>
              <w:rPr>
                <w:rFonts w:ascii="宋体" w:hAnsi="宋体" w:cs="宋体"/>
                <w:color w:val="000000"/>
                <w:kern w:val="0"/>
                <w:sz w:val="20"/>
                <w:szCs w:val="20"/>
              </w:rPr>
            </w:pPr>
            <w:r>
              <w:rPr>
                <w:rFonts w:ascii="宋体" w:hAnsi="宋体" w:cs="宋体" w:hint="eastAsia"/>
                <w:color w:val="000000"/>
                <w:kern w:val="0"/>
                <w:sz w:val="20"/>
                <w:szCs w:val="20"/>
              </w:rPr>
              <w:t>社会公众满意度（4分）</w:t>
            </w:r>
          </w:p>
        </w:tc>
        <w:tc>
          <w:tcPr>
            <w:tcW w:w="1761" w:type="dxa"/>
            <w:tcBorders>
              <w:top w:val="nil"/>
              <w:left w:val="nil"/>
              <w:bottom w:val="single" w:sz="4" w:space="0" w:color="auto"/>
              <w:right w:val="single" w:sz="4" w:space="0" w:color="auto"/>
            </w:tcBorders>
          </w:tcPr>
          <w:p w:rsidR="004F2F92" w:rsidRDefault="004F2F92">
            <w:pPr>
              <w:widowControl/>
              <w:jc w:val="center"/>
              <w:rPr>
                <w:rFonts w:ascii="宋体" w:hAnsi="宋体" w:cs="宋体"/>
                <w:color w:val="000000"/>
                <w:kern w:val="0"/>
                <w:sz w:val="20"/>
                <w:szCs w:val="20"/>
              </w:rPr>
            </w:pPr>
          </w:p>
        </w:tc>
      </w:tr>
      <w:tr w:rsidR="00C121C2" w:rsidTr="00A96CFE">
        <w:trPr>
          <w:trHeight w:val="423"/>
          <w:jc w:val="center"/>
        </w:trPr>
        <w:tc>
          <w:tcPr>
            <w:tcW w:w="1723" w:type="dxa"/>
            <w:tcBorders>
              <w:left w:val="single" w:sz="4" w:space="0" w:color="auto"/>
              <w:bottom w:val="single" w:sz="4" w:space="0" w:color="auto"/>
              <w:right w:val="single" w:sz="4" w:space="0" w:color="auto"/>
            </w:tcBorders>
            <w:shd w:val="clear" w:color="auto" w:fill="auto"/>
            <w:vAlign w:val="center"/>
          </w:tcPr>
          <w:p w:rsidR="00C121C2" w:rsidRDefault="00C121C2">
            <w:pPr>
              <w:widowControl/>
              <w:jc w:val="left"/>
              <w:rPr>
                <w:rFonts w:ascii="宋体" w:hAnsi="宋体" w:cs="宋体"/>
                <w:color w:val="000000"/>
                <w:kern w:val="0"/>
                <w:sz w:val="20"/>
                <w:szCs w:val="20"/>
              </w:rPr>
            </w:pPr>
            <w:r>
              <w:rPr>
                <w:rFonts w:ascii="宋体" w:hAnsi="宋体" w:cs="宋体" w:hint="eastAsia"/>
                <w:color w:val="000000"/>
                <w:kern w:val="0"/>
                <w:sz w:val="20"/>
                <w:szCs w:val="20"/>
              </w:rPr>
              <w:t>部分</w:t>
            </w:r>
          </w:p>
        </w:tc>
        <w:tc>
          <w:tcPr>
            <w:tcW w:w="2296" w:type="dxa"/>
            <w:tcBorders>
              <w:left w:val="single" w:sz="4" w:space="0" w:color="auto"/>
              <w:bottom w:val="single" w:sz="4" w:space="0" w:color="auto"/>
              <w:right w:val="single" w:sz="4" w:space="0" w:color="auto"/>
            </w:tcBorders>
            <w:shd w:val="clear" w:color="auto" w:fill="auto"/>
            <w:vAlign w:val="center"/>
          </w:tcPr>
          <w:p w:rsidR="00C121C2" w:rsidRDefault="00C121C2">
            <w:pPr>
              <w:widowControl/>
              <w:jc w:val="left"/>
              <w:rPr>
                <w:rFonts w:ascii="宋体" w:hAnsi="宋体" w:cs="宋体"/>
                <w:color w:val="000000"/>
                <w:kern w:val="0"/>
                <w:sz w:val="20"/>
                <w:szCs w:val="20"/>
              </w:rPr>
            </w:pPr>
          </w:p>
        </w:tc>
        <w:tc>
          <w:tcPr>
            <w:tcW w:w="3443" w:type="dxa"/>
            <w:tcBorders>
              <w:top w:val="nil"/>
              <w:left w:val="nil"/>
              <w:bottom w:val="single" w:sz="4" w:space="0" w:color="auto"/>
              <w:right w:val="single" w:sz="4" w:space="0" w:color="auto"/>
            </w:tcBorders>
            <w:shd w:val="clear" w:color="auto" w:fill="auto"/>
            <w:vAlign w:val="center"/>
          </w:tcPr>
          <w:p w:rsidR="00C121C2" w:rsidRDefault="00C121C2">
            <w:pPr>
              <w:widowControl/>
              <w:jc w:val="center"/>
              <w:rPr>
                <w:rFonts w:ascii="宋体" w:hAnsi="宋体" w:cs="宋体" w:hint="eastAsia"/>
                <w:color w:val="000000"/>
                <w:kern w:val="0"/>
                <w:sz w:val="20"/>
                <w:szCs w:val="20"/>
              </w:rPr>
            </w:pPr>
          </w:p>
        </w:tc>
        <w:tc>
          <w:tcPr>
            <w:tcW w:w="1761" w:type="dxa"/>
            <w:tcBorders>
              <w:top w:val="nil"/>
              <w:left w:val="nil"/>
              <w:bottom w:val="single" w:sz="4" w:space="0" w:color="auto"/>
              <w:right w:val="single" w:sz="4" w:space="0" w:color="auto"/>
            </w:tcBorders>
          </w:tcPr>
          <w:p w:rsidR="00C121C2" w:rsidRDefault="00C121C2">
            <w:pPr>
              <w:widowControl/>
              <w:jc w:val="center"/>
              <w:rPr>
                <w:rFonts w:ascii="宋体" w:hAnsi="宋体" w:cs="宋体"/>
                <w:color w:val="000000"/>
                <w:kern w:val="0"/>
                <w:sz w:val="20"/>
                <w:szCs w:val="20"/>
              </w:rPr>
            </w:pPr>
          </w:p>
        </w:tc>
      </w:tr>
    </w:tbl>
    <w:p w:rsidR="004F2F92" w:rsidRDefault="004F2F92">
      <w:pPr>
        <w:rPr>
          <w:color w:val="000000"/>
        </w:rPr>
      </w:pPr>
    </w:p>
    <w:p w:rsidR="004F2F92" w:rsidRDefault="00411599">
      <w:pPr>
        <w:autoSpaceDE w:val="0"/>
        <w:autoSpaceDN w:val="0"/>
        <w:adjustRightInd w:val="0"/>
        <w:spacing w:line="600" w:lineRule="exact"/>
        <w:ind w:firstLineChars="200" w:firstLine="640"/>
        <w:jc w:val="left"/>
        <w:rPr>
          <w:rFonts w:ascii="黑体" w:eastAsia="黑体"/>
          <w:color w:val="000000"/>
          <w:sz w:val="32"/>
          <w:szCs w:val="32"/>
        </w:rPr>
      </w:pPr>
      <w:r>
        <w:rPr>
          <w:rFonts w:ascii="黑体" w:eastAsia="黑体" w:hint="eastAsia"/>
          <w:color w:val="000000"/>
          <w:sz w:val="32"/>
          <w:szCs w:val="32"/>
        </w:rPr>
        <w:lastRenderedPageBreak/>
        <w:t>十一、名词解释</w:t>
      </w:r>
    </w:p>
    <w:p w:rsidR="004F2F92" w:rsidRPr="00A96CFE" w:rsidRDefault="00411599" w:rsidP="00A96CFE">
      <w:pPr>
        <w:pStyle w:val="Default"/>
        <w:spacing w:line="560" w:lineRule="exact"/>
        <w:ind w:firstLineChars="200" w:firstLine="624"/>
        <w:rPr>
          <w:rFonts w:ascii="仿宋_GB2312" w:eastAsia="仿宋_GB2312"/>
          <w:spacing w:val="-4"/>
          <w:sz w:val="32"/>
          <w:szCs w:val="32"/>
        </w:rPr>
      </w:pPr>
      <w:r w:rsidRPr="00A96CFE">
        <w:rPr>
          <w:rFonts w:ascii="仿宋_GB2312" w:eastAsia="仿宋_GB2312" w:hint="eastAsia"/>
          <w:spacing w:val="-4"/>
          <w:sz w:val="32"/>
          <w:szCs w:val="32"/>
        </w:rPr>
        <w:t>1.财政拨款收入：指单位从同级财政部门取得的财政预算资金。</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2.事业收入：指事业单位开展专业业务活动及辅助活动取得的收入。</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3.经营收入：指事业单位在专业业务活动及其辅助活动之外开展非独立核算经营活动取得的收入。</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4.其他收入：指单位取得的除上述收入以外的各项收入。 </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6.年初结转和结余：指以前年度尚未完成、结转到本年按有关规定继续使用的资金。 </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7.结余分配：指事业单位按照事业单位会计制度的规定从非财政补助结余中分配的事业基金和职工福利基金等。</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8、年末结转和结余：指单位按有关规定结转到下年或以后年度继续使用的资金。</w:t>
      </w:r>
    </w:p>
    <w:p w:rsidR="004F2F92" w:rsidRDefault="00411599" w:rsidP="00A96CFE">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9.社会保障和就业（类）行政事业单位离退休（款）机关事业单位基本养老保险缴费支出（项）：指机关事业单位实施养老保险制度由单位缴纳的基本养老保险费支出。</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10.医疗卫生与计划生育（类）医疗保障（款）事业单位医疗费（项）:指财政部门集中安排的事业单位基本医疗保险缴费</w:t>
      </w:r>
      <w:r>
        <w:rPr>
          <w:rFonts w:ascii="仿宋_GB2312" w:eastAsia="仿宋_GB2312" w:hint="eastAsia"/>
          <w:sz w:val="32"/>
          <w:szCs w:val="32"/>
        </w:rPr>
        <w:lastRenderedPageBreak/>
        <w:t>经费。</w:t>
      </w:r>
    </w:p>
    <w:p w:rsidR="004F2F92" w:rsidRDefault="00411599" w:rsidP="00A96CFE">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11.城乡社区支出（类）城乡社区事务管理（款）住宅建设与房地产市场监管（项）：指用于调控房地产市场运行、研究拟定城镇住房制度改革法规、对住房公积金和其他房改资金进行政策指导并监督使用等方面的支出。</w:t>
      </w:r>
    </w:p>
    <w:p w:rsidR="004F2F92" w:rsidRDefault="00411599" w:rsidP="00A96CFE">
      <w:pPr>
        <w:spacing w:line="560" w:lineRule="exact"/>
        <w:ind w:firstLineChars="200" w:firstLine="640"/>
        <w:rPr>
          <w:szCs w:val="21"/>
        </w:rPr>
      </w:pPr>
      <w:r>
        <w:rPr>
          <w:rFonts w:ascii="仿宋_GB2312" w:eastAsia="仿宋_GB2312" w:hint="eastAsia"/>
          <w:sz w:val="32"/>
          <w:szCs w:val="32"/>
        </w:rPr>
        <w:t>12.住房保障（类）住房改革支出（款）住房公积金（项）:指行政事业单位按人社部、财政部规定的基本工资和津贴补贴以及规定比例为职工缴纳的住房公积金。</w:t>
      </w:r>
    </w:p>
    <w:p w:rsidR="004F2F92" w:rsidRDefault="00411599" w:rsidP="00A96CFE">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13.基本支出：指为保障机构正常运转、完成日常工作任务而发生的人员支出和公用支出。</w:t>
      </w:r>
    </w:p>
    <w:p w:rsidR="004F2F92" w:rsidRDefault="00411599" w:rsidP="00A96CFE">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 xml:space="preserve">14.项目支出：指在基本支出之外为完成特定行政任务和事业发展目标所发生的支出。 </w:t>
      </w:r>
    </w:p>
    <w:p w:rsidR="004F2F92" w:rsidRDefault="00411599" w:rsidP="00A96CFE">
      <w:pPr>
        <w:spacing w:line="56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15.经营支出：指事业单位在专业业务活动及其辅助活动之外开展非独立核算经营活动发生的支出。</w:t>
      </w:r>
    </w:p>
    <w:p w:rsidR="004F2F92" w:rsidRDefault="00411599" w:rsidP="00A96CFE">
      <w:pPr>
        <w:pStyle w:val="Default"/>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16.“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rsidR="00A96CFE" w:rsidRDefault="00A96CFE" w:rsidP="00A96CFE">
      <w:pPr>
        <w:pStyle w:val="Default"/>
        <w:spacing w:line="560" w:lineRule="exact"/>
        <w:ind w:firstLineChars="200" w:firstLine="640"/>
        <w:rPr>
          <w:rFonts w:ascii="仿宋_GB2312" w:eastAsia="仿宋_GB2312"/>
          <w:sz w:val="32"/>
          <w:szCs w:val="32"/>
        </w:rPr>
      </w:pPr>
    </w:p>
    <w:p w:rsidR="00A96CFE" w:rsidRPr="00A96CFE" w:rsidRDefault="00411599" w:rsidP="00A96CFE">
      <w:pPr>
        <w:spacing w:line="500" w:lineRule="exact"/>
        <w:ind w:right="640" w:firstLineChars="1550" w:firstLine="4960"/>
        <w:rPr>
          <w:rFonts w:ascii="仿宋_GB2312" w:eastAsia="仿宋_GB2312" w:hint="eastAsia"/>
          <w:color w:val="000000"/>
          <w:sz w:val="32"/>
          <w:szCs w:val="32"/>
        </w:rPr>
      </w:pPr>
      <w:r w:rsidRPr="00A96CFE">
        <w:rPr>
          <w:rFonts w:ascii="仿宋_GB2312" w:eastAsia="仿宋_GB2312" w:hint="eastAsia"/>
          <w:color w:val="000000"/>
          <w:sz w:val="32"/>
          <w:szCs w:val="32"/>
        </w:rPr>
        <w:t>苍溪县房地产管理局</w:t>
      </w:r>
    </w:p>
    <w:p w:rsidR="004F2F92" w:rsidRDefault="00A96CFE" w:rsidP="00A96CFE">
      <w:pPr>
        <w:spacing w:line="500" w:lineRule="exact"/>
        <w:ind w:right="640" w:firstLineChars="200" w:firstLine="640"/>
        <w:jc w:val="center"/>
      </w:pPr>
      <w:r>
        <w:rPr>
          <w:rFonts w:ascii="仿宋_GB2312" w:eastAsia="仿宋_GB2312" w:hint="eastAsia"/>
          <w:color w:val="000000"/>
          <w:sz w:val="32"/>
          <w:szCs w:val="32"/>
        </w:rPr>
        <w:t xml:space="preserve">                         </w:t>
      </w:r>
      <w:r w:rsidR="00411599" w:rsidRPr="00A96CFE">
        <w:rPr>
          <w:rFonts w:ascii="仿宋_GB2312" w:eastAsia="仿宋_GB2312" w:hint="eastAsia"/>
          <w:color w:val="000000"/>
          <w:sz w:val="32"/>
          <w:szCs w:val="32"/>
        </w:rPr>
        <w:t>2018年8月24日</w:t>
      </w:r>
      <w:bookmarkStart w:id="0" w:name="_GoBack"/>
      <w:bookmarkEnd w:id="0"/>
    </w:p>
    <w:sectPr w:rsidR="004F2F92" w:rsidSect="00C121C2">
      <w:footerReference w:type="default" r:id="rId7"/>
      <w:pgSz w:w="11906" w:h="16838"/>
      <w:pgMar w:top="1814" w:right="1418" w:bottom="1701" w:left="1531" w:header="851" w:footer="992" w:gutter="0"/>
      <w:cols w:space="0"/>
      <w:docGrid w:type="lines" w:linePitch="31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21F" w:rsidRDefault="00DA321F" w:rsidP="00194523">
      <w:r>
        <w:separator/>
      </w:r>
    </w:p>
  </w:endnote>
  <w:endnote w:type="continuationSeparator" w:id="1">
    <w:p w:rsidR="00DA321F" w:rsidRDefault="00DA321F" w:rsidP="001945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 w:name="文鼎大标宋简">
    <w:panose1 w:val="0201060901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938"/>
      <w:docPartObj>
        <w:docPartGallery w:val="Page Numbers (Bottom of Page)"/>
        <w:docPartUnique/>
      </w:docPartObj>
    </w:sdtPr>
    <w:sdtContent>
      <w:p w:rsidR="00BA3125" w:rsidRDefault="00BA3125">
        <w:pPr>
          <w:pStyle w:val="a4"/>
          <w:jc w:val="center"/>
        </w:pPr>
        <w:r>
          <w:rPr>
            <w:rFonts w:hint="eastAsia"/>
          </w:rPr>
          <w:t>—</w:t>
        </w:r>
        <w:r>
          <w:rPr>
            <w:rFonts w:hint="eastAsia"/>
          </w:rPr>
          <w:t xml:space="preserve"> </w:t>
        </w:r>
        <w:fldSimple w:instr=" PAGE   \* MERGEFORMAT ">
          <w:r w:rsidRPr="00BA3125">
            <w:rPr>
              <w:noProof/>
              <w:lang w:val="zh-CN"/>
            </w:rPr>
            <w:t>7</w:t>
          </w:r>
        </w:fldSimple>
        <w:r>
          <w:rPr>
            <w:rFonts w:hint="eastAsia"/>
          </w:rPr>
          <w:t xml:space="preserve"> </w:t>
        </w:r>
        <w:r>
          <w:rPr>
            <w:rFonts w:hint="eastAsia"/>
          </w:rPr>
          <w:t>—</w:t>
        </w:r>
      </w:p>
    </w:sdtContent>
  </w:sdt>
  <w:p w:rsidR="00BA3125" w:rsidRDefault="00BA312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21F" w:rsidRDefault="00DA321F" w:rsidP="00194523">
      <w:r>
        <w:separator/>
      </w:r>
    </w:p>
  </w:footnote>
  <w:footnote w:type="continuationSeparator" w:id="1">
    <w:p w:rsidR="00DA321F" w:rsidRDefault="00DA321F" w:rsidP="0019452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172A27"/>
    <w:rsid w:val="00194523"/>
    <w:rsid w:val="0028391C"/>
    <w:rsid w:val="00411599"/>
    <w:rsid w:val="004F2F92"/>
    <w:rsid w:val="00A96CFE"/>
    <w:rsid w:val="00BA3125"/>
    <w:rsid w:val="00C121C2"/>
    <w:rsid w:val="00D17439"/>
    <w:rsid w:val="00DA321F"/>
    <w:rsid w:val="00ED7620"/>
    <w:rsid w:val="04CC1A97"/>
    <w:rsid w:val="05BA3E5D"/>
    <w:rsid w:val="05DE035D"/>
    <w:rsid w:val="06B731A0"/>
    <w:rsid w:val="075A3038"/>
    <w:rsid w:val="079370FE"/>
    <w:rsid w:val="08D718F4"/>
    <w:rsid w:val="09F0365E"/>
    <w:rsid w:val="0CA4193C"/>
    <w:rsid w:val="11373758"/>
    <w:rsid w:val="12BA2A95"/>
    <w:rsid w:val="17364E5B"/>
    <w:rsid w:val="1A2747BC"/>
    <w:rsid w:val="1B757D36"/>
    <w:rsid w:val="1BFE37B4"/>
    <w:rsid w:val="1DF93801"/>
    <w:rsid w:val="1E76132B"/>
    <w:rsid w:val="2426774B"/>
    <w:rsid w:val="267B0638"/>
    <w:rsid w:val="2A7E47B8"/>
    <w:rsid w:val="2F4B73D5"/>
    <w:rsid w:val="2FC85DF6"/>
    <w:rsid w:val="305A46E8"/>
    <w:rsid w:val="32826F08"/>
    <w:rsid w:val="34BF0B94"/>
    <w:rsid w:val="36A557AC"/>
    <w:rsid w:val="37E71117"/>
    <w:rsid w:val="3E66385B"/>
    <w:rsid w:val="3E67560A"/>
    <w:rsid w:val="3EE1073B"/>
    <w:rsid w:val="40273C54"/>
    <w:rsid w:val="413F1A70"/>
    <w:rsid w:val="42533E71"/>
    <w:rsid w:val="43FE674E"/>
    <w:rsid w:val="44E53139"/>
    <w:rsid w:val="45D4740B"/>
    <w:rsid w:val="47883B9A"/>
    <w:rsid w:val="488A1F18"/>
    <w:rsid w:val="4912678F"/>
    <w:rsid w:val="4A0C271B"/>
    <w:rsid w:val="4BF22603"/>
    <w:rsid w:val="50D57F3B"/>
    <w:rsid w:val="50EA12A2"/>
    <w:rsid w:val="51285B6B"/>
    <w:rsid w:val="51E44349"/>
    <w:rsid w:val="5DE31237"/>
    <w:rsid w:val="62741A2D"/>
    <w:rsid w:val="63D542D8"/>
    <w:rsid w:val="65443E27"/>
    <w:rsid w:val="6AF47E0D"/>
    <w:rsid w:val="6C1A4E58"/>
    <w:rsid w:val="71F72612"/>
    <w:rsid w:val="72741C66"/>
    <w:rsid w:val="72EA40DC"/>
    <w:rsid w:val="740E2AA8"/>
    <w:rsid w:val="770D538C"/>
    <w:rsid w:val="7DEE79FE"/>
    <w:rsid w:val="7F5D38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2F92"/>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4F2F92"/>
    <w:pPr>
      <w:spacing w:beforeLines="30"/>
    </w:pPr>
    <w:rPr>
      <w:rFonts w:ascii="仿宋_GB2312" w:eastAsia="仿宋_GB2312"/>
      <w:sz w:val="30"/>
    </w:rPr>
  </w:style>
  <w:style w:type="paragraph" w:styleId="a4">
    <w:name w:val="footer"/>
    <w:basedOn w:val="a"/>
    <w:link w:val="Char"/>
    <w:uiPriority w:val="99"/>
    <w:unhideWhenUsed/>
    <w:qFormat/>
    <w:rsid w:val="004F2F92"/>
    <w:pPr>
      <w:tabs>
        <w:tab w:val="center" w:pos="4153"/>
        <w:tab w:val="right" w:pos="8306"/>
      </w:tabs>
      <w:snapToGrid w:val="0"/>
      <w:jc w:val="left"/>
    </w:pPr>
    <w:rPr>
      <w:rFonts w:ascii="Calibri" w:hAnsi="Calibri"/>
      <w:kern w:val="0"/>
      <w:sz w:val="18"/>
      <w:szCs w:val="18"/>
    </w:rPr>
  </w:style>
  <w:style w:type="paragraph" w:styleId="a5">
    <w:name w:val="header"/>
    <w:basedOn w:val="a"/>
    <w:uiPriority w:val="99"/>
    <w:semiHidden/>
    <w:unhideWhenUsed/>
    <w:qFormat/>
    <w:rsid w:val="004F2F92"/>
    <w:pPr>
      <w:pBdr>
        <w:bottom w:val="single" w:sz="6" w:space="1" w:color="auto"/>
      </w:pBdr>
      <w:tabs>
        <w:tab w:val="center" w:pos="4153"/>
        <w:tab w:val="right" w:pos="8306"/>
      </w:tabs>
      <w:snapToGrid w:val="0"/>
      <w:jc w:val="center"/>
    </w:pPr>
    <w:rPr>
      <w:rFonts w:ascii="Calibri" w:hAnsi="Calibri"/>
      <w:kern w:val="0"/>
      <w:sz w:val="18"/>
      <w:szCs w:val="18"/>
    </w:rPr>
  </w:style>
  <w:style w:type="character" w:styleId="a6">
    <w:name w:val="Strong"/>
    <w:uiPriority w:val="22"/>
    <w:qFormat/>
    <w:rsid w:val="004F2F92"/>
    <w:rPr>
      <w:b/>
      <w:bCs/>
    </w:rPr>
  </w:style>
  <w:style w:type="paragraph" w:customStyle="1" w:styleId="Default">
    <w:name w:val="Default"/>
    <w:qFormat/>
    <w:rsid w:val="004F2F92"/>
    <w:pPr>
      <w:widowControl w:val="0"/>
      <w:autoSpaceDE w:val="0"/>
      <w:autoSpaceDN w:val="0"/>
      <w:adjustRightInd w:val="0"/>
    </w:pPr>
    <w:rPr>
      <w:rFonts w:ascii="仿宋" w:eastAsia="仿宋" w:cs="仿宋"/>
      <w:color w:val="000000"/>
      <w:sz w:val="24"/>
      <w:szCs w:val="24"/>
    </w:rPr>
  </w:style>
  <w:style w:type="character" w:customStyle="1" w:styleId="Char">
    <w:name w:val="页脚 Char"/>
    <w:basedOn w:val="a0"/>
    <w:link w:val="a4"/>
    <w:uiPriority w:val="99"/>
    <w:rsid w:val="00BA3125"/>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764</Words>
  <Characters>4355</Characters>
  <Application>Microsoft Office Word</Application>
  <DocSecurity>0</DocSecurity>
  <Lines>36</Lines>
  <Paragraphs>10</Paragraphs>
  <ScaleCrop>false</ScaleCrop>
  <Company>Kingsoft</Company>
  <LinksUpToDate>false</LinksUpToDate>
  <CharactersWithSpaces>5109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5</cp:revision>
  <dcterms:created xsi:type="dcterms:W3CDTF">2014-10-29T12:08:00Z</dcterms:created>
  <dcterms:modified xsi:type="dcterms:W3CDTF">2018-08-24T00:42:00Z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