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文鼎大标宋简" w:hAnsi="方正小标宋简体" w:eastAsia="文鼎大标宋简" w:cs="方正小标宋简体"/>
          <w:kern w:val="0"/>
          <w:sz w:val="44"/>
          <w:szCs w:val="44"/>
          <w:shd w:val="clear" w:color="auto" w:fill="FFFFFF"/>
        </w:rPr>
      </w:pPr>
      <w:r>
        <w:rPr>
          <w:rFonts w:hint="eastAsia" w:ascii="文鼎大标宋简" w:hAnsi="方正小标宋简体" w:eastAsia="文鼎大标宋简" w:cs="方正小标宋简体"/>
          <w:kern w:val="0"/>
          <w:sz w:val="44"/>
          <w:szCs w:val="44"/>
          <w:shd w:val="clear" w:color="auto" w:fill="FFFFFF"/>
        </w:rPr>
        <w:t>苍溪县国有资产监督管理局</w:t>
      </w:r>
      <w:r>
        <w:rPr>
          <w:rFonts w:ascii="文鼎大标宋简" w:hAnsi="方正小标宋简体" w:eastAsia="文鼎大标宋简" w:cs="方正小标宋简体"/>
          <w:kern w:val="0"/>
          <w:sz w:val="44"/>
          <w:szCs w:val="44"/>
          <w:shd w:val="clear" w:color="auto" w:fill="FFFFFF"/>
        </w:rPr>
        <w:br w:type="textWrapping"/>
      </w:r>
      <w:r>
        <w:rPr>
          <w:rFonts w:hint="eastAsia" w:ascii="文鼎大标宋简" w:hAnsi="方正小标宋简体" w:eastAsia="文鼎大标宋简" w:cs="方正小标宋简体"/>
          <w:kern w:val="0"/>
          <w:sz w:val="44"/>
          <w:szCs w:val="44"/>
          <w:shd w:val="clear" w:color="auto" w:fill="FFFFFF"/>
        </w:rPr>
        <w:t>2017年部门决算编制说明</w:t>
      </w:r>
    </w:p>
    <w:p>
      <w:pPr>
        <w:autoSpaceDE w:val="0"/>
        <w:autoSpaceDN w:val="0"/>
        <w:adjustRightInd w:val="0"/>
        <w:spacing w:line="560" w:lineRule="exact"/>
        <w:ind w:firstLine="640" w:firstLineChars="200"/>
        <w:rPr>
          <w:rFonts w:ascii="黑体" w:eastAsia="黑体"/>
          <w:sz w:val="32"/>
          <w:szCs w:val="32"/>
        </w:rPr>
      </w:pP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一、基本职能及主要工作</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(一)基本职能</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1.负责贯彻执行党中央、国务院、省、市国有资产管理法律、法规及方针政策，研究拟订全县国有资产管理的地方性规章草案，制定或拟定有关制度，制定国有资产经营管理中长期规划和年度计划并组织实施。</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2.根据县人民政府授权，依照《中华人民共和国企业国有资产法》和《中华人民共和国公司法》等法律和行政法规，代表县人民政府履行出资人职责，依法监管县属国有企业。</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3.指导国有企业改革改制，推进国有企业现代企业制度建设，完善公司法人治理结构，推动县域国有经济布局和结构的战略性调整。</w:t>
      </w:r>
    </w:p>
    <w:p>
      <w:pPr>
        <w:pStyle w:val="4"/>
        <w:spacing w:before="0" w:beforeAutospacing="0" w:after="0" w:afterAutospacing="0" w:line="560" w:lineRule="exact"/>
        <w:ind w:firstLine="616" w:firstLineChars="200"/>
        <w:jc w:val="both"/>
        <w:rPr>
          <w:rFonts w:ascii="仿宋_GB2312" w:hAnsi="微软雅黑" w:eastAsia="仿宋_GB2312" w:cs="微软雅黑"/>
          <w:spacing w:val="-6"/>
          <w:sz w:val="32"/>
          <w:szCs w:val="32"/>
          <w:shd w:val="clear" w:color="auto" w:fill="FFFFFF"/>
        </w:rPr>
      </w:pPr>
      <w:r>
        <w:rPr>
          <w:rFonts w:hint="eastAsia" w:ascii="仿宋_GB2312" w:hAnsi="微软雅黑" w:eastAsia="仿宋_GB2312" w:cs="微软雅黑"/>
          <w:spacing w:val="-6"/>
          <w:sz w:val="32"/>
          <w:szCs w:val="32"/>
          <w:shd w:val="clear" w:color="auto" w:fill="FFFFFF"/>
        </w:rPr>
        <w:t>4.按照干部管理权限，对除县委直接管理的企业负责人外的其他企业负责人、董事会成员、监事会成员进行任免、委派和考核，根据经营业绩进行奖惩。建立符合社会主义市场经济体制和现代企业制度要求的选人、用人机制，完善经营者激励和约束制度。</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5.建立和完善国有资本保值增值指标体系，制定考核标准，通过统计、稽核对所监管企业国有资产的保值增值情况进行监管，负责所监管企业工资宏观调控管理工作，制定所监管企业负责人收入分配政策并组织实施。</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6.负责承担县属行政事业及企业国有资产的清产核资、产权界定、产权登记、年度检查、资产调配、资产评估、抵押担保、产权交易、报废报损等事项的核准备案、审批和监督管理工作。</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7.建立完善国有企业投资融资、担保抵押运行机制，指导县属国有企业为我县基础设施、民生工程和重点项目融资、筹资、投资和建设。</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（二）2017年重点工作完成情况</w:t>
      </w:r>
    </w:p>
    <w:p>
      <w:pPr>
        <w:snapToGrid w:val="0"/>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完善制度，创新国资国企监管机制。一是结合国家对国资国企改革政策调整，拟定国资国企12项人权和事权监管制度，其中：人权管理方面包括国有企业人员管理、国有企业绩效考核、国有企业负责人薪酬管理、国有企业负责人履职待遇与业务支出、外派监事会等5个制度；事权管理方面包括行政事业单位国有资产管理、国有资产评估、国有资产租赁管理、国有资产报废报损管理、国有产权转让管理、国有企业劳动人事分配三项制度改革、行政事业单位经营性国有资产管理等7个制度。目前《国有资产租赁管理办法》等9项制度已正式出台。其余的正在上报审定中。二是草拟了推进县属国有企业混合所有制实施意见、国有企业员工持股试点办法、国有企业功能界定与分类管理办法、完善国有企业管理体制等文件，目前正在征求意见中。</w:t>
      </w:r>
    </w:p>
    <w:p>
      <w:pPr>
        <w:snapToGrid w:val="0"/>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深化改革,构建现代企业制度。一是出台苍溪县深化国有企业改革实施意见；二是归集资产资源成功组建四川苍溪国投集团；三是推进了县国投公司等9家企业法人治理结构和劳动、人事、薪酬三项制度改革；四是完成了县汉昌水务、县城投公司、县聚宝源公司注册资本和出资人变更，理顺了法人治理结构;五是在国有企业推行了董事会、监事会成员外聘外派；六是完成县建筑勘测设计所改革，启动了县电影公司、县地博测绘公司改革；七是积极发展混合所有制经济，全县已组建恒和昌等国有控股混合所有制企业8家；八是进一步完善粮食企业改制遗留问题，依法化解农发行等债务4200多万元；九是积极参与东方丝绸公司、轮船公司等6家集体企业破产清算。</w:t>
      </w:r>
    </w:p>
    <w:p>
      <w:pPr>
        <w:snapToGrid w:val="0"/>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3.优化配置，做实做强国有企业。一是按照保障运转、合理配置原则，共划转41处、8200多平方、4720万元资产到国有企业统一经营。近三年共归集划转资产12万多平米到国有企业统一经营，实现资产优化配置。二是国有企业实力壮大。截止2017年12月底，国有企业资产总量达48.8亿元，较县国投公司组建时翻了11番多，业务范围拓展，涵盖投资融资、农业担保、资产营运、产能交易以及物业、酒店、出租车等领域。三是企业经营效益持续增长。2017年，全县国有企业经营收入实现3.1亿元、增长18%，实现税利4650万元、增长33%；上缴国有资本经营预算及其他收入1840万；完成固定资产投资3.2亿元，同比增长15.3%，完成社会消费品零售5579万元，同比增长11.6%。</w:t>
      </w:r>
    </w:p>
    <w:p>
      <w:pPr>
        <w:snapToGrid w:val="0"/>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4.强化监管，严把国资国企管理关口。一是严把产权界定、产权登记、年度检查、产权交易等事项的核准备案和审批关。全年办理年度检查事项11项，产权交易审批69宗，资产评估备案206项。二是积极配合县纪委、检察院、县财政、县审计等部门发挥国资监联动监管职能，向纪检、公安、审计移交违纪违规处置国有资产线索5件。三是积极履行县委巡察工作成员单位职责。核查县委巡察工作中发现县人社局、县文广新局、县城投公司等存在的问题线索，共涉及7个单位13个问题线索。</w:t>
      </w:r>
    </w:p>
    <w:p>
      <w:pPr>
        <w:adjustRightInd w:val="0"/>
        <w:snapToGrid w:val="0"/>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5.规范处置，确保国资保值增值。一是规范产权处置。产权进场交易率达100%，今年公开转让资产57宗，处置收益875.76万元，十八大以来共处置国有产权304宗，评估价格1.27亿元、起拍底价1.46亿元、成交价值1.82亿元，实现增值5553万元，增值率43.72%。二是规范国有资产租赁管理。试点推行资产租赁事项纳入县纪委权力运行监管平台公开，接受社会监督，今年来共审批备案租赁事项174宗。三是规范报废报损管理。从申报、现场核实、专业鉴定、审核审批到账务处置等程序进行了严格规范。今年来共办理报废报损业务468宗3256万元（含行政事业单位资产清查的3128.30万元）。</w:t>
      </w:r>
    </w:p>
    <w:p>
      <w:pPr>
        <w:adjustRightInd w:val="0"/>
        <w:snapToGrid w:val="0"/>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6.整合资源，发挥资本引领带动。一是项目融资功能凸显。2017年监管企业共承接河道综合整治、石家坝污水处理厂重点项目建设基金2.05亿元，承接寻乐书园、河道综合整治、土地增减挂钩、广兰高速失地农民保险项目贷款8.60亿元。截止目前，国有企业累计承接各类融资项目20个融资额65.04亿元、已到位资金18.31亿元。二是重点项目业绩突出。截止目前，监管企业共承担政府建设项目29个、总投资42.14亿元。北门沟市政基础设施项目、陵江镇群丰安置房建设、状元桥停车场、易地扶贫搬迁等项目基本完工。苍中校老校区停车场、嘉陵江河道整治项目一标段项目、赵家山安置区主干道等项目均超计划进度。东青、石灶、龙王、白驿等4个地土地增减挂勾项目全面开工，歧坪等30个土地增减挂勾项目即将启动。三是对外投资效益初显。对外股权投资项目共11个，累计投资6.70亿元，其中亭子口水利、苍溪农商行等5个项目已正式投产运营，年红利收入近1200万元。四是农业融资担保能力增强。2017年，为我县1018户中小微企业、农民专业合作社、种养殖专业大户提供融资担保14527万元，有效缓解了我县涉农中小微企业、个体经营者融资难的问题。与省农担公司达成补充增信协议，首批入围省再担保公司业务范围。</w:t>
      </w:r>
    </w:p>
    <w:p>
      <w:pPr>
        <w:adjustRightInd w:val="0"/>
        <w:snapToGrid w:val="0"/>
        <w:spacing w:line="560" w:lineRule="exact"/>
        <w:ind w:firstLine="640" w:firstLineChars="200"/>
        <w:rPr>
          <w:rFonts w:ascii="仿宋_GB2312" w:hAnsi="仿宋_GB2312" w:eastAsia="仿宋_GB2312" w:cs="仿宋_GB2312"/>
          <w:spacing w:val="-4"/>
          <w:sz w:val="32"/>
          <w:szCs w:val="32"/>
        </w:rPr>
      </w:pPr>
      <w:r>
        <w:rPr>
          <w:rFonts w:hint="eastAsia" w:ascii="仿宋_GB2312" w:hAnsi="微软雅黑" w:eastAsia="仿宋_GB2312" w:cs="微软雅黑"/>
          <w:kern w:val="0"/>
          <w:sz w:val="32"/>
          <w:szCs w:val="32"/>
          <w:shd w:val="clear" w:color="auto" w:fill="FFFFFF"/>
        </w:rPr>
        <w:t>7.广泛对接，投资招引成效明显。一是国有公司投资招引专项行动成效明显。全年开展投资招引和项目对接33次，与部分央属、省属国有公司达成项目投资合作意向。成功招引四川路桥集团投、成都建工第三建司、成都建工集团落地苍溪，投资建设赵家山主干道、紫云工业园区扩面、肖家坝大桥及韩家山隧道等项目，总投资额约11.3亿元；广元国投集团投资约2.2亿元与汉昌水务股权合作项目全面推进；S411快速通道项目投资招引有序推进。二是招商引资落地见效。成功引进蓝湾国际、百合新辉水果专业合作社旅游等4个项目，新引进资金1.7亿元，超额完成70%。贵奥农业、中德理工学院等项目正在跟进洽谈中。</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二、部门概况</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苍溪县国有资产监督管理局（以下简称“本部门”）下属二级单位0个，其中行政单位0个，参照公务员法管理的事业单位0个，其他事业单位0个。</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三、收支决算总体情况说明</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本部门本年收入合计12698.38万元，其中：一般公共预算财政拨款收入11194.73万元，占88.2%；政府性基金预算财政拨款收入0万元，占0%；国有资本经营预算财政拨款收入403.63万元，占3.2%；事业收入0万元，占0%；经营收入0万元，占0%；附属单位上缴收入0万元，占0%；其他收入1100万元，占8.6%。本年收入较上年度减少28319.20万元，下降70%，减少主要原因是政府投资性支出预算减少。</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本部门本年支出合计17651.01万元，其中：基本支出167.89万元，占1%；项目支出17483.12万元，占99%；上缴上级支出0万元，占0%；经营支出0万元，占0%；对附属单位补助支出0万元，占0%。本年支出较上年度减少1444.43万元，下降8%，减少主要原因是政府投资性支出减少。</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四、财政拨款收入支出决算总体情况说明</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2017年度本部门财政拨款收入总计12401.02万元、财政拨款支出总计12401.02万元。与2016年相比，财政拨款收入减少8113.84万元，下降42%、财政拨款支出总计减少7438.43万元，下降40%。</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五、一般公共预算财政拨款支出决算情况说明</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（一）一般公共预算财政拨款支出决算总体情况</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2017年度本部门一般公共预算财政拨款支出11215.64万元，占本年支出合计的90.4%。与2016年相比，一般公共预算财政拨款支出增加10834.07万元，增长2839%。</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（二）一般公共预算财政拨款支出决算结构情况</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2017年本部门一般公共预算财政拨款支出11215.64万元，主要用于以下方面:资源勘探信息等支出299.30万元，占2%；社会保障和就业支出15.76万元，占0.1%；医疗卫生支出5.68万元，占0.05%；住房保障支出3.98万元，占0.04%；农林水支出10890.92万元，占97%。</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（三）一般公共预算财政拨款支出决算具体情况</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1. 资源勘探信息等支出（类）国有资产监管（款）一般管理事务（项）: 支出决算为156.82万元，完成预算100%，其他国有资产监管（</w:t>
      </w:r>
      <w:r>
        <w:rPr>
          <w:rFonts w:hint="eastAsia" w:ascii="仿宋_GB2312" w:hAnsi="宋体" w:eastAsia="仿宋_GB2312" w:cs="宋体"/>
          <w:sz w:val="32"/>
          <w:szCs w:val="32"/>
          <w:shd w:val="clear" w:color="auto" w:fill="FFFFFF"/>
        </w:rPr>
        <w:t>项</w:t>
      </w:r>
      <w:r>
        <w:rPr>
          <w:rFonts w:hint="eastAsia" w:ascii="仿宋_GB2312" w:hAnsi="微软雅黑" w:eastAsia="仿宋_GB2312" w:cs="微软雅黑"/>
          <w:sz w:val="32"/>
          <w:szCs w:val="32"/>
          <w:shd w:val="clear" w:color="auto" w:fill="FFFFFF"/>
        </w:rPr>
        <w:t>）：支出决算为142.48万元，完成预算100%。</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2. 农林水支出（</w:t>
      </w:r>
      <w:r>
        <w:rPr>
          <w:rFonts w:hint="eastAsia" w:ascii="仿宋_GB2312" w:hAnsi="宋体" w:eastAsia="仿宋_GB2312" w:cs="宋体"/>
          <w:sz w:val="32"/>
          <w:szCs w:val="32"/>
          <w:shd w:val="clear" w:color="auto" w:fill="FFFFFF"/>
        </w:rPr>
        <w:t>类</w:t>
      </w:r>
      <w:r>
        <w:rPr>
          <w:rFonts w:hint="eastAsia" w:ascii="仿宋_GB2312" w:hAnsi="微软雅黑" w:eastAsia="仿宋_GB2312" w:cs="微软雅黑"/>
          <w:sz w:val="32"/>
          <w:szCs w:val="32"/>
          <w:shd w:val="clear" w:color="auto" w:fill="FFFFFF"/>
        </w:rPr>
        <w:t>）扶贫支出（款）其他扶贫支出（项）: 支出决算为10890.92万元，完成预算100%。</w:t>
      </w:r>
    </w:p>
    <w:p>
      <w:pPr>
        <w:pStyle w:val="4"/>
        <w:spacing w:before="0" w:beforeAutospacing="0" w:after="0" w:afterAutospacing="0" w:line="560" w:lineRule="exact"/>
        <w:ind w:firstLine="616" w:firstLineChars="200"/>
        <w:jc w:val="both"/>
        <w:rPr>
          <w:rFonts w:ascii="仿宋_GB2312" w:hAnsi="微软雅黑" w:eastAsia="仿宋_GB2312" w:cs="微软雅黑"/>
          <w:spacing w:val="-6"/>
          <w:sz w:val="32"/>
          <w:szCs w:val="32"/>
          <w:shd w:val="clear" w:color="auto" w:fill="FFFFFF"/>
        </w:rPr>
      </w:pPr>
      <w:r>
        <w:rPr>
          <w:rFonts w:hint="eastAsia" w:ascii="仿宋_GB2312" w:hAnsi="微软雅黑" w:eastAsia="仿宋_GB2312" w:cs="微软雅黑"/>
          <w:spacing w:val="-6"/>
          <w:sz w:val="32"/>
          <w:szCs w:val="32"/>
          <w:shd w:val="clear" w:color="auto" w:fill="FFFFFF"/>
        </w:rPr>
        <w:t>3.社会保障和就业支出（类）行政单位离退休（款）机关事业单位基本养老保</w:t>
      </w:r>
      <w:r>
        <w:rPr>
          <w:rFonts w:hint="eastAsia" w:ascii="仿宋_GB2312" w:hAnsi="宋体" w:eastAsia="仿宋_GB2312" w:cs="宋体"/>
          <w:spacing w:val="-6"/>
          <w:sz w:val="32"/>
          <w:szCs w:val="32"/>
          <w:shd w:val="clear" w:color="auto" w:fill="FFFFFF"/>
        </w:rPr>
        <w:t>险</w:t>
      </w:r>
      <w:r>
        <w:rPr>
          <w:rFonts w:hint="eastAsia" w:ascii="仿宋_GB2312" w:hAnsi="微软雅黑" w:eastAsia="仿宋_GB2312" w:cs="微软雅黑"/>
          <w:spacing w:val="-6"/>
          <w:sz w:val="32"/>
          <w:szCs w:val="32"/>
          <w:shd w:val="clear" w:color="auto" w:fill="FFFFFF"/>
        </w:rPr>
        <w:t>（项）: 支出决算为5.68万元，完成预算100%。</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4.医疗卫生与计划生育支出（类）行政事业医疗（款）事业医疗（项）:支出决算为5.68万元，完成预算100%。</w:t>
      </w:r>
    </w:p>
    <w:p>
      <w:pPr>
        <w:pStyle w:val="4"/>
        <w:spacing w:before="0" w:beforeAutospacing="0" w:after="0" w:afterAutospacing="0" w:line="560" w:lineRule="exact"/>
        <w:ind w:firstLine="640" w:firstLineChars="200"/>
        <w:jc w:val="both"/>
        <w:rPr>
          <w:rFonts w:ascii="仿宋_GB2312" w:hAnsi="微软雅黑" w:eastAsia="仿宋_GB2312" w:cs="微软雅黑"/>
          <w:sz w:val="32"/>
          <w:szCs w:val="32"/>
          <w:shd w:val="clear" w:color="auto" w:fill="FFFFFF"/>
        </w:rPr>
      </w:pPr>
      <w:r>
        <w:rPr>
          <w:rFonts w:hint="eastAsia" w:ascii="仿宋_GB2312" w:hAnsi="微软雅黑" w:eastAsia="仿宋_GB2312" w:cs="微软雅黑"/>
          <w:sz w:val="32"/>
          <w:szCs w:val="32"/>
          <w:shd w:val="clear" w:color="auto" w:fill="FFFFFF"/>
        </w:rPr>
        <w:t>5.住房保障支出（类）住房改革支出（款）住房公积金（项）: 支出决算为3.98万元，完成预算110%，决算数大于预算数的主要原因是人员增加。</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六、一般公共预算财政拨款基本支出决算情况说明</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2017年度本部门一般公共预算财政拨款基本支出167.89万元，其中：</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人员经费115.14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Pr>
          <w:rFonts w:hint="eastAsia" w:ascii="仿宋_GB2312" w:hAnsi="微软雅黑" w:eastAsia="仿宋_GB2312" w:cs="微软雅黑"/>
          <w:kern w:val="0"/>
          <w:sz w:val="32"/>
          <w:szCs w:val="32"/>
          <w:shd w:val="clear" w:color="auto" w:fill="FFFFFF"/>
        </w:rPr>
        <w:br w:type="textWrapping"/>
      </w:r>
      <w:r>
        <w:rPr>
          <w:rFonts w:hint="eastAsia" w:ascii="仿宋_GB2312" w:hAnsi="微软雅黑" w:eastAsia="仿宋_GB2312" w:cs="微软雅黑"/>
          <w:kern w:val="0"/>
          <w:sz w:val="32"/>
          <w:szCs w:val="32"/>
          <w:shd w:val="clear" w:color="auto" w:fill="FFFFFF"/>
        </w:rPr>
        <w:t>　　公用经费52.76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七、“三公”经费财政拨款支出决算情况说明</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（一）“三公”经费财政拨款支出决算总体情况说明</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2017年本部门“三公”经费财政拨款支出决算为1.8万元，完成预算36%，决算数小于预算数的主要原因是严格执行八项规定。</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（二）“三公”经费财政拨款支出决算具体情况说明</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2017年度本部门“三公”经费财政拨款支出决算中，因公出国（境）费支出决算0万元，占0%；公务用车购置及运行维护费支出决算0万元，占0%；公务接待费支出决算1.8万元，占36%。具体情况如下：</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1.因公出国（境）经费支出0万元。全年安排因公出国（境）团组0次，出国（境）0人。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2.公务用车购置及运行维护费支出0万元。其中：</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公务用车购置支出0万元。全年按规定更新购置公务用车0辆。截至2017年12月底，单位共有公务用车0辆。</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公务用车运行维护费支出0万元。</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3.公务接待费支出1.8万元。主要用于执行公务、开展业务活动开支的交通费、住宿费、用餐费等。国内公务接待55批次，277人次（不包括陪同人员），共计支出1.8万元，具体内容包括：上级检查，同系统单位来苍考察国企业改革、项目建设等餐饮费用1.8万元。</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公务接待费支出决算比2016年减少2万元，下降77%。主要原因是进一步落实中央八项规定，降低接待标准及次数。</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八、政府性基金预算支出决算情况说明</w:t>
      </w:r>
    </w:p>
    <w:p>
      <w:pPr>
        <w:spacing w:line="560" w:lineRule="exact"/>
        <w:ind w:firstLine="640" w:firstLineChars="200"/>
        <w:rPr>
          <w:rFonts w:ascii="仿宋_GB2312" w:eastAsia="仿宋_GB2312"/>
          <w:sz w:val="32"/>
          <w:szCs w:val="32"/>
        </w:rPr>
      </w:pPr>
      <w:r>
        <w:rPr>
          <w:rFonts w:hint="eastAsia" w:ascii="仿宋_GB2312" w:hAnsi="微软雅黑" w:eastAsia="仿宋_GB2312" w:cs="微软雅黑"/>
          <w:kern w:val="0"/>
          <w:sz w:val="32"/>
          <w:szCs w:val="32"/>
          <w:shd w:val="clear" w:color="auto" w:fill="FFFFFF"/>
        </w:rPr>
        <w:t>2017年度本部门政府性基金预算拨款支出42.74万元。</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九、国有资本经营预算支出决算情况说明</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2017年度本部门国有资本经营预算拨款支出398.63万元，其中：历史遗留问题和改革成本支出98.63万元；国有企业资本金注入300万元。</w:t>
      </w:r>
    </w:p>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十、其他重要事项的情况说明</w:t>
      </w:r>
    </w:p>
    <w:p>
      <w:pPr>
        <w:spacing w:line="560" w:lineRule="exact"/>
        <w:ind w:firstLine="643" w:firstLineChars="200"/>
        <w:rPr>
          <w:rFonts w:ascii="楷体_GB2312" w:eastAsia="楷体_GB2312"/>
          <w:sz w:val="32"/>
          <w:szCs w:val="32"/>
        </w:rPr>
      </w:pPr>
      <w:r>
        <w:rPr>
          <w:rFonts w:hint="eastAsia" w:ascii="楷体_GB2312" w:eastAsia="楷体_GB2312"/>
          <w:b/>
          <w:sz w:val="32"/>
          <w:szCs w:val="32"/>
        </w:rPr>
        <w:t>（一）机关运行经费支出情况</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2017年度，本部门机关运行经费支出52.76万元，比2016年减少20.88万元，下降28%。</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（二）政府采购支出情况</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2017年度，本部门政府采购支出总额3.6万元，其中：政府采购货物支出3.6万元、政府采购工程支出0万元、政府采购服务支出0万元。主要用于机关办公网络设备采购。授予中小企业合同金额0万元，占政府采购支出总额的0%，其中：授予小微企业合同金额0万元，占政府采购支出总额的0%。</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（三）国有资产占有使用情况</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截至2017年12月31日，本部门共有车辆0辆，其中：部级领导干部用车0辆、一般公务用车0辆、一般执法执勤用车0辆、特种专业技术用车0辆、其他用车0辆；单价50万元以上通用设备0台（套），单价100万元以上专用设备0台（套）。</w:t>
      </w:r>
    </w:p>
    <w:p>
      <w:pPr>
        <w:spacing w:line="560" w:lineRule="exact"/>
        <w:ind w:firstLine="643" w:firstLineChars="200"/>
        <w:rPr>
          <w:rFonts w:ascii="楷体_GB2312" w:eastAsia="楷体_GB2312"/>
          <w:b/>
          <w:sz w:val="32"/>
          <w:szCs w:val="32"/>
        </w:rPr>
      </w:pPr>
      <w:r>
        <w:rPr>
          <w:rFonts w:hint="eastAsia" w:ascii="楷体_GB2312" w:eastAsia="楷体_GB2312"/>
          <w:b/>
          <w:sz w:val="32"/>
          <w:szCs w:val="32"/>
        </w:rPr>
        <w:t>（四）预算绩效情况</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1.绩效目标管理情况。</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按照预算绩效管理要求，本部门未对2017年一般公共预算项目支出开展绩效目标管理，共编制绩效目标0个。</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2.部门整体支出绩效自评开展情况。</w:t>
      </w:r>
    </w:p>
    <w:p>
      <w:pPr>
        <w:spacing w:line="560" w:lineRule="exact"/>
        <w:ind w:firstLine="640" w:firstLineChars="200"/>
        <w:rPr>
          <w:rFonts w:ascii="仿宋_GB2312" w:eastAsia="仿宋_GB2312"/>
          <w:sz w:val="32"/>
          <w:szCs w:val="32"/>
        </w:rPr>
      </w:pPr>
      <w:r>
        <w:rPr>
          <w:rFonts w:hint="eastAsia" w:ascii="仿宋_GB2312" w:hAnsi="微软雅黑" w:eastAsia="仿宋_GB2312" w:cs="微软雅黑"/>
          <w:kern w:val="0"/>
          <w:sz w:val="32"/>
          <w:szCs w:val="32"/>
          <w:shd w:val="clear" w:color="auto" w:fill="FFFFFF"/>
        </w:rPr>
        <w:t>按照预算绩效管理要求，本部门未开展2017年整体支出开展绩效自评</w:t>
      </w:r>
      <w:r>
        <w:rPr>
          <w:rFonts w:hint="eastAsia" w:ascii="仿宋_GB2312" w:eastAsia="仿宋_GB2312"/>
          <w:sz w:val="32"/>
          <w:szCs w:val="32"/>
        </w:rPr>
        <w:t>。</w:t>
      </w:r>
    </w:p>
    <w:p>
      <w:pPr>
        <w:spacing w:afterLines="50" w:line="560" w:lineRule="exact"/>
        <w:jc w:val="center"/>
        <w:rPr>
          <w:rFonts w:ascii="文鼎大标宋简" w:hAnsi="黑体" w:eastAsia="文鼎大标宋简"/>
          <w:sz w:val="32"/>
          <w:szCs w:val="32"/>
        </w:rPr>
      </w:pPr>
      <w:r>
        <w:rPr>
          <w:rFonts w:hint="eastAsia" w:ascii="文鼎大标宋简" w:hAnsi="黑体" w:eastAsia="文鼎大标宋简"/>
          <w:sz w:val="32"/>
          <w:szCs w:val="32"/>
        </w:rPr>
        <w:t>2017年部门整体支出绩效评价得分表</w:t>
      </w:r>
    </w:p>
    <w:tbl>
      <w:tblPr>
        <w:tblStyle w:val="6"/>
        <w:tblW w:w="8891" w:type="dxa"/>
        <w:tblInd w:w="80" w:type="dxa"/>
        <w:tblLayout w:type="fixed"/>
        <w:tblCellMar>
          <w:top w:w="0" w:type="dxa"/>
          <w:left w:w="108" w:type="dxa"/>
          <w:bottom w:w="0" w:type="dxa"/>
          <w:right w:w="108" w:type="dxa"/>
        </w:tblCellMar>
      </w:tblPr>
      <w:tblGrid>
        <w:gridCol w:w="1022"/>
        <w:gridCol w:w="2604"/>
        <w:gridCol w:w="4157"/>
        <w:gridCol w:w="1108"/>
      </w:tblGrid>
      <w:tr>
        <w:tblPrEx>
          <w:tblLayout w:type="fixed"/>
          <w:tblCellMar>
            <w:top w:w="0" w:type="dxa"/>
            <w:left w:w="108" w:type="dxa"/>
            <w:bottom w:w="0" w:type="dxa"/>
            <w:right w:w="108" w:type="dxa"/>
          </w:tblCellMar>
        </w:tblPrEx>
        <w:trPr>
          <w:trHeight w:val="284" w:hRule="atLeast"/>
        </w:trPr>
        <w:tc>
          <w:tcPr>
            <w:tcW w:w="1022"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cs="宋体" w:asciiTheme="majorEastAsia" w:hAnsiTheme="majorEastAsia" w:eastAsiaTheme="majorEastAsia"/>
                <w:b/>
                <w:bCs/>
                <w:kern w:val="0"/>
                <w:szCs w:val="21"/>
              </w:rPr>
            </w:pPr>
            <w:r>
              <w:rPr>
                <w:rFonts w:hint="eastAsia" w:cs="宋体" w:asciiTheme="majorEastAsia" w:hAnsiTheme="majorEastAsia" w:eastAsiaTheme="majorEastAsia"/>
                <w:b/>
                <w:bCs/>
                <w:kern w:val="0"/>
                <w:szCs w:val="21"/>
              </w:rPr>
              <w:t>一级</w:t>
            </w:r>
          </w:p>
          <w:p>
            <w:pPr>
              <w:spacing w:line="240" w:lineRule="exact"/>
              <w:jc w:val="center"/>
              <w:rPr>
                <w:rFonts w:cs="宋体" w:asciiTheme="majorEastAsia" w:hAnsiTheme="majorEastAsia" w:eastAsiaTheme="majorEastAsia"/>
                <w:b/>
                <w:bCs/>
                <w:kern w:val="0"/>
                <w:szCs w:val="21"/>
              </w:rPr>
            </w:pPr>
            <w:r>
              <w:rPr>
                <w:rFonts w:hint="eastAsia" w:cs="宋体" w:asciiTheme="majorEastAsia" w:hAnsiTheme="majorEastAsia" w:eastAsiaTheme="majorEastAsia"/>
                <w:b/>
                <w:bCs/>
                <w:kern w:val="0"/>
                <w:szCs w:val="21"/>
              </w:rPr>
              <w:t>指标</w:t>
            </w:r>
          </w:p>
        </w:tc>
        <w:tc>
          <w:tcPr>
            <w:tcW w:w="2604" w:type="dxa"/>
            <w:tcBorders>
              <w:top w:val="single" w:color="auto" w:sz="4" w:space="0"/>
              <w:left w:val="nil"/>
              <w:bottom w:val="single" w:color="auto" w:sz="4" w:space="0"/>
              <w:right w:val="single" w:color="auto" w:sz="4" w:space="0"/>
            </w:tcBorders>
            <w:vAlign w:val="center"/>
          </w:tcPr>
          <w:p>
            <w:pPr>
              <w:spacing w:line="240" w:lineRule="exact"/>
              <w:jc w:val="center"/>
              <w:rPr>
                <w:rFonts w:cs="宋体" w:asciiTheme="majorEastAsia" w:hAnsiTheme="majorEastAsia" w:eastAsiaTheme="majorEastAsia"/>
                <w:b/>
                <w:bCs/>
                <w:kern w:val="0"/>
                <w:szCs w:val="21"/>
              </w:rPr>
            </w:pPr>
            <w:r>
              <w:rPr>
                <w:rFonts w:hint="eastAsia" w:cs="宋体" w:asciiTheme="majorEastAsia" w:hAnsiTheme="majorEastAsia" w:eastAsiaTheme="majorEastAsia"/>
                <w:b/>
                <w:bCs/>
                <w:kern w:val="0"/>
                <w:szCs w:val="21"/>
              </w:rPr>
              <w:t>二级指标</w:t>
            </w:r>
          </w:p>
        </w:tc>
        <w:tc>
          <w:tcPr>
            <w:tcW w:w="4157" w:type="dxa"/>
            <w:tcBorders>
              <w:top w:val="single" w:color="auto" w:sz="4" w:space="0"/>
              <w:left w:val="nil"/>
              <w:bottom w:val="single" w:color="auto" w:sz="4" w:space="0"/>
              <w:right w:val="single" w:color="auto" w:sz="4" w:space="0"/>
            </w:tcBorders>
            <w:vAlign w:val="center"/>
          </w:tcPr>
          <w:p>
            <w:pPr>
              <w:spacing w:line="240" w:lineRule="exact"/>
              <w:jc w:val="center"/>
              <w:rPr>
                <w:rFonts w:cs="宋体" w:asciiTheme="majorEastAsia" w:hAnsiTheme="majorEastAsia" w:eastAsiaTheme="majorEastAsia"/>
                <w:b/>
                <w:bCs/>
                <w:kern w:val="0"/>
                <w:szCs w:val="21"/>
              </w:rPr>
            </w:pPr>
            <w:r>
              <w:rPr>
                <w:rFonts w:hint="eastAsia" w:cs="宋体" w:asciiTheme="majorEastAsia" w:hAnsiTheme="majorEastAsia" w:eastAsiaTheme="majorEastAsia"/>
                <w:b/>
                <w:bCs/>
                <w:kern w:val="0"/>
                <w:szCs w:val="21"/>
              </w:rPr>
              <w:t>三级指标</w:t>
            </w:r>
          </w:p>
        </w:tc>
        <w:tc>
          <w:tcPr>
            <w:tcW w:w="1108" w:type="dxa"/>
            <w:tcBorders>
              <w:top w:val="single" w:color="auto" w:sz="4" w:space="0"/>
              <w:left w:val="nil"/>
              <w:bottom w:val="single" w:color="auto" w:sz="4" w:space="0"/>
              <w:right w:val="single" w:color="auto" w:sz="4" w:space="0"/>
            </w:tcBorders>
            <w:vAlign w:val="center"/>
          </w:tcPr>
          <w:p>
            <w:pPr>
              <w:spacing w:line="240" w:lineRule="exact"/>
              <w:jc w:val="center"/>
              <w:rPr>
                <w:rFonts w:cs="宋体" w:asciiTheme="majorEastAsia" w:hAnsiTheme="majorEastAsia" w:eastAsiaTheme="majorEastAsia"/>
                <w:b/>
                <w:bCs/>
                <w:kern w:val="0"/>
                <w:szCs w:val="21"/>
              </w:rPr>
            </w:pPr>
            <w:r>
              <w:rPr>
                <w:rFonts w:hint="eastAsia" w:cs="宋体" w:asciiTheme="majorEastAsia" w:hAnsiTheme="majorEastAsia" w:eastAsiaTheme="majorEastAsia"/>
                <w:b/>
                <w:bCs/>
                <w:kern w:val="0"/>
                <w:szCs w:val="21"/>
              </w:rPr>
              <w:t>得分</w:t>
            </w:r>
          </w:p>
        </w:tc>
      </w:tr>
      <w:tr>
        <w:tblPrEx>
          <w:tblLayout w:type="fixed"/>
          <w:tblCellMar>
            <w:top w:w="0" w:type="dxa"/>
            <w:left w:w="108" w:type="dxa"/>
            <w:bottom w:w="0" w:type="dxa"/>
            <w:right w:w="108" w:type="dxa"/>
          </w:tblCellMar>
        </w:tblPrEx>
        <w:trPr>
          <w:trHeight w:val="284" w:hRule="atLeast"/>
        </w:trPr>
        <w:tc>
          <w:tcPr>
            <w:tcW w:w="1022" w:type="dxa"/>
            <w:vMerge w:val="restart"/>
            <w:tcBorders>
              <w:top w:val="nil"/>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部门</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决策</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（25分）</w:t>
            </w: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目标任务（15分）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相关性（5分）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明确性（5分）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合理性（5分）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预算编制（10分）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测算依据（5分）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目标管理（5分）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restart"/>
            <w:tcBorders>
              <w:top w:val="nil"/>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综合</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管理</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（30分）</w:t>
            </w:r>
          </w:p>
        </w:tc>
        <w:tc>
          <w:tcPr>
            <w:tcW w:w="2604" w:type="dxa"/>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中期评估（2分）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执行中期评估（2分）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绩效监控（5分）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预算执行进度监控（2分）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绩效目标动态监控（3分）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非税收入执收情况（2分）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非税收入征收情况（1分）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非税收入上缴情况（1分）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资产管理（6分）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资产管理信息化情况（2分）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行政事业单位资产报告情况（2分）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资产管理与预算管理相结合（2分）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p>
        </w:tc>
        <w:tc>
          <w:tcPr>
            <w:tcW w:w="2604"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内控制度管理（2分）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内部控制度健全完整（2分）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信息公开（8分）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预算公开（3分）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决算公开（3分）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绩效信息公开（2分）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绩效评价（5分）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绩效评价开展（2分）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评价结果应用（3分）</w:t>
            </w:r>
          </w:p>
        </w:tc>
        <w:tc>
          <w:tcPr>
            <w:tcW w:w="1108" w:type="dxa"/>
            <w:tcBorders>
              <w:top w:val="nil"/>
              <w:left w:val="nil"/>
              <w:bottom w:val="single" w:color="auto" w:sz="4" w:space="0"/>
              <w:right w:val="single" w:color="auto" w:sz="4" w:space="0"/>
            </w:tcBorders>
          </w:tcPr>
          <w:p>
            <w:pPr>
              <w:spacing w:line="240" w:lineRule="exact"/>
              <w:jc w:val="left"/>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restart"/>
            <w:tcBorders>
              <w:top w:val="nil"/>
              <w:left w:val="single" w:color="auto" w:sz="4" w:space="0"/>
              <w:right w:val="single" w:color="auto" w:sz="4" w:space="0"/>
            </w:tcBorders>
            <w:vAlign w:val="center"/>
          </w:tcPr>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部门</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绩效</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情况</w:t>
            </w:r>
          </w:p>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（45分）</w:t>
            </w: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履职成效（20分）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部门特性指标</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restart"/>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可持续发展能力（15分）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重点改革（重点工作）完成情况（5分）</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科技（制度、方法、机制等）创新（5分）</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top w:val="nil"/>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人才培养（5分）</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restart"/>
            <w:tcBorders>
              <w:top w:val="nil"/>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满意度（10分）</w:t>
            </w: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协作部门满意度（3分）</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left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管理对象满意度（3分）</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Layout w:type="fixed"/>
          <w:tblCellMar>
            <w:top w:w="0" w:type="dxa"/>
            <w:left w:w="108" w:type="dxa"/>
            <w:bottom w:w="0" w:type="dxa"/>
            <w:right w:w="108" w:type="dxa"/>
          </w:tblCellMar>
        </w:tblPrEx>
        <w:trPr>
          <w:trHeight w:val="284" w:hRule="atLeast"/>
        </w:trPr>
        <w:tc>
          <w:tcPr>
            <w:tcW w:w="1022" w:type="dxa"/>
            <w:vMerge w:val="continue"/>
            <w:tcBorders>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2604" w:type="dxa"/>
            <w:vMerge w:val="continue"/>
            <w:tcBorders>
              <w:left w:val="single" w:color="auto" w:sz="4" w:space="0"/>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p>
        </w:tc>
        <w:tc>
          <w:tcPr>
            <w:tcW w:w="4157" w:type="dxa"/>
            <w:tcBorders>
              <w:top w:val="nil"/>
              <w:left w:val="nil"/>
              <w:bottom w:val="single" w:color="auto" w:sz="4" w:space="0"/>
              <w:right w:val="single" w:color="auto" w:sz="4" w:space="0"/>
            </w:tcBorders>
            <w:vAlign w:val="center"/>
          </w:tcPr>
          <w:p>
            <w:pPr>
              <w:spacing w:line="240" w:lineRule="exact"/>
              <w:jc w:val="left"/>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社会公众满意度（4分）</w:t>
            </w:r>
          </w:p>
        </w:tc>
        <w:tc>
          <w:tcPr>
            <w:tcW w:w="1108" w:type="dxa"/>
            <w:tcBorders>
              <w:top w:val="nil"/>
              <w:left w:val="nil"/>
              <w:bottom w:val="single" w:color="auto" w:sz="4" w:space="0"/>
              <w:right w:val="single" w:color="auto" w:sz="4" w:space="0"/>
            </w:tcBorders>
          </w:tcPr>
          <w:p>
            <w:pPr>
              <w:spacing w:line="240" w:lineRule="exact"/>
              <w:jc w:val="center"/>
              <w:rPr>
                <w:rFonts w:cs="宋体" w:asciiTheme="majorEastAsia" w:hAnsiTheme="majorEastAsia" w:eastAsiaTheme="maj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022" w:type="dxa"/>
            <w:vAlign w:val="center"/>
          </w:tcPr>
          <w:p>
            <w:pPr>
              <w:spacing w:line="240" w:lineRule="exact"/>
              <w:jc w:val="center"/>
              <w:rPr>
                <w:rFonts w:cs="宋体" w:asciiTheme="majorEastAsia" w:hAnsiTheme="majorEastAsia" w:eastAsiaTheme="majorEastAsia"/>
                <w:kern w:val="0"/>
                <w:szCs w:val="21"/>
              </w:rPr>
            </w:pPr>
            <w:r>
              <w:rPr>
                <w:rFonts w:hint="eastAsia" w:cs="宋体" w:asciiTheme="majorEastAsia" w:hAnsiTheme="majorEastAsia" w:eastAsiaTheme="majorEastAsia"/>
                <w:kern w:val="0"/>
                <w:szCs w:val="21"/>
              </w:rPr>
              <w:t>总分</w:t>
            </w:r>
          </w:p>
        </w:tc>
        <w:tc>
          <w:tcPr>
            <w:tcW w:w="7869" w:type="dxa"/>
            <w:gridSpan w:val="3"/>
            <w:vAlign w:val="center"/>
          </w:tcPr>
          <w:p>
            <w:pPr>
              <w:spacing w:line="240" w:lineRule="exact"/>
              <w:jc w:val="center"/>
              <w:rPr>
                <w:rFonts w:cs="宋体" w:asciiTheme="majorEastAsia" w:hAnsiTheme="majorEastAsia" w:eastAsiaTheme="majorEastAsia"/>
                <w:kern w:val="0"/>
                <w:szCs w:val="21"/>
              </w:rPr>
            </w:pPr>
          </w:p>
        </w:tc>
      </w:tr>
    </w:tbl>
    <w:p>
      <w:pPr>
        <w:autoSpaceDE w:val="0"/>
        <w:autoSpaceDN w:val="0"/>
        <w:adjustRightInd w:val="0"/>
        <w:spacing w:line="560" w:lineRule="exact"/>
        <w:ind w:firstLine="640" w:firstLineChars="200"/>
        <w:rPr>
          <w:rFonts w:ascii="黑体" w:eastAsia="黑体"/>
          <w:sz w:val="32"/>
          <w:szCs w:val="32"/>
        </w:rPr>
      </w:pPr>
      <w:r>
        <w:rPr>
          <w:rFonts w:hint="eastAsia" w:ascii="黑体" w:eastAsia="黑体"/>
          <w:sz w:val="32"/>
          <w:szCs w:val="32"/>
        </w:rPr>
        <w:t>十一、名词解释</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1.财政拨款收入：指单位从同级财政部门取得的财政预算资金。</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2.事业收入：指事业单位开展专业业务活动及辅助活动取得的收入。</w:t>
      </w:r>
      <w:bookmarkStart w:id="0" w:name="_GoBack"/>
      <w:bookmarkEnd w:id="0"/>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3.经营收入：指事业单位在专业业务活动及其辅助活动之外开展非独立核算经营活动取得的收入。</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 xml:space="preserve">4.其他收入：指单位取得的除上述收入以外的各项收入。 </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 xml:space="preserve">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 xml:space="preserve">6.年初结转和结余：指以前年度尚未完成、结转到本年按有关规定继续使用的资金。 </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7.结余分配：指事业单位按照事业单位会计制度的规定从非财政补助结余中分配的事业基金和职工福利基金等。</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8、年末结转和结余：指单位按有关规定结转到下年或以后年度继续使用的资金。</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9.社会保障和就业（类）行政事业单位离退休（款）</w:t>
      </w:r>
      <w:r>
        <w:rPr>
          <w:rFonts w:hint="eastAsia" w:ascii="微软雅黑" w:hAnsi="微软雅黑" w:eastAsia="仿宋_GB2312" w:cs="微软雅黑"/>
          <w:kern w:val="0"/>
          <w:sz w:val="32"/>
          <w:szCs w:val="32"/>
          <w:shd w:val="clear" w:color="auto" w:fill="FFFFFF"/>
        </w:rPr>
        <w:t> </w:t>
      </w:r>
      <w:r>
        <w:rPr>
          <w:rFonts w:hint="eastAsia" w:ascii="仿宋_GB2312" w:hAnsi="微软雅黑" w:eastAsia="仿宋_GB2312" w:cs="微软雅黑"/>
          <w:kern w:val="0"/>
          <w:sz w:val="32"/>
          <w:szCs w:val="32"/>
          <w:shd w:val="clear" w:color="auto" w:fill="FFFFFF"/>
        </w:rPr>
        <w:t>机关事业单位基本养老保险缴费支出（项）：指机关事业单位工作人员基本养老保险支出。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10..医疗卫生与计划生育（类）医疗卫生与计划生育支出（款）医疗保障（项）：指机关事业单位工作人员基本医疗保险支出。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11.农林水（类）扶贫（款）：指精准扶贫工作中，对国有企业承担扶贫贷款项目财政配套资金。</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12.资源勘探信息等（类）国有资产监管（款）行政运行（项）：指国有资产监管支出。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13.住房保障（类）住房改革支出（款）</w:t>
      </w:r>
      <w:r>
        <w:rPr>
          <w:rFonts w:hint="eastAsia" w:ascii="微软雅黑" w:hAnsi="微软雅黑" w:eastAsia="仿宋_GB2312" w:cs="微软雅黑"/>
          <w:kern w:val="0"/>
          <w:sz w:val="32"/>
          <w:szCs w:val="32"/>
          <w:shd w:val="clear" w:color="auto" w:fill="FFFFFF"/>
        </w:rPr>
        <w:t> </w:t>
      </w:r>
      <w:r>
        <w:rPr>
          <w:rFonts w:hint="eastAsia" w:ascii="仿宋_GB2312" w:hAnsi="微软雅黑" w:eastAsia="仿宋_GB2312" w:cs="微软雅黑"/>
          <w:kern w:val="0"/>
          <w:sz w:val="32"/>
          <w:szCs w:val="32"/>
          <w:shd w:val="clear" w:color="auto" w:fill="FFFFFF"/>
        </w:rPr>
        <w:t>住房公积金（项）：指机关事业单位工作人员住房公积金支出。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14.基本支出：指为保障机构正常运转、完成日常工作任务而发生的人员支出和公用支出。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 xml:space="preserve">15.项目支出：指在基本支出之外为完成特定行政任务和事业发展目标所发生的支出。 </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16.经营支出：指事业单位在专业业务活动及其辅助活动之外开展非独立核算经营活动发生的支出。</w:t>
      </w:r>
    </w:p>
    <w:p>
      <w:pPr>
        <w:spacing w:line="560" w:lineRule="exact"/>
        <w:ind w:firstLine="640" w:firstLineChars="200"/>
        <w:rPr>
          <w:rFonts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17.“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560" w:lineRule="exact"/>
        <w:ind w:firstLine="640" w:firstLineChars="200"/>
        <w:rPr>
          <w:rFonts w:hint="eastAsia" w:ascii="仿宋_GB2312" w:hAnsi="微软雅黑" w:eastAsia="仿宋_GB2312" w:cs="微软雅黑"/>
          <w:kern w:val="0"/>
          <w:sz w:val="32"/>
          <w:szCs w:val="32"/>
          <w:shd w:val="clear" w:color="auto" w:fill="FFFFFF"/>
        </w:rPr>
      </w:pPr>
      <w:r>
        <w:rPr>
          <w:rFonts w:hint="eastAsia" w:ascii="仿宋_GB2312" w:hAnsi="微软雅黑" w:eastAsia="仿宋_GB2312" w:cs="微软雅黑"/>
          <w:kern w:val="0"/>
          <w:sz w:val="32"/>
          <w:szCs w:val="32"/>
          <w:shd w:val="clear" w:color="auto" w:fill="FFFFFF"/>
        </w:rPr>
        <w:t>18.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560" w:lineRule="exact"/>
        <w:ind w:firstLine="640" w:firstLineChars="200"/>
        <w:rPr>
          <w:rFonts w:hint="eastAsia" w:ascii="仿宋_GB2312" w:hAnsi="微软雅黑" w:eastAsia="仿宋_GB2312" w:cs="微软雅黑"/>
          <w:kern w:val="0"/>
          <w:sz w:val="32"/>
          <w:szCs w:val="32"/>
          <w:shd w:val="clear" w:color="auto" w:fill="FFFFFF"/>
        </w:rPr>
      </w:pPr>
    </w:p>
    <w:p>
      <w:pPr>
        <w:spacing w:line="560" w:lineRule="exact"/>
        <w:ind w:firstLine="640" w:firstLineChars="200"/>
        <w:rPr>
          <w:rFonts w:hint="eastAsia" w:ascii="仿宋_GB2312" w:hAnsi="微软雅黑" w:eastAsia="仿宋_GB2312" w:cs="微软雅黑"/>
          <w:kern w:val="0"/>
          <w:sz w:val="32"/>
          <w:szCs w:val="32"/>
          <w:shd w:val="clear" w:color="auto" w:fill="FFFFFF"/>
        </w:rPr>
      </w:pPr>
    </w:p>
    <w:p>
      <w:pPr>
        <w:jc w:val="right"/>
        <w:rPr>
          <w:rFonts w:hint="eastAsia"/>
          <w:sz w:val="32"/>
          <w:szCs w:val="40"/>
          <w:lang w:eastAsia="zh-CN"/>
        </w:rPr>
      </w:pPr>
    </w:p>
    <w:p>
      <w:pPr>
        <w:jc w:val="right"/>
        <w:rPr>
          <w:rFonts w:hint="eastAsia"/>
          <w:sz w:val="32"/>
          <w:szCs w:val="40"/>
        </w:rPr>
      </w:pPr>
      <w:r>
        <w:rPr>
          <w:rFonts w:hint="eastAsia"/>
          <w:sz w:val="32"/>
          <w:szCs w:val="40"/>
          <w:lang w:eastAsia="zh-CN"/>
        </w:rPr>
        <w:t>四川省</w:t>
      </w:r>
      <w:r>
        <w:rPr>
          <w:rFonts w:hint="eastAsia"/>
          <w:sz w:val="32"/>
          <w:szCs w:val="40"/>
        </w:rPr>
        <w:t>苍溪县国有资产监督管理局</w:t>
      </w:r>
    </w:p>
    <w:p>
      <w:pPr>
        <w:jc w:val="center"/>
        <w:rPr>
          <w:rFonts w:hint="eastAsia" w:eastAsia="宋体"/>
          <w:sz w:val="28"/>
          <w:szCs w:val="36"/>
          <w:lang w:val="en-US" w:eastAsia="zh-CN"/>
        </w:rPr>
      </w:pPr>
      <w:r>
        <w:rPr>
          <w:rFonts w:hint="eastAsia"/>
          <w:sz w:val="28"/>
          <w:szCs w:val="36"/>
          <w:lang w:val="en-US" w:eastAsia="zh-CN"/>
        </w:rPr>
        <w:t xml:space="preserve">                          2018年8月20日</w:t>
      </w:r>
    </w:p>
    <w:sectPr>
      <w:headerReference r:id="rId3" w:type="default"/>
      <w:footerReference r:id="rId4" w:type="default"/>
      <w:footerReference r:id="rId5" w:type="even"/>
      <w:pgSz w:w="11906" w:h="16838"/>
      <w:pgMar w:top="2098" w:right="1474" w:bottom="1985" w:left="1588" w:header="851" w:footer="130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文鼎大标宋简">
    <w:altName w:val="Arial Unicode MS"/>
    <w:panose1 w:val="02010609010101010101"/>
    <w:charset w:val="86"/>
    <w:family w:val="modern"/>
    <w:pitch w:val="default"/>
    <w:sig w:usb0="00000000" w:usb1="00000000" w:usb2="0000001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center"/>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 </w:t>
    </w:r>
    <w:r>
      <w:rPr>
        <w:rFonts w:asciiTheme="majorEastAsia" w:hAnsiTheme="majorEastAsia" w:eastAsiaTheme="majorEastAsia"/>
        <w:sz w:val="28"/>
        <w:szCs w:val="28"/>
      </w:rPr>
      <w:fldChar w:fldCharType="begin"/>
    </w:r>
    <w:r>
      <w:rPr>
        <w:rFonts w:asciiTheme="majorEastAsia" w:hAnsiTheme="majorEastAsia" w:eastAsiaTheme="majorEastAsia"/>
        <w:sz w:val="28"/>
        <w:szCs w:val="28"/>
      </w:rPr>
      <w:instrText xml:space="preserve"> PAGE   \* MERGEFORMAT </w:instrText>
    </w:r>
    <w:r>
      <w:rPr>
        <w:rFonts w:asciiTheme="majorEastAsia" w:hAnsiTheme="majorEastAsia" w:eastAsiaTheme="majorEastAsia"/>
        <w:sz w:val="28"/>
        <w:szCs w:val="28"/>
      </w:rPr>
      <w:fldChar w:fldCharType="separate"/>
    </w:r>
    <w:r>
      <w:rPr>
        <w:rFonts w:asciiTheme="majorEastAsia" w:hAnsiTheme="majorEastAsia" w:eastAsiaTheme="majorEastAsia"/>
        <w:sz w:val="28"/>
        <w:szCs w:val="28"/>
        <w:lang w:val="zh-CN"/>
      </w:rPr>
      <w:t>4</w:t>
    </w:r>
    <w:r>
      <w:rPr>
        <w:rFonts w:asciiTheme="majorEastAsia" w:hAnsiTheme="majorEastAsia" w:eastAsiaTheme="majorEastAsia"/>
        <w:sz w:val="28"/>
        <w:szCs w:val="28"/>
      </w:rPr>
      <w:fldChar w:fldCharType="end"/>
    </w:r>
    <w:r>
      <w:rPr>
        <w:rFonts w:hint="eastAsia" w:asciiTheme="majorEastAsia" w:hAnsiTheme="majorEastAsia" w:eastAsiaTheme="major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pPr>
    <w:r>
      <w:rPr>
        <w:rFonts w:hint="eastAsia" w:asciiTheme="majorEastAsia" w:hAnsiTheme="majorEastAsia" w:eastAsiaTheme="majorEastAsia"/>
        <w:sz w:val="28"/>
        <w:szCs w:val="28"/>
      </w:rPr>
      <w:t xml:space="preserve">— </w:t>
    </w:r>
    <w:r>
      <w:rPr>
        <w:rFonts w:asciiTheme="majorEastAsia" w:hAnsiTheme="majorEastAsia" w:eastAsiaTheme="majorEastAsia"/>
        <w:sz w:val="28"/>
        <w:szCs w:val="28"/>
      </w:rPr>
      <w:fldChar w:fldCharType="begin"/>
    </w:r>
    <w:r>
      <w:rPr>
        <w:rFonts w:asciiTheme="majorEastAsia" w:hAnsiTheme="majorEastAsia" w:eastAsiaTheme="majorEastAsia"/>
        <w:sz w:val="28"/>
        <w:szCs w:val="28"/>
      </w:rPr>
      <w:instrText xml:space="preserve"> PAGE   \* MERGEFORMAT </w:instrText>
    </w:r>
    <w:r>
      <w:rPr>
        <w:rFonts w:asciiTheme="majorEastAsia" w:hAnsiTheme="majorEastAsia" w:eastAsiaTheme="majorEastAsia"/>
        <w:sz w:val="28"/>
        <w:szCs w:val="28"/>
      </w:rPr>
      <w:fldChar w:fldCharType="separate"/>
    </w:r>
    <w:r>
      <w:rPr>
        <w:rFonts w:asciiTheme="majorEastAsia" w:hAnsiTheme="majorEastAsia" w:eastAsiaTheme="majorEastAsia"/>
        <w:sz w:val="28"/>
        <w:szCs w:val="28"/>
        <w:lang w:val="zh-CN"/>
      </w:rPr>
      <w:t>16</w:t>
    </w:r>
    <w:r>
      <w:rPr>
        <w:rFonts w:asciiTheme="majorEastAsia" w:hAnsiTheme="majorEastAsia" w:eastAsiaTheme="majorEastAsia"/>
        <w:sz w:val="28"/>
        <w:szCs w:val="28"/>
      </w:rPr>
      <w:fldChar w:fldCharType="end"/>
    </w:r>
    <w:r>
      <w:rPr>
        <w:rFonts w:hint="eastAsia" w:asciiTheme="majorEastAsia" w:hAnsiTheme="majorEastAsia" w:eastAsiaTheme="majorEastAsia"/>
        <w:sz w:val="28"/>
        <w:szCs w:val="28"/>
      </w:rPr>
      <w:t xml:space="preserve"> —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12FE"/>
    <w:rsid w:val="004312FE"/>
    <w:rsid w:val="004D484E"/>
    <w:rsid w:val="00722D54"/>
    <w:rsid w:val="00773CBC"/>
    <w:rsid w:val="008E24D2"/>
    <w:rsid w:val="00D31A52"/>
    <w:rsid w:val="58510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kern w:val="0"/>
      <w:sz w:val="24"/>
    </w:rPr>
  </w:style>
  <w:style w:type="character" w:customStyle="1" w:styleId="7">
    <w:name w:val="页眉 Char"/>
    <w:basedOn w:val="5"/>
    <w:link w:val="3"/>
    <w:uiPriority w:val="0"/>
    <w:rPr>
      <w:rFonts w:ascii="Times New Roman" w:hAnsi="Times New Roman" w:eastAsia="宋体" w:cs="Times New Roman"/>
      <w:sz w:val="18"/>
      <w:szCs w:val="18"/>
    </w:rPr>
  </w:style>
  <w:style w:type="character" w:customStyle="1" w:styleId="8">
    <w:name w:val="页脚 Char"/>
    <w:basedOn w:val="5"/>
    <w:link w:val="2"/>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14</Pages>
  <Words>1113</Words>
  <Characters>6350</Characters>
  <Lines>52</Lines>
  <Paragraphs>14</Paragraphs>
  <TotalTime>1</TotalTime>
  <ScaleCrop>false</ScaleCrop>
  <LinksUpToDate>false</LinksUpToDate>
  <CharactersWithSpaces>7449</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2018-08-24T03:34:00Z</dcterms:created>
  <dc:creator>Administrator</dc:creator>
  <cp:lastModifiedBy>死地后生</cp:lastModifiedBy>
  <dcterms:modified xsi:type="dcterms:W3CDTF">2018-08-28T09:08:59Z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